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B969D7" w14:paraId="2E45DC5A" w14:textId="77777777" w:rsidTr="00E01960">
        <w:trPr>
          <w:trHeight w:val="1587"/>
        </w:trPr>
        <w:tc>
          <w:tcPr>
            <w:tcW w:w="9061" w:type="dxa"/>
          </w:tcPr>
          <w:p w14:paraId="615EF898" w14:textId="74FA5052" w:rsidR="00B969D7" w:rsidRPr="00B969D7" w:rsidRDefault="00B969D7" w:rsidP="00B969D7">
            <w:pPr>
              <w:suppressAutoHyphens/>
              <w:ind w:right="14"/>
              <w:rPr>
                <w:noProof/>
                <w:szCs w:val="22"/>
              </w:rPr>
            </w:pPr>
            <w:r w:rsidRPr="00B969D7">
              <w:rPr>
                <w:noProof/>
                <w:szCs w:val="22"/>
              </w:rPr>
              <w:t xml:space="preserve">Este documento é a informação do medicamento aprovada para </w:t>
            </w:r>
            <w:r>
              <w:rPr>
                <w:noProof/>
                <w:szCs w:val="22"/>
              </w:rPr>
              <w:t xml:space="preserve">Rivaroxabano </w:t>
            </w:r>
            <w:r w:rsidRPr="00B969D7">
              <w:rPr>
                <w:noProof/>
                <w:szCs w:val="22"/>
              </w:rPr>
              <w:t>Accord, tendo sido destacadas as alterações desde o procedimento anterior que afetam a informação do medicamento (</w:t>
            </w:r>
            <w:r w:rsidR="00E01960" w:rsidRPr="00E01960">
              <w:rPr>
                <w:bCs/>
                <w:szCs w:val="22"/>
              </w:rPr>
              <w:t>EMA/R/0000249659</w:t>
            </w:r>
            <w:r w:rsidRPr="00B969D7">
              <w:rPr>
                <w:noProof/>
                <w:szCs w:val="22"/>
              </w:rPr>
              <w:t>).</w:t>
            </w:r>
          </w:p>
          <w:p w14:paraId="1373CD84" w14:textId="77777777" w:rsidR="00B969D7" w:rsidRPr="00B969D7" w:rsidRDefault="00B969D7" w:rsidP="00B969D7">
            <w:pPr>
              <w:suppressAutoHyphens/>
              <w:ind w:right="14"/>
              <w:rPr>
                <w:noProof/>
                <w:szCs w:val="22"/>
              </w:rPr>
            </w:pPr>
          </w:p>
          <w:p w14:paraId="5A69F76C" w14:textId="1D12CCD0" w:rsidR="00B969D7" w:rsidRDefault="00B969D7" w:rsidP="00B969D7">
            <w:pPr>
              <w:suppressAutoHyphens/>
              <w:ind w:right="14"/>
              <w:rPr>
                <w:noProof/>
                <w:szCs w:val="22"/>
              </w:rPr>
            </w:pPr>
            <w:r w:rsidRPr="00B969D7">
              <w:rPr>
                <w:noProof/>
                <w:szCs w:val="22"/>
              </w:rPr>
              <w:t xml:space="preserve">Para mais informações, consultar o sítio Web da Agência Europeia de Medicamentos: </w:t>
            </w:r>
            <w:hyperlink r:id="rId11" w:history="1">
              <w:r w:rsidRPr="00736B7D">
                <w:rPr>
                  <w:rStyle w:val="Hyperlink"/>
                </w:rPr>
                <w:t>https://www.ema.europa.eu/en/medicines/human/EPAR/rivaroxaban-accord</w:t>
              </w:r>
            </w:hyperlink>
            <w:r w:rsidR="00E01960">
              <w:t xml:space="preserve"> </w:t>
            </w:r>
            <w:r>
              <w:t xml:space="preserve">  </w:t>
            </w:r>
          </w:p>
        </w:tc>
      </w:tr>
    </w:tbl>
    <w:p w14:paraId="11801FBF" w14:textId="77777777" w:rsidR="00EE5207" w:rsidRPr="0063119B" w:rsidRDefault="00EE5207" w:rsidP="005500AB">
      <w:pPr>
        <w:suppressAutoHyphens/>
        <w:ind w:right="14"/>
        <w:rPr>
          <w:noProof/>
          <w:szCs w:val="22"/>
        </w:rPr>
      </w:pPr>
    </w:p>
    <w:p w14:paraId="7B4E97F5" w14:textId="77777777" w:rsidR="00EE5207" w:rsidRPr="0063119B" w:rsidRDefault="00EE5207">
      <w:pPr>
        <w:suppressAutoHyphens/>
        <w:ind w:right="14"/>
        <w:rPr>
          <w:noProof/>
          <w:szCs w:val="22"/>
        </w:rPr>
      </w:pPr>
    </w:p>
    <w:p w14:paraId="11288D57" w14:textId="77777777" w:rsidR="00EE5207" w:rsidRPr="0063119B" w:rsidRDefault="00EE5207">
      <w:pPr>
        <w:suppressAutoHyphens/>
        <w:ind w:right="14"/>
        <w:rPr>
          <w:noProof/>
          <w:szCs w:val="22"/>
        </w:rPr>
      </w:pPr>
    </w:p>
    <w:p w14:paraId="5BC2F57B" w14:textId="77777777" w:rsidR="00EE5207" w:rsidRPr="0063119B" w:rsidRDefault="00EE5207">
      <w:pPr>
        <w:suppressAutoHyphens/>
        <w:ind w:right="14"/>
        <w:rPr>
          <w:noProof/>
          <w:szCs w:val="22"/>
        </w:rPr>
      </w:pPr>
    </w:p>
    <w:p w14:paraId="61505655" w14:textId="77777777" w:rsidR="00EE5207" w:rsidRPr="0063119B" w:rsidRDefault="00EE5207">
      <w:pPr>
        <w:suppressAutoHyphens/>
        <w:ind w:right="14"/>
        <w:rPr>
          <w:noProof/>
          <w:szCs w:val="22"/>
        </w:rPr>
      </w:pPr>
    </w:p>
    <w:p w14:paraId="620CF53C" w14:textId="77777777" w:rsidR="00EE5207" w:rsidRPr="0063119B" w:rsidRDefault="00EE5207">
      <w:pPr>
        <w:suppressAutoHyphens/>
        <w:ind w:right="14"/>
        <w:rPr>
          <w:noProof/>
          <w:szCs w:val="22"/>
        </w:rPr>
      </w:pPr>
    </w:p>
    <w:p w14:paraId="2628F064" w14:textId="77777777" w:rsidR="00EE5207" w:rsidRPr="0063119B" w:rsidRDefault="00EE5207">
      <w:pPr>
        <w:suppressAutoHyphens/>
        <w:ind w:right="14"/>
        <w:rPr>
          <w:noProof/>
          <w:szCs w:val="22"/>
        </w:rPr>
      </w:pPr>
    </w:p>
    <w:p w14:paraId="0B9AEDE5" w14:textId="77777777" w:rsidR="00EE5207" w:rsidRPr="0063119B" w:rsidRDefault="00EE5207">
      <w:pPr>
        <w:suppressAutoHyphens/>
        <w:ind w:right="14"/>
        <w:rPr>
          <w:noProof/>
          <w:szCs w:val="22"/>
        </w:rPr>
      </w:pPr>
    </w:p>
    <w:p w14:paraId="51A51B32" w14:textId="77777777" w:rsidR="00EE5207" w:rsidRPr="0063119B" w:rsidRDefault="00EE5207">
      <w:pPr>
        <w:suppressAutoHyphens/>
        <w:ind w:right="14"/>
        <w:rPr>
          <w:noProof/>
          <w:szCs w:val="22"/>
        </w:rPr>
      </w:pPr>
    </w:p>
    <w:p w14:paraId="46111F10" w14:textId="77777777" w:rsidR="00EE5207" w:rsidRPr="0063119B" w:rsidRDefault="00EE5207">
      <w:pPr>
        <w:suppressAutoHyphens/>
        <w:ind w:right="14"/>
        <w:rPr>
          <w:noProof/>
          <w:szCs w:val="22"/>
        </w:rPr>
      </w:pPr>
    </w:p>
    <w:p w14:paraId="19E170BF" w14:textId="77777777" w:rsidR="00EE5207" w:rsidRPr="0063119B" w:rsidRDefault="00EE5207" w:rsidP="00951279">
      <w:pPr>
        <w:suppressAutoHyphens/>
        <w:ind w:right="11"/>
        <w:rPr>
          <w:noProof/>
          <w:szCs w:val="22"/>
        </w:rPr>
      </w:pPr>
    </w:p>
    <w:p w14:paraId="78AF113F" w14:textId="77777777" w:rsidR="00EE5207" w:rsidRPr="0063119B" w:rsidRDefault="00EE5207">
      <w:pPr>
        <w:suppressAutoHyphens/>
        <w:ind w:right="14"/>
        <w:rPr>
          <w:noProof/>
          <w:szCs w:val="22"/>
        </w:rPr>
      </w:pPr>
    </w:p>
    <w:p w14:paraId="6F359120" w14:textId="77777777" w:rsidR="00EE5207" w:rsidRPr="0063119B" w:rsidRDefault="00EE5207">
      <w:pPr>
        <w:suppressAutoHyphens/>
        <w:ind w:right="14"/>
        <w:rPr>
          <w:noProof/>
          <w:szCs w:val="22"/>
        </w:rPr>
      </w:pPr>
    </w:p>
    <w:p w14:paraId="750D608C" w14:textId="77777777" w:rsidR="00EE5207" w:rsidRPr="0063119B" w:rsidRDefault="00EE5207">
      <w:pPr>
        <w:suppressAutoHyphens/>
        <w:ind w:right="14"/>
        <w:rPr>
          <w:noProof/>
          <w:szCs w:val="22"/>
        </w:rPr>
      </w:pPr>
    </w:p>
    <w:p w14:paraId="1D3DD8AB" w14:textId="77777777" w:rsidR="00EE5207" w:rsidRPr="0063119B" w:rsidRDefault="00EE5207">
      <w:pPr>
        <w:suppressAutoHyphens/>
        <w:ind w:right="14"/>
        <w:rPr>
          <w:noProof/>
          <w:szCs w:val="22"/>
        </w:rPr>
      </w:pPr>
    </w:p>
    <w:p w14:paraId="68ADCAB2" w14:textId="77777777" w:rsidR="00EE5207" w:rsidRPr="0063119B" w:rsidRDefault="00EE5207">
      <w:pPr>
        <w:suppressAutoHyphens/>
        <w:ind w:right="14"/>
        <w:rPr>
          <w:noProof/>
          <w:szCs w:val="22"/>
        </w:rPr>
      </w:pPr>
    </w:p>
    <w:p w14:paraId="6E45FFCE" w14:textId="77777777" w:rsidR="00EE5207" w:rsidRPr="0063119B" w:rsidRDefault="00EE5207">
      <w:pPr>
        <w:suppressAutoHyphens/>
        <w:ind w:right="14"/>
        <w:rPr>
          <w:noProof/>
          <w:szCs w:val="22"/>
        </w:rPr>
      </w:pPr>
    </w:p>
    <w:p w14:paraId="0E736651" w14:textId="77777777" w:rsidR="00EE5207" w:rsidRPr="0063119B" w:rsidRDefault="00EE5207">
      <w:pPr>
        <w:suppressAutoHyphens/>
        <w:ind w:right="14"/>
        <w:rPr>
          <w:noProof/>
          <w:szCs w:val="22"/>
        </w:rPr>
      </w:pPr>
    </w:p>
    <w:p w14:paraId="7C28FB3A" w14:textId="77777777" w:rsidR="00EE5207" w:rsidRPr="0063119B" w:rsidRDefault="00EE5207">
      <w:pPr>
        <w:suppressAutoHyphens/>
        <w:ind w:right="14"/>
        <w:rPr>
          <w:noProof/>
          <w:szCs w:val="22"/>
        </w:rPr>
      </w:pPr>
    </w:p>
    <w:p w14:paraId="4B3ADD0D" w14:textId="77777777" w:rsidR="00EE5207" w:rsidRPr="0063119B" w:rsidRDefault="00EE5207">
      <w:pPr>
        <w:suppressAutoHyphens/>
        <w:ind w:right="14"/>
        <w:rPr>
          <w:noProof/>
          <w:szCs w:val="22"/>
        </w:rPr>
      </w:pPr>
    </w:p>
    <w:p w14:paraId="2C3F14AA" w14:textId="77777777" w:rsidR="00EE5207" w:rsidRPr="0063119B" w:rsidRDefault="00EE5207">
      <w:pPr>
        <w:suppressAutoHyphens/>
        <w:ind w:right="14"/>
        <w:rPr>
          <w:noProof/>
          <w:szCs w:val="22"/>
        </w:rPr>
      </w:pPr>
    </w:p>
    <w:p w14:paraId="0B08888A" w14:textId="77777777" w:rsidR="00EE5207" w:rsidRPr="0063119B" w:rsidRDefault="00EE5207">
      <w:pPr>
        <w:suppressAutoHyphens/>
        <w:ind w:right="14"/>
        <w:rPr>
          <w:noProof/>
          <w:szCs w:val="22"/>
        </w:rPr>
      </w:pPr>
    </w:p>
    <w:p w14:paraId="616AD43F" w14:textId="77777777" w:rsidR="00EE5207" w:rsidRPr="0063119B" w:rsidRDefault="00EE5207">
      <w:pPr>
        <w:suppressAutoHyphens/>
        <w:ind w:right="14"/>
        <w:rPr>
          <w:noProof/>
          <w:szCs w:val="22"/>
        </w:rPr>
      </w:pPr>
    </w:p>
    <w:p w14:paraId="5A5D64FA" w14:textId="77777777" w:rsidR="00EE5207" w:rsidRPr="0063119B" w:rsidRDefault="00EE5207" w:rsidP="005500AB">
      <w:pPr>
        <w:suppressAutoHyphens/>
        <w:ind w:right="11"/>
        <w:jc w:val="center"/>
        <w:outlineLvl w:val="0"/>
        <w:rPr>
          <w:b/>
          <w:noProof/>
          <w:szCs w:val="22"/>
        </w:rPr>
      </w:pPr>
      <w:r w:rsidRPr="0063119B">
        <w:rPr>
          <w:b/>
          <w:noProof/>
          <w:szCs w:val="22"/>
        </w:rPr>
        <w:t>ANEXO I</w:t>
      </w:r>
    </w:p>
    <w:p w14:paraId="4BF7C0D5" w14:textId="77777777" w:rsidR="00EE5207" w:rsidRPr="0063119B" w:rsidRDefault="00EE5207" w:rsidP="00951279">
      <w:pPr>
        <w:suppressAutoHyphens/>
        <w:ind w:right="11"/>
        <w:jc w:val="center"/>
        <w:rPr>
          <w:b/>
          <w:noProof/>
          <w:szCs w:val="22"/>
        </w:rPr>
      </w:pPr>
    </w:p>
    <w:p w14:paraId="7AAD8870" w14:textId="77777777" w:rsidR="00EE5207" w:rsidRPr="0063119B" w:rsidRDefault="00EE5207" w:rsidP="005500AB">
      <w:pPr>
        <w:pStyle w:val="TitleA"/>
        <w:ind w:right="11"/>
        <w:outlineLvl w:val="1"/>
      </w:pPr>
      <w:r w:rsidRPr="0063119B">
        <w:t>RESUMO DAS CARACTERÍSTICAS DO MEDICAMENTO</w:t>
      </w:r>
    </w:p>
    <w:p w14:paraId="6E582174" w14:textId="77777777" w:rsidR="001B7699" w:rsidRPr="0063119B" w:rsidRDefault="00EE5207" w:rsidP="00453DA7">
      <w:pPr>
        <w:suppressAutoHyphens/>
        <w:rPr>
          <w:noProof/>
          <w:szCs w:val="22"/>
        </w:rPr>
      </w:pPr>
      <w:r w:rsidRPr="0063119B">
        <w:rPr>
          <w:noProof/>
          <w:szCs w:val="22"/>
        </w:rPr>
        <w:br w:type="page"/>
      </w:r>
      <w:r w:rsidR="001B7699" w:rsidRPr="0063119B">
        <w:rPr>
          <w:b/>
          <w:noProof/>
          <w:szCs w:val="22"/>
        </w:rPr>
        <w:lastRenderedPageBreak/>
        <w:t>1.</w:t>
      </w:r>
      <w:r w:rsidR="001B7699" w:rsidRPr="0063119B">
        <w:rPr>
          <w:b/>
          <w:noProof/>
          <w:szCs w:val="22"/>
        </w:rPr>
        <w:tab/>
        <w:t>NOME DO MEDICAMENTO</w:t>
      </w:r>
    </w:p>
    <w:p w14:paraId="46084737" w14:textId="77777777" w:rsidR="001B7699" w:rsidRPr="0063119B" w:rsidRDefault="001B7699" w:rsidP="001B7699">
      <w:pPr>
        <w:suppressAutoHyphens/>
        <w:rPr>
          <w:noProof/>
          <w:szCs w:val="22"/>
        </w:rPr>
      </w:pPr>
    </w:p>
    <w:p w14:paraId="46A0EE5C" w14:textId="77777777" w:rsidR="001B7699" w:rsidRPr="0063119B" w:rsidRDefault="00CC5420" w:rsidP="005500AB">
      <w:pPr>
        <w:outlineLvl w:val="2"/>
        <w:rPr>
          <w:noProof/>
          <w:szCs w:val="22"/>
        </w:rPr>
      </w:pPr>
      <w:r w:rsidRPr="0063119B">
        <w:rPr>
          <w:noProof/>
          <w:szCs w:val="22"/>
        </w:rPr>
        <w:t>Rivaroxaban</w:t>
      </w:r>
      <w:r w:rsidR="00B44898">
        <w:rPr>
          <w:noProof/>
          <w:szCs w:val="22"/>
        </w:rPr>
        <w:t>o</w:t>
      </w:r>
      <w:r w:rsidRPr="0063119B">
        <w:rPr>
          <w:noProof/>
          <w:szCs w:val="22"/>
        </w:rPr>
        <w:t xml:space="preserve"> Accord</w:t>
      </w:r>
      <w:r w:rsidR="001B7699" w:rsidRPr="0063119B">
        <w:rPr>
          <w:noProof/>
          <w:szCs w:val="22"/>
        </w:rPr>
        <w:t xml:space="preserve"> 2,5 mg comprimidos revestidos por película</w:t>
      </w:r>
      <w:r w:rsidR="00D96C1D" w:rsidRPr="0063119B">
        <w:rPr>
          <w:noProof/>
          <w:szCs w:val="22"/>
        </w:rPr>
        <w:t xml:space="preserve"> </w:t>
      </w:r>
    </w:p>
    <w:p w14:paraId="26E5100C" w14:textId="77777777" w:rsidR="001B7699" w:rsidRPr="0063119B" w:rsidRDefault="001B7699" w:rsidP="001B7699">
      <w:pPr>
        <w:suppressAutoHyphens/>
        <w:rPr>
          <w:noProof/>
          <w:szCs w:val="22"/>
        </w:rPr>
      </w:pPr>
    </w:p>
    <w:p w14:paraId="3CA560EB" w14:textId="77777777" w:rsidR="001B7699" w:rsidRPr="0063119B" w:rsidRDefault="001B7699" w:rsidP="001B7699">
      <w:pPr>
        <w:suppressAutoHyphens/>
        <w:rPr>
          <w:noProof/>
          <w:szCs w:val="22"/>
        </w:rPr>
      </w:pPr>
    </w:p>
    <w:p w14:paraId="2F83F8EE" w14:textId="77777777" w:rsidR="001B7699" w:rsidRPr="0063119B" w:rsidRDefault="001B7699" w:rsidP="001B7699">
      <w:pPr>
        <w:suppressAutoHyphens/>
        <w:ind w:left="567" w:hanging="567"/>
        <w:rPr>
          <w:noProof/>
          <w:szCs w:val="22"/>
        </w:rPr>
      </w:pPr>
      <w:r w:rsidRPr="0063119B">
        <w:rPr>
          <w:b/>
          <w:noProof/>
          <w:szCs w:val="22"/>
        </w:rPr>
        <w:t>2.</w:t>
      </w:r>
      <w:r w:rsidRPr="0063119B">
        <w:rPr>
          <w:b/>
          <w:noProof/>
          <w:szCs w:val="22"/>
        </w:rPr>
        <w:tab/>
        <w:t>COMPOSIÇÃO QUALITATIVA E QUANTITATIVA</w:t>
      </w:r>
    </w:p>
    <w:p w14:paraId="74F188F7" w14:textId="77777777" w:rsidR="001B7699" w:rsidRPr="0063119B" w:rsidRDefault="001B7699" w:rsidP="001B7699">
      <w:pPr>
        <w:suppressAutoHyphens/>
        <w:rPr>
          <w:noProof/>
          <w:szCs w:val="22"/>
        </w:rPr>
      </w:pPr>
    </w:p>
    <w:p w14:paraId="71206902" w14:textId="77777777" w:rsidR="001B7699" w:rsidRPr="0063119B" w:rsidRDefault="001B7699" w:rsidP="001B7699">
      <w:pPr>
        <w:suppressAutoHyphens/>
        <w:rPr>
          <w:noProof/>
          <w:szCs w:val="22"/>
        </w:rPr>
      </w:pPr>
      <w:r w:rsidRPr="0063119B">
        <w:rPr>
          <w:noProof/>
          <w:szCs w:val="22"/>
        </w:rPr>
        <w:t>Cada comprimido revestido por película contém 2,5 mg de rivaroxabano.</w:t>
      </w:r>
    </w:p>
    <w:p w14:paraId="0369668B" w14:textId="77777777" w:rsidR="001B7699" w:rsidRPr="0063119B" w:rsidRDefault="001B7699" w:rsidP="001B7699">
      <w:pPr>
        <w:suppressAutoHyphens/>
        <w:rPr>
          <w:noProof/>
          <w:szCs w:val="22"/>
        </w:rPr>
      </w:pPr>
    </w:p>
    <w:p w14:paraId="7D8F9CDD" w14:textId="77777777" w:rsidR="001B7699" w:rsidRPr="0063119B" w:rsidRDefault="001B7699" w:rsidP="001B7699">
      <w:pPr>
        <w:suppressAutoHyphens/>
        <w:rPr>
          <w:noProof/>
          <w:szCs w:val="22"/>
          <w:u w:val="single"/>
        </w:rPr>
      </w:pPr>
      <w:r w:rsidRPr="0063119B">
        <w:rPr>
          <w:noProof/>
          <w:szCs w:val="22"/>
          <w:u w:val="single"/>
        </w:rPr>
        <w:t>Excipiente com efeito conhecido</w:t>
      </w:r>
    </w:p>
    <w:p w14:paraId="0981B73C" w14:textId="77777777" w:rsidR="001B7699" w:rsidRPr="0063119B" w:rsidRDefault="001B7699" w:rsidP="001B7699">
      <w:pPr>
        <w:rPr>
          <w:szCs w:val="22"/>
        </w:rPr>
      </w:pPr>
      <w:r w:rsidRPr="0063119B">
        <w:rPr>
          <w:szCs w:val="22"/>
        </w:rPr>
        <w:t xml:space="preserve">Cada comprimido revestido por película contém </w:t>
      </w:r>
      <w:r w:rsidR="00CC5420" w:rsidRPr="0063119B">
        <w:rPr>
          <w:szCs w:val="22"/>
        </w:rPr>
        <w:t>27,90</w:t>
      </w:r>
      <w:r w:rsidRPr="0063119B">
        <w:rPr>
          <w:szCs w:val="22"/>
        </w:rPr>
        <w:t> mg de lactose (na forma de mono-hidrato), ver secção 4.4.</w:t>
      </w:r>
    </w:p>
    <w:p w14:paraId="505F3078" w14:textId="77777777" w:rsidR="00E2355A" w:rsidRPr="0063119B" w:rsidRDefault="00E2355A" w:rsidP="001B7699">
      <w:pPr>
        <w:suppressAutoHyphens/>
        <w:rPr>
          <w:noProof/>
          <w:szCs w:val="22"/>
        </w:rPr>
      </w:pPr>
    </w:p>
    <w:p w14:paraId="6ED343DB" w14:textId="77777777" w:rsidR="001B7699" w:rsidRPr="0063119B" w:rsidRDefault="001B7699" w:rsidP="001B7699">
      <w:pPr>
        <w:suppressAutoHyphens/>
        <w:rPr>
          <w:noProof/>
          <w:szCs w:val="22"/>
        </w:rPr>
      </w:pPr>
      <w:r w:rsidRPr="0063119B">
        <w:rPr>
          <w:noProof/>
          <w:szCs w:val="22"/>
        </w:rPr>
        <w:t>Lista completa de excipientes, ver secção 6.1.</w:t>
      </w:r>
    </w:p>
    <w:p w14:paraId="39DF27B6" w14:textId="77777777" w:rsidR="001B7699" w:rsidRPr="0063119B" w:rsidRDefault="001B7699" w:rsidP="001B7699">
      <w:pPr>
        <w:suppressAutoHyphens/>
        <w:rPr>
          <w:noProof/>
          <w:szCs w:val="22"/>
        </w:rPr>
      </w:pPr>
    </w:p>
    <w:p w14:paraId="41035466" w14:textId="77777777" w:rsidR="001B7699" w:rsidRPr="0063119B" w:rsidRDefault="001B7699" w:rsidP="001B7699">
      <w:pPr>
        <w:suppressAutoHyphens/>
        <w:rPr>
          <w:noProof/>
          <w:szCs w:val="22"/>
        </w:rPr>
      </w:pPr>
    </w:p>
    <w:p w14:paraId="37C99A62" w14:textId="77777777" w:rsidR="001B7699" w:rsidRPr="0063119B" w:rsidRDefault="001B7699" w:rsidP="001B7699">
      <w:pPr>
        <w:suppressAutoHyphens/>
        <w:ind w:left="567" w:hanging="567"/>
        <w:rPr>
          <w:noProof/>
          <w:szCs w:val="22"/>
        </w:rPr>
      </w:pPr>
      <w:r w:rsidRPr="0063119B">
        <w:rPr>
          <w:b/>
          <w:noProof/>
          <w:szCs w:val="22"/>
        </w:rPr>
        <w:t>3.</w:t>
      </w:r>
      <w:r w:rsidRPr="0063119B">
        <w:rPr>
          <w:b/>
          <w:noProof/>
          <w:szCs w:val="22"/>
        </w:rPr>
        <w:tab/>
        <w:t>FORMA FARMACÊUTICA</w:t>
      </w:r>
    </w:p>
    <w:p w14:paraId="4C346676" w14:textId="77777777" w:rsidR="001B7699" w:rsidRPr="0063119B" w:rsidRDefault="001B7699" w:rsidP="001B7699">
      <w:pPr>
        <w:suppressAutoHyphens/>
        <w:rPr>
          <w:noProof/>
          <w:szCs w:val="22"/>
        </w:rPr>
      </w:pPr>
    </w:p>
    <w:p w14:paraId="114B93F0" w14:textId="77777777" w:rsidR="001B7699" w:rsidRPr="0063119B" w:rsidRDefault="001B7699" w:rsidP="001B7699">
      <w:pPr>
        <w:suppressAutoHyphens/>
        <w:rPr>
          <w:noProof/>
          <w:szCs w:val="22"/>
        </w:rPr>
      </w:pPr>
      <w:r w:rsidRPr="0063119B">
        <w:rPr>
          <w:noProof/>
          <w:szCs w:val="22"/>
        </w:rPr>
        <w:t>Comprimido revestido por película (comprimido)</w:t>
      </w:r>
    </w:p>
    <w:p w14:paraId="1B771437" w14:textId="77777777" w:rsidR="001B1A92" w:rsidRPr="0063119B" w:rsidRDefault="001B1A92" w:rsidP="001B7699">
      <w:pPr>
        <w:suppressAutoHyphens/>
        <w:rPr>
          <w:noProof/>
          <w:szCs w:val="22"/>
        </w:rPr>
      </w:pPr>
    </w:p>
    <w:p w14:paraId="424F3408" w14:textId="77777777" w:rsidR="001B7699" w:rsidRPr="0063119B" w:rsidRDefault="001B7699" w:rsidP="001B7699">
      <w:pPr>
        <w:suppressAutoHyphens/>
        <w:rPr>
          <w:noProof/>
          <w:szCs w:val="22"/>
        </w:rPr>
      </w:pPr>
      <w:r w:rsidRPr="0063119B">
        <w:rPr>
          <w:noProof/>
          <w:szCs w:val="22"/>
        </w:rPr>
        <w:t>Comprimidos</w:t>
      </w:r>
      <w:r w:rsidR="00CC5420" w:rsidRPr="0063119B">
        <w:rPr>
          <w:noProof/>
          <w:szCs w:val="22"/>
        </w:rPr>
        <w:t xml:space="preserve"> revestidos por película,</w:t>
      </w:r>
      <w:r w:rsidRPr="0063119B">
        <w:rPr>
          <w:noProof/>
          <w:szCs w:val="22"/>
        </w:rPr>
        <w:t xml:space="preserve"> biconvexos, redondos</w:t>
      </w:r>
      <w:r w:rsidR="00CC5420" w:rsidRPr="0063119B">
        <w:rPr>
          <w:noProof/>
          <w:szCs w:val="22"/>
        </w:rPr>
        <w:t xml:space="preserve">,com aproximadamente </w:t>
      </w:r>
      <w:r w:rsidRPr="0063119B">
        <w:rPr>
          <w:noProof/>
          <w:szCs w:val="22"/>
        </w:rPr>
        <w:t>6</w:t>
      </w:r>
      <w:r w:rsidR="00C050E0" w:rsidRPr="0063119B">
        <w:rPr>
          <w:noProof/>
          <w:szCs w:val="22"/>
        </w:rPr>
        <w:t>,00</w:t>
      </w:r>
      <w:r w:rsidRPr="0063119B">
        <w:rPr>
          <w:noProof/>
          <w:szCs w:val="22"/>
        </w:rPr>
        <w:t xml:space="preserve"> mm de diâmetro, de cor amarelo claro, </w:t>
      </w:r>
      <w:r w:rsidR="00C050E0" w:rsidRPr="0063119B">
        <w:rPr>
          <w:noProof/>
          <w:szCs w:val="22"/>
        </w:rPr>
        <w:t>com a gravação “IL4”</w:t>
      </w:r>
      <w:r w:rsidRPr="0063119B">
        <w:rPr>
          <w:noProof/>
          <w:szCs w:val="22"/>
        </w:rPr>
        <w:t xml:space="preserve"> numa das faces e </w:t>
      </w:r>
      <w:r w:rsidR="00CC5420" w:rsidRPr="0063119B">
        <w:rPr>
          <w:noProof/>
          <w:szCs w:val="22"/>
        </w:rPr>
        <w:t>lisos</w:t>
      </w:r>
      <w:r w:rsidRPr="0063119B">
        <w:rPr>
          <w:noProof/>
          <w:szCs w:val="22"/>
        </w:rPr>
        <w:t xml:space="preserve"> na outra face.</w:t>
      </w:r>
    </w:p>
    <w:p w14:paraId="738BFDA1" w14:textId="77777777" w:rsidR="001B7699" w:rsidRPr="0063119B" w:rsidRDefault="001B7699" w:rsidP="001B7699">
      <w:pPr>
        <w:suppressAutoHyphens/>
        <w:rPr>
          <w:noProof/>
          <w:szCs w:val="22"/>
        </w:rPr>
      </w:pPr>
    </w:p>
    <w:p w14:paraId="5C8E0AD0" w14:textId="77777777" w:rsidR="001B7699" w:rsidRPr="0063119B" w:rsidRDefault="001B7699" w:rsidP="001B7699">
      <w:pPr>
        <w:suppressAutoHyphens/>
        <w:rPr>
          <w:noProof/>
          <w:szCs w:val="22"/>
        </w:rPr>
      </w:pPr>
    </w:p>
    <w:p w14:paraId="5041BB2F" w14:textId="77777777" w:rsidR="001B7699" w:rsidRPr="0063119B" w:rsidRDefault="001B7699" w:rsidP="001B7699">
      <w:pPr>
        <w:suppressAutoHyphens/>
        <w:ind w:left="567" w:hanging="567"/>
        <w:rPr>
          <w:noProof/>
          <w:szCs w:val="22"/>
        </w:rPr>
      </w:pPr>
      <w:r w:rsidRPr="0063119B">
        <w:rPr>
          <w:b/>
          <w:noProof/>
          <w:szCs w:val="22"/>
        </w:rPr>
        <w:t>4.</w:t>
      </w:r>
      <w:r w:rsidRPr="0063119B">
        <w:rPr>
          <w:b/>
          <w:noProof/>
          <w:szCs w:val="22"/>
        </w:rPr>
        <w:tab/>
        <w:t>INFORMAÇÕES CLÍNICAS</w:t>
      </w:r>
    </w:p>
    <w:p w14:paraId="04B6C9F4" w14:textId="77777777" w:rsidR="001B7699" w:rsidRPr="0063119B" w:rsidRDefault="001B7699" w:rsidP="001B7699">
      <w:pPr>
        <w:suppressAutoHyphens/>
        <w:rPr>
          <w:noProof/>
          <w:szCs w:val="22"/>
        </w:rPr>
      </w:pPr>
    </w:p>
    <w:p w14:paraId="736E3AE1" w14:textId="77777777" w:rsidR="001B7699" w:rsidRPr="0063119B" w:rsidRDefault="001B7699" w:rsidP="001B7699">
      <w:pPr>
        <w:suppressAutoHyphens/>
        <w:ind w:left="567" w:hanging="567"/>
        <w:rPr>
          <w:noProof/>
          <w:szCs w:val="22"/>
        </w:rPr>
      </w:pPr>
      <w:r w:rsidRPr="0063119B">
        <w:rPr>
          <w:b/>
          <w:noProof/>
          <w:szCs w:val="22"/>
        </w:rPr>
        <w:t>4.1</w:t>
      </w:r>
      <w:r w:rsidRPr="0063119B">
        <w:rPr>
          <w:b/>
          <w:noProof/>
          <w:szCs w:val="22"/>
        </w:rPr>
        <w:tab/>
        <w:t>Indicações terapêuticas</w:t>
      </w:r>
    </w:p>
    <w:p w14:paraId="66D5AE24" w14:textId="77777777" w:rsidR="001B7699" w:rsidRPr="0063119B" w:rsidRDefault="001B7699" w:rsidP="001B7699">
      <w:pPr>
        <w:suppressAutoHyphens/>
        <w:rPr>
          <w:noProof/>
          <w:szCs w:val="22"/>
        </w:rPr>
      </w:pPr>
    </w:p>
    <w:p w14:paraId="2E868434" w14:textId="5141E788" w:rsidR="001B7699" w:rsidRPr="0063119B" w:rsidRDefault="00607DE4" w:rsidP="001B7699">
      <w:pPr>
        <w:suppressAutoHyphens/>
        <w:rPr>
          <w:noProof/>
          <w:szCs w:val="22"/>
        </w:rPr>
      </w:pPr>
      <w:r>
        <w:rPr>
          <w:noProof/>
          <w:szCs w:val="22"/>
        </w:rPr>
        <w:t>Rivaroxabano</w:t>
      </w:r>
      <w:r w:rsidR="00CC5420" w:rsidRPr="0063119B">
        <w:rPr>
          <w:noProof/>
          <w:szCs w:val="22"/>
        </w:rPr>
        <w:t xml:space="preserve"> Accord</w:t>
      </w:r>
      <w:r w:rsidR="001B7699" w:rsidRPr="0063119B">
        <w:rPr>
          <w:noProof/>
          <w:szCs w:val="22"/>
        </w:rPr>
        <w:t xml:space="preserve">, coadministrado com ácido acetilsalicílico (AAS) isoladamente ou com AAS mais </w:t>
      </w:r>
      <w:r w:rsidR="000536F1">
        <w:rPr>
          <w:noProof/>
          <w:szCs w:val="22"/>
        </w:rPr>
        <w:t xml:space="preserve">clopidogrel, </w:t>
      </w:r>
      <w:r w:rsidR="001B7699" w:rsidRPr="0063119B">
        <w:rPr>
          <w:noProof/>
          <w:szCs w:val="22"/>
        </w:rPr>
        <w:t>ticlopidina, é indicado para a prevenção de acontecimentos aterotrombóticos em doentes adultos após uma síndrome coronária aguda (SCA) com biomarcadores cardíacos elevados (ver secções 4.3, 4.4 e 5.1).</w:t>
      </w:r>
    </w:p>
    <w:p w14:paraId="798A92A8" w14:textId="77777777" w:rsidR="001B7699" w:rsidRPr="0063119B" w:rsidRDefault="001B7699" w:rsidP="001B7699">
      <w:pPr>
        <w:suppressAutoHyphens/>
        <w:rPr>
          <w:noProof/>
          <w:szCs w:val="22"/>
        </w:rPr>
      </w:pPr>
    </w:p>
    <w:p w14:paraId="54293A14" w14:textId="77777777" w:rsidR="00CB4FEA" w:rsidRPr="0063119B" w:rsidRDefault="00607DE4" w:rsidP="00CB4FEA">
      <w:pPr>
        <w:rPr>
          <w:szCs w:val="22"/>
        </w:rPr>
      </w:pPr>
      <w:r>
        <w:rPr>
          <w:szCs w:val="22"/>
        </w:rPr>
        <w:t>Rivaroxabano</w:t>
      </w:r>
      <w:r w:rsidR="00CC5420" w:rsidRPr="0063119B">
        <w:rPr>
          <w:szCs w:val="22"/>
        </w:rPr>
        <w:t xml:space="preserve"> Accord</w:t>
      </w:r>
      <w:r w:rsidR="00CB4FEA" w:rsidRPr="0063119B">
        <w:rPr>
          <w:szCs w:val="22"/>
        </w:rPr>
        <w:t xml:space="preserve">, coadministrado com ácido acetilsalicílico (AAS), é indicado para a prevenção de acontecimentos aterotrombóticos em doentes adultos com doença </w:t>
      </w:r>
      <w:r w:rsidR="00331D76" w:rsidRPr="0063119B">
        <w:rPr>
          <w:szCs w:val="22"/>
        </w:rPr>
        <w:t>arterial coronária (DAC)</w:t>
      </w:r>
      <w:r w:rsidR="00CB4FEA" w:rsidRPr="0063119B">
        <w:rPr>
          <w:szCs w:val="22"/>
        </w:rPr>
        <w:t xml:space="preserve"> ou doença arterial periférica (DAP) sintomática</w:t>
      </w:r>
      <w:r w:rsidR="00C21F60" w:rsidRPr="0063119B">
        <w:rPr>
          <w:szCs w:val="22"/>
        </w:rPr>
        <w:t xml:space="preserve"> com </w:t>
      </w:r>
      <w:r w:rsidR="00BA146C" w:rsidRPr="0063119B">
        <w:rPr>
          <w:szCs w:val="22"/>
        </w:rPr>
        <w:t>alto</w:t>
      </w:r>
      <w:r w:rsidR="00331D76" w:rsidRPr="0063119B">
        <w:rPr>
          <w:szCs w:val="22"/>
        </w:rPr>
        <w:t xml:space="preserve"> risco de acontecimentos isquémicos</w:t>
      </w:r>
      <w:r w:rsidR="00CB4FEA" w:rsidRPr="0063119B">
        <w:rPr>
          <w:szCs w:val="22"/>
        </w:rPr>
        <w:t xml:space="preserve">. </w:t>
      </w:r>
    </w:p>
    <w:p w14:paraId="4CA605A1" w14:textId="77777777" w:rsidR="00CB4FEA" w:rsidRPr="0063119B" w:rsidRDefault="00CB4FEA" w:rsidP="00CB4FEA">
      <w:pPr>
        <w:rPr>
          <w:szCs w:val="22"/>
        </w:rPr>
      </w:pPr>
    </w:p>
    <w:p w14:paraId="1832CEB4" w14:textId="77777777" w:rsidR="001B7699" w:rsidRPr="0063119B" w:rsidRDefault="001B7699" w:rsidP="001B7699">
      <w:pPr>
        <w:suppressAutoHyphens/>
        <w:ind w:left="567" w:hanging="567"/>
        <w:rPr>
          <w:noProof/>
          <w:szCs w:val="22"/>
        </w:rPr>
      </w:pPr>
      <w:r w:rsidRPr="0063119B">
        <w:rPr>
          <w:b/>
          <w:noProof/>
          <w:szCs w:val="22"/>
        </w:rPr>
        <w:t>4.2</w:t>
      </w:r>
      <w:r w:rsidRPr="0063119B">
        <w:rPr>
          <w:b/>
          <w:noProof/>
          <w:szCs w:val="22"/>
        </w:rPr>
        <w:tab/>
        <w:t>Posologia e modo de administração</w:t>
      </w:r>
    </w:p>
    <w:p w14:paraId="7030815D" w14:textId="77777777" w:rsidR="001B7699" w:rsidRPr="0063119B" w:rsidRDefault="001B7699" w:rsidP="001B7699">
      <w:pPr>
        <w:suppressAutoHyphens/>
        <w:rPr>
          <w:noProof/>
          <w:szCs w:val="22"/>
        </w:rPr>
      </w:pPr>
    </w:p>
    <w:p w14:paraId="0FDFD2E9" w14:textId="77777777" w:rsidR="001B7699" w:rsidRPr="0063119B" w:rsidRDefault="001B7699" w:rsidP="001B7699">
      <w:pPr>
        <w:suppressAutoHyphens/>
        <w:rPr>
          <w:noProof/>
          <w:szCs w:val="22"/>
          <w:u w:val="single"/>
        </w:rPr>
      </w:pPr>
      <w:r w:rsidRPr="0063119B">
        <w:rPr>
          <w:noProof/>
          <w:szCs w:val="22"/>
          <w:u w:val="single"/>
        </w:rPr>
        <w:t>Posologia</w:t>
      </w:r>
    </w:p>
    <w:p w14:paraId="18AAED85" w14:textId="77777777" w:rsidR="001B7699" w:rsidRPr="0063119B" w:rsidRDefault="001B7699" w:rsidP="001B7699">
      <w:pPr>
        <w:rPr>
          <w:szCs w:val="22"/>
        </w:rPr>
      </w:pPr>
      <w:r w:rsidRPr="0063119B">
        <w:rPr>
          <w:szCs w:val="22"/>
        </w:rPr>
        <w:t>A dose recomendada é de 2,5 mg duas vezes ao dia.</w:t>
      </w:r>
    </w:p>
    <w:p w14:paraId="7066B59F" w14:textId="77777777" w:rsidR="001B7699" w:rsidRPr="0063119B" w:rsidRDefault="001B7699" w:rsidP="001B7699">
      <w:pPr>
        <w:rPr>
          <w:szCs w:val="22"/>
        </w:rPr>
      </w:pPr>
    </w:p>
    <w:p w14:paraId="2F527858" w14:textId="77777777" w:rsidR="0023360A" w:rsidRPr="0063119B" w:rsidRDefault="0023360A" w:rsidP="0023360A">
      <w:pPr>
        <w:pStyle w:val="ListParagraph"/>
        <w:numPr>
          <w:ilvl w:val="0"/>
          <w:numId w:val="46"/>
        </w:numPr>
        <w:ind w:left="567" w:hanging="567"/>
        <w:rPr>
          <w:i/>
          <w:szCs w:val="22"/>
          <w:u w:val="single"/>
        </w:rPr>
      </w:pPr>
      <w:r w:rsidRPr="0063119B">
        <w:rPr>
          <w:i/>
          <w:iCs/>
          <w:szCs w:val="22"/>
          <w:u w:val="single"/>
        </w:rPr>
        <w:t>SCA</w:t>
      </w:r>
    </w:p>
    <w:p w14:paraId="09DF8AE2" w14:textId="10283F2C" w:rsidR="001B7699" w:rsidRPr="0063119B" w:rsidRDefault="001B7699" w:rsidP="001B7699">
      <w:pPr>
        <w:rPr>
          <w:szCs w:val="22"/>
        </w:rPr>
      </w:pPr>
      <w:r w:rsidRPr="0063119B">
        <w:rPr>
          <w:szCs w:val="22"/>
        </w:rPr>
        <w:t>Os doentes</w:t>
      </w:r>
      <w:r w:rsidR="0023360A" w:rsidRPr="0063119B">
        <w:rPr>
          <w:szCs w:val="22"/>
        </w:rPr>
        <w:t xml:space="preserve"> a tomar </w:t>
      </w:r>
      <w:r w:rsidR="00607DE4">
        <w:rPr>
          <w:szCs w:val="22"/>
        </w:rPr>
        <w:t>Rivaroxabano</w:t>
      </w:r>
      <w:r w:rsidR="00CC5420" w:rsidRPr="0063119B">
        <w:rPr>
          <w:szCs w:val="22"/>
        </w:rPr>
        <w:t xml:space="preserve"> Accord</w:t>
      </w:r>
      <w:r w:rsidR="00720BE4" w:rsidRPr="0063119B">
        <w:rPr>
          <w:szCs w:val="22"/>
        </w:rPr>
        <w:t xml:space="preserve"> </w:t>
      </w:r>
      <w:r w:rsidR="00A47A14" w:rsidRPr="0063119B">
        <w:rPr>
          <w:szCs w:val="22"/>
        </w:rPr>
        <w:t>2,5 mg duas </w:t>
      </w:r>
      <w:r w:rsidR="0023360A" w:rsidRPr="0063119B">
        <w:rPr>
          <w:szCs w:val="22"/>
        </w:rPr>
        <w:t>vezes por dia</w:t>
      </w:r>
      <w:r w:rsidRPr="0063119B">
        <w:rPr>
          <w:szCs w:val="22"/>
        </w:rPr>
        <w:t xml:space="preserve"> também devem tomar uma dose diária de 75</w:t>
      </w:r>
      <w:r w:rsidRPr="0063119B">
        <w:rPr>
          <w:noProof/>
          <w:szCs w:val="22"/>
        </w:rPr>
        <w:t> </w:t>
      </w:r>
      <w:r w:rsidRPr="0063119B">
        <w:rPr>
          <w:noProof/>
          <w:szCs w:val="22"/>
        </w:rPr>
        <w:noBreakHyphen/>
        <w:t> </w:t>
      </w:r>
      <w:r w:rsidRPr="0063119B">
        <w:rPr>
          <w:szCs w:val="22"/>
        </w:rPr>
        <w:t>100 mg de AAS ou uma dose diária de 75</w:t>
      </w:r>
      <w:r w:rsidRPr="0063119B">
        <w:rPr>
          <w:noProof/>
          <w:szCs w:val="22"/>
        </w:rPr>
        <w:t> </w:t>
      </w:r>
      <w:r w:rsidRPr="0063119B">
        <w:rPr>
          <w:noProof/>
          <w:szCs w:val="22"/>
        </w:rPr>
        <w:noBreakHyphen/>
        <w:t> </w:t>
      </w:r>
      <w:r w:rsidRPr="0063119B">
        <w:rPr>
          <w:szCs w:val="22"/>
        </w:rPr>
        <w:t xml:space="preserve">100 mg de AAS em adição a uma dose diária </w:t>
      </w:r>
      <w:r w:rsidR="000536F1">
        <w:rPr>
          <w:szCs w:val="22"/>
        </w:rPr>
        <w:t xml:space="preserve">de 75 mg de clopidogrel ou uma dose diária </w:t>
      </w:r>
      <w:r w:rsidRPr="0063119B">
        <w:rPr>
          <w:szCs w:val="22"/>
        </w:rPr>
        <w:t>padrão de ticlopidina.</w:t>
      </w:r>
    </w:p>
    <w:p w14:paraId="5FDFBB71" w14:textId="77777777" w:rsidR="001B7699" w:rsidRPr="0063119B" w:rsidRDefault="001B7699" w:rsidP="001B7699">
      <w:pPr>
        <w:rPr>
          <w:szCs w:val="22"/>
        </w:rPr>
      </w:pPr>
    </w:p>
    <w:p w14:paraId="2526D8DC" w14:textId="77777777" w:rsidR="001B7699" w:rsidRPr="0063119B" w:rsidRDefault="001B7699" w:rsidP="001B7699">
      <w:pPr>
        <w:rPr>
          <w:szCs w:val="22"/>
        </w:rPr>
      </w:pPr>
      <w:r w:rsidRPr="0063119B">
        <w:rPr>
          <w:szCs w:val="22"/>
        </w:rPr>
        <w:t>O tratamento deve ser regularmente avaliado em cada doente, pesando o risco para acontecimentos isquémicos face aos riscos de hemorragia. A extensão do tratamento para além dos 12 meses deve ser feita individualmente em cada doente, uma vez que a experiência até aos 24 meses é limitada (ver secção 5.1).</w:t>
      </w:r>
    </w:p>
    <w:p w14:paraId="5E5A3E98" w14:textId="77777777" w:rsidR="001B7699" w:rsidRPr="0063119B" w:rsidRDefault="001B7699" w:rsidP="001B7699">
      <w:pPr>
        <w:rPr>
          <w:szCs w:val="22"/>
        </w:rPr>
      </w:pPr>
    </w:p>
    <w:p w14:paraId="472042C8" w14:textId="77777777" w:rsidR="001B7699" w:rsidRPr="0063119B" w:rsidRDefault="001B7699" w:rsidP="001B7699">
      <w:pPr>
        <w:rPr>
          <w:szCs w:val="22"/>
        </w:rPr>
      </w:pPr>
      <w:r w:rsidRPr="0063119B">
        <w:rPr>
          <w:szCs w:val="22"/>
        </w:rPr>
        <w:t xml:space="preserve">O tratamento com </w:t>
      </w:r>
      <w:r w:rsidR="00CC5420" w:rsidRPr="0063119B">
        <w:rPr>
          <w:szCs w:val="22"/>
        </w:rPr>
        <w:t xml:space="preserve">rivaroxabano </w:t>
      </w:r>
      <w:r w:rsidRPr="0063119B">
        <w:rPr>
          <w:szCs w:val="22"/>
        </w:rPr>
        <w:t>deve ser iniciado logo que possível após a estabilização do acontecimento da SCA (incluindo procedimentos de revascularização); nas primeiras 24 horas após a admissão hospitalar e no momento em que a terapêutica anticoagulante parentérica será normalmente interrompida.</w:t>
      </w:r>
    </w:p>
    <w:p w14:paraId="3BAECC45" w14:textId="77777777" w:rsidR="0023360A" w:rsidRPr="0063119B" w:rsidRDefault="0023360A" w:rsidP="0023360A">
      <w:pPr>
        <w:rPr>
          <w:szCs w:val="22"/>
        </w:rPr>
      </w:pPr>
    </w:p>
    <w:p w14:paraId="3BDF5632" w14:textId="77777777" w:rsidR="0023360A" w:rsidRPr="0063119B" w:rsidRDefault="0023360A" w:rsidP="0023360A">
      <w:pPr>
        <w:pStyle w:val="ListParagraph"/>
        <w:numPr>
          <w:ilvl w:val="0"/>
          <w:numId w:val="46"/>
        </w:numPr>
        <w:ind w:left="567" w:hanging="567"/>
        <w:rPr>
          <w:i/>
          <w:szCs w:val="22"/>
          <w:u w:val="single"/>
        </w:rPr>
      </w:pPr>
      <w:r w:rsidRPr="0063119B">
        <w:rPr>
          <w:i/>
          <w:iCs/>
          <w:szCs w:val="22"/>
          <w:u w:val="single"/>
        </w:rPr>
        <w:lastRenderedPageBreak/>
        <w:t>DAC</w:t>
      </w:r>
      <w:r w:rsidR="00BA1F28" w:rsidRPr="0063119B">
        <w:rPr>
          <w:i/>
          <w:iCs/>
          <w:szCs w:val="22"/>
          <w:u w:val="single"/>
        </w:rPr>
        <w:t>/</w:t>
      </w:r>
      <w:r w:rsidRPr="0063119B">
        <w:rPr>
          <w:i/>
          <w:iCs/>
          <w:szCs w:val="22"/>
          <w:u w:val="single"/>
        </w:rPr>
        <w:t xml:space="preserve">DAP </w:t>
      </w:r>
    </w:p>
    <w:p w14:paraId="01FAA1EC" w14:textId="77777777" w:rsidR="0023360A" w:rsidRDefault="00720BE4" w:rsidP="0023360A">
      <w:pPr>
        <w:rPr>
          <w:szCs w:val="22"/>
        </w:rPr>
      </w:pPr>
      <w:r w:rsidRPr="0063119B">
        <w:rPr>
          <w:szCs w:val="22"/>
        </w:rPr>
        <w:t>Os doentes</w:t>
      </w:r>
      <w:r w:rsidR="0023360A" w:rsidRPr="0063119B">
        <w:rPr>
          <w:szCs w:val="22"/>
        </w:rPr>
        <w:t xml:space="preserve"> a tomar </w:t>
      </w:r>
      <w:r w:rsidR="00607DE4">
        <w:rPr>
          <w:szCs w:val="22"/>
        </w:rPr>
        <w:t>Rivaroxabano</w:t>
      </w:r>
      <w:r w:rsidR="00CC5420" w:rsidRPr="0063119B">
        <w:rPr>
          <w:szCs w:val="22"/>
        </w:rPr>
        <w:t xml:space="preserve"> Accord</w:t>
      </w:r>
      <w:r w:rsidRPr="0063119B">
        <w:rPr>
          <w:szCs w:val="22"/>
        </w:rPr>
        <w:t xml:space="preserve"> 2,5 mg duas</w:t>
      </w:r>
      <w:r w:rsidR="00AB2F7C" w:rsidRPr="0063119B">
        <w:rPr>
          <w:szCs w:val="22"/>
        </w:rPr>
        <w:t> </w:t>
      </w:r>
      <w:r w:rsidRPr="0063119B">
        <w:rPr>
          <w:szCs w:val="22"/>
        </w:rPr>
        <w:t>vezes por dia</w:t>
      </w:r>
      <w:r w:rsidR="0023360A" w:rsidRPr="0063119B">
        <w:rPr>
          <w:szCs w:val="22"/>
        </w:rPr>
        <w:t xml:space="preserve"> também devem to</w:t>
      </w:r>
      <w:r w:rsidRPr="0063119B">
        <w:rPr>
          <w:szCs w:val="22"/>
        </w:rPr>
        <w:t>mar uma dose diária de 75 </w:t>
      </w:r>
      <w:r w:rsidR="00AB2F7C" w:rsidRPr="0063119B">
        <w:rPr>
          <w:szCs w:val="22"/>
        </w:rPr>
        <w:noBreakHyphen/>
      </w:r>
      <w:r w:rsidRPr="0063119B">
        <w:rPr>
          <w:szCs w:val="22"/>
        </w:rPr>
        <w:t> 100 </w:t>
      </w:r>
      <w:r w:rsidR="0023360A" w:rsidRPr="0063119B">
        <w:rPr>
          <w:szCs w:val="22"/>
        </w:rPr>
        <w:t>mg de AAS.</w:t>
      </w:r>
    </w:p>
    <w:p w14:paraId="0722817A" w14:textId="77777777" w:rsidR="00753DDD" w:rsidRDefault="00753DDD" w:rsidP="0023360A">
      <w:pPr>
        <w:rPr>
          <w:szCs w:val="22"/>
        </w:rPr>
      </w:pPr>
    </w:p>
    <w:p w14:paraId="51CDD547" w14:textId="77777777" w:rsidR="00753DDD" w:rsidRPr="0063119B" w:rsidRDefault="00753DDD" w:rsidP="0023360A">
      <w:pPr>
        <w:rPr>
          <w:szCs w:val="22"/>
        </w:rPr>
      </w:pPr>
      <w:r>
        <w:t>O tratamento após um procedimento de revascularização bem sucedido do membro inferior (cirúrgico ou endovascular, incluindo procedimentos híbridos) devido a DAP sintomática, não deve ser iniciado até se atingir a hemóstase nos doentes (ver secção 5.1).</w:t>
      </w:r>
    </w:p>
    <w:p w14:paraId="607BD8DA" w14:textId="77777777" w:rsidR="0023360A" w:rsidRPr="0063119B" w:rsidRDefault="0023360A" w:rsidP="0023360A">
      <w:pPr>
        <w:rPr>
          <w:szCs w:val="22"/>
        </w:rPr>
      </w:pPr>
    </w:p>
    <w:p w14:paraId="0A3B0C79" w14:textId="77777777" w:rsidR="0023360A" w:rsidRDefault="0023360A" w:rsidP="0023360A">
      <w:pPr>
        <w:rPr>
          <w:szCs w:val="22"/>
        </w:rPr>
      </w:pPr>
      <w:r w:rsidRPr="0063119B">
        <w:rPr>
          <w:szCs w:val="22"/>
        </w:rPr>
        <w:t xml:space="preserve">A duração do tratamento deve ser determinada para cada doente individual com base em avaliações regulares e deve ter em consideração o risco de acontecimentos trombóticos </w:t>
      </w:r>
      <w:r w:rsidR="00BA1F28" w:rsidRPr="0063119B">
        <w:rPr>
          <w:szCs w:val="22"/>
        </w:rPr>
        <w:t xml:space="preserve">face </w:t>
      </w:r>
      <w:r w:rsidRPr="0063119B">
        <w:rPr>
          <w:szCs w:val="22"/>
        </w:rPr>
        <w:t>a</w:t>
      </w:r>
      <w:r w:rsidR="00720BE4" w:rsidRPr="0063119B">
        <w:rPr>
          <w:szCs w:val="22"/>
        </w:rPr>
        <w:t>os</w:t>
      </w:r>
      <w:r w:rsidRPr="0063119B">
        <w:rPr>
          <w:szCs w:val="22"/>
        </w:rPr>
        <w:t xml:space="preserve"> riscos de hemorragia.</w:t>
      </w:r>
    </w:p>
    <w:p w14:paraId="165A394E" w14:textId="77777777" w:rsidR="00753DDD" w:rsidRDefault="00753DDD" w:rsidP="0023360A">
      <w:pPr>
        <w:rPr>
          <w:szCs w:val="22"/>
        </w:rPr>
      </w:pPr>
    </w:p>
    <w:p w14:paraId="1E55136B" w14:textId="77777777" w:rsidR="00753DDD" w:rsidRPr="007E1ED7" w:rsidRDefault="00C46CDA" w:rsidP="007E1ED7">
      <w:pPr>
        <w:pStyle w:val="ListParagraph"/>
        <w:numPr>
          <w:ilvl w:val="0"/>
          <w:numId w:val="46"/>
        </w:numPr>
        <w:ind w:left="567" w:hanging="567"/>
        <w:rPr>
          <w:i/>
          <w:iCs/>
          <w:szCs w:val="22"/>
          <w:u w:val="single"/>
        </w:rPr>
      </w:pPr>
      <w:r w:rsidRPr="007E1ED7">
        <w:rPr>
          <w:i/>
          <w:iCs/>
          <w:szCs w:val="22"/>
          <w:u w:val="single"/>
        </w:rPr>
        <w:t>SCA, DAC/DAP</w:t>
      </w:r>
    </w:p>
    <w:p w14:paraId="40D6BE8C" w14:textId="77777777" w:rsidR="0023360A" w:rsidRDefault="0023360A" w:rsidP="0023360A">
      <w:pPr>
        <w:rPr>
          <w:szCs w:val="22"/>
        </w:rPr>
      </w:pPr>
    </w:p>
    <w:p w14:paraId="0958D010" w14:textId="77777777" w:rsidR="00C46CDA" w:rsidRPr="007E1ED7" w:rsidRDefault="00C46CDA" w:rsidP="0023360A">
      <w:pPr>
        <w:rPr>
          <w:i/>
          <w:iCs/>
          <w:szCs w:val="22"/>
        </w:rPr>
      </w:pPr>
      <w:r w:rsidRPr="007E1ED7">
        <w:rPr>
          <w:i/>
          <w:iCs/>
        </w:rPr>
        <w:t>Coadministração com terapêutica antiplaquetária</w:t>
      </w:r>
    </w:p>
    <w:p w14:paraId="2F32A911" w14:textId="77777777" w:rsidR="00C46CDA" w:rsidRDefault="0023360A" w:rsidP="0023360A">
      <w:pPr>
        <w:rPr>
          <w:szCs w:val="22"/>
        </w:rPr>
      </w:pPr>
      <w:r w:rsidRPr="0063119B">
        <w:rPr>
          <w:szCs w:val="22"/>
        </w:rPr>
        <w:t>Em doentes com um acontecimento trombótico agudo ou procedimento vascular e</w:t>
      </w:r>
      <w:r w:rsidR="00C21D14" w:rsidRPr="0063119B">
        <w:rPr>
          <w:szCs w:val="22"/>
        </w:rPr>
        <w:t>,</w:t>
      </w:r>
      <w:r w:rsidRPr="0063119B">
        <w:rPr>
          <w:szCs w:val="22"/>
        </w:rPr>
        <w:t xml:space="preserve"> com necessidade de terapêutica antiplaquetária dupla, a continuação de </w:t>
      </w:r>
      <w:r w:rsidR="00607DE4">
        <w:rPr>
          <w:szCs w:val="22"/>
        </w:rPr>
        <w:t>Rivaroxabano</w:t>
      </w:r>
      <w:r w:rsidR="00CC5420" w:rsidRPr="0063119B">
        <w:rPr>
          <w:szCs w:val="22"/>
        </w:rPr>
        <w:t xml:space="preserve"> Accord</w:t>
      </w:r>
      <w:r w:rsidRPr="0063119B">
        <w:rPr>
          <w:szCs w:val="22"/>
        </w:rPr>
        <w:t xml:space="preserve"> 2,5 mg duas vezes por dia deverá ser avaliada em função do tipo de acontecimento ou de procedimento e do regime antiplaquetário. </w:t>
      </w:r>
    </w:p>
    <w:p w14:paraId="458CADF1" w14:textId="77777777" w:rsidR="00C46CDA" w:rsidRDefault="00C46CDA" w:rsidP="0023360A">
      <w:pPr>
        <w:rPr>
          <w:szCs w:val="22"/>
        </w:rPr>
      </w:pPr>
    </w:p>
    <w:p w14:paraId="40F9DC4E" w14:textId="77777777" w:rsidR="00C46CDA" w:rsidRDefault="0023360A" w:rsidP="0023360A">
      <w:pPr>
        <w:rPr>
          <w:szCs w:val="22"/>
        </w:rPr>
      </w:pPr>
      <w:r w:rsidRPr="0063119B">
        <w:rPr>
          <w:szCs w:val="22"/>
        </w:rPr>
        <w:t xml:space="preserve">A segurança e eficácia de </w:t>
      </w:r>
      <w:r w:rsidR="00CC5420" w:rsidRPr="0063119B">
        <w:rPr>
          <w:szCs w:val="22"/>
        </w:rPr>
        <w:t>2,5 mg de rivaroxabano</w:t>
      </w:r>
      <w:r w:rsidRPr="0063119B">
        <w:rPr>
          <w:szCs w:val="22"/>
        </w:rPr>
        <w:t xml:space="preserve"> duas vezes por dia</w:t>
      </w:r>
      <w:r w:rsidR="00720BE4" w:rsidRPr="0063119B">
        <w:rPr>
          <w:szCs w:val="22"/>
        </w:rPr>
        <w:t>,</w:t>
      </w:r>
      <w:r w:rsidRPr="0063119B">
        <w:rPr>
          <w:szCs w:val="22"/>
        </w:rPr>
        <w:t xml:space="preserve"> em associação com </w:t>
      </w:r>
      <w:r w:rsidR="00C46CDA">
        <w:rPr>
          <w:szCs w:val="22"/>
        </w:rPr>
        <w:t>terapêutica antiplaquetária dupla foram estudadas em doentes</w:t>
      </w:r>
    </w:p>
    <w:p w14:paraId="4C856970" w14:textId="77777777" w:rsidR="001B7699" w:rsidRDefault="001B7699" w:rsidP="0023360A">
      <w:pPr>
        <w:rPr>
          <w:szCs w:val="22"/>
        </w:rPr>
      </w:pPr>
    </w:p>
    <w:p w14:paraId="352AC402" w14:textId="77777777" w:rsidR="00C46CDA" w:rsidRDefault="00C46CDA" w:rsidP="007E1ED7">
      <w:pPr>
        <w:ind w:left="567" w:hanging="567"/>
      </w:pPr>
      <w:r>
        <w:t xml:space="preserve">• </w:t>
      </w:r>
      <w:r w:rsidR="00577897">
        <w:tab/>
      </w:r>
      <w:r>
        <w:t xml:space="preserve">com SCA recente em associação com AAS mais clopidogrel/ticlopidina (ver secção 4.1), e </w:t>
      </w:r>
    </w:p>
    <w:p w14:paraId="44AE3DCB" w14:textId="77777777" w:rsidR="00C46CDA" w:rsidRPr="0063119B" w:rsidRDefault="00C46CDA" w:rsidP="007E1ED7">
      <w:pPr>
        <w:ind w:left="567" w:hanging="567"/>
        <w:rPr>
          <w:szCs w:val="22"/>
        </w:rPr>
      </w:pPr>
      <w:r>
        <w:t xml:space="preserve">• </w:t>
      </w:r>
      <w:r w:rsidR="00577897">
        <w:tab/>
      </w:r>
      <w:r>
        <w:t>após um procedimento de revascularização recente do membro inferior devido a DAP sintomática em associação com AAS e, se aplicável, com a utilização de curta duração de clopidogrel (ver secções 4.4. e 5.1)</w:t>
      </w:r>
    </w:p>
    <w:p w14:paraId="6B857002" w14:textId="77777777" w:rsidR="0023360A" w:rsidRDefault="0023360A" w:rsidP="0023360A">
      <w:pPr>
        <w:rPr>
          <w:szCs w:val="22"/>
        </w:rPr>
      </w:pPr>
    </w:p>
    <w:p w14:paraId="7926DFB4" w14:textId="77777777" w:rsidR="00577897" w:rsidRPr="007E1ED7" w:rsidRDefault="00577897" w:rsidP="0023360A">
      <w:pPr>
        <w:rPr>
          <w:i/>
          <w:iCs/>
          <w:szCs w:val="22"/>
        </w:rPr>
      </w:pPr>
      <w:r w:rsidRPr="007E1ED7">
        <w:rPr>
          <w:i/>
          <w:iCs/>
        </w:rPr>
        <w:t>Dose esquecida</w:t>
      </w:r>
    </w:p>
    <w:p w14:paraId="6360FAA5" w14:textId="77777777" w:rsidR="001B7699" w:rsidRPr="0063119B" w:rsidRDefault="001B7699" w:rsidP="001B7699">
      <w:pPr>
        <w:rPr>
          <w:szCs w:val="22"/>
        </w:rPr>
      </w:pPr>
      <w:r w:rsidRPr="0063119B">
        <w:rPr>
          <w:szCs w:val="22"/>
        </w:rPr>
        <w:t>No caso de esquecimento de uma dose, o doente deve continuar com a dose normal, conforme recomendado no momento da toma seguinte. Não deve ser tomada uma dose a dobrar para compensar uma dose esquecida.</w:t>
      </w:r>
    </w:p>
    <w:p w14:paraId="1A7C6855" w14:textId="77777777" w:rsidR="001B7699" w:rsidRPr="0063119B" w:rsidRDefault="001B7699" w:rsidP="001B7699">
      <w:pPr>
        <w:rPr>
          <w:i/>
          <w:szCs w:val="22"/>
        </w:rPr>
      </w:pPr>
    </w:p>
    <w:p w14:paraId="31BB36EF" w14:textId="77777777" w:rsidR="001B7699" w:rsidRPr="0063119B" w:rsidRDefault="001B7699" w:rsidP="001B7699">
      <w:pPr>
        <w:rPr>
          <w:i/>
          <w:szCs w:val="22"/>
        </w:rPr>
      </w:pPr>
      <w:r w:rsidRPr="0063119B">
        <w:rPr>
          <w:i/>
          <w:szCs w:val="22"/>
        </w:rPr>
        <w:t xml:space="preserve">Passagem de </w:t>
      </w:r>
      <w:r w:rsidR="00AF1580" w:rsidRPr="0063119B">
        <w:rPr>
          <w:i/>
          <w:szCs w:val="22"/>
        </w:rPr>
        <w:t>a</w:t>
      </w:r>
      <w:r w:rsidRPr="0063119B">
        <w:rPr>
          <w:i/>
          <w:szCs w:val="22"/>
        </w:rPr>
        <w:t xml:space="preserve">ntagonistas da Vitamina K (AVK) para </w:t>
      </w:r>
      <w:r w:rsidR="00AF1580" w:rsidRPr="0063119B">
        <w:rPr>
          <w:i/>
          <w:szCs w:val="22"/>
        </w:rPr>
        <w:t>rivaroxabano</w:t>
      </w:r>
    </w:p>
    <w:p w14:paraId="76372F2F" w14:textId="77777777" w:rsidR="001B7699" w:rsidRPr="0063119B" w:rsidRDefault="001B7699" w:rsidP="001B7699">
      <w:pPr>
        <w:rPr>
          <w:iCs/>
          <w:szCs w:val="22"/>
        </w:rPr>
      </w:pPr>
      <w:r w:rsidRPr="0063119B">
        <w:rPr>
          <w:iCs/>
          <w:szCs w:val="22"/>
        </w:rPr>
        <w:t xml:space="preserve">Durante a passagem de doentes de AVK para </w:t>
      </w:r>
      <w:r w:rsidR="00AF1580" w:rsidRPr="0063119B">
        <w:rPr>
          <w:szCs w:val="22"/>
        </w:rPr>
        <w:t>rivaroxabano</w:t>
      </w:r>
      <w:r w:rsidRPr="0063119B">
        <w:rPr>
          <w:iCs/>
          <w:szCs w:val="22"/>
        </w:rPr>
        <w:t xml:space="preserve">, os valores do </w:t>
      </w:r>
      <w:r w:rsidRPr="0063119B">
        <w:rPr>
          <w:i/>
          <w:iCs/>
          <w:szCs w:val="22"/>
        </w:rPr>
        <w:t>International Normali</w:t>
      </w:r>
      <w:r w:rsidR="00865876" w:rsidRPr="0063119B">
        <w:rPr>
          <w:i/>
          <w:iCs/>
          <w:szCs w:val="22"/>
        </w:rPr>
        <w:t>s</w:t>
      </w:r>
      <w:r w:rsidRPr="0063119B">
        <w:rPr>
          <w:i/>
          <w:iCs/>
          <w:szCs w:val="22"/>
        </w:rPr>
        <w:t xml:space="preserve">ed Ratio </w:t>
      </w:r>
      <w:r w:rsidRPr="0063119B">
        <w:rPr>
          <w:iCs/>
          <w:szCs w:val="22"/>
        </w:rPr>
        <w:t xml:space="preserve">(INR) </w:t>
      </w:r>
      <w:r w:rsidR="0023360A" w:rsidRPr="0063119B">
        <w:rPr>
          <w:iCs/>
          <w:szCs w:val="22"/>
        </w:rPr>
        <w:t xml:space="preserve">poderão estar </w:t>
      </w:r>
      <w:r w:rsidRPr="0063119B">
        <w:rPr>
          <w:iCs/>
          <w:szCs w:val="22"/>
        </w:rPr>
        <w:t xml:space="preserve">falsamente elevados após a toma de </w:t>
      </w:r>
      <w:r w:rsidR="00AF1580" w:rsidRPr="0063119B">
        <w:rPr>
          <w:szCs w:val="22"/>
        </w:rPr>
        <w:t>rivaroxabano</w:t>
      </w:r>
      <w:r w:rsidRPr="0063119B">
        <w:rPr>
          <w:iCs/>
          <w:szCs w:val="22"/>
        </w:rPr>
        <w:t xml:space="preserve">. O INR não é uma medida válida para determinar a atividade anticoagulante de </w:t>
      </w:r>
      <w:r w:rsidR="00AF1580" w:rsidRPr="0063119B">
        <w:rPr>
          <w:szCs w:val="22"/>
        </w:rPr>
        <w:t>rivaroxabano</w:t>
      </w:r>
      <w:r w:rsidRPr="0063119B">
        <w:rPr>
          <w:iCs/>
          <w:szCs w:val="22"/>
        </w:rPr>
        <w:t xml:space="preserve"> e, portanto, não deve ser utilizado (ver secção 4.5).</w:t>
      </w:r>
    </w:p>
    <w:p w14:paraId="3E1A1F67" w14:textId="77777777" w:rsidR="001B7699" w:rsidRPr="0063119B" w:rsidRDefault="001B7699" w:rsidP="001B7699">
      <w:pPr>
        <w:rPr>
          <w:iCs/>
          <w:szCs w:val="22"/>
        </w:rPr>
      </w:pPr>
    </w:p>
    <w:p w14:paraId="0B3379AE" w14:textId="77777777" w:rsidR="001B7699" w:rsidRPr="0063119B" w:rsidRDefault="001B7699" w:rsidP="001B7699">
      <w:pPr>
        <w:rPr>
          <w:i/>
          <w:iCs/>
          <w:szCs w:val="22"/>
        </w:rPr>
      </w:pPr>
      <w:r w:rsidRPr="0063119B">
        <w:rPr>
          <w:i/>
          <w:iCs/>
          <w:szCs w:val="22"/>
        </w:rPr>
        <w:t xml:space="preserve">Passagem de </w:t>
      </w:r>
      <w:r w:rsidR="00AF1580" w:rsidRPr="0063119B">
        <w:rPr>
          <w:i/>
          <w:iCs/>
          <w:szCs w:val="22"/>
        </w:rPr>
        <w:t xml:space="preserve">rivaroxabano </w:t>
      </w:r>
      <w:r w:rsidRPr="0063119B">
        <w:rPr>
          <w:i/>
          <w:iCs/>
          <w:szCs w:val="22"/>
        </w:rPr>
        <w:t xml:space="preserve">para os </w:t>
      </w:r>
      <w:r w:rsidR="00AF1580" w:rsidRPr="0063119B">
        <w:rPr>
          <w:i/>
          <w:iCs/>
          <w:szCs w:val="22"/>
        </w:rPr>
        <w:t>a</w:t>
      </w:r>
      <w:r w:rsidRPr="0063119B">
        <w:rPr>
          <w:i/>
          <w:iCs/>
          <w:szCs w:val="22"/>
        </w:rPr>
        <w:t>ntagonistas da Vitamina K (AVK)</w:t>
      </w:r>
    </w:p>
    <w:p w14:paraId="50CFB1B8" w14:textId="77777777" w:rsidR="001B7699" w:rsidRPr="0063119B" w:rsidRDefault="001B7699" w:rsidP="001B7699">
      <w:pPr>
        <w:autoSpaceDE w:val="0"/>
        <w:autoSpaceDN w:val="0"/>
        <w:adjustRightInd w:val="0"/>
        <w:rPr>
          <w:rFonts w:eastAsia="MS Mincho"/>
          <w:szCs w:val="22"/>
          <w:lang w:eastAsia="ja-JP"/>
        </w:rPr>
      </w:pPr>
      <w:r w:rsidRPr="0063119B">
        <w:rPr>
          <w:szCs w:val="22"/>
        </w:rPr>
        <w:t xml:space="preserve">Existe um potencial de anticoagulação inadequado durante a transição de </w:t>
      </w:r>
      <w:r w:rsidR="00AF1580" w:rsidRPr="0063119B">
        <w:rPr>
          <w:szCs w:val="22"/>
        </w:rPr>
        <w:t>rivaroxabano</w:t>
      </w:r>
      <w:r w:rsidRPr="0063119B">
        <w:rPr>
          <w:szCs w:val="22"/>
        </w:rPr>
        <w:t xml:space="preserve"> para os AVK. Deve ser assegurada uma anticoagulação contínua adequada durante a transição para um anticoagulante alternativo. Deve salientar</w:t>
      </w:r>
      <w:r w:rsidRPr="0063119B">
        <w:rPr>
          <w:szCs w:val="22"/>
        </w:rPr>
        <w:noBreakHyphen/>
        <w:t xml:space="preserve">se que </w:t>
      </w:r>
      <w:r w:rsidR="00AF1580" w:rsidRPr="0063119B">
        <w:rPr>
          <w:szCs w:val="22"/>
        </w:rPr>
        <w:t xml:space="preserve">o rivaroxabano </w:t>
      </w:r>
      <w:r w:rsidRPr="0063119B">
        <w:rPr>
          <w:szCs w:val="22"/>
        </w:rPr>
        <w:t>pode contribuir para um INR elevado.</w:t>
      </w:r>
    </w:p>
    <w:p w14:paraId="4AE1D1CF" w14:textId="77777777" w:rsidR="00AF1580" w:rsidRPr="0063119B" w:rsidRDefault="001B7699" w:rsidP="001B7699">
      <w:pPr>
        <w:autoSpaceDE w:val="0"/>
        <w:autoSpaceDN w:val="0"/>
        <w:adjustRightInd w:val="0"/>
        <w:rPr>
          <w:rFonts w:eastAsia="MS Mincho"/>
          <w:szCs w:val="22"/>
          <w:lang w:eastAsia="ja-JP"/>
        </w:rPr>
      </w:pPr>
      <w:r w:rsidRPr="0063119B">
        <w:rPr>
          <w:rFonts w:eastAsia="MS Mincho"/>
          <w:szCs w:val="22"/>
          <w:lang w:eastAsia="ja-JP"/>
        </w:rPr>
        <w:t xml:space="preserve">Em doentes que passam de </w:t>
      </w:r>
      <w:r w:rsidR="00AF1580" w:rsidRPr="0063119B">
        <w:rPr>
          <w:szCs w:val="22"/>
        </w:rPr>
        <w:t>rivaroxabano</w:t>
      </w:r>
      <w:r w:rsidRPr="0063119B">
        <w:rPr>
          <w:rFonts w:eastAsia="MS Mincho"/>
          <w:szCs w:val="22"/>
          <w:lang w:eastAsia="ja-JP"/>
        </w:rPr>
        <w:t xml:space="preserve"> para um AVK, o AVK deve ser administrado simultaneamente até o INR ser ≥ 2,0. </w:t>
      </w:r>
    </w:p>
    <w:p w14:paraId="543AD69A" w14:textId="77777777" w:rsidR="001B7699" w:rsidRPr="0063119B" w:rsidRDefault="001B7699" w:rsidP="001B7699">
      <w:pPr>
        <w:autoSpaceDE w:val="0"/>
        <w:autoSpaceDN w:val="0"/>
        <w:adjustRightInd w:val="0"/>
        <w:rPr>
          <w:rFonts w:eastAsia="MS Mincho"/>
          <w:szCs w:val="22"/>
          <w:lang w:eastAsia="ja-JP"/>
        </w:rPr>
      </w:pPr>
      <w:r w:rsidRPr="0063119B">
        <w:rPr>
          <w:rFonts w:eastAsia="MS Mincho"/>
          <w:szCs w:val="22"/>
          <w:lang w:eastAsia="ja-JP"/>
        </w:rPr>
        <w:t>Durante os dois primeiros dias do período de passagem, deve utilizar</w:t>
      </w:r>
      <w:r w:rsidRPr="0063119B">
        <w:rPr>
          <w:rFonts w:eastAsia="MS Mincho"/>
          <w:szCs w:val="22"/>
          <w:lang w:eastAsia="ja-JP"/>
        </w:rPr>
        <w:noBreakHyphen/>
        <w:t xml:space="preserve">se a dose inicial padrão do AVK, seguida de uma dose do AVK, com base nas determinações do INR. Enquanto os doentes estiverem a tomar simultaneamente </w:t>
      </w:r>
      <w:r w:rsidR="00AF1580" w:rsidRPr="0063119B">
        <w:rPr>
          <w:rFonts w:eastAsia="MS Mincho"/>
          <w:szCs w:val="22"/>
          <w:lang w:eastAsia="ja-JP"/>
        </w:rPr>
        <w:t xml:space="preserve">o </w:t>
      </w:r>
      <w:r w:rsidR="00AF1580" w:rsidRPr="0063119B">
        <w:rPr>
          <w:szCs w:val="22"/>
        </w:rPr>
        <w:t>rivaroxabano</w:t>
      </w:r>
      <w:r w:rsidRPr="0063119B">
        <w:rPr>
          <w:rFonts w:eastAsia="MS Mincho"/>
          <w:szCs w:val="22"/>
          <w:lang w:eastAsia="ja-JP"/>
        </w:rPr>
        <w:t xml:space="preserve"> e o AVK, o INR não deve ser determinado antes das 24 horas após a dose precedente de </w:t>
      </w:r>
      <w:r w:rsidR="001C0D7B" w:rsidRPr="0063119B">
        <w:rPr>
          <w:rFonts w:eastAsia="MS Mincho"/>
          <w:szCs w:val="22"/>
          <w:lang w:eastAsia="ja-JP"/>
        </w:rPr>
        <w:t xml:space="preserve">rivaroxabano </w:t>
      </w:r>
      <w:r w:rsidRPr="0063119B">
        <w:rPr>
          <w:rFonts w:eastAsia="MS Mincho"/>
          <w:szCs w:val="22"/>
          <w:lang w:eastAsia="ja-JP"/>
        </w:rPr>
        <w:t xml:space="preserve">e antes da dose seguinte. Assim que </w:t>
      </w:r>
      <w:r w:rsidR="00607DE4">
        <w:rPr>
          <w:rFonts w:eastAsia="MS Mincho"/>
          <w:szCs w:val="22"/>
          <w:lang w:eastAsia="ja-JP"/>
        </w:rPr>
        <w:t>Rivaroxabano</w:t>
      </w:r>
      <w:r w:rsidR="00AF1580" w:rsidRPr="0063119B">
        <w:rPr>
          <w:rFonts w:eastAsia="MS Mincho"/>
          <w:szCs w:val="22"/>
          <w:lang w:eastAsia="ja-JP"/>
        </w:rPr>
        <w:t xml:space="preserve"> Accord</w:t>
      </w:r>
      <w:r w:rsidRPr="0063119B">
        <w:rPr>
          <w:rFonts w:eastAsia="MS Mincho"/>
          <w:szCs w:val="22"/>
          <w:lang w:eastAsia="ja-JP"/>
        </w:rPr>
        <w:t xml:space="preserve"> for interrompido, a determinação do INR pode ser efetuada com fiabilidade pelo menos 24 horas após a última dose (ver secções 4.5 e 5.2).</w:t>
      </w:r>
    </w:p>
    <w:p w14:paraId="7047BB11" w14:textId="77777777" w:rsidR="001B7699" w:rsidRPr="0063119B" w:rsidRDefault="001B7699" w:rsidP="001B7699">
      <w:pPr>
        <w:rPr>
          <w:iCs/>
          <w:szCs w:val="22"/>
        </w:rPr>
      </w:pPr>
    </w:p>
    <w:p w14:paraId="0AE07550" w14:textId="77777777" w:rsidR="001B7699" w:rsidRPr="0063119B" w:rsidRDefault="001B7699" w:rsidP="001B7699">
      <w:pPr>
        <w:rPr>
          <w:i/>
          <w:iCs/>
          <w:szCs w:val="22"/>
        </w:rPr>
      </w:pPr>
      <w:r w:rsidRPr="0063119B">
        <w:rPr>
          <w:i/>
          <w:iCs/>
          <w:szCs w:val="22"/>
        </w:rPr>
        <w:t xml:space="preserve">Passagem de anticoagulantes parentéricos para </w:t>
      </w:r>
      <w:r w:rsidR="00AF1580" w:rsidRPr="0063119B">
        <w:rPr>
          <w:i/>
          <w:iCs/>
          <w:szCs w:val="22"/>
        </w:rPr>
        <w:t>rivaroxabano</w:t>
      </w:r>
    </w:p>
    <w:p w14:paraId="60013489" w14:textId="77777777" w:rsidR="001B7699" w:rsidRPr="0063119B" w:rsidRDefault="001B7699" w:rsidP="001B7699">
      <w:pPr>
        <w:autoSpaceDE w:val="0"/>
        <w:autoSpaceDN w:val="0"/>
        <w:adjustRightInd w:val="0"/>
        <w:rPr>
          <w:rFonts w:eastAsia="MS Mincho"/>
          <w:bCs/>
          <w:szCs w:val="22"/>
          <w:lang w:eastAsia="ja-JP"/>
        </w:rPr>
      </w:pPr>
      <w:r w:rsidRPr="0063119B">
        <w:rPr>
          <w:rFonts w:eastAsia="MS Mincho"/>
          <w:bCs/>
          <w:szCs w:val="22"/>
          <w:lang w:eastAsia="ja-JP"/>
        </w:rPr>
        <w:t xml:space="preserve">Em doentes atualmente a serem tratados com um anticoagulante parentérico, </w:t>
      </w:r>
      <w:r w:rsidR="00532D1B" w:rsidRPr="0063119B">
        <w:rPr>
          <w:rFonts w:eastAsia="MS Mincho"/>
          <w:bCs/>
          <w:szCs w:val="22"/>
          <w:lang w:eastAsia="ja-JP"/>
        </w:rPr>
        <w:t xml:space="preserve">interromper o anticoagulante parentérico e iniciar </w:t>
      </w:r>
      <w:r w:rsidR="00AF1580" w:rsidRPr="0063119B">
        <w:rPr>
          <w:rFonts w:eastAsia="MS Mincho"/>
          <w:bCs/>
          <w:szCs w:val="22"/>
          <w:lang w:eastAsia="ja-JP"/>
        </w:rPr>
        <w:t xml:space="preserve">o </w:t>
      </w:r>
      <w:r w:rsidR="00AF1580" w:rsidRPr="0063119B">
        <w:rPr>
          <w:szCs w:val="22"/>
        </w:rPr>
        <w:t>rivaroxabano</w:t>
      </w:r>
      <w:r w:rsidR="00AF1580" w:rsidRPr="0063119B">
        <w:rPr>
          <w:rFonts w:eastAsia="MS Mincho"/>
          <w:bCs/>
          <w:szCs w:val="22"/>
          <w:lang w:eastAsia="ja-JP"/>
        </w:rPr>
        <w:t xml:space="preserve"> </w:t>
      </w:r>
      <w:r w:rsidRPr="0063119B">
        <w:rPr>
          <w:rFonts w:eastAsia="MS Mincho"/>
          <w:bCs/>
          <w:szCs w:val="22"/>
          <w:lang w:eastAsia="ja-JP"/>
        </w:rPr>
        <w:t xml:space="preserve">0 a 2 horas antes da hora prevista para a administração seguinte do medicamento parentérico (ex.: heparinas de baixo peso molecular) ou na </w:t>
      </w:r>
      <w:r w:rsidRPr="0063119B">
        <w:rPr>
          <w:rFonts w:eastAsia="MS Mincho"/>
          <w:bCs/>
          <w:szCs w:val="22"/>
          <w:lang w:eastAsia="ja-JP"/>
        </w:rPr>
        <w:lastRenderedPageBreak/>
        <w:t>altura da interrupção de um medicamento parentérico em administração contínua (ex.: heparina não fracionada intravenosa).</w:t>
      </w:r>
    </w:p>
    <w:p w14:paraId="294947A2" w14:textId="77777777" w:rsidR="001B7699" w:rsidRPr="0063119B" w:rsidRDefault="001B7699" w:rsidP="001B7699">
      <w:pPr>
        <w:autoSpaceDE w:val="0"/>
        <w:autoSpaceDN w:val="0"/>
        <w:adjustRightInd w:val="0"/>
        <w:rPr>
          <w:rFonts w:eastAsia="MS Mincho"/>
          <w:bCs/>
          <w:szCs w:val="22"/>
          <w:lang w:eastAsia="ja-JP"/>
        </w:rPr>
      </w:pPr>
    </w:p>
    <w:p w14:paraId="7B4DDFD9" w14:textId="77777777" w:rsidR="001B7699" w:rsidRPr="0063119B" w:rsidRDefault="001B7699" w:rsidP="001B7699">
      <w:pPr>
        <w:autoSpaceDE w:val="0"/>
        <w:autoSpaceDN w:val="0"/>
        <w:adjustRightInd w:val="0"/>
        <w:rPr>
          <w:rFonts w:eastAsia="MS Mincho"/>
          <w:bCs/>
          <w:i/>
          <w:szCs w:val="22"/>
          <w:lang w:eastAsia="ja-JP"/>
        </w:rPr>
      </w:pPr>
      <w:r w:rsidRPr="0063119B">
        <w:rPr>
          <w:rFonts w:eastAsia="MS Mincho"/>
          <w:bCs/>
          <w:i/>
          <w:szCs w:val="22"/>
          <w:lang w:eastAsia="ja-JP"/>
        </w:rPr>
        <w:t xml:space="preserve">Passagem de </w:t>
      </w:r>
      <w:r w:rsidR="00AF1580" w:rsidRPr="0063119B">
        <w:rPr>
          <w:rFonts w:eastAsia="MS Mincho"/>
          <w:bCs/>
          <w:i/>
          <w:szCs w:val="22"/>
          <w:lang w:eastAsia="ja-JP"/>
        </w:rPr>
        <w:t xml:space="preserve">rivaroxabano </w:t>
      </w:r>
      <w:r w:rsidRPr="0063119B">
        <w:rPr>
          <w:rFonts w:eastAsia="MS Mincho"/>
          <w:bCs/>
          <w:i/>
          <w:szCs w:val="22"/>
          <w:lang w:eastAsia="ja-JP"/>
        </w:rPr>
        <w:t>para anticoagulantes parentéricos</w:t>
      </w:r>
    </w:p>
    <w:p w14:paraId="75918B67" w14:textId="77777777" w:rsidR="001B7699" w:rsidRPr="0063119B" w:rsidRDefault="001B7699" w:rsidP="001B7699">
      <w:pPr>
        <w:rPr>
          <w:szCs w:val="22"/>
        </w:rPr>
      </w:pPr>
      <w:r w:rsidRPr="0063119B">
        <w:rPr>
          <w:rFonts w:eastAsia="MS Mincho"/>
          <w:szCs w:val="22"/>
          <w:lang w:eastAsia="ja-JP"/>
        </w:rPr>
        <w:t xml:space="preserve">Administrar a primeira dose do anticoagulante parentérico na altura em que deve ser tomada a dose seguinte de </w:t>
      </w:r>
      <w:r w:rsidR="00AF1580" w:rsidRPr="0063119B">
        <w:rPr>
          <w:szCs w:val="22"/>
        </w:rPr>
        <w:t>rivaroxabano</w:t>
      </w:r>
      <w:r w:rsidRPr="0063119B">
        <w:rPr>
          <w:rFonts w:eastAsia="MS Mincho"/>
          <w:szCs w:val="22"/>
          <w:lang w:eastAsia="ja-JP"/>
        </w:rPr>
        <w:t>.</w:t>
      </w:r>
    </w:p>
    <w:p w14:paraId="6B9DED1F" w14:textId="77777777" w:rsidR="001B7699" w:rsidRPr="0063119B" w:rsidRDefault="001B7699" w:rsidP="001B7699">
      <w:pPr>
        <w:suppressAutoHyphens/>
        <w:rPr>
          <w:szCs w:val="22"/>
          <w:u w:val="single"/>
        </w:rPr>
      </w:pPr>
    </w:p>
    <w:p w14:paraId="249E9E19" w14:textId="77777777" w:rsidR="001B7699" w:rsidRPr="0063119B" w:rsidRDefault="001B7699" w:rsidP="001B7699">
      <w:pPr>
        <w:keepNext/>
        <w:suppressAutoHyphens/>
        <w:rPr>
          <w:i/>
          <w:szCs w:val="22"/>
          <w:u w:val="single"/>
        </w:rPr>
      </w:pPr>
      <w:r w:rsidRPr="0063119B">
        <w:rPr>
          <w:i/>
          <w:szCs w:val="22"/>
          <w:u w:val="single"/>
        </w:rPr>
        <w:t>Populações especiais</w:t>
      </w:r>
    </w:p>
    <w:p w14:paraId="7423E4D8" w14:textId="77777777" w:rsidR="001B7699" w:rsidRPr="0063119B" w:rsidRDefault="001B7699" w:rsidP="001B7699">
      <w:pPr>
        <w:keepNext/>
        <w:suppressAutoHyphens/>
        <w:rPr>
          <w:i/>
          <w:noProof/>
          <w:szCs w:val="22"/>
        </w:rPr>
      </w:pPr>
      <w:r w:rsidRPr="0063119B">
        <w:rPr>
          <w:i/>
          <w:noProof/>
          <w:szCs w:val="22"/>
        </w:rPr>
        <w:t>Compromisso renal</w:t>
      </w:r>
    </w:p>
    <w:p w14:paraId="200F226A" w14:textId="77777777" w:rsidR="001B7699" w:rsidRPr="0063119B" w:rsidRDefault="001B7699" w:rsidP="001B7699">
      <w:pPr>
        <w:suppressAutoHyphens/>
        <w:rPr>
          <w:noProof/>
          <w:szCs w:val="22"/>
        </w:rPr>
      </w:pPr>
      <w:r w:rsidRPr="0063119B">
        <w:rPr>
          <w:noProof/>
          <w:szCs w:val="22"/>
        </w:rPr>
        <w:t>Dados clínicos limitados em doentes com compromisso renal grave (taxa de depuração da creatinina 15 </w:t>
      </w:r>
      <w:r w:rsidRPr="0063119B">
        <w:rPr>
          <w:noProof/>
          <w:szCs w:val="22"/>
        </w:rPr>
        <w:noBreakHyphen/>
        <w:t xml:space="preserve"> 29 ml/min) indicam que as concentrações plasmáticas de rivaroxabano estão significativamente aumentadas. Assim, </w:t>
      </w:r>
      <w:r w:rsidR="00607DE4">
        <w:rPr>
          <w:noProof/>
          <w:szCs w:val="22"/>
        </w:rPr>
        <w:t>Rivaroxabano</w:t>
      </w:r>
      <w:r w:rsidR="00AF1580" w:rsidRPr="0063119B">
        <w:rPr>
          <w:noProof/>
          <w:szCs w:val="22"/>
        </w:rPr>
        <w:t xml:space="preserve"> Accord</w:t>
      </w:r>
      <w:r w:rsidRPr="0063119B">
        <w:rPr>
          <w:noProof/>
          <w:szCs w:val="22"/>
        </w:rPr>
        <w:t xml:space="preserve"> deve ser utilizado com precaução nestes doentes. Não é recomendada a utilização em doentes com taxa de depuração da creatinina &lt; 15 ml/min (ver secções 4.4 e 5.2).</w:t>
      </w:r>
    </w:p>
    <w:p w14:paraId="7FA7FE5E" w14:textId="77777777" w:rsidR="001B7699" w:rsidRPr="0063119B" w:rsidRDefault="001B7699" w:rsidP="001B7699">
      <w:pPr>
        <w:keepNext/>
        <w:suppressAutoHyphens/>
        <w:rPr>
          <w:noProof/>
          <w:szCs w:val="22"/>
        </w:rPr>
      </w:pPr>
      <w:r w:rsidRPr="0063119B">
        <w:rPr>
          <w:noProof/>
          <w:szCs w:val="22"/>
        </w:rPr>
        <w:t>Não é necessário ajuste posológico em doentes com compromisso renal ligeiro (taxa de depuração da creatinina 50 </w:t>
      </w:r>
      <w:r w:rsidRPr="0063119B">
        <w:rPr>
          <w:noProof/>
          <w:szCs w:val="22"/>
        </w:rPr>
        <w:noBreakHyphen/>
        <w:t> 80 ml/min) ou compromisso renal moderado (taxa de depuração da creatinina 30 </w:t>
      </w:r>
      <w:r w:rsidRPr="0063119B">
        <w:rPr>
          <w:noProof/>
          <w:szCs w:val="22"/>
        </w:rPr>
        <w:noBreakHyphen/>
        <w:t> 49 ml/min) (ver secção 5.2).</w:t>
      </w:r>
    </w:p>
    <w:p w14:paraId="6AD64F63" w14:textId="77777777" w:rsidR="001B7699" w:rsidRPr="0063119B" w:rsidRDefault="001B7699" w:rsidP="001B7699">
      <w:pPr>
        <w:suppressAutoHyphens/>
        <w:rPr>
          <w:noProof/>
          <w:szCs w:val="22"/>
        </w:rPr>
      </w:pPr>
    </w:p>
    <w:p w14:paraId="3AB070E4" w14:textId="77777777" w:rsidR="001B7699" w:rsidRPr="0063119B" w:rsidRDefault="0054678E" w:rsidP="001B7699">
      <w:pPr>
        <w:suppressAutoHyphens/>
        <w:rPr>
          <w:i/>
          <w:noProof/>
          <w:szCs w:val="22"/>
        </w:rPr>
      </w:pPr>
      <w:r w:rsidRPr="0063119B">
        <w:rPr>
          <w:i/>
          <w:noProof/>
          <w:szCs w:val="22"/>
        </w:rPr>
        <w:t>Compromisso</w:t>
      </w:r>
      <w:r w:rsidR="001B7699" w:rsidRPr="0063119B">
        <w:rPr>
          <w:i/>
          <w:noProof/>
          <w:szCs w:val="22"/>
        </w:rPr>
        <w:t xml:space="preserve"> hepátic</w:t>
      </w:r>
      <w:r w:rsidRPr="0063119B">
        <w:rPr>
          <w:i/>
          <w:noProof/>
          <w:szCs w:val="22"/>
        </w:rPr>
        <w:t>o</w:t>
      </w:r>
    </w:p>
    <w:p w14:paraId="1DE7B246" w14:textId="77777777" w:rsidR="001B7699" w:rsidRPr="0063119B" w:rsidRDefault="00607DE4" w:rsidP="001B7699">
      <w:pPr>
        <w:suppressAutoHyphens/>
        <w:rPr>
          <w:noProof/>
          <w:szCs w:val="22"/>
        </w:rPr>
      </w:pPr>
      <w:r>
        <w:rPr>
          <w:noProof/>
          <w:szCs w:val="22"/>
        </w:rPr>
        <w:t>Rivaroxabano</w:t>
      </w:r>
      <w:r w:rsidR="00AF1580" w:rsidRPr="0063119B">
        <w:rPr>
          <w:noProof/>
          <w:szCs w:val="22"/>
        </w:rPr>
        <w:t xml:space="preserve"> Accord</w:t>
      </w:r>
      <w:r w:rsidR="001B7699" w:rsidRPr="0063119B">
        <w:rPr>
          <w:noProof/>
          <w:szCs w:val="22"/>
        </w:rPr>
        <w:t xml:space="preserve"> </w:t>
      </w:r>
      <w:r w:rsidR="006D3AF1" w:rsidRPr="0063119B">
        <w:rPr>
          <w:noProof/>
          <w:szCs w:val="22"/>
        </w:rPr>
        <w:t>é</w:t>
      </w:r>
      <w:r w:rsidR="001B7699" w:rsidRPr="0063119B">
        <w:rPr>
          <w:noProof/>
          <w:szCs w:val="22"/>
        </w:rPr>
        <w:t xml:space="preserve"> contraindicado em doentes com doença hepática associada a coagulopatia e risco de hemorragia clinicamente relevante, incluindo doentes com cirrose com Child Pugh B e C (ver secções 4.3 e 5.2).</w:t>
      </w:r>
    </w:p>
    <w:p w14:paraId="5CAED9EE" w14:textId="77777777" w:rsidR="001B7699" w:rsidRPr="0063119B" w:rsidRDefault="001B7699" w:rsidP="001B7699">
      <w:pPr>
        <w:suppressAutoHyphens/>
        <w:rPr>
          <w:noProof/>
          <w:szCs w:val="22"/>
        </w:rPr>
      </w:pPr>
    </w:p>
    <w:p w14:paraId="3AEB69A3" w14:textId="77777777" w:rsidR="001B7699" w:rsidRPr="0063119B" w:rsidRDefault="001B7699" w:rsidP="001B7699">
      <w:pPr>
        <w:suppressAutoHyphens/>
        <w:rPr>
          <w:i/>
          <w:noProof/>
          <w:szCs w:val="22"/>
        </w:rPr>
      </w:pPr>
      <w:r w:rsidRPr="0063119B">
        <w:rPr>
          <w:i/>
          <w:noProof/>
          <w:szCs w:val="22"/>
        </w:rPr>
        <w:t>População idosa</w:t>
      </w:r>
    </w:p>
    <w:p w14:paraId="74405473" w14:textId="77777777" w:rsidR="0023360A" w:rsidRPr="0063119B" w:rsidRDefault="001B7699" w:rsidP="001B7699">
      <w:pPr>
        <w:suppressAutoHyphens/>
        <w:rPr>
          <w:noProof/>
          <w:szCs w:val="22"/>
        </w:rPr>
      </w:pPr>
      <w:r w:rsidRPr="0063119B">
        <w:rPr>
          <w:noProof/>
          <w:szCs w:val="22"/>
        </w:rPr>
        <w:t>Não é necessário ajuste posológico (ver secções 4.4 e 5.2)</w:t>
      </w:r>
    </w:p>
    <w:p w14:paraId="62F4AF7E" w14:textId="77777777" w:rsidR="0023360A" w:rsidRPr="0063119B" w:rsidRDefault="0023360A" w:rsidP="0023360A">
      <w:pPr>
        <w:rPr>
          <w:noProof/>
          <w:szCs w:val="22"/>
        </w:rPr>
      </w:pPr>
      <w:r w:rsidRPr="0063119B">
        <w:rPr>
          <w:noProof/>
          <w:szCs w:val="22"/>
        </w:rPr>
        <w:t xml:space="preserve">O risco de hemorragia aumenta com </w:t>
      </w:r>
      <w:r w:rsidR="00C16E6F" w:rsidRPr="0063119B">
        <w:rPr>
          <w:noProof/>
          <w:szCs w:val="22"/>
        </w:rPr>
        <w:t>o aumen</w:t>
      </w:r>
      <w:r w:rsidR="000E0161" w:rsidRPr="0063119B">
        <w:rPr>
          <w:noProof/>
          <w:szCs w:val="22"/>
        </w:rPr>
        <w:t>t</w:t>
      </w:r>
      <w:r w:rsidR="00C16E6F" w:rsidRPr="0063119B">
        <w:rPr>
          <w:noProof/>
          <w:szCs w:val="22"/>
        </w:rPr>
        <w:t>o da idade</w:t>
      </w:r>
      <w:r w:rsidR="00C21D14" w:rsidRPr="0063119B">
        <w:rPr>
          <w:noProof/>
          <w:szCs w:val="22"/>
        </w:rPr>
        <w:t xml:space="preserve"> </w:t>
      </w:r>
      <w:r w:rsidRPr="0063119B">
        <w:rPr>
          <w:noProof/>
          <w:szCs w:val="22"/>
        </w:rPr>
        <w:t>(ver secção 4.4).</w:t>
      </w:r>
    </w:p>
    <w:p w14:paraId="5FFD6E61" w14:textId="77777777" w:rsidR="001B7699" w:rsidRPr="0063119B" w:rsidRDefault="001B7699" w:rsidP="001B7699">
      <w:pPr>
        <w:suppressAutoHyphens/>
        <w:rPr>
          <w:noProof/>
          <w:szCs w:val="22"/>
        </w:rPr>
      </w:pPr>
    </w:p>
    <w:p w14:paraId="188077E0" w14:textId="77777777" w:rsidR="001B7699" w:rsidRPr="0063119B" w:rsidRDefault="001B7699" w:rsidP="001B7699">
      <w:pPr>
        <w:suppressAutoHyphens/>
        <w:rPr>
          <w:i/>
          <w:noProof/>
          <w:szCs w:val="22"/>
        </w:rPr>
      </w:pPr>
      <w:r w:rsidRPr="0063119B">
        <w:rPr>
          <w:i/>
          <w:noProof/>
          <w:szCs w:val="22"/>
        </w:rPr>
        <w:t>Peso corporal</w:t>
      </w:r>
    </w:p>
    <w:p w14:paraId="138390CA" w14:textId="77777777" w:rsidR="001B7699" w:rsidRPr="0063119B" w:rsidRDefault="001B7699" w:rsidP="001B7699">
      <w:pPr>
        <w:suppressAutoHyphens/>
        <w:rPr>
          <w:noProof/>
          <w:szCs w:val="22"/>
        </w:rPr>
      </w:pPr>
      <w:r w:rsidRPr="0063119B">
        <w:rPr>
          <w:noProof/>
          <w:szCs w:val="22"/>
        </w:rPr>
        <w:t>Não é necessário ajuste posológico (ver secções 4.4 e 5.2)</w:t>
      </w:r>
    </w:p>
    <w:p w14:paraId="395642A4" w14:textId="77777777" w:rsidR="001B7699" w:rsidRPr="0063119B" w:rsidRDefault="001B7699" w:rsidP="001B7699">
      <w:pPr>
        <w:suppressAutoHyphens/>
        <w:rPr>
          <w:noProof/>
          <w:szCs w:val="22"/>
        </w:rPr>
      </w:pPr>
    </w:p>
    <w:p w14:paraId="3D475C54" w14:textId="77777777" w:rsidR="001B7699" w:rsidRPr="0063119B" w:rsidRDefault="001B7699" w:rsidP="001B7699">
      <w:pPr>
        <w:suppressAutoHyphens/>
        <w:rPr>
          <w:i/>
          <w:noProof/>
          <w:szCs w:val="22"/>
        </w:rPr>
      </w:pPr>
      <w:r w:rsidRPr="0063119B">
        <w:rPr>
          <w:i/>
          <w:noProof/>
          <w:szCs w:val="22"/>
        </w:rPr>
        <w:t>Sexo</w:t>
      </w:r>
    </w:p>
    <w:p w14:paraId="75ADD8AE" w14:textId="77777777" w:rsidR="001B7699" w:rsidRPr="0063119B" w:rsidRDefault="001B7699" w:rsidP="001B7699">
      <w:pPr>
        <w:suppressAutoHyphens/>
        <w:rPr>
          <w:noProof/>
          <w:szCs w:val="22"/>
        </w:rPr>
      </w:pPr>
      <w:r w:rsidRPr="0063119B">
        <w:rPr>
          <w:noProof/>
          <w:szCs w:val="22"/>
        </w:rPr>
        <w:t>Não é necessário ajuste posológico (ver secção 5.2)</w:t>
      </w:r>
    </w:p>
    <w:p w14:paraId="295E8712" w14:textId="77777777" w:rsidR="001B7699" w:rsidRPr="0063119B" w:rsidRDefault="001B7699" w:rsidP="001B7699">
      <w:pPr>
        <w:suppressAutoHyphens/>
        <w:rPr>
          <w:noProof/>
          <w:szCs w:val="22"/>
        </w:rPr>
      </w:pPr>
    </w:p>
    <w:p w14:paraId="2A707AC2" w14:textId="77777777" w:rsidR="001B7699" w:rsidRPr="0063119B" w:rsidRDefault="001B7699" w:rsidP="00A9161F">
      <w:pPr>
        <w:keepNext/>
        <w:keepLines/>
        <w:suppressAutoHyphens/>
        <w:rPr>
          <w:i/>
          <w:noProof/>
          <w:szCs w:val="22"/>
        </w:rPr>
      </w:pPr>
      <w:r w:rsidRPr="0063119B">
        <w:rPr>
          <w:i/>
          <w:szCs w:val="22"/>
        </w:rPr>
        <w:t>Popula</w:t>
      </w:r>
      <w:r w:rsidRPr="0063119B">
        <w:rPr>
          <w:i/>
          <w:noProof/>
          <w:szCs w:val="22"/>
        </w:rPr>
        <w:t>ção pediátrica</w:t>
      </w:r>
    </w:p>
    <w:p w14:paraId="38222750" w14:textId="77777777" w:rsidR="001B7699" w:rsidRPr="0063119B" w:rsidRDefault="001B7699" w:rsidP="001B7699">
      <w:pPr>
        <w:suppressAutoHyphens/>
        <w:rPr>
          <w:noProof/>
          <w:szCs w:val="22"/>
        </w:rPr>
      </w:pPr>
      <w:r w:rsidRPr="0063119B">
        <w:rPr>
          <w:noProof/>
          <w:szCs w:val="22"/>
        </w:rPr>
        <w:t xml:space="preserve">A segurança e eficácia de </w:t>
      </w:r>
      <w:r w:rsidR="00AF1580" w:rsidRPr="0063119B">
        <w:rPr>
          <w:szCs w:val="22"/>
        </w:rPr>
        <w:t>rivaroxabano</w:t>
      </w:r>
      <w:r w:rsidRPr="0063119B">
        <w:rPr>
          <w:noProof/>
          <w:szCs w:val="22"/>
        </w:rPr>
        <w:t xml:space="preserve"> em crianças com 0 a 18 anos de idade não foram estabelecidas. Não existem dados disponíveis. Assim, </w:t>
      </w:r>
      <w:r w:rsidR="00607DE4">
        <w:rPr>
          <w:noProof/>
          <w:szCs w:val="22"/>
        </w:rPr>
        <w:t>Rivaroxabano</w:t>
      </w:r>
      <w:r w:rsidR="00AF1580" w:rsidRPr="0063119B">
        <w:rPr>
          <w:noProof/>
          <w:szCs w:val="22"/>
        </w:rPr>
        <w:t xml:space="preserve"> Accord</w:t>
      </w:r>
      <w:r w:rsidRPr="0063119B">
        <w:rPr>
          <w:noProof/>
          <w:szCs w:val="22"/>
        </w:rPr>
        <w:t xml:space="preserve"> não é recomendado para utilização em crianças com idade inferior a 18 anos.</w:t>
      </w:r>
    </w:p>
    <w:p w14:paraId="114B02CE" w14:textId="77777777" w:rsidR="001B7699" w:rsidRPr="0063119B" w:rsidRDefault="001B7699" w:rsidP="001B7699">
      <w:pPr>
        <w:suppressAutoHyphens/>
        <w:rPr>
          <w:noProof/>
          <w:szCs w:val="22"/>
        </w:rPr>
      </w:pPr>
    </w:p>
    <w:p w14:paraId="05B74B0B" w14:textId="77777777" w:rsidR="001B7699" w:rsidRPr="0063119B" w:rsidRDefault="001B7699" w:rsidP="001B7699">
      <w:pPr>
        <w:suppressAutoHyphens/>
        <w:rPr>
          <w:noProof/>
          <w:szCs w:val="22"/>
          <w:u w:val="single"/>
        </w:rPr>
      </w:pPr>
      <w:r w:rsidRPr="0063119B">
        <w:rPr>
          <w:noProof/>
          <w:szCs w:val="22"/>
          <w:u w:val="single"/>
        </w:rPr>
        <w:t>Modo de administração</w:t>
      </w:r>
    </w:p>
    <w:p w14:paraId="63C68CEE" w14:textId="77777777" w:rsidR="001B7699" w:rsidRPr="0063119B" w:rsidRDefault="00607DE4" w:rsidP="001B7699">
      <w:pPr>
        <w:rPr>
          <w:szCs w:val="22"/>
        </w:rPr>
      </w:pPr>
      <w:r>
        <w:rPr>
          <w:noProof/>
          <w:szCs w:val="22"/>
        </w:rPr>
        <w:t>Rivaroxabano</w:t>
      </w:r>
      <w:r w:rsidR="00AF1580" w:rsidRPr="0063119B">
        <w:rPr>
          <w:noProof/>
          <w:szCs w:val="22"/>
        </w:rPr>
        <w:t xml:space="preserve"> Accord</w:t>
      </w:r>
      <w:r w:rsidR="00865876" w:rsidRPr="0063119B">
        <w:rPr>
          <w:noProof/>
          <w:szCs w:val="22"/>
        </w:rPr>
        <w:t xml:space="preserve"> é para </w:t>
      </w:r>
      <w:r w:rsidR="006D3AF1" w:rsidRPr="0063119B">
        <w:rPr>
          <w:noProof/>
          <w:szCs w:val="22"/>
        </w:rPr>
        <w:t xml:space="preserve">utilização por via </w:t>
      </w:r>
      <w:r w:rsidR="001B7699" w:rsidRPr="0063119B">
        <w:rPr>
          <w:noProof/>
          <w:szCs w:val="22"/>
        </w:rPr>
        <w:t>oral.</w:t>
      </w:r>
    </w:p>
    <w:p w14:paraId="53197F8B" w14:textId="77777777" w:rsidR="001B7699" w:rsidRPr="0063119B" w:rsidRDefault="00865876" w:rsidP="001B7699">
      <w:pPr>
        <w:rPr>
          <w:szCs w:val="22"/>
        </w:rPr>
      </w:pPr>
      <w:r w:rsidRPr="0063119B">
        <w:rPr>
          <w:szCs w:val="22"/>
        </w:rPr>
        <w:t xml:space="preserve">Os comprimidos </w:t>
      </w:r>
      <w:r w:rsidR="0003401D">
        <w:rPr>
          <w:szCs w:val="22"/>
        </w:rPr>
        <w:t>podem ser</w:t>
      </w:r>
      <w:r w:rsidR="001B7699" w:rsidRPr="0063119B">
        <w:rPr>
          <w:szCs w:val="22"/>
        </w:rPr>
        <w:t xml:space="preserve"> tomado</w:t>
      </w:r>
      <w:r w:rsidRPr="0063119B">
        <w:rPr>
          <w:szCs w:val="22"/>
        </w:rPr>
        <w:t>s</w:t>
      </w:r>
      <w:r w:rsidR="001B7699" w:rsidRPr="0063119B">
        <w:rPr>
          <w:szCs w:val="22"/>
        </w:rPr>
        <w:t xml:space="preserve"> com ou sem alimentos (ver secções 4.5 e 5.2).</w:t>
      </w:r>
    </w:p>
    <w:p w14:paraId="143EE5B8" w14:textId="77777777" w:rsidR="001B7699" w:rsidRDefault="001B7699" w:rsidP="001B7699">
      <w:pPr>
        <w:suppressAutoHyphens/>
        <w:rPr>
          <w:noProof/>
          <w:szCs w:val="22"/>
        </w:rPr>
      </w:pPr>
    </w:p>
    <w:p w14:paraId="4BFF7EBD" w14:textId="77777777" w:rsidR="0003401D" w:rsidRPr="0063119B" w:rsidRDefault="0003401D" w:rsidP="001B7699">
      <w:pPr>
        <w:suppressAutoHyphens/>
        <w:rPr>
          <w:noProof/>
          <w:szCs w:val="22"/>
        </w:rPr>
      </w:pPr>
      <w:r>
        <w:rPr>
          <w:i/>
          <w:iCs/>
          <w:szCs w:val="22"/>
          <w:lang w:eastAsia="pt-PT"/>
        </w:rPr>
        <w:t>Trituração dos comprimidos</w:t>
      </w:r>
    </w:p>
    <w:p w14:paraId="23ADE9A9" w14:textId="77777777" w:rsidR="00482C9F" w:rsidRDefault="00482C9F" w:rsidP="001B7699">
      <w:pPr>
        <w:suppressAutoHyphens/>
        <w:rPr>
          <w:noProof/>
          <w:szCs w:val="22"/>
        </w:rPr>
      </w:pPr>
      <w:r w:rsidRPr="0063119B">
        <w:rPr>
          <w:noProof/>
          <w:szCs w:val="22"/>
        </w:rPr>
        <w:t xml:space="preserve">Em doentes incapazes de engolir comprimidos inteiros, o comprimido </w:t>
      </w:r>
      <w:r w:rsidR="00AF1580" w:rsidRPr="0063119B">
        <w:rPr>
          <w:noProof/>
          <w:szCs w:val="22"/>
        </w:rPr>
        <w:t xml:space="preserve">de </w:t>
      </w:r>
      <w:r w:rsidR="00607DE4">
        <w:rPr>
          <w:noProof/>
          <w:szCs w:val="22"/>
        </w:rPr>
        <w:t>Rivaroxabano</w:t>
      </w:r>
      <w:r w:rsidR="00AF1580" w:rsidRPr="0063119B">
        <w:rPr>
          <w:noProof/>
          <w:szCs w:val="22"/>
        </w:rPr>
        <w:t xml:space="preserve"> Accord</w:t>
      </w:r>
      <w:r w:rsidRPr="0063119B">
        <w:rPr>
          <w:noProof/>
          <w:szCs w:val="22"/>
        </w:rPr>
        <w:t xml:space="preserve"> pode ser esmagado e misturado com água ou  puré de maçã imediatamente antes da utilização e administrado por via ora</w:t>
      </w:r>
      <w:r w:rsidR="00B8675C" w:rsidRPr="0063119B">
        <w:rPr>
          <w:noProof/>
          <w:szCs w:val="22"/>
        </w:rPr>
        <w:t>l</w:t>
      </w:r>
      <w:r w:rsidRPr="0063119B">
        <w:rPr>
          <w:noProof/>
          <w:szCs w:val="22"/>
        </w:rPr>
        <w:t>.</w:t>
      </w:r>
    </w:p>
    <w:p w14:paraId="61E9B96E" w14:textId="77777777" w:rsidR="00543FE2" w:rsidRPr="0063119B" w:rsidRDefault="00543FE2" w:rsidP="001B7699">
      <w:pPr>
        <w:suppressAutoHyphens/>
        <w:rPr>
          <w:noProof/>
          <w:szCs w:val="22"/>
        </w:rPr>
      </w:pPr>
    </w:p>
    <w:p w14:paraId="5E7BA446" w14:textId="77777777" w:rsidR="00482C9F" w:rsidRPr="0063119B" w:rsidRDefault="00482C9F" w:rsidP="001B7699">
      <w:pPr>
        <w:suppressAutoHyphens/>
        <w:rPr>
          <w:noProof/>
          <w:szCs w:val="22"/>
        </w:rPr>
      </w:pPr>
      <w:r w:rsidRPr="0063119B">
        <w:rPr>
          <w:noProof/>
          <w:szCs w:val="22"/>
        </w:rPr>
        <w:t xml:space="preserve">O comprimido esmagado pode </w:t>
      </w:r>
      <w:r w:rsidR="00762BF6" w:rsidRPr="0063119B">
        <w:rPr>
          <w:noProof/>
          <w:szCs w:val="22"/>
        </w:rPr>
        <w:t xml:space="preserve">também </w:t>
      </w:r>
      <w:r w:rsidRPr="0063119B">
        <w:rPr>
          <w:noProof/>
          <w:szCs w:val="22"/>
        </w:rPr>
        <w:t>ser administrado através de sondas gástricas</w:t>
      </w:r>
      <w:r w:rsidR="00762BF6" w:rsidRPr="0063119B">
        <w:rPr>
          <w:noProof/>
          <w:szCs w:val="22"/>
        </w:rPr>
        <w:t xml:space="preserve"> </w:t>
      </w:r>
      <w:r w:rsidRPr="0063119B">
        <w:rPr>
          <w:noProof/>
          <w:szCs w:val="22"/>
        </w:rPr>
        <w:t>(ver secç</w:t>
      </w:r>
      <w:r w:rsidR="006D3AF1" w:rsidRPr="0063119B">
        <w:rPr>
          <w:noProof/>
          <w:szCs w:val="22"/>
        </w:rPr>
        <w:t>ões</w:t>
      </w:r>
      <w:r w:rsidRPr="0063119B">
        <w:rPr>
          <w:noProof/>
          <w:szCs w:val="22"/>
        </w:rPr>
        <w:t> 5.2</w:t>
      </w:r>
      <w:r w:rsidR="00E9279A" w:rsidRPr="0063119B">
        <w:rPr>
          <w:noProof/>
          <w:szCs w:val="22"/>
        </w:rPr>
        <w:t xml:space="preserve"> e 6.6</w:t>
      </w:r>
      <w:r w:rsidRPr="0063119B">
        <w:rPr>
          <w:noProof/>
          <w:szCs w:val="22"/>
        </w:rPr>
        <w:t>).</w:t>
      </w:r>
    </w:p>
    <w:p w14:paraId="485A002C" w14:textId="77777777" w:rsidR="00482C9F" w:rsidRPr="0063119B" w:rsidRDefault="00482C9F" w:rsidP="001B7699">
      <w:pPr>
        <w:suppressAutoHyphens/>
        <w:rPr>
          <w:noProof/>
          <w:szCs w:val="22"/>
        </w:rPr>
      </w:pPr>
    </w:p>
    <w:p w14:paraId="3FC583A8" w14:textId="77777777" w:rsidR="001B7699" w:rsidRPr="0063119B" w:rsidRDefault="001B7699" w:rsidP="001B7699">
      <w:pPr>
        <w:keepNext/>
        <w:suppressAutoHyphens/>
        <w:ind w:left="567" w:hanging="567"/>
        <w:rPr>
          <w:noProof/>
          <w:szCs w:val="22"/>
        </w:rPr>
      </w:pPr>
      <w:r w:rsidRPr="0063119B">
        <w:rPr>
          <w:b/>
          <w:noProof/>
          <w:szCs w:val="22"/>
        </w:rPr>
        <w:t>4.3</w:t>
      </w:r>
      <w:r w:rsidRPr="0063119B">
        <w:rPr>
          <w:b/>
          <w:noProof/>
          <w:szCs w:val="22"/>
        </w:rPr>
        <w:tab/>
        <w:t>Contraindicações</w:t>
      </w:r>
    </w:p>
    <w:p w14:paraId="17589E8C" w14:textId="77777777" w:rsidR="001B7699" w:rsidRPr="0063119B" w:rsidRDefault="001B7699" w:rsidP="001B7699">
      <w:pPr>
        <w:keepNext/>
        <w:suppressAutoHyphens/>
        <w:rPr>
          <w:noProof/>
          <w:szCs w:val="22"/>
        </w:rPr>
      </w:pPr>
    </w:p>
    <w:p w14:paraId="3DC72485" w14:textId="77777777" w:rsidR="001B7699" w:rsidRPr="0063119B" w:rsidRDefault="001B7699" w:rsidP="001B7699">
      <w:pPr>
        <w:keepNext/>
        <w:suppressAutoHyphens/>
        <w:rPr>
          <w:noProof/>
          <w:szCs w:val="22"/>
        </w:rPr>
      </w:pPr>
      <w:r w:rsidRPr="0063119B">
        <w:rPr>
          <w:noProof/>
          <w:szCs w:val="22"/>
        </w:rPr>
        <w:t>Hipersensibilidade à substância ativa ou a qualquer um dos excipientes mencionados na secção 6.1.</w:t>
      </w:r>
    </w:p>
    <w:p w14:paraId="1BD0DCFB" w14:textId="77777777" w:rsidR="001B7699" w:rsidRPr="0063119B" w:rsidRDefault="001B7699" w:rsidP="001B7699">
      <w:pPr>
        <w:keepNext/>
        <w:suppressAutoHyphens/>
        <w:rPr>
          <w:noProof/>
          <w:szCs w:val="22"/>
        </w:rPr>
      </w:pPr>
    </w:p>
    <w:p w14:paraId="36BA5AC8" w14:textId="77777777" w:rsidR="005B6DC9" w:rsidRPr="0063119B" w:rsidRDefault="000A3DB5" w:rsidP="001B7699">
      <w:pPr>
        <w:suppressAutoHyphens/>
        <w:rPr>
          <w:noProof/>
          <w:szCs w:val="22"/>
        </w:rPr>
      </w:pPr>
      <w:r w:rsidRPr="0063119B">
        <w:rPr>
          <w:noProof/>
          <w:szCs w:val="22"/>
        </w:rPr>
        <w:t>Hemorragia ativa clinicamente significativa.</w:t>
      </w:r>
    </w:p>
    <w:p w14:paraId="26397D14" w14:textId="77777777" w:rsidR="001B7699" w:rsidRPr="0063119B" w:rsidRDefault="001B7699" w:rsidP="001B7699">
      <w:pPr>
        <w:suppressAutoHyphens/>
        <w:rPr>
          <w:noProof/>
          <w:szCs w:val="22"/>
        </w:rPr>
      </w:pPr>
    </w:p>
    <w:p w14:paraId="06803A9E" w14:textId="77777777" w:rsidR="001B7699" w:rsidRPr="0063119B" w:rsidRDefault="001B7699" w:rsidP="001B7699">
      <w:pPr>
        <w:autoSpaceDE w:val="0"/>
        <w:autoSpaceDN w:val="0"/>
        <w:adjustRightInd w:val="0"/>
        <w:rPr>
          <w:noProof/>
          <w:szCs w:val="22"/>
        </w:rPr>
      </w:pPr>
      <w:r w:rsidRPr="0063119B">
        <w:rPr>
          <w:noProof/>
          <w:szCs w:val="22"/>
        </w:rPr>
        <w:lastRenderedPageBreak/>
        <w:t>Lesões ou condições</w:t>
      </w:r>
      <w:r w:rsidR="000A3DB5" w:rsidRPr="0063119B">
        <w:rPr>
          <w:noProof/>
          <w:szCs w:val="22"/>
        </w:rPr>
        <w:t xml:space="preserve">, se consideradas como </w:t>
      </w:r>
      <w:r w:rsidR="00792E06" w:rsidRPr="0063119B">
        <w:rPr>
          <w:noProof/>
          <w:szCs w:val="22"/>
        </w:rPr>
        <w:t>apresentando</w:t>
      </w:r>
      <w:r w:rsidR="000A3DB5" w:rsidRPr="0063119B">
        <w:rPr>
          <w:noProof/>
          <w:szCs w:val="22"/>
        </w:rPr>
        <w:t xml:space="preserve"> um</w:t>
      </w:r>
      <w:r w:rsidRPr="0063119B">
        <w:rPr>
          <w:noProof/>
          <w:szCs w:val="22"/>
        </w:rPr>
        <w:t xml:space="preserve"> risco significativo de grande hemorragia</w:t>
      </w:r>
      <w:r w:rsidR="000A3DB5" w:rsidRPr="0063119B">
        <w:rPr>
          <w:noProof/>
          <w:szCs w:val="22"/>
        </w:rPr>
        <w:t>. Estas podem incluir</w:t>
      </w:r>
      <w:r w:rsidRPr="0063119B">
        <w:rPr>
          <w:noProof/>
          <w:szCs w:val="22"/>
        </w:rPr>
        <w:t xml:space="preserve"> úlceras gastrointestinais atuais ou recentes, presença de neoplasias malignas com elevado risco de hemorragia, lesão recente no cérebro ou na espinal medula, cirurgia cerebral, espinal ou oftálmica recente, hemorragia intracraniana recente, suspeita ou conhecimento de varizes esofágicas, malformações arteriovenosas, aneurismas vasculares ou grandes anomalias vasculares intraespinais ou intracerebrais.</w:t>
      </w:r>
    </w:p>
    <w:p w14:paraId="0055646B" w14:textId="77777777" w:rsidR="001B7699" w:rsidRPr="0063119B" w:rsidRDefault="001B7699" w:rsidP="001B7699">
      <w:pPr>
        <w:suppressAutoHyphens/>
        <w:rPr>
          <w:noProof/>
          <w:szCs w:val="22"/>
        </w:rPr>
      </w:pPr>
    </w:p>
    <w:p w14:paraId="66FA0601" w14:textId="77777777" w:rsidR="001B7699" w:rsidRPr="0063119B" w:rsidRDefault="001B7699" w:rsidP="001B7699">
      <w:pPr>
        <w:autoSpaceDE w:val="0"/>
        <w:autoSpaceDN w:val="0"/>
        <w:adjustRightInd w:val="0"/>
        <w:rPr>
          <w:noProof/>
          <w:szCs w:val="22"/>
        </w:rPr>
      </w:pPr>
      <w:r w:rsidRPr="0063119B">
        <w:rPr>
          <w:noProof/>
          <w:szCs w:val="22"/>
        </w:rPr>
        <w:t>O tratamento concomitante com qua</w:t>
      </w:r>
      <w:r w:rsidR="000A3DB5" w:rsidRPr="0063119B">
        <w:rPr>
          <w:noProof/>
          <w:szCs w:val="22"/>
        </w:rPr>
        <w:t>isquer</w:t>
      </w:r>
      <w:r w:rsidRPr="0063119B">
        <w:rPr>
          <w:noProof/>
          <w:szCs w:val="22"/>
        </w:rPr>
        <w:t xml:space="preserve"> outro</w:t>
      </w:r>
      <w:r w:rsidR="000A3DB5" w:rsidRPr="0063119B">
        <w:rPr>
          <w:noProof/>
          <w:szCs w:val="22"/>
        </w:rPr>
        <w:t>s</w:t>
      </w:r>
      <w:r w:rsidRPr="0063119B">
        <w:rPr>
          <w:noProof/>
          <w:szCs w:val="22"/>
        </w:rPr>
        <w:t xml:space="preserve"> anticoagulante</w:t>
      </w:r>
      <w:r w:rsidR="000A3DB5" w:rsidRPr="0063119B">
        <w:rPr>
          <w:noProof/>
          <w:szCs w:val="22"/>
        </w:rPr>
        <w:t>s</w:t>
      </w:r>
      <w:r w:rsidRPr="0063119B">
        <w:rPr>
          <w:noProof/>
          <w:szCs w:val="22"/>
        </w:rPr>
        <w:t>, ex.: heparina não fracionada (HNF), heparinas de baixo peso molecular (enoxaparina, dalteparina, etc.), derivados da heparina</w:t>
      </w:r>
    </w:p>
    <w:p w14:paraId="20C549DB" w14:textId="77777777" w:rsidR="001B7699" w:rsidRPr="0063119B" w:rsidRDefault="001B7699" w:rsidP="001B7699">
      <w:pPr>
        <w:autoSpaceDE w:val="0"/>
        <w:autoSpaceDN w:val="0"/>
        <w:adjustRightInd w:val="0"/>
        <w:rPr>
          <w:noProof/>
          <w:szCs w:val="22"/>
        </w:rPr>
      </w:pPr>
      <w:r w:rsidRPr="0063119B">
        <w:rPr>
          <w:noProof/>
          <w:szCs w:val="22"/>
        </w:rPr>
        <w:t>(fondaparinux, etc.), anticoagulantes orais (varfarina, dabigatrano</w:t>
      </w:r>
      <w:r w:rsidR="00643E28" w:rsidRPr="0063119B">
        <w:rPr>
          <w:noProof/>
          <w:szCs w:val="22"/>
        </w:rPr>
        <w:t xml:space="preserve"> </w:t>
      </w:r>
      <w:r w:rsidR="00110F99" w:rsidRPr="0063119B">
        <w:rPr>
          <w:noProof/>
          <w:szCs w:val="22"/>
        </w:rPr>
        <w:t>etexilato, apixaban</w:t>
      </w:r>
      <w:r w:rsidR="000151B1" w:rsidRPr="0063119B">
        <w:rPr>
          <w:noProof/>
          <w:szCs w:val="22"/>
        </w:rPr>
        <w:t>o</w:t>
      </w:r>
      <w:r w:rsidR="00110F99" w:rsidRPr="0063119B">
        <w:rPr>
          <w:noProof/>
          <w:szCs w:val="22"/>
        </w:rPr>
        <w:t xml:space="preserve">, </w:t>
      </w:r>
      <w:r w:rsidRPr="0063119B">
        <w:rPr>
          <w:noProof/>
          <w:szCs w:val="22"/>
        </w:rPr>
        <w:t>etc.), exceto nas</w:t>
      </w:r>
      <w:r w:rsidR="00CA3934" w:rsidRPr="0063119B">
        <w:rPr>
          <w:noProof/>
          <w:szCs w:val="22"/>
        </w:rPr>
        <w:t xml:space="preserve"> </w:t>
      </w:r>
      <w:r w:rsidRPr="0063119B">
        <w:rPr>
          <w:noProof/>
          <w:szCs w:val="22"/>
        </w:rPr>
        <w:t>circunstâncias</w:t>
      </w:r>
      <w:r w:rsidR="00ED0280" w:rsidRPr="0063119B">
        <w:rPr>
          <w:noProof/>
          <w:szCs w:val="22"/>
        </w:rPr>
        <w:t xml:space="preserve"> específicas</w:t>
      </w:r>
      <w:r w:rsidRPr="0063119B">
        <w:rPr>
          <w:noProof/>
          <w:szCs w:val="22"/>
        </w:rPr>
        <w:t xml:space="preserve"> de mudança de terapêutica </w:t>
      </w:r>
      <w:r w:rsidR="00ED0280" w:rsidRPr="0063119B">
        <w:rPr>
          <w:noProof/>
          <w:szCs w:val="22"/>
        </w:rPr>
        <w:t xml:space="preserve">anticoagulante </w:t>
      </w:r>
      <w:r w:rsidRPr="0063119B">
        <w:rPr>
          <w:noProof/>
          <w:szCs w:val="22"/>
        </w:rPr>
        <w:t>(ver secção 4.2) ou quando são</w:t>
      </w:r>
      <w:r w:rsidR="00160025" w:rsidRPr="0063119B">
        <w:rPr>
          <w:noProof/>
          <w:szCs w:val="22"/>
        </w:rPr>
        <w:t xml:space="preserve"> </w:t>
      </w:r>
      <w:r w:rsidRPr="0063119B">
        <w:rPr>
          <w:noProof/>
          <w:szCs w:val="22"/>
        </w:rPr>
        <w:t xml:space="preserve">administradas doses de HNF necessárias para manter </w:t>
      </w:r>
      <w:r w:rsidR="000741CC" w:rsidRPr="0063119B">
        <w:rPr>
          <w:noProof/>
          <w:szCs w:val="22"/>
        </w:rPr>
        <w:t xml:space="preserve">aberto </w:t>
      </w:r>
      <w:r w:rsidRPr="0063119B">
        <w:rPr>
          <w:noProof/>
          <w:szCs w:val="22"/>
        </w:rPr>
        <w:t>um acesso venoso central ou um cateter arterial</w:t>
      </w:r>
      <w:r w:rsidR="00110F99" w:rsidRPr="0063119B">
        <w:rPr>
          <w:noProof/>
          <w:szCs w:val="22"/>
        </w:rPr>
        <w:t xml:space="preserve"> (ver secção 4.5)</w:t>
      </w:r>
      <w:r w:rsidRPr="0063119B">
        <w:rPr>
          <w:noProof/>
          <w:szCs w:val="22"/>
        </w:rPr>
        <w:t>.</w:t>
      </w:r>
    </w:p>
    <w:p w14:paraId="4BAF113A" w14:textId="77777777" w:rsidR="001B7699" w:rsidRPr="0063119B" w:rsidRDefault="001B7699" w:rsidP="001B7699">
      <w:pPr>
        <w:suppressAutoHyphens/>
        <w:rPr>
          <w:noProof/>
          <w:szCs w:val="22"/>
        </w:rPr>
      </w:pPr>
    </w:p>
    <w:p w14:paraId="1634C087" w14:textId="77777777" w:rsidR="001B7699" w:rsidRPr="0063119B" w:rsidRDefault="001B7699" w:rsidP="001B7699">
      <w:pPr>
        <w:autoSpaceDE w:val="0"/>
        <w:autoSpaceDN w:val="0"/>
        <w:adjustRightInd w:val="0"/>
        <w:rPr>
          <w:noProof/>
          <w:szCs w:val="22"/>
        </w:rPr>
      </w:pPr>
      <w:r w:rsidRPr="0063119B">
        <w:rPr>
          <w:noProof/>
          <w:szCs w:val="22"/>
        </w:rPr>
        <w:t>O tratamento concomitante da SCA com terapêutica antiplaquetária em doentes com acidente vascular cerebral ou acidente isquémico transitório (AIT) anterior (ver secção 4.4).</w:t>
      </w:r>
    </w:p>
    <w:p w14:paraId="00CAC873" w14:textId="77777777" w:rsidR="00144DA6" w:rsidRPr="0063119B" w:rsidRDefault="00144DA6" w:rsidP="00144DA6">
      <w:pPr>
        <w:autoSpaceDE w:val="0"/>
        <w:autoSpaceDN w:val="0"/>
        <w:adjustRightInd w:val="0"/>
        <w:rPr>
          <w:noProof/>
          <w:szCs w:val="22"/>
        </w:rPr>
      </w:pPr>
    </w:p>
    <w:p w14:paraId="7E78893D" w14:textId="77777777" w:rsidR="001B7699" w:rsidRPr="0063119B" w:rsidRDefault="00144DA6" w:rsidP="00144DA6">
      <w:pPr>
        <w:autoSpaceDE w:val="0"/>
        <w:autoSpaceDN w:val="0"/>
        <w:adjustRightInd w:val="0"/>
        <w:rPr>
          <w:noProof/>
          <w:szCs w:val="22"/>
        </w:rPr>
      </w:pPr>
      <w:r w:rsidRPr="0063119B">
        <w:rPr>
          <w:noProof/>
          <w:szCs w:val="22"/>
        </w:rPr>
        <w:t>Tratamento concomitante da DAC/DAP com AAS em doentes com acidente vascular hemorrágico ou lacunar</w:t>
      </w:r>
      <w:r w:rsidR="00C16E6F" w:rsidRPr="0063119B">
        <w:rPr>
          <w:noProof/>
          <w:szCs w:val="22"/>
        </w:rPr>
        <w:t xml:space="preserve"> prévio</w:t>
      </w:r>
      <w:r w:rsidRPr="0063119B">
        <w:rPr>
          <w:noProof/>
          <w:szCs w:val="22"/>
        </w:rPr>
        <w:t>, ou com qualquer acidente vascular no período de um mês (ver secção 4.4).</w:t>
      </w:r>
    </w:p>
    <w:p w14:paraId="7135E278" w14:textId="77777777" w:rsidR="00144DA6" w:rsidRPr="0063119B" w:rsidRDefault="00144DA6" w:rsidP="00144DA6">
      <w:pPr>
        <w:autoSpaceDE w:val="0"/>
        <w:autoSpaceDN w:val="0"/>
        <w:adjustRightInd w:val="0"/>
        <w:rPr>
          <w:noProof/>
          <w:szCs w:val="22"/>
        </w:rPr>
      </w:pPr>
    </w:p>
    <w:p w14:paraId="3B3DFDF8" w14:textId="77777777" w:rsidR="001B7699" w:rsidRPr="0063119B" w:rsidRDefault="001B7699" w:rsidP="001B7699">
      <w:pPr>
        <w:suppressAutoHyphens/>
        <w:rPr>
          <w:noProof/>
          <w:szCs w:val="22"/>
        </w:rPr>
      </w:pPr>
      <w:r w:rsidRPr="0063119B">
        <w:rPr>
          <w:noProof/>
          <w:szCs w:val="22"/>
        </w:rPr>
        <w:t>Doença hepática associada a coagulopatia e risco de hemorragia clinicamente relevante, incluindo doentes com cirrose com Child Pugh B e C (ver secção 5.2).</w:t>
      </w:r>
    </w:p>
    <w:p w14:paraId="5444EDFB" w14:textId="77777777" w:rsidR="001B7699" w:rsidRPr="0063119B" w:rsidRDefault="001B7699" w:rsidP="001B7699">
      <w:pPr>
        <w:suppressAutoHyphens/>
        <w:rPr>
          <w:noProof/>
          <w:szCs w:val="22"/>
        </w:rPr>
      </w:pPr>
    </w:p>
    <w:p w14:paraId="736A9CAF" w14:textId="77777777" w:rsidR="001B7699" w:rsidRPr="0063119B" w:rsidRDefault="001B7699" w:rsidP="001B7699">
      <w:pPr>
        <w:suppressAutoHyphens/>
        <w:rPr>
          <w:noProof/>
          <w:szCs w:val="22"/>
        </w:rPr>
      </w:pPr>
      <w:r w:rsidRPr="0063119B">
        <w:rPr>
          <w:noProof/>
          <w:szCs w:val="22"/>
        </w:rPr>
        <w:t>Gravidez e amamentação (ver secção 4.6).</w:t>
      </w:r>
    </w:p>
    <w:p w14:paraId="5C09D1FE" w14:textId="77777777" w:rsidR="001B7699" w:rsidRPr="0063119B" w:rsidRDefault="001B7699" w:rsidP="001B7699">
      <w:pPr>
        <w:suppressAutoHyphens/>
        <w:rPr>
          <w:noProof/>
          <w:szCs w:val="22"/>
        </w:rPr>
      </w:pPr>
    </w:p>
    <w:p w14:paraId="7FC9F72E" w14:textId="77777777" w:rsidR="001B7699" w:rsidRPr="0063119B" w:rsidRDefault="001B7699" w:rsidP="001B7699">
      <w:pPr>
        <w:keepNext/>
        <w:suppressAutoHyphens/>
        <w:ind w:left="567" w:hanging="567"/>
        <w:rPr>
          <w:noProof/>
          <w:szCs w:val="22"/>
        </w:rPr>
      </w:pPr>
      <w:r w:rsidRPr="0063119B">
        <w:rPr>
          <w:b/>
          <w:noProof/>
          <w:szCs w:val="22"/>
        </w:rPr>
        <w:t>4.4</w:t>
      </w:r>
      <w:r w:rsidRPr="0063119B">
        <w:rPr>
          <w:b/>
          <w:noProof/>
          <w:szCs w:val="22"/>
        </w:rPr>
        <w:tab/>
        <w:t>Advertências e precauções especiais de utilização</w:t>
      </w:r>
    </w:p>
    <w:p w14:paraId="021C8DDC" w14:textId="77777777" w:rsidR="001B7699" w:rsidRPr="0063119B" w:rsidRDefault="001B7699" w:rsidP="001B7699">
      <w:pPr>
        <w:keepNext/>
        <w:suppressAutoHyphens/>
        <w:rPr>
          <w:noProof/>
          <w:szCs w:val="22"/>
        </w:rPr>
      </w:pPr>
    </w:p>
    <w:p w14:paraId="1C7AE500" w14:textId="77777777" w:rsidR="001B7699" w:rsidRPr="0063119B" w:rsidRDefault="0023360A" w:rsidP="001B7699">
      <w:pPr>
        <w:keepNext/>
        <w:rPr>
          <w:szCs w:val="22"/>
        </w:rPr>
      </w:pPr>
      <w:r w:rsidRPr="0063119B">
        <w:rPr>
          <w:szCs w:val="22"/>
        </w:rPr>
        <w:t>Em doentes com SCA, a</w:t>
      </w:r>
      <w:r w:rsidR="001B7699" w:rsidRPr="0063119B">
        <w:rPr>
          <w:szCs w:val="22"/>
        </w:rPr>
        <w:t xml:space="preserve"> eficácia e segurança de </w:t>
      </w:r>
      <w:r w:rsidR="00C21D14" w:rsidRPr="0063119B">
        <w:rPr>
          <w:szCs w:val="22"/>
        </w:rPr>
        <w:t>2,5 mg</w:t>
      </w:r>
      <w:r w:rsidR="001B7699" w:rsidRPr="0063119B">
        <w:rPr>
          <w:szCs w:val="22"/>
        </w:rPr>
        <w:t xml:space="preserve"> </w:t>
      </w:r>
      <w:r w:rsidR="00E9279A" w:rsidRPr="0063119B">
        <w:rPr>
          <w:szCs w:val="22"/>
        </w:rPr>
        <w:t xml:space="preserve">de rivaroxabano </w:t>
      </w:r>
      <w:r w:rsidR="00577897">
        <w:rPr>
          <w:szCs w:val="22"/>
        </w:rPr>
        <w:t xml:space="preserve">duas vezes por dia </w:t>
      </w:r>
      <w:r w:rsidR="001B7699" w:rsidRPr="0063119B">
        <w:rPr>
          <w:szCs w:val="22"/>
        </w:rPr>
        <w:t xml:space="preserve">foram investigadas em combinação com </w:t>
      </w:r>
      <w:r w:rsidR="00865876" w:rsidRPr="0063119B">
        <w:rPr>
          <w:szCs w:val="22"/>
        </w:rPr>
        <w:t>a</w:t>
      </w:r>
      <w:r w:rsidR="001B7699" w:rsidRPr="0063119B">
        <w:rPr>
          <w:szCs w:val="22"/>
        </w:rPr>
        <w:t xml:space="preserve">s </w:t>
      </w:r>
      <w:r w:rsidR="00865876" w:rsidRPr="0063119B">
        <w:rPr>
          <w:szCs w:val="22"/>
        </w:rPr>
        <w:t>substâncias</w:t>
      </w:r>
      <w:r w:rsidR="001B7699" w:rsidRPr="0063119B">
        <w:rPr>
          <w:szCs w:val="22"/>
        </w:rPr>
        <w:t xml:space="preserve"> antiplaquetári</w:t>
      </w:r>
      <w:r w:rsidR="00865876" w:rsidRPr="0063119B">
        <w:rPr>
          <w:szCs w:val="22"/>
        </w:rPr>
        <w:t>a</w:t>
      </w:r>
      <w:r w:rsidR="001B7699" w:rsidRPr="0063119B">
        <w:rPr>
          <w:szCs w:val="22"/>
        </w:rPr>
        <w:t xml:space="preserve">s </w:t>
      </w:r>
      <w:r w:rsidR="00C66F4D" w:rsidRPr="0063119B">
        <w:rPr>
          <w:szCs w:val="22"/>
        </w:rPr>
        <w:t>AAS isoladamente ou AAS mais</w:t>
      </w:r>
      <w:r w:rsidR="001B7699" w:rsidRPr="0063119B">
        <w:rPr>
          <w:szCs w:val="22"/>
        </w:rPr>
        <w:t xml:space="preserve"> clopidogrel/ticlopidina. </w:t>
      </w:r>
    </w:p>
    <w:p w14:paraId="31AFEDB2" w14:textId="77777777" w:rsidR="0023360A" w:rsidRDefault="00C21D14" w:rsidP="0023360A">
      <w:pPr>
        <w:keepNext/>
        <w:rPr>
          <w:noProof/>
          <w:szCs w:val="22"/>
        </w:rPr>
      </w:pPr>
      <w:r w:rsidRPr="0063119B">
        <w:rPr>
          <w:noProof/>
          <w:szCs w:val="22"/>
        </w:rPr>
        <w:t xml:space="preserve">Em doentes com DAC </w:t>
      </w:r>
      <w:r w:rsidR="00BA6C89" w:rsidRPr="0063119B">
        <w:rPr>
          <w:noProof/>
          <w:szCs w:val="22"/>
        </w:rPr>
        <w:t xml:space="preserve">/DAP </w:t>
      </w:r>
      <w:r w:rsidRPr="0063119B">
        <w:rPr>
          <w:noProof/>
          <w:szCs w:val="22"/>
        </w:rPr>
        <w:t>co</w:t>
      </w:r>
      <w:r w:rsidR="0023360A" w:rsidRPr="0063119B">
        <w:rPr>
          <w:noProof/>
          <w:szCs w:val="22"/>
        </w:rPr>
        <w:t>m alto risco de acontecimentos isquémicos, a seg</w:t>
      </w:r>
      <w:r w:rsidRPr="0063119B">
        <w:rPr>
          <w:noProof/>
          <w:szCs w:val="22"/>
        </w:rPr>
        <w:t xml:space="preserve">urança e eficácia de </w:t>
      </w:r>
      <w:r w:rsidR="0023360A" w:rsidRPr="0063119B">
        <w:rPr>
          <w:noProof/>
          <w:szCs w:val="22"/>
        </w:rPr>
        <w:t xml:space="preserve">2,5 mg </w:t>
      </w:r>
      <w:r w:rsidR="00E9279A" w:rsidRPr="0063119B">
        <w:rPr>
          <w:noProof/>
          <w:szCs w:val="22"/>
        </w:rPr>
        <w:t xml:space="preserve">de </w:t>
      </w:r>
      <w:r w:rsidR="00E9279A" w:rsidRPr="0063119B">
        <w:rPr>
          <w:szCs w:val="22"/>
        </w:rPr>
        <w:t>rivaroxabano</w:t>
      </w:r>
      <w:r w:rsidR="00577897">
        <w:rPr>
          <w:szCs w:val="22"/>
        </w:rPr>
        <w:t xml:space="preserve"> duas vezes por dia</w:t>
      </w:r>
      <w:r w:rsidR="00E9279A" w:rsidRPr="0063119B">
        <w:rPr>
          <w:noProof/>
          <w:szCs w:val="22"/>
        </w:rPr>
        <w:t xml:space="preserve"> </w:t>
      </w:r>
      <w:r w:rsidR="0023360A" w:rsidRPr="0063119B">
        <w:rPr>
          <w:noProof/>
          <w:szCs w:val="22"/>
        </w:rPr>
        <w:t xml:space="preserve">foram </w:t>
      </w:r>
      <w:r w:rsidR="00BA6C89" w:rsidRPr="0063119B">
        <w:rPr>
          <w:noProof/>
          <w:szCs w:val="22"/>
        </w:rPr>
        <w:t xml:space="preserve">apenas </w:t>
      </w:r>
      <w:r w:rsidR="0023360A" w:rsidRPr="0063119B">
        <w:rPr>
          <w:noProof/>
          <w:szCs w:val="22"/>
        </w:rPr>
        <w:t>investigadas e</w:t>
      </w:r>
      <w:r w:rsidR="00C66F4D" w:rsidRPr="0063119B">
        <w:rPr>
          <w:noProof/>
          <w:szCs w:val="22"/>
        </w:rPr>
        <w:t>m associação com AAS.</w:t>
      </w:r>
    </w:p>
    <w:p w14:paraId="453E9517" w14:textId="77777777" w:rsidR="00577897" w:rsidRDefault="00577897" w:rsidP="0023360A">
      <w:pPr>
        <w:keepNext/>
      </w:pPr>
      <w:r>
        <w:t>Investigou-se a eficácia e a segurança de rivaroxabano 2,5 mg duas vezes por dia em associação com a substância antiplaquetária AAS isolada ou AAS mais clopidogrel de curta duração em doentes após um procedimento de revascularização recente do membro inferior devido a DAP sintomática. Se necessário, a terapêutica antiplaquetária dupla com clopidogrel deve ser de curta duração; deve evitar-se a terapêutica antiplaquetária dupla de longo duração (ver secção 5.1).</w:t>
      </w:r>
    </w:p>
    <w:p w14:paraId="0CEA5B84" w14:textId="77777777" w:rsidR="00577897" w:rsidRDefault="00577897" w:rsidP="0023360A">
      <w:pPr>
        <w:keepNext/>
      </w:pPr>
    </w:p>
    <w:p w14:paraId="15C5875C" w14:textId="77777777" w:rsidR="00577897" w:rsidRPr="0063119B" w:rsidRDefault="00577897" w:rsidP="0023360A">
      <w:pPr>
        <w:keepNext/>
        <w:rPr>
          <w:noProof/>
          <w:szCs w:val="22"/>
        </w:rPr>
      </w:pPr>
      <w:r>
        <w:t>O tratamento em associação com outras substâncias antiplaquetárias, p. ex., prasugrel ou ticagrelor, não foi estudado e não é recomendado.</w:t>
      </w:r>
    </w:p>
    <w:p w14:paraId="55E694EF" w14:textId="77777777" w:rsidR="001B7699" w:rsidRPr="0063119B" w:rsidRDefault="001B7699" w:rsidP="001B7699">
      <w:pPr>
        <w:keepNext/>
        <w:rPr>
          <w:szCs w:val="22"/>
        </w:rPr>
      </w:pPr>
    </w:p>
    <w:p w14:paraId="09EC7DBA" w14:textId="77777777" w:rsidR="001B7699" w:rsidRPr="0063119B" w:rsidRDefault="001B7699" w:rsidP="001B7699">
      <w:pPr>
        <w:keepNext/>
        <w:rPr>
          <w:szCs w:val="22"/>
        </w:rPr>
      </w:pPr>
      <w:r w:rsidRPr="0063119B">
        <w:rPr>
          <w:szCs w:val="22"/>
        </w:rPr>
        <w:t>Recomenda</w:t>
      </w:r>
      <w:r w:rsidRPr="0063119B">
        <w:rPr>
          <w:szCs w:val="22"/>
        </w:rPr>
        <w:noBreakHyphen/>
        <w:t>se vigilância clínica, de acordo com as práticas de anticoagulação, durante todo o período de tratamento.</w:t>
      </w:r>
    </w:p>
    <w:p w14:paraId="50A0076F" w14:textId="77777777" w:rsidR="001B7699" w:rsidRPr="0063119B" w:rsidRDefault="001B7699" w:rsidP="001B7699">
      <w:pPr>
        <w:suppressAutoHyphens/>
        <w:rPr>
          <w:noProof/>
          <w:szCs w:val="22"/>
        </w:rPr>
      </w:pPr>
    </w:p>
    <w:p w14:paraId="264A1660" w14:textId="77777777" w:rsidR="001B7699" w:rsidRDefault="001B7699" w:rsidP="001B7699">
      <w:pPr>
        <w:suppressAutoHyphens/>
        <w:rPr>
          <w:noProof/>
          <w:szCs w:val="22"/>
          <w:u w:val="single"/>
        </w:rPr>
      </w:pPr>
      <w:r w:rsidRPr="0063119B">
        <w:rPr>
          <w:noProof/>
          <w:szCs w:val="22"/>
          <w:u w:val="single"/>
        </w:rPr>
        <w:t>Risco hemorrágico</w:t>
      </w:r>
    </w:p>
    <w:p w14:paraId="03492DAE" w14:textId="77777777" w:rsidR="00A97106" w:rsidRPr="0063119B" w:rsidRDefault="00A97106" w:rsidP="001B7699">
      <w:pPr>
        <w:suppressAutoHyphens/>
        <w:rPr>
          <w:noProof/>
          <w:szCs w:val="22"/>
          <w:u w:val="single"/>
        </w:rPr>
      </w:pPr>
    </w:p>
    <w:p w14:paraId="296A26A8" w14:textId="77777777" w:rsidR="001B7699" w:rsidRPr="0063119B" w:rsidRDefault="001B7699" w:rsidP="001B7699">
      <w:pPr>
        <w:suppressAutoHyphens/>
        <w:rPr>
          <w:noProof/>
          <w:szCs w:val="22"/>
        </w:rPr>
      </w:pPr>
      <w:r w:rsidRPr="0063119B">
        <w:rPr>
          <w:noProof/>
          <w:szCs w:val="22"/>
        </w:rPr>
        <w:t xml:space="preserve">Tal como com outros anticoagulantes, os doentes que tomam </w:t>
      </w:r>
      <w:r w:rsidR="00607DE4">
        <w:rPr>
          <w:noProof/>
          <w:szCs w:val="22"/>
        </w:rPr>
        <w:t>Rivaroxabano</w:t>
      </w:r>
      <w:r w:rsidR="00E9279A" w:rsidRPr="0063119B">
        <w:rPr>
          <w:noProof/>
          <w:szCs w:val="22"/>
        </w:rPr>
        <w:t xml:space="preserve"> Accord</w:t>
      </w:r>
      <w:r w:rsidRPr="0063119B">
        <w:rPr>
          <w:noProof/>
          <w:szCs w:val="22"/>
        </w:rPr>
        <w:t xml:space="preserve"> devem ser cuidadosamente observados quanto a sinais de hemorragia. Recomenda-se precaução ao ser utilizado em situações com risco aumentado de hemorragia. A administração de </w:t>
      </w:r>
      <w:r w:rsidR="00607DE4">
        <w:rPr>
          <w:noProof/>
          <w:szCs w:val="22"/>
        </w:rPr>
        <w:t>Rivaroxabano</w:t>
      </w:r>
      <w:r w:rsidR="00E9279A" w:rsidRPr="0063119B">
        <w:rPr>
          <w:noProof/>
          <w:szCs w:val="22"/>
        </w:rPr>
        <w:t xml:space="preserve"> Accord</w:t>
      </w:r>
      <w:r w:rsidRPr="0063119B">
        <w:rPr>
          <w:noProof/>
          <w:szCs w:val="22"/>
        </w:rPr>
        <w:t xml:space="preserve"> deve ser interrompida se ocorrer hemorragia grave</w:t>
      </w:r>
      <w:r w:rsidR="00CD1B38" w:rsidRPr="0063119B">
        <w:rPr>
          <w:noProof/>
          <w:szCs w:val="22"/>
        </w:rPr>
        <w:t xml:space="preserve"> (ver secção 4.9)</w:t>
      </w:r>
      <w:r w:rsidRPr="0063119B">
        <w:rPr>
          <w:noProof/>
          <w:szCs w:val="22"/>
        </w:rPr>
        <w:t>.</w:t>
      </w:r>
    </w:p>
    <w:p w14:paraId="6859C895" w14:textId="77777777" w:rsidR="001B7699" w:rsidRPr="0063119B" w:rsidRDefault="001B7699" w:rsidP="001B7699">
      <w:pPr>
        <w:suppressAutoHyphens/>
        <w:rPr>
          <w:noProof/>
          <w:szCs w:val="22"/>
        </w:rPr>
      </w:pPr>
    </w:p>
    <w:p w14:paraId="5770ECE5" w14:textId="77777777" w:rsidR="001B7699" w:rsidRPr="0063119B" w:rsidRDefault="001B7699" w:rsidP="001B7699">
      <w:pPr>
        <w:suppressAutoHyphens/>
        <w:rPr>
          <w:noProof/>
          <w:szCs w:val="22"/>
        </w:rPr>
      </w:pPr>
      <w:r w:rsidRPr="0063119B">
        <w:rPr>
          <w:noProof/>
          <w:szCs w:val="22"/>
        </w:rPr>
        <w:t>Em estudos clínicos, foram observadas com maior frequência hemorragias das mucosas (ex.: epistaxe, gengival, gastrointestinal, genitourinária</w:t>
      </w:r>
      <w:r w:rsidR="00883A30" w:rsidRPr="0063119B">
        <w:rPr>
          <w:noProof/>
          <w:szCs w:val="22"/>
        </w:rPr>
        <w:t xml:space="preserve"> incluindo hemorragia vaginal anormal ou menstrual aumentada</w:t>
      </w:r>
      <w:r w:rsidRPr="0063119B">
        <w:rPr>
          <w:noProof/>
          <w:szCs w:val="22"/>
        </w:rPr>
        <w:t>) e anemia durante o tratamento prolongado com rivaroxabano, adicionalmente à terapêutica antiplaquetária única ou dupla. Assim, para além de uma vigilância clínica adequada, testes laboratoriais de hemoglobina/hematócrito podem ser uma mais-valia para detetar hemorragias ocultas</w:t>
      </w:r>
      <w:r w:rsidR="00883A30" w:rsidRPr="0063119B">
        <w:rPr>
          <w:noProof/>
          <w:szCs w:val="22"/>
        </w:rPr>
        <w:t xml:space="preserve"> e quantificar a relevância clínica de uma hemorragia óbvia</w:t>
      </w:r>
      <w:r w:rsidRPr="0063119B">
        <w:rPr>
          <w:noProof/>
          <w:szCs w:val="22"/>
        </w:rPr>
        <w:t>, quando considerado necessário.</w:t>
      </w:r>
    </w:p>
    <w:p w14:paraId="223CF532" w14:textId="77777777" w:rsidR="001B7699" w:rsidRPr="0063119B" w:rsidRDefault="001B7699" w:rsidP="001B7699">
      <w:pPr>
        <w:suppressAutoHyphens/>
        <w:rPr>
          <w:noProof/>
          <w:szCs w:val="22"/>
        </w:rPr>
      </w:pPr>
    </w:p>
    <w:p w14:paraId="17973723" w14:textId="77777777" w:rsidR="001B7699" w:rsidRPr="0063119B" w:rsidRDefault="001B7699" w:rsidP="001B7699">
      <w:pPr>
        <w:suppressAutoHyphens/>
        <w:rPr>
          <w:noProof/>
          <w:szCs w:val="22"/>
        </w:rPr>
      </w:pPr>
      <w:r w:rsidRPr="0063119B">
        <w:rPr>
          <w:noProof/>
          <w:szCs w:val="22"/>
        </w:rPr>
        <w:t xml:space="preserve">Vários subgrupos de doentes, como abaixo detalhado, apresentam um risco aumentado de hemorragia. Assim, a utilização de </w:t>
      </w:r>
      <w:r w:rsidR="00E9279A" w:rsidRPr="0063119B">
        <w:rPr>
          <w:noProof/>
          <w:szCs w:val="22"/>
        </w:rPr>
        <w:t>rivaroxabano</w:t>
      </w:r>
      <w:r w:rsidRPr="0063119B">
        <w:rPr>
          <w:noProof/>
          <w:szCs w:val="22"/>
        </w:rPr>
        <w:t xml:space="preserve"> em combinação com a terapêutica antiplaquetária dupla em doentes com risco aumentado conhecido de hemorragia deve ser ponderada contra o benefício em termos de prevenção de acontecimentos aterotrombóticos. Além disso, estes doentes devem ser cuidadosamente monitorizados quanto a sinais e sintomas de complicações hemorrágicas e anemia após o início do tratamento (ver secção 4.8).</w:t>
      </w:r>
    </w:p>
    <w:p w14:paraId="1F2B077E" w14:textId="77777777" w:rsidR="001B7699" w:rsidRPr="0063119B" w:rsidRDefault="001B7699" w:rsidP="001B7699">
      <w:pPr>
        <w:suppressAutoHyphens/>
        <w:rPr>
          <w:noProof/>
          <w:szCs w:val="22"/>
        </w:rPr>
      </w:pPr>
      <w:r w:rsidRPr="0063119B">
        <w:rPr>
          <w:noProof/>
          <w:szCs w:val="22"/>
        </w:rPr>
        <w:t>Qualquer diminuição inexplicável da hemoglobina ou da pressão sanguínea deve conduzir a uma pesquisa de um local hemorrágico.</w:t>
      </w:r>
    </w:p>
    <w:p w14:paraId="50CB3514" w14:textId="77777777" w:rsidR="001B7699" w:rsidRPr="0063119B" w:rsidRDefault="001B7699" w:rsidP="001B7699">
      <w:pPr>
        <w:suppressAutoHyphens/>
        <w:rPr>
          <w:noProof/>
          <w:szCs w:val="22"/>
        </w:rPr>
      </w:pPr>
    </w:p>
    <w:p w14:paraId="1EC024F9" w14:textId="77777777" w:rsidR="001B7699" w:rsidRPr="0063119B" w:rsidRDefault="001B7699" w:rsidP="001B7699">
      <w:pPr>
        <w:suppressAutoHyphens/>
        <w:rPr>
          <w:noProof/>
          <w:szCs w:val="22"/>
        </w:rPr>
      </w:pPr>
      <w:r w:rsidRPr="0063119B">
        <w:rPr>
          <w:noProof/>
          <w:szCs w:val="22"/>
        </w:rPr>
        <w:t>Embora o tratamento com rivaroxabano não necessite de monitorização de rotina da exposição, a medição dos níveis de rivaroxabano pelo teste quantitativo calibrado antifator</w:t>
      </w:r>
      <w:r w:rsidR="009139A0" w:rsidRPr="0063119B">
        <w:rPr>
          <w:noProof/>
          <w:szCs w:val="22"/>
        </w:rPr>
        <w:t> </w:t>
      </w:r>
      <w:r w:rsidRPr="0063119B">
        <w:rPr>
          <w:noProof/>
          <w:szCs w:val="22"/>
        </w:rPr>
        <w:t>Xa pode ser útil em situações excecionais em que o conhecimento da exposição ao rivaroxabano pode ajudar a fundamentar decisões clínicas, ex.: sobredosagem e cirurgia de emergência (ver secções</w:t>
      </w:r>
      <w:r w:rsidR="00E9279A" w:rsidRPr="0063119B">
        <w:rPr>
          <w:noProof/>
          <w:szCs w:val="22"/>
        </w:rPr>
        <w:t> </w:t>
      </w:r>
      <w:r w:rsidRPr="0063119B">
        <w:rPr>
          <w:noProof/>
          <w:szCs w:val="22"/>
        </w:rPr>
        <w:t>5.1 e 5.2).</w:t>
      </w:r>
    </w:p>
    <w:p w14:paraId="4C571CBA" w14:textId="77777777" w:rsidR="001B7699" w:rsidRPr="0063119B" w:rsidRDefault="001B7699" w:rsidP="001B7699">
      <w:pPr>
        <w:suppressAutoHyphens/>
        <w:rPr>
          <w:noProof/>
          <w:szCs w:val="22"/>
        </w:rPr>
      </w:pPr>
    </w:p>
    <w:p w14:paraId="44F5F538" w14:textId="77777777" w:rsidR="001B7699" w:rsidRDefault="001B7699" w:rsidP="00DA6697">
      <w:pPr>
        <w:keepNext/>
        <w:suppressAutoHyphens/>
        <w:rPr>
          <w:noProof/>
          <w:szCs w:val="22"/>
          <w:u w:val="single"/>
        </w:rPr>
      </w:pPr>
      <w:r w:rsidRPr="0063119B">
        <w:rPr>
          <w:noProof/>
          <w:szCs w:val="22"/>
          <w:u w:val="single"/>
        </w:rPr>
        <w:t>Compromisso renal</w:t>
      </w:r>
    </w:p>
    <w:p w14:paraId="2ACD4388" w14:textId="77777777" w:rsidR="00A97106" w:rsidRPr="0063119B" w:rsidRDefault="00A97106" w:rsidP="00DA6697">
      <w:pPr>
        <w:keepNext/>
        <w:suppressAutoHyphens/>
        <w:rPr>
          <w:noProof/>
          <w:szCs w:val="22"/>
          <w:u w:val="single"/>
        </w:rPr>
      </w:pPr>
    </w:p>
    <w:p w14:paraId="1FA4783F" w14:textId="77777777" w:rsidR="001B7699" w:rsidRPr="0063119B" w:rsidRDefault="001B7699" w:rsidP="001B7699">
      <w:pPr>
        <w:suppressAutoHyphens/>
        <w:rPr>
          <w:noProof/>
          <w:szCs w:val="22"/>
        </w:rPr>
      </w:pPr>
      <w:r w:rsidRPr="0063119B">
        <w:rPr>
          <w:noProof/>
          <w:szCs w:val="22"/>
        </w:rPr>
        <w:t>Em doentes com compromisso renal grave (taxa de depuração da creatinina &lt; 30 ml/min) os níveis plasmáticos de rivaroxabano podem aumentar significativamente (em média 1,6 vezes), o que pode originar um aumento do risco de hemorragia.</w:t>
      </w:r>
    </w:p>
    <w:p w14:paraId="03A5D970" w14:textId="77777777" w:rsidR="001B7699" w:rsidRPr="0063119B" w:rsidRDefault="00607DE4" w:rsidP="001B7699">
      <w:pPr>
        <w:suppressAutoHyphens/>
        <w:rPr>
          <w:noProof/>
          <w:szCs w:val="22"/>
        </w:rPr>
      </w:pPr>
      <w:r>
        <w:rPr>
          <w:noProof/>
          <w:szCs w:val="22"/>
        </w:rPr>
        <w:t>Rivaroxabano</w:t>
      </w:r>
      <w:r w:rsidR="00E9279A" w:rsidRPr="0063119B">
        <w:rPr>
          <w:noProof/>
          <w:szCs w:val="22"/>
        </w:rPr>
        <w:t xml:space="preserve"> Accord</w:t>
      </w:r>
      <w:r w:rsidR="001B7699" w:rsidRPr="0063119B">
        <w:rPr>
          <w:noProof/>
          <w:szCs w:val="22"/>
        </w:rPr>
        <w:t xml:space="preserve"> deve ser utilizado com precaução em doentes com uma taxa de depuração de creatinina de 15 </w:t>
      </w:r>
      <w:r w:rsidR="001B7699" w:rsidRPr="0063119B">
        <w:rPr>
          <w:noProof/>
          <w:szCs w:val="22"/>
        </w:rPr>
        <w:noBreakHyphen/>
        <w:t> 29 ml/min. A utilização não é recomendada em doentes com taxa de depuração de creatinina &lt; 15 ml/min (ver secções 4.2 e 5.2).</w:t>
      </w:r>
    </w:p>
    <w:p w14:paraId="0C935B48" w14:textId="77777777" w:rsidR="001B7699" w:rsidRPr="0063119B" w:rsidDel="00D30309" w:rsidRDefault="00E9279A" w:rsidP="001B7699">
      <w:pPr>
        <w:suppressAutoHyphens/>
        <w:rPr>
          <w:noProof/>
          <w:szCs w:val="22"/>
        </w:rPr>
      </w:pPr>
      <w:r w:rsidRPr="0063119B">
        <w:rPr>
          <w:noProof/>
          <w:szCs w:val="22"/>
        </w:rPr>
        <w:t>O</w:t>
      </w:r>
      <w:r w:rsidRPr="0063119B">
        <w:rPr>
          <w:szCs w:val="22"/>
        </w:rPr>
        <w:t xml:space="preserve"> rivaroxabano</w:t>
      </w:r>
      <w:r w:rsidRPr="0063119B">
        <w:rPr>
          <w:noProof/>
          <w:szCs w:val="22"/>
        </w:rPr>
        <w:t xml:space="preserve"> </w:t>
      </w:r>
      <w:r w:rsidR="001B7699" w:rsidRPr="0063119B">
        <w:rPr>
          <w:noProof/>
          <w:szCs w:val="22"/>
        </w:rPr>
        <w:t xml:space="preserve">deve ser utilizado com precaução em doentes com compromisso renal moderado (taxa de depuração da creatinina </w:t>
      </w:r>
      <w:r w:rsidR="001B7699" w:rsidRPr="0063119B">
        <w:rPr>
          <w:szCs w:val="22"/>
        </w:rPr>
        <w:t>30 </w:t>
      </w:r>
      <w:r w:rsidR="001B7699" w:rsidRPr="0063119B">
        <w:rPr>
          <w:szCs w:val="22"/>
        </w:rPr>
        <w:noBreakHyphen/>
        <w:t xml:space="preserve"> 49 ml/min) </w:t>
      </w:r>
      <w:r w:rsidR="001B7699" w:rsidRPr="0063119B">
        <w:rPr>
          <w:noProof/>
          <w:szCs w:val="22"/>
        </w:rPr>
        <w:t>tratados concomitantemente com outros medicamentos que aumentam as concentrações plasmáticas do rivaroxabano (ver secção 4.5).</w:t>
      </w:r>
    </w:p>
    <w:p w14:paraId="0C219879" w14:textId="77777777" w:rsidR="001B7699" w:rsidRPr="0063119B" w:rsidRDefault="001B7699" w:rsidP="001B7699">
      <w:pPr>
        <w:suppressAutoHyphens/>
        <w:rPr>
          <w:i/>
          <w:noProof/>
          <w:szCs w:val="22"/>
          <w:u w:val="single"/>
        </w:rPr>
      </w:pPr>
    </w:p>
    <w:p w14:paraId="7FE32016" w14:textId="77777777" w:rsidR="001B7699" w:rsidRDefault="001B7699" w:rsidP="001B7699">
      <w:pPr>
        <w:suppressAutoHyphens/>
        <w:rPr>
          <w:noProof/>
          <w:szCs w:val="22"/>
          <w:u w:val="single"/>
        </w:rPr>
      </w:pPr>
      <w:r w:rsidRPr="0063119B">
        <w:rPr>
          <w:noProof/>
          <w:szCs w:val="22"/>
          <w:u w:val="single"/>
        </w:rPr>
        <w:t>Interação com outros medicamentos</w:t>
      </w:r>
    </w:p>
    <w:p w14:paraId="4752ECCB" w14:textId="77777777" w:rsidR="00A97106" w:rsidRPr="0063119B" w:rsidRDefault="00A97106" w:rsidP="001B7699">
      <w:pPr>
        <w:suppressAutoHyphens/>
        <w:rPr>
          <w:noProof/>
          <w:szCs w:val="22"/>
          <w:u w:val="single"/>
        </w:rPr>
      </w:pPr>
    </w:p>
    <w:p w14:paraId="53530AE0" w14:textId="77777777" w:rsidR="001B7699" w:rsidRPr="0063119B" w:rsidRDefault="001B7699" w:rsidP="001B7699">
      <w:pPr>
        <w:suppressAutoHyphens/>
        <w:rPr>
          <w:noProof/>
          <w:szCs w:val="22"/>
        </w:rPr>
      </w:pPr>
      <w:r w:rsidRPr="0063119B">
        <w:rPr>
          <w:noProof/>
          <w:szCs w:val="22"/>
        </w:rPr>
        <w:t xml:space="preserve">A utilização de </w:t>
      </w:r>
      <w:r w:rsidR="00607DE4">
        <w:rPr>
          <w:noProof/>
          <w:szCs w:val="22"/>
        </w:rPr>
        <w:t>Rivaroxabano</w:t>
      </w:r>
      <w:r w:rsidR="00E9279A" w:rsidRPr="0063119B">
        <w:rPr>
          <w:noProof/>
          <w:szCs w:val="22"/>
        </w:rPr>
        <w:t xml:space="preserve"> Accord</w:t>
      </w:r>
      <w:r w:rsidRPr="0063119B">
        <w:rPr>
          <w:noProof/>
          <w:szCs w:val="22"/>
        </w:rPr>
        <w:t xml:space="preserve"> não é recomendada em doentes a receber tratamento sistémico concomitante com antimicóticos azólicos (tais como cetoconazol, itraconazol, voriconazol e posaconazol) ou inibidores da protease do VIH (ex.: ritonavir). Estas substâncias ativas são potentes inibidores do CYP3A4 e da glicoproteína P (gp</w:t>
      </w:r>
      <w:r w:rsidRPr="0063119B">
        <w:rPr>
          <w:noProof/>
          <w:szCs w:val="22"/>
        </w:rPr>
        <w:noBreakHyphen/>
        <w:t>P) e por este motivo podem aumentar as concentrações plasmáticas de rivaroxabano até um grau clinicamente relevante (em média 2,6 vezes) que pode originar um risco aumentado de hemorragia (ver secção 4.5).</w:t>
      </w:r>
    </w:p>
    <w:p w14:paraId="33D51921" w14:textId="77777777" w:rsidR="001B7699" w:rsidRPr="0063119B" w:rsidRDefault="001B7699" w:rsidP="001B7699">
      <w:pPr>
        <w:suppressAutoHyphens/>
        <w:rPr>
          <w:noProof/>
          <w:szCs w:val="22"/>
        </w:rPr>
      </w:pPr>
    </w:p>
    <w:p w14:paraId="1131D418" w14:textId="77777777" w:rsidR="001B7699" w:rsidRDefault="001B7699" w:rsidP="001B7699">
      <w:pPr>
        <w:suppressAutoHyphens/>
        <w:rPr>
          <w:noProof/>
          <w:szCs w:val="22"/>
        </w:rPr>
      </w:pPr>
      <w:r w:rsidRPr="0063119B">
        <w:rPr>
          <w:noProof/>
          <w:szCs w:val="22"/>
        </w:rPr>
        <w:t>Deve ter</w:t>
      </w:r>
      <w:r w:rsidRPr="0063119B">
        <w:rPr>
          <w:noProof/>
          <w:szCs w:val="22"/>
        </w:rPr>
        <w:noBreakHyphen/>
        <w:t>se precaução se os doentes são concomitantemente tratados com medicamentos que afetem a hemostase tais como medicamentos anti</w:t>
      </w:r>
      <w:r w:rsidRPr="0063119B">
        <w:rPr>
          <w:noProof/>
          <w:szCs w:val="22"/>
        </w:rPr>
        <w:noBreakHyphen/>
        <w:t>inflamatórios não esteroides (AINEs), ácido acetilsalicílico (AAS) e inibidores da agregação plaquetária</w:t>
      </w:r>
      <w:r w:rsidR="00883A30" w:rsidRPr="0063119B">
        <w:rPr>
          <w:noProof/>
          <w:szCs w:val="22"/>
        </w:rPr>
        <w:t xml:space="preserve"> ou inibidores seletivos da recaptação da serotonina (ISRS) e inibidores da recaptação da serotonina e norepinefrina (IRSN)</w:t>
      </w:r>
      <w:r w:rsidRPr="0063119B">
        <w:rPr>
          <w:noProof/>
          <w:szCs w:val="22"/>
        </w:rPr>
        <w:t xml:space="preserve">. Deve ser considerado um tratamento profilático adequado para doentes com risco de doença ulcerosa gastrointestinal (ver </w:t>
      </w:r>
      <w:r w:rsidR="00C57451" w:rsidRPr="0063119B">
        <w:rPr>
          <w:noProof/>
          <w:szCs w:val="22"/>
        </w:rPr>
        <w:t>secç</w:t>
      </w:r>
      <w:r w:rsidR="00C57451">
        <w:rPr>
          <w:noProof/>
          <w:szCs w:val="22"/>
        </w:rPr>
        <w:t>ões</w:t>
      </w:r>
      <w:r w:rsidR="00C57451" w:rsidRPr="0063119B">
        <w:rPr>
          <w:noProof/>
          <w:szCs w:val="22"/>
        </w:rPr>
        <w:t> </w:t>
      </w:r>
      <w:r w:rsidRPr="0063119B">
        <w:rPr>
          <w:noProof/>
          <w:szCs w:val="22"/>
        </w:rPr>
        <w:t>4.5</w:t>
      </w:r>
      <w:r w:rsidR="0003401D">
        <w:rPr>
          <w:noProof/>
          <w:szCs w:val="22"/>
        </w:rPr>
        <w:t xml:space="preserve"> e 5.1</w:t>
      </w:r>
      <w:r w:rsidRPr="0063119B">
        <w:rPr>
          <w:noProof/>
          <w:szCs w:val="22"/>
        </w:rPr>
        <w:t>).</w:t>
      </w:r>
    </w:p>
    <w:p w14:paraId="3FA24CAC" w14:textId="77777777" w:rsidR="00577897" w:rsidRPr="0063119B" w:rsidRDefault="00577897" w:rsidP="001B7699">
      <w:pPr>
        <w:suppressAutoHyphens/>
        <w:rPr>
          <w:noProof/>
          <w:szCs w:val="22"/>
        </w:rPr>
      </w:pPr>
    </w:p>
    <w:p w14:paraId="506445EA" w14:textId="77777777" w:rsidR="001B7699" w:rsidRPr="0063119B" w:rsidRDefault="0023360A" w:rsidP="001B7699">
      <w:pPr>
        <w:suppressAutoHyphens/>
        <w:rPr>
          <w:noProof/>
          <w:szCs w:val="22"/>
        </w:rPr>
      </w:pPr>
      <w:r w:rsidRPr="0063119B">
        <w:rPr>
          <w:noProof/>
          <w:szCs w:val="22"/>
        </w:rPr>
        <w:t>O</w:t>
      </w:r>
      <w:r w:rsidR="001B7699" w:rsidRPr="0063119B">
        <w:rPr>
          <w:noProof/>
          <w:szCs w:val="22"/>
        </w:rPr>
        <w:t xml:space="preserve">s doentes </w:t>
      </w:r>
      <w:r w:rsidR="00577897">
        <w:rPr>
          <w:noProof/>
          <w:szCs w:val="22"/>
        </w:rPr>
        <w:t>tratados</w:t>
      </w:r>
      <w:r w:rsidR="001B7699" w:rsidRPr="0063119B">
        <w:rPr>
          <w:noProof/>
          <w:szCs w:val="22"/>
        </w:rPr>
        <w:t xml:space="preserve"> com </w:t>
      </w:r>
      <w:r w:rsidR="00E9279A" w:rsidRPr="0063119B">
        <w:rPr>
          <w:noProof/>
          <w:szCs w:val="22"/>
        </w:rPr>
        <w:t xml:space="preserve">rivaroxabano </w:t>
      </w:r>
      <w:r w:rsidR="001B7699" w:rsidRPr="0063119B">
        <w:rPr>
          <w:noProof/>
          <w:szCs w:val="22"/>
        </w:rPr>
        <w:t xml:space="preserve">e </w:t>
      </w:r>
      <w:r w:rsidR="00577897">
        <w:rPr>
          <w:noProof/>
          <w:szCs w:val="22"/>
        </w:rPr>
        <w:t>com substâncias antiplaquetárias</w:t>
      </w:r>
      <w:r w:rsidR="001B7699" w:rsidRPr="0063119B">
        <w:rPr>
          <w:noProof/>
          <w:szCs w:val="22"/>
        </w:rPr>
        <w:t xml:space="preserve"> só devem receber tratamento concomitante com AINEs se o benefício superar o risco de hemorragia.</w:t>
      </w:r>
    </w:p>
    <w:p w14:paraId="31DAFD46" w14:textId="77777777" w:rsidR="001B7699" w:rsidRPr="0063119B" w:rsidRDefault="001B7699" w:rsidP="001B7699">
      <w:pPr>
        <w:suppressAutoHyphens/>
        <w:rPr>
          <w:noProof/>
          <w:szCs w:val="22"/>
        </w:rPr>
      </w:pPr>
    </w:p>
    <w:p w14:paraId="3933230C" w14:textId="77777777" w:rsidR="001B7699" w:rsidRDefault="001B7699" w:rsidP="001B7699">
      <w:pPr>
        <w:suppressAutoHyphens/>
        <w:rPr>
          <w:noProof/>
          <w:szCs w:val="22"/>
          <w:u w:val="single"/>
        </w:rPr>
      </w:pPr>
      <w:r w:rsidRPr="0063119B">
        <w:rPr>
          <w:noProof/>
          <w:szCs w:val="22"/>
          <w:u w:val="single"/>
        </w:rPr>
        <w:t>Outros fatores de risco hemorrágico</w:t>
      </w:r>
    </w:p>
    <w:p w14:paraId="79D45B2C" w14:textId="77777777" w:rsidR="00A97106" w:rsidRPr="0063119B" w:rsidRDefault="00A97106" w:rsidP="001B7699">
      <w:pPr>
        <w:suppressAutoHyphens/>
        <w:rPr>
          <w:noProof/>
          <w:szCs w:val="22"/>
          <w:u w:val="single"/>
        </w:rPr>
      </w:pPr>
    </w:p>
    <w:p w14:paraId="62BAA2B0" w14:textId="77777777" w:rsidR="001B7699" w:rsidRPr="0063119B" w:rsidRDefault="001B7699" w:rsidP="001B7699">
      <w:pPr>
        <w:suppressAutoHyphens/>
        <w:rPr>
          <w:noProof/>
          <w:szCs w:val="22"/>
        </w:rPr>
      </w:pPr>
      <w:r w:rsidRPr="0063119B">
        <w:rPr>
          <w:noProof/>
          <w:szCs w:val="22"/>
        </w:rPr>
        <w:t>Tal como outros agentes antitrombóticos, rivaroxabano não é recomendado em doentes com risco aumentado de hemorragia, tais como:</w:t>
      </w:r>
    </w:p>
    <w:p w14:paraId="2D0035F2" w14:textId="77777777" w:rsidR="001B7699" w:rsidRPr="0063119B" w:rsidRDefault="001B7699" w:rsidP="00FF261B">
      <w:pPr>
        <w:numPr>
          <w:ilvl w:val="0"/>
          <w:numId w:val="4"/>
        </w:numPr>
        <w:tabs>
          <w:tab w:val="clear" w:pos="720"/>
          <w:tab w:val="num" w:pos="0"/>
        </w:tabs>
        <w:suppressAutoHyphens/>
        <w:ind w:left="0" w:firstLine="0"/>
        <w:rPr>
          <w:noProof/>
          <w:szCs w:val="22"/>
        </w:rPr>
      </w:pPr>
      <w:r w:rsidRPr="0063119B">
        <w:rPr>
          <w:noProof/>
          <w:szCs w:val="22"/>
        </w:rPr>
        <w:t>doenças hemorrágicas congénitas ou adquiridas</w:t>
      </w:r>
    </w:p>
    <w:p w14:paraId="7C224FFD" w14:textId="77777777" w:rsidR="001B7699" w:rsidRPr="0063119B" w:rsidRDefault="001B7699" w:rsidP="00FF261B">
      <w:pPr>
        <w:numPr>
          <w:ilvl w:val="0"/>
          <w:numId w:val="4"/>
        </w:numPr>
        <w:tabs>
          <w:tab w:val="clear" w:pos="720"/>
          <w:tab w:val="num" w:pos="0"/>
        </w:tabs>
        <w:suppressAutoHyphens/>
        <w:ind w:left="0" w:firstLine="0"/>
        <w:rPr>
          <w:noProof/>
          <w:szCs w:val="22"/>
        </w:rPr>
      </w:pPr>
      <w:r w:rsidRPr="0063119B">
        <w:rPr>
          <w:noProof/>
          <w:szCs w:val="22"/>
        </w:rPr>
        <w:t>hipertensão arterial grave não controlada</w:t>
      </w:r>
    </w:p>
    <w:p w14:paraId="4B639D43" w14:textId="77777777" w:rsidR="00A1330F" w:rsidRPr="0063119B" w:rsidRDefault="00A1330F" w:rsidP="00FF261B">
      <w:pPr>
        <w:numPr>
          <w:ilvl w:val="0"/>
          <w:numId w:val="4"/>
        </w:numPr>
        <w:suppressAutoHyphens/>
        <w:ind w:left="709" w:hanging="709"/>
        <w:rPr>
          <w:noProof/>
          <w:szCs w:val="22"/>
        </w:rPr>
      </w:pPr>
      <w:r w:rsidRPr="0063119B">
        <w:rPr>
          <w:noProof/>
          <w:szCs w:val="22"/>
        </w:rPr>
        <w:t>outras doenças gastrointestinais sem ulceração ativa que podem potenciar o aparecimento de complicações hemorrágicas (ex.: doença inflamatória do intestino, esofagite, gastrite e doença de refluxo gastroesofágico)</w:t>
      </w:r>
    </w:p>
    <w:p w14:paraId="4794F306" w14:textId="77777777" w:rsidR="001B7699" w:rsidRPr="0063119B" w:rsidRDefault="001B7699" w:rsidP="00FF261B">
      <w:pPr>
        <w:numPr>
          <w:ilvl w:val="0"/>
          <w:numId w:val="4"/>
        </w:numPr>
        <w:tabs>
          <w:tab w:val="clear" w:pos="720"/>
          <w:tab w:val="num" w:pos="0"/>
        </w:tabs>
        <w:suppressAutoHyphens/>
        <w:ind w:left="0" w:firstLine="0"/>
        <w:rPr>
          <w:noProof/>
          <w:szCs w:val="22"/>
        </w:rPr>
      </w:pPr>
      <w:r w:rsidRPr="0063119B">
        <w:rPr>
          <w:noProof/>
          <w:szCs w:val="22"/>
        </w:rPr>
        <w:t>retinopatia vascular</w:t>
      </w:r>
    </w:p>
    <w:p w14:paraId="383C054C" w14:textId="77777777" w:rsidR="001B7699" w:rsidRPr="0063119B" w:rsidRDefault="001B7699" w:rsidP="00FF261B">
      <w:pPr>
        <w:numPr>
          <w:ilvl w:val="0"/>
          <w:numId w:val="4"/>
        </w:numPr>
        <w:tabs>
          <w:tab w:val="clear" w:pos="720"/>
          <w:tab w:val="num" w:pos="0"/>
        </w:tabs>
        <w:suppressAutoHyphens/>
        <w:ind w:left="0" w:firstLine="0"/>
        <w:rPr>
          <w:noProof/>
          <w:szCs w:val="22"/>
        </w:rPr>
      </w:pPr>
      <w:r w:rsidRPr="0063119B">
        <w:rPr>
          <w:szCs w:val="22"/>
        </w:rPr>
        <w:t>bronquiectasias ou antecedentes de hemorragia pulmonar</w:t>
      </w:r>
    </w:p>
    <w:p w14:paraId="71A3FF76" w14:textId="77777777" w:rsidR="001B7699" w:rsidRPr="0063119B" w:rsidRDefault="001B7699" w:rsidP="001B7699">
      <w:pPr>
        <w:rPr>
          <w:szCs w:val="22"/>
        </w:rPr>
      </w:pPr>
    </w:p>
    <w:p w14:paraId="3B8C3D51" w14:textId="77777777" w:rsidR="001B7699" w:rsidRPr="0063119B" w:rsidRDefault="001B7699" w:rsidP="001B7699">
      <w:pPr>
        <w:suppressAutoHyphens/>
        <w:rPr>
          <w:noProof/>
          <w:szCs w:val="22"/>
        </w:rPr>
      </w:pPr>
      <w:r w:rsidRPr="0063119B">
        <w:rPr>
          <w:noProof/>
          <w:szCs w:val="22"/>
        </w:rPr>
        <w:t>Deve ser utilizado com precaução em doentes com SCA</w:t>
      </w:r>
      <w:r w:rsidR="0023360A" w:rsidRPr="0063119B">
        <w:rPr>
          <w:noProof/>
          <w:szCs w:val="22"/>
        </w:rPr>
        <w:t xml:space="preserve"> e DAC/DAP</w:t>
      </w:r>
      <w:r w:rsidRPr="0063119B">
        <w:rPr>
          <w:noProof/>
          <w:szCs w:val="22"/>
        </w:rPr>
        <w:t>:</w:t>
      </w:r>
    </w:p>
    <w:p w14:paraId="0E191230" w14:textId="77777777" w:rsidR="001B7699" w:rsidRPr="0063119B" w:rsidRDefault="0023360A" w:rsidP="00FF261B">
      <w:pPr>
        <w:numPr>
          <w:ilvl w:val="0"/>
          <w:numId w:val="13"/>
        </w:numPr>
        <w:suppressAutoHyphens/>
        <w:ind w:left="426" w:hanging="426"/>
        <w:rPr>
          <w:noProof/>
          <w:szCs w:val="22"/>
        </w:rPr>
      </w:pPr>
      <w:r w:rsidRPr="0063119B">
        <w:rPr>
          <w:noProof/>
          <w:szCs w:val="22"/>
        </w:rPr>
        <w:t>≥</w:t>
      </w:r>
      <w:r w:rsidR="001B7699" w:rsidRPr="0063119B">
        <w:rPr>
          <w:noProof/>
          <w:szCs w:val="22"/>
        </w:rPr>
        <w:t> 75 anos de idade se coadministrado com AAS isoladamente ou com AAS mais clopidogrel ou ticlopidina</w:t>
      </w:r>
      <w:r w:rsidRPr="0063119B">
        <w:rPr>
          <w:noProof/>
          <w:szCs w:val="22"/>
        </w:rPr>
        <w:t xml:space="preserve">. </w:t>
      </w:r>
      <w:r w:rsidRPr="0063119B">
        <w:rPr>
          <w:szCs w:val="22"/>
        </w:rPr>
        <w:t xml:space="preserve">A relação benefício-risco do tratamento deverá ser avaliada individualmente </w:t>
      </w:r>
      <w:r w:rsidR="00DD45D0" w:rsidRPr="0063119B">
        <w:rPr>
          <w:szCs w:val="22"/>
        </w:rPr>
        <w:t>de forma</w:t>
      </w:r>
      <w:r w:rsidRPr="0063119B">
        <w:rPr>
          <w:szCs w:val="22"/>
        </w:rPr>
        <w:t xml:space="preserve"> regular.</w:t>
      </w:r>
    </w:p>
    <w:p w14:paraId="72DB7308" w14:textId="77777777" w:rsidR="001B7699" w:rsidRPr="0063119B" w:rsidRDefault="001B7699" w:rsidP="00FF261B">
      <w:pPr>
        <w:numPr>
          <w:ilvl w:val="0"/>
          <w:numId w:val="13"/>
        </w:numPr>
        <w:suppressAutoHyphens/>
        <w:ind w:left="426" w:hanging="426"/>
        <w:rPr>
          <w:noProof/>
          <w:szCs w:val="22"/>
        </w:rPr>
      </w:pPr>
      <w:r w:rsidRPr="0063119B">
        <w:rPr>
          <w:noProof/>
          <w:szCs w:val="22"/>
        </w:rPr>
        <w:t>com peso corporal</w:t>
      </w:r>
      <w:r w:rsidR="0023360A" w:rsidRPr="0063119B">
        <w:rPr>
          <w:noProof/>
          <w:szCs w:val="22"/>
        </w:rPr>
        <w:t xml:space="preserve"> mais</w:t>
      </w:r>
      <w:r w:rsidRPr="0063119B">
        <w:rPr>
          <w:noProof/>
          <w:szCs w:val="22"/>
        </w:rPr>
        <w:t xml:space="preserve"> </w:t>
      </w:r>
      <w:r w:rsidR="0023360A" w:rsidRPr="0063119B">
        <w:rPr>
          <w:noProof/>
          <w:szCs w:val="22"/>
        </w:rPr>
        <w:t xml:space="preserve">baixo </w:t>
      </w:r>
      <w:r w:rsidRPr="0063119B">
        <w:rPr>
          <w:noProof/>
          <w:szCs w:val="22"/>
        </w:rPr>
        <w:t>(&lt; 60 kg) se coadministrado com AAS isoladamente ou com AAS mais clopidogrel ou ticlopidina</w:t>
      </w:r>
      <w:r w:rsidR="00C21D14" w:rsidRPr="0063119B">
        <w:rPr>
          <w:noProof/>
          <w:szCs w:val="22"/>
        </w:rPr>
        <w:t>.</w:t>
      </w:r>
    </w:p>
    <w:p w14:paraId="67D8F191" w14:textId="77777777" w:rsidR="004766DA" w:rsidRDefault="004766DA" w:rsidP="00FF261B">
      <w:pPr>
        <w:numPr>
          <w:ilvl w:val="0"/>
          <w:numId w:val="13"/>
        </w:numPr>
        <w:suppressAutoHyphens/>
        <w:ind w:left="426" w:hanging="426"/>
        <w:rPr>
          <w:noProof/>
          <w:szCs w:val="22"/>
        </w:rPr>
      </w:pPr>
      <w:r w:rsidRPr="0063119B">
        <w:rPr>
          <w:noProof/>
          <w:szCs w:val="22"/>
        </w:rPr>
        <w:t xml:space="preserve">Doentes com DAC e com insuficiência cardíaca sintomática grave. Dados do estudo indicam que estes doentes podem </w:t>
      </w:r>
      <w:r w:rsidR="00557251" w:rsidRPr="0063119B">
        <w:rPr>
          <w:noProof/>
          <w:szCs w:val="22"/>
        </w:rPr>
        <w:t>beneficiar</w:t>
      </w:r>
      <w:r w:rsidRPr="0063119B">
        <w:rPr>
          <w:noProof/>
          <w:szCs w:val="22"/>
        </w:rPr>
        <w:t xml:space="preserve"> menos do tratamento com rivaroxabano (ver secção 5.1).</w:t>
      </w:r>
    </w:p>
    <w:p w14:paraId="08B824AA" w14:textId="77777777" w:rsidR="0053515C" w:rsidRDefault="0053515C" w:rsidP="0053515C">
      <w:pPr>
        <w:suppressAutoHyphens/>
        <w:rPr>
          <w:noProof/>
          <w:szCs w:val="22"/>
        </w:rPr>
      </w:pPr>
    </w:p>
    <w:p w14:paraId="1B635132" w14:textId="77777777" w:rsidR="00E51E20" w:rsidRPr="0024081D" w:rsidRDefault="00E51E20" w:rsidP="0053515C">
      <w:pPr>
        <w:suppressAutoHyphens/>
        <w:rPr>
          <w:u w:val="single"/>
        </w:rPr>
      </w:pPr>
      <w:r w:rsidRPr="0024081D">
        <w:rPr>
          <w:u w:val="single"/>
        </w:rPr>
        <w:t xml:space="preserve">Doentes com cancro </w:t>
      </w:r>
    </w:p>
    <w:p w14:paraId="4C2EB0EC" w14:textId="77777777" w:rsidR="0053515C" w:rsidRPr="0024081D" w:rsidRDefault="00E51E20" w:rsidP="0024081D">
      <w:pPr>
        <w:suppressAutoHyphens/>
      </w:pPr>
      <w:r>
        <w:t>Doentes com doença maligna podem, simultaneamente, apresentar maior risco de hemorragia e trombose. O benefício individual do tratamento antitrombótico deve ser ponderado em relação ao risco de hemorragia em doentes com cancro ativo dependendo da localização do tumor, terapêutica antineoplásica e estadio da doença. Os tumores localizados no trato gastrointestinal ou geniturinário têm sido associados a um risco aumentado de hemorragia durante a terapêutica com rivaroxabano. A utilização de rivaroxabano está contraindicada em doentes com neoplasias malignas com elevado risco de hemorragia (ver secção 4.3).</w:t>
      </w:r>
    </w:p>
    <w:p w14:paraId="36462BB2" w14:textId="77777777" w:rsidR="001B7699" w:rsidRPr="0063119B" w:rsidRDefault="001B7699" w:rsidP="001B7699">
      <w:pPr>
        <w:autoSpaceDE w:val="0"/>
        <w:autoSpaceDN w:val="0"/>
        <w:adjustRightInd w:val="0"/>
        <w:rPr>
          <w:szCs w:val="22"/>
          <w:u w:val="single"/>
        </w:rPr>
      </w:pPr>
    </w:p>
    <w:p w14:paraId="3D071CF6" w14:textId="77777777" w:rsidR="00883A30" w:rsidRDefault="00883A30" w:rsidP="00883A30">
      <w:pPr>
        <w:autoSpaceDE w:val="0"/>
        <w:autoSpaceDN w:val="0"/>
        <w:adjustRightInd w:val="0"/>
        <w:rPr>
          <w:szCs w:val="22"/>
          <w:u w:val="single"/>
        </w:rPr>
      </w:pPr>
      <w:r w:rsidRPr="0063119B">
        <w:rPr>
          <w:szCs w:val="22"/>
          <w:u w:val="single"/>
        </w:rPr>
        <w:t>Doentes com válvulas protésicas</w:t>
      </w:r>
    </w:p>
    <w:p w14:paraId="54EEE647" w14:textId="77777777" w:rsidR="00A97106" w:rsidRPr="0063119B" w:rsidRDefault="00A97106" w:rsidP="00883A30">
      <w:pPr>
        <w:autoSpaceDE w:val="0"/>
        <w:autoSpaceDN w:val="0"/>
        <w:adjustRightInd w:val="0"/>
        <w:rPr>
          <w:szCs w:val="22"/>
        </w:rPr>
      </w:pPr>
    </w:p>
    <w:p w14:paraId="6C05149F" w14:textId="77777777" w:rsidR="00883A30" w:rsidRPr="0063119B" w:rsidRDefault="002869EF" w:rsidP="00883A30">
      <w:pPr>
        <w:autoSpaceDE w:val="0"/>
        <w:autoSpaceDN w:val="0"/>
        <w:adjustRightInd w:val="0"/>
        <w:rPr>
          <w:rFonts w:eastAsia="MS Mincho"/>
          <w:bCs/>
          <w:szCs w:val="22"/>
          <w:lang w:eastAsia="ja-JP"/>
        </w:rPr>
      </w:pPr>
      <w:r w:rsidRPr="0063119B">
        <w:rPr>
          <w:rFonts w:eastAsia="MS Mincho"/>
          <w:bCs/>
          <w:szCs w:val="22"/>
          <w:lang w:eastAsia="ja-JP"/>
        </w:rPr>
        <w:t>O rivaroxabano nã</w:t>
      </w:r>
      <w:r w:rsidR="00DA35A9" w:rsidRPr="0063119B">
        <w:rPr>
          <w:rFonts w:eastAsia="MS Mincho"/>
          <w:bCs/>
          <w:szCs w:val="22"/>
          <w:lang w:eastAsia="ja-JP"/>
        </w:rPr>
        <w:t xml:space="preserve">o deve ser utilizado como tromboprofilaxia em doentes submetidos recentemente a uma substituição percutânea da válvula aórtica (TAVR). </w:t>
      </w:r>
      <w:r w:rsidR="00883A30" w:rsidRPr="0063119B">
        <w:rPr>
          <w:rFonts w:eastAsia="MS Mincho"/>
          <w:bCs/>
          <w:szCs w:val="22"/>
          <w:lang w:eastAsia="ja-JP"/>
        </w:rPr>
        <w:t xml:space="preserve">A segurança e a eficácia de </w:t>
      </w:r>
      <w:r w:rsidR="00E9279A" w:rsidRPr="0063119B">
        <w:rPr>
          <w:rFonts w:eastAsia="MS Mincho"/>
          <w:bCs/>
          <w:szCs w:val="22"/>
          <w:lang w:eastAsia="ja-JP"/>
        </w:rPr>
        <w:t xml:space="preserve">rivaroxabano </w:t>
      </w:r>
      <w:r w:rsidR="00883A30" w:rsidRPr="0063119B">
        <w:rPr>
          <w:rFonts w:eastAsia="MS Mincho"/>
          <w:bCs/>
          <w:szCs w:val="22"/>
          <w:lang w:eastAsia="ja-JP"/>
        </w:rPr>
        <w:t xml:space="preserve">não foram estudadas em doentes com válvulas cardíacas protésicas; consequentemente, não existem dados que confirmem que </w:t>
      </w:r>
      <w:r w:rsidR="00E9279A" w:rsidRPr="0063119B">
        <w:rPr>
          <w:rFonts w:eastAsia="MS Mincho"/>
          <w:bCs/>
          <w:szCs w:val="22"/>
          <w:lang w:eastAsia="ja-JP"/>
        </w:rPr>
        <w:t>o</w:t>
      </w:r>
      <w:r w:rsidR="00E9279A" w:rsidRPr="0063119B">
        <w:rPr>
          <w:szCs w:val="22"/>
        </w:rPr>
        <w:t xml:space="preserve"> rivaroxabano</w:t>
      </w:r>
      <w:r w:rsidR="00E9279A" w:rsidRPr="0063119B">
        <w:rPr>
          <w:rFonts w:eastAsia="MS Mincho"/>
          <w:bCs/>
          <w:szCs w:val="22"/>
          <w:lang w:eastAsia="ja-JP"/>
        </w:rPr>
        <w:t xml:space="preserve"> </w:t>
      </w:r>
      <w:r w:rsidR="00883A30" w:rsidRPr="0063119B">
        <w:rPr>
          <w:rFonts w:eastAsia="MS Mincho"/>
          <w:bCs/>
          <w:szCs w:val="22"/>
          <w:lang w:eastAsia="ja-JP"/>
        </w:rPr>
        <w:t xml:space="preserve">assegura a anticoagulação adequada nesta população de doentes. O tratamento com </w:t>
      </w:r>
      <w:r w:rsidR="00607DE4">
        <w:rPr>
          <w:rFonts w:eastAsia="MS Mincho"/>
          <w:bCs/>
          <w:szCs w:val="22"/>
          <w:lang w:eastAsia="ja-JP"/>
        </w:rPr>
        <w:t>Rivaroxabano</w:t>
      </w:r>
      <w:r w:rsidR="00E9279A" w:rsidRPr="0063119B">
        <w:rPr>
          <w:rFonts w:eastAsia="MS Mincho"/>
          <w:bCs/>
          <w:szCs w:val="22"/>
          <w:lang w:eastAsia="ja-JP"/>
        </w:rPr>
        <w:t xml:space="preserve"> Accord</w:t>
      </w:r>
      <w:r w:rsidR="00883A30" w:rsidRPr="0063119B">
        <w:rPr>
          <w:rFonts w:eastAsia="MS Mincho"/>
          <w:bCs/>
          <w:szCs w:val="22"/>
          <w:lang w:eastAsia="ja-JP"/>
        </w:rPr>
        <w:t xml:space="preserve"> não é recomendado nestes doentes.</w:t>
      </w:r>
    </w:p>
    <w:p w14:paraId="19F50802" w14:textId="77777777" w:rsidR="00883A30" w:rsidRPr="0063119B" w:rsidRDefault="00883A30" w:rsidP="00883A30">
      <w:pPr>
        <w:autoSpaceDE w:val="0"/>
        <w:autoSpaceDN w:val="0"/>
        <w:adjustRightInd w:val="0"/>
        <w:rPr>
          <w:szCs w:val="22"/>
          <w:u w:val="single"/>
        </w:rPr>
      </w:pPr>
    </w:p>
    <w:p w14:paraId="6840EC19" w14:textId="77777777" w:rsidR="001B7699" w:rsidRDefault="001B7699" w:rsidP="00DA6697">
      <w:pPr>
        <w:keepNext/>
        <w:keepLines/>
        <w:autoSpaceDE w:val="0"/>
        <w:autoSpaceDN w:val="0"/>
        <w:adjustRightInd w:val="0"/>
        <w:rPr>
          <w:noProof/>
          <w:szCs w:val="22"/>
          <w:u w:val="single"/>
        </w:rPr>
      </w:pPr>
      <w:r w:rsidRPr="0063119B">
        <w:rPr>
          <w:szCs w:val="22"/>
          <w:u w:val="single"/>
        </w:rPr>
        <w:t xml:space="preserve">Doentes com antecedentes de </w:t>
      </w:r>
      <w:r w:rsidRPr="0063119B">
        <w:rPr>
          <w:noProof/>
          <w:szCs w:val="22"/>
          <w:u w:val="single"/>
        </w:rPr>
        <w:t>acidente vascular cerebral</w:t>
      </w:r>
      <w:r w:rsidR="00882217" w:rsidRPr="0063119B">
        <w:rPr>
          <w:noProof/>
          <w:szCs w:val="22"/>
          <w:u w:val="single"/>
        </w:rPr>
        <w:t xml:space="preserve"> </w:t>
      </w:r>
      <w:r w:rsidR="0023360A" w:rsidRPr="0063119B">
        <w:rPr>
          <w:noProof/>
          <w:szCs w:val="22"/>
          <w:u w:val="single"/>
        </w:rPr>
        <w:t>e/</w:t>
      </w:r>
      <w:r w:rsidRPr="0063119B">
        <w:rPr>
          <w:noProof/>
          <w:szCs w:val="22"/>
          <w:u w:val="single"/>
        </w:rPr>
        <w:t xml:space="preserve">ou AIT </w:t>
      </w:r>
    </w:p>
    <w:p w14:paraId="1DAE5DD7" w14:textId="77777777" w:rsidR="00607DE4" w:rsidRPr="0063119B" w:rsidRDefault="00607DE4" w:rsidP="00DA6697">
      <w:pPr>
        <w:keepNext/>
        <w:keepLines/>
        <w:autoSpaceDE w:val="0"/>
        <w:autoSpaceDN w:val="0"/>
        <w:adjustRightInd w:val="0"/>
        <w:rPr>
          <w:szCs w:val="22"/>
        </w:rPr>
      </w:pPr>
    </w:p>
    <w:p w14:paraId="4552C404" w14:textId="77777777" w:rsidR="0023360A" w:rsidRPr="00607DE4" w:rsidRDefault="00BD2411" w:rsidP="00DA6697">
      <w:pPr>
        <w:keepNext/>
        <w:autoSpaceDE w:val="0"/>
        <w:autoSpaceDN w:val="0"/>
        <w:adjustRightInd w:val="0"/>
        <w:rPr>
          <w:szCs w:val="22"/>
        </w:rPr>
      </w:pPr>
      <w:r w:rsidRPr="001B6FEC">
        <w:rPr>
          <w:i/>
          <w:iCs/>
          <w:szCs w:val="22"/>
        </w:rPr>
        <w:t>Doentes com SCA</w:t>
      </w:r>
    </w:p>
    <w:p w14:paraId="1336AF2A" w14:textId="77777777" w:rsidR="001B7699" w:rsidRPr="0063119B" w:rsidRDefault="00607DE4" w:rsidP="004E2759">
      <w:pPr>
        <w:keepNext/>
        <w:keepLines/>
        <w:autoSpaceDE w:val="0"/>
        <w:autoSpaceDN w:val="0"/>
        <w:adjustRightInd w:val="0"/>
        <w:rPr>
          <w:noProof/>
          <w:szCs w:val="22"/>
        </w:rPr>
      </w:pPr>
      <w:r>
        <w:rPr>
          <w:szCs w:val="22"/>
        </w:rPr>
        <w:t>Rivaroxabano</w:t>
      </w:r>
      <w:r w:rsidR="00E9279A" w:rsidRPr="0063119B">
        <w:rPr>
          <w:szCs w:val="22"/>
        </w:rPr>
        <w:t xml:space="preserve"> </w:t>
      </w:r>
      <w:r w:rsidR="001B7699" w:rsidRPr="0063119B">
        <w:rPr>
          <w:szCs w:val="22"/>
        </w:rPr>
        <w:t xml:space="preserve">2,5 mg é contraindicado para o tratamento de SCA em doentes com antecedentes de acidente vascular cerebral ou AIT (ver secção 4.3). Foram estudados poucos doentes com SCA com um antecedente de </w:t>
      </w:r>
      <w:r w:rsidR="001B7699" w:rsidRPr="0063119B">
        <w:rPr>
          <w:noProof/>
          <w:szCs w:val="22"/>
        </w:rPr>
        <w:t>acidente vascular cerebral ou AIT, mas os dados de eficácia limitados disponíveis indicam que estes doentes não beneficiam do tratamento.</w:t>
      </w:r>
    </w:p>
    <w:p w14:paraId="33EA8C57" w14:textId="77777777" w:rsidR="00BD2411" w:rsidRPr="0063119B" w:rsidRDefault="00BD2411" w:rsidP="00BD2411">
      <w:pPr>
        <w:keepNext/>
        <w:rPr>
          <w:noProof/>
          <w:szCs w:val="22"/>
        </w:rPr>
      </w:pPr>
    </w:p>
    <w:p w14:paraId="4816B448" w14:textId="77777777" w:rsidR="00144DA6" w:rsidRPr="001B6FEC" w:rsidRDefault="00144DA6" w:rsidP="00144DA6">
      <w:pPr>
        <w:autoSpaceDE w:val="0"/>
        <w:autoSpaceDN w:val="0"/>
        <w:adjustRightInd w:val="0"/>
        <w:rPr>
          <w:i/>
          <w:iCs/>
          <w:szCs w:val="22"/>
        </w:rPr>
      </w:pPr>
      <w:r w:rsidRPr="001B6FEC">
        <w:rPr>
          <w:i/>
          <w:iCs/>
          <w:szCs w:val="22"/>
        </w:rPr>
        <w:t>Doentes com DAC/DAP</w:t>
      </w:r>
    </w:p>
    <w:p w14:paraId="2A0EFD5B" w14:textId="77777777" w:rsidR="00144DA6" w:rsidRDefault="00144DA6" w:rsidP="00144DA6">
      <w:pPr>
        <w:autoSpaceDE w:val="0"/>
        <w:autoSpaceDN w:val="0"/>
        <w:adjustRightInd w:val="0"/>
        <w:rPr>
          <w:iCs/>
          <w:szCs w:val="22"/>
        </w:rPr>
      </w:pPr>
      <w:r w:rsidRPr="0063119B">
        <w:rPr>
          <w:iCs/>
          <w:szCs w:val="22"/>
        </w:rPr>
        <w:t>Os doentes com DAC/DAP com acidente vascular hemorrágico ou lacunar</w:t>
      </w:r>
      <w:r w:rsidR="00882217" w:rsidRPr="0063119B">
        <w:rPr>
          <w:iCs/>
          <w:szCs w:val="22"/>
        </w:rPr>
        <w:t xml:space="preserve"> prévio</w:t>
      </w:r>
      <w:r w:rsidRPr="0063119B">
        <w:rPr>
          <w:iCs/>
          <w:szCs w:val="22"/>
        </w:rPr>
        <w:t>, ou com um acidente vascular isquémico, não lacunar, no mês precedente não foram estudados</w:t>
      </w:r>
      <w:r w:rsidR="00882217" w:rsidRPr="0063119B">
        <w:rPr>
          <w:iCs/>
          <w:szCs w:val="22"/>
        </w:rPr>
        <w:t xml:space="preserve"> (ver secção 4.3)</w:t>
      </w:r>
      <w:r w:rsidRPr="0063119B">
        <w:rPr>
          <w:iCs/>
          <w:szCs w:val="22"/>
        </w:rPr>
        <w:t>.</w:t>
      </w:r>
    </w:p>
    <w:p w14:paraId="1C1A65AD" w14:textId="77777777" w:rsidR="00577897" w:rsidRPr="0063119B" w:rsidRDefault="00577897" w:rsidP="00144DA6">
      <w:pPr>
        <w:autoSpaceDE w:val="0"/>
        <w:autoSpaceDN w:val="0"/>
        <w:adjustRightInd w:val="0"/>
        <w:rPr>
          <w:iCs/>
          <w:szCs w:val="22"/>
        </w:rPr>
      </w:pPr>
      <w:r>
        <w:t>Não se estudaram doentes após procedimentos de revascularização recentes do membro inferior devido a DAP sintomática com AVC ou AIT anterior. O tratamento com rivaroxabano 2,5 mg deve ser evitado nestes doentes que estejam a receber terapêutica antiplaquetária dupla.</w:t>
      </w:r>
    </w:p>
    <w:p w14:paraId="3BBB5A9D" w14:textId="77777777" w:rsidR="003F7ABE" w:rsidRPr="0063119B" w:rsidRDefault="003F7ABE" w:rsidP="004E2759">
      <w:pPr>
        <w:keepNext/>
        <w:keepLines/>
        <w:autoSpaceDE w:val="0"/>
        <w:autoSpaceDN w:val="0"/>
        <w:adjustRightInd w:val="0"/>
        <w:rPr>
          <w:noProof/>
          <w:szCs w:val="22"/>
        </w:rPr>
      </w:pPr>
    </w:p>
    <w:p w14:paraId="1D901ECA" w14:textId="77777777" w:rsidR="00E9279A" w:rsidRDefault="00E9279A" w:rsidP="00E9279A">
      <w:pPr>
        <w:autoSpaceDE w:val="0"/>
        <w:autoSpaceDN w:val="0"/>
        <w:adjustRightInd w:val="0"/>
        <w:rPr>
          <w:szCs w:val="22"/>
          <w:u w:val="single"/>
        </w:rPr>
      </w:pPr>
      <w:r w:rsidRPr="0063119B">
        <w:rPr>
          <w:szCs w:val="22"/>
          <w:u w:val="single"/>
        </w:rPr>
        <w:t xml:space="preserve">Doentes com síndrome antifosfolipídica </w:t>
      </w:r>
    </w:p>
    <w:p w14:paraId="3CF9F87C" w14:textId="77777777" w:rsidR="00607DE4" w:rsidRPr="0063119B" w:rsidRDefault="00607DE4" w:rsidP="00E9279A">
      <w:pPr>
        <w:autoSpaceDE w:val="0"/>
        <w:autoSpaceDN w:val="0"/>
        <w:adjustRightInd w:val="0"/>
        <w:rPr>
          <w:szCs w:val="22"/>
          <w:u w:val="single"/>
        </w:rPr>
      </w:pPr>
    </w:p>
    <w:p w14:paraId="5CBE835D" w14:textId="77777777" w:rsidR="00577897" w:rsidRPr="0063119B" w:rsidRDefault="00E9279A" w:rsidP="00E9279A">
      <w:pPr>
        <w:autoSpaceDE w:val="0"/>
        <w:autoSpaceDN w:val="0"/>
        <w:adjustRightInd w:val="0"/>
        <w:rPr>
          <w:rFonts w:eastAsia="MS Mincho"/>
          <w:bCs/>
          <w:szCs w:val="22"/>
          <w:lang w:eastAsia="ja-JP"/>
        </w:rPr>
      </w:pPr>
      <w:r w:rsidRPr="0063119B">
        <w:rPr>
          <w:rFonts w:eastAsia="MS Mincho"/>
          <w:bCs/>
          <w:szCs w:val="22"/>
          <w:lang w:eastAsia="ja-JP"/>
        </w:rPr>
        <w:t xml:space="preserve">Os anticoagulantes orais de ação direta (ACOaD) incluindo o rivaroxabano não são recomendados em doentes com antecedentes de trombose diagnosticados com síndrome antifosfolipídica. </w:t>
      </w:r>
      <w:r w:rsidR="00E83C31" w:rsidRPr="0063119B">
        <w:rPr>
          <w:rFonts w:eastAsia="MS Mincho"/>
          <w:bCs/>
          <w:szCs w:val="22"/>
          <w:lang w:eastAsia="ja-JP"/>
        </w:rPr>
        <w:t>Em especial, no caso de doentes triplo-positivos (para a presença dos anticorpos anticoagulante lúpico, anticorpos anticardiolipina e anticorpos anti-beta2 glicoproteína I), o</w:t>
      </w:r>
      <w:r w:rsidRPr="0063119B">
        <w:rPr>
          <w:rFonts w:eastAsia="MS Mincho"/>
          <w:bCs/>
          <w:szCs w:val="22"/>
          <w:lang w:eastAsia="ja-JP"/>
        </w:rPr>
        <w:t xml:space="preserve"> tratamento com ACOaD pode estar associado a um aumento das taxas de acontecimentos trombóticos recorrentes em comparação com a terapêutica com antagonistas da vitamina K </w:t>
      </w:r>
    </w:p>
    <w:p w14:paraId="13C26A38" w14:textId="77777777" w:rsidR="00E9279A" w:rsidRPr="0063119B" w:rsidRDefault="00E9279A" w:rsidP="00E9279A">
      <w:pPr>
        <w:keepNext/>
        <w:keepLines/>
        <w:autoSpaceDE w:val="0"/>
        <w:autoSpaceDN w:val="0"/>
        <w:adjustRightInd w:val="0"/>
        <w:rPr>
          <w:szCs w:val="22"/>
          <w:u w:val="single"/>
        </w:rPr>
      </w:pPr>
    </w:p>
    <w:p w14:paraId="24719B3F" w14:textId="77777777" w:rsidR="003F7ABE" w:rsidRDefault="003F7ABE" w:rsidP="003F7ABE">
      <w:pPr>
        <w:suppressAutoHyphens/>
        <w:rPr>
          <w:noProof/>
          <w:szCs w:val="22"/>
          <w:u w:val="single"/>
        </w:rPr>
      </w:pPr>
      <w:r w:rsidRPr="0063119B">
        <w:rPr>
          <w:noProof/>
          <w:szCs w:val="22"/>
          <w:u w:val="single"/>
        </w:rPr>
        <w:t>Punção ou anestesia espinal/epidural</w:t>
      </w:r>
    </w:p>
    <w:p w14:paraId="355D7C81" w14:textId="77777777" w:rsidR="00607DE4" w:rsidRPr="0063119B" w:rsidRDefault="00607DE4" w:rsidP="003F7ABE">
      <w:pPr>
        <w:suppressAutoHyphens/>
        <w:rPr>
          <w:noProof/>
          <w:szCs w:val="22"/>
          <w:u w:val="single"/>
        </w:rPr>
      </w:pPr>
    </w:p>
    <w:p w14:paraId="5E7E38AD" w14:textId="77777777" w:rsidR="001A4D76" w:rsidRPr="0063119B" w:rsidRDefault="003F7ABE" w:rsidP="003F7ABE">
      <w:pPr>
        <w:suppressAutoHyphens/>
        <w:rPr>
          <w:noProof/>
          <w:szCs w:val="22"/>
        </w:rPr>
      </w:pPr>
      <w:r w:rsidRPr="0063119B">
        <w:rPr>
          <w:noProof/>
          <w:szCs w:val="22"/>
        </w:rPr>
        <w:t xml:space="preserve">Quando é empregue anestesia neuraxial (anestesia epidural/espinal) ou punção epidural/espinal, os doentes tratados com agentes antitrombóticos para a prevenção de complicações tromboembólicas apresentam risco de desenvolverem um hematoma espinal ou epidural, o que pode resultar em paralisia prolongada ou permanente. O risco destes acontecimentos poderá ser aumentado pela </w:t>
      </w:r>
      <w:r w:rsidRPr="0063119B">
        <w:rPr>
          <w:noProof/>
          <w:szCs w:val="22"/>
        </w:rPr>
        <w:lastRenderedPageBreak/>
        <w:t>utilização pós-operatória de cateteres epidurais internos ou pela utilização concomitante de medicamentos que afetam a hemostase. O risco pode também ser aumentado pela punção espinal ou epidural repetida ou traumática. Os doentes devem ser frequentemente monitorizados relativamente a sinais e sintomas de alteração neurológica (ex.: dormência ou fraqueza das pernas, disfunção da bexiga ou intestino). Se for observada alteração neurológica, são necessários o diagnóstico e o tratamento urgentes. Antes da intervenção neuraxial, o médico deve considerar o potencial benefício versus o risco em doentes tratados com anticoagulantes ou em doentes que irão ser tratados com anticoagulantes para a tromboprofilaxia.</w:t>
      </w:r>
      <w:r w:rsidR="00963A86" w:rsidRPr="0063119B">
        <w:rPr>
          <w:noProof/>
          <w:szCs w:val="22"/>
        </w:rPr>
        <w:t xml:space="preserve"> </w:t>
      </w:r>
      <w:r w:rsidR="00613CD3" w:rsidRPr="0063119B">
        <w:rPr>
          <w:noProof/>
          <w:szCs w:val="22"/>
        </w:rPr>
        <w:t>Nestas situações, n</w:t>
      </w:r>
      <w:r w:rsidR="00963A86" w:rsidRPr="0063119B">
        <w:rPr>
          <w:noProof/>
          <w:szCs w:val="22"/>
        </w:rPr>
        <w:t>ão existe experiência clínica com a utilização de 2,5</w:t>
      </w:r>
      <w:r w:rsidR="00E9279A" w:rsidRPr="0063119B">
        <w:rPr>
          <w:noProof/>
          <w:szCs w:val="22"/>
        </w:rPr>
        <w:t> </w:t>
      </w:r>
      <w:r w:rsidR="00963A86" w:rsidRPr="0063119B">
        <w:rPr>
          <w:noProof/>
          <w:szCs w:val="22"/>
        </w:rPr>
        <w:t xml:space="preserve">mg </w:t>
      </w:r>
      <w:r w:rsidR="00E83C31" w:rsidRPr="0063119B">
        <w:rPr>
          <w:noProof/>
          <w:szCs w:val="22"/>
        </w:rPr>
        <w:t xml:space="preserve">de rivaroxabano </w:t>
      </w:r>
      <w:r w:rsidR="00F2531E">
        <w:rPr>
          <w:noProof/>
          <w:szCs w:val="22"/>
        </w:rPr>
        <w:t xml:space="preserve">e de substâncias antiplaquetárias. </w:t>
      </w:r>
      <w:r w:rsidR="00F2531E">
        <w:t>Os inibidores da agregação plaquetária devem ser descontinuados conforme sugerido pela informação de prescrição do fabricante.</w:t>
      </w:r>
      <w:r w:rsidR="00963A86" w:rsidRPr="0063119B">
        <w:rPr>
          <w:noProof/>
          <w:szCs w:val="22"/>
        </w:rPr>
        <w:t xml:space="preserve"> </w:t>
      </w:r>
    </w:p>
    <w:p w14:paraId="2B51408E" w14:textId="77777777" w:rsidR="00DC749F" w:rsidRPr="0063119B" w:rsidRDefault="00963A86" w:rsidP="003F7ABE">
      <w:pPr>
        <w:suppressAutoHyphens/>
        <w:rPr>
          <w:noProof/>
          <w:szCs w:val="22"/>
        </w:rPr>
      </w:pPr>
      <w:r w:rsidRPr="0063119B">
        <w:rPr>
          <w:noProof/>
          <w:szCs w:val="22"/>
        </w:rPr>
        <w:t>Para reduzir o risco potencial de hemorragia associado com a utilização concomitante de ri</w:t>
      </w:r>
      <w:r w:rsidR="001A4D76" w:rsidRPr="0063119B">
        <w:rPr>
          <w:noProof/>
          <w:szCs w:val="22"/>
        </w:rPr>
        <w:t xml:space="preserve">varoxabano e </w:t>
      </w:r>
      <w:r w:rsidRPr="0063119B">
        <w:rPr>
          <w:noProof/>
          <w:szCs w:val="22"/>
        </w:rPr>
        <w:t>anestesia neuraxial (epidural/espinal) ou punção epidural</w:t>
      </w:r>
      <w:r w:rsidR="00DC749F" w:rsidRPr="0063119B">
        <w:rPr>
          <w:noProof/>
          <w:szCs w:val="22"/>
        </w:rPr>
        <w:t>, considerar</w:t>
      </w:r>
      <w:r w:rsidRPr="0063119B">
        <w:rPr>
          <w:noProof/>
          <w:szCs w:val="22"/>
        </w:rPr>
        <w:t xml:space="preserve"> o perfil farmacocinético do rivaroxabano. A colocação ou remoç</w:t>
      </w:r>
      <w:r w:rsidR="001A4D76" w:rsidRPr="0063119B">
        <w:rPr>
          <w:noProof/>
          <w:szCs w:val="22"/>
        </w:rPr>
        <w:t xml:space="preserve">ão de um </w:t>
      </w:r>
      <w:r w:rsidRPr="0063119B">
        <w:rPr>
          <w:noProof/>
          <w:szCs w:val="22"/>
        </w:rPr>
        <w:t xml:space="preserve">cateter epidural ou punção lombar </w:t>
      </w:r>
      <w:r w:rsidR="001A4D76" w:rsidRPr="0063119B">
        <w:rPr>
          <w:noProof/>
          <w:szCs w:val="22"/>
        </w:rPr>
        <w:t xml:space="preserve">é melhor realizada </w:t>
      </w:r>
      <w:r w:rsidRPr="0063119B">
        <w:rPr>
          <w:noProof/>
          <w:szCs w:val="22"/>
        </w:rPr>
        <w:t xml:space="preserve">quando </w:t>
      </w:r>
      <w:r w:rsidR="00CD667C" w:rsidRPr="0063119B">
        <w:rPr>
          <w:noProof/>
          <w:szCs w:val="22"/>
        </w:rPr>
        <w:t xml:space="preserve">se </w:t>
      </w:r>
      <w:r w:rsidRPr="0063119B">
        <w:rPr>
          <w:noProof/>
          <w:szCs w:val="22"/>
        </w:rPr>
        <w:t xml:space="preserve">estima que o efeito anticoagulante do rivaroxabano </w:t>
      </w:r>
      <w:r w:rsidR="001A4D76" w:rsidRPr="0063119B">
        <w:rPr>
          <w:noProof/>
          <w:szCs w:val="22"/>
        </w:rPr>
        <w:t>é</w:t>
      </w:r>
      <w:r w:rsidRPr="0063119B">
        <w:rPr>
          <w:noProof/>
          <w:szCs w:val="22"/>
        </w:rPr>
        <w:t xml:space="preserve"> baixo (ver secção 5.2). Contudo, o momento exato para atingir um efeito anticoagulante suficientemente baixo em cada doente, não </w:t>
      </w:r>
      <w:r w:rsidR="001A4D76" w:rsidRPr="0063119B">
        <w:rPr>
          <w:noProof/>
          <w:szCs w:val="22"/>
        </w:rPr>
        <w:t>é conhecido</w:t>
      </w:r>
      <w:r w:rsidRPr="0063119B">
        <w:rPr>
          <w:noProof/>
          <w:szCs w:val="22"/>
        </w:rPr>
        <w:t xml:space="preserve">. </w:t>
      </w:r>
    </w:p>
    <w:p w14:paraId="67265D27" w14:textId="77777777" w:rsidR="00DC749F" w:rsidRPr="0063119B" w:rsidRDefault="00DC749F" w:rsidP="003F7ABE">
      <w:pPr>
        <w:suppressAutoHyphens/>
        <w:rPr>
          <w:noProof/>
          <w:szCs w:val="22"/>
        </w:rPr>
      </w:pPr>
    </w:p>
    <w:p w14:paraId="45D08BA4" w14:textId="77777777" w:rsidR="001B7699" w:rsidRDefault="001B7699" w:rsidP="001B7699">
      <w:pPr>
        <w:autoSpaceDE w:val="0"/>
        <w:autoSpaceDN w:val="0"/>
        <w:adjustRightInd w:val="0"/>
        <w:rPr>
          <w:szCs w:val="22"/>
          <w:u w:val="single"/>
        </w:rPr>
      </w:pPr>
      <w:r w:rsidRPr="0063119B">
        <w:rPr>
          <w:szCs w:val="22"/>
          <w:u w:val="single"/>
        </w:rPr>
        <w:t>Recomendações posológicas antes e depois de procedimentos invasivos e intervenções cirúrgicas</w:t>
      </w:r>
    </w:p>
    <w:p w14:paraId="6C89F0B0" w14:textId="77777777" w:rsidR="00A97106" w:rsidRPr="0063119B" w:rsidRDefault="00A97106" w:rsidP="001B7699">
      <w:pPr>
        <w:autoSpaceDE w:val="0"/>
        <w:autoSpaceDN w:val="0"/>
        <w:adjustRightInd w:val="0"/>
        <w:rPr>
          <w:szCs w:val="22"/>
        </w:rPr>
      </w:pPr>
    </w:p>
    <w:p w14:paraId="02E36F2D" w14:textId="77777777" w:rsidR="001E2C11" w:rsidRPr="0063119B" w:rsidRDefault="001B7699" w:rsidP="001B7699">
      <w:pPr>
        <w:rPr>
          <w:szCs w:val="22"/>
        </w:rPr>
      </w:pPr>
      <w:r w:rsidRPr="0063119B">
        <w:rPr>
          <w:szCs w:val="22"/>
        </w:rPr>
        <w:t xml:space="preserve">No caso de ser necessário um procedimento invasivo ou uma intervenção cirúrgica, </w:t>
      </w:r>
      <w:r w:rsidR="00607DE4">
        <w:rPr>
          <w:szCs w:val="22"/>
        </w:rPr>
        <w:t>Rivaroxabano</w:t>
      </w:r>
      <w:r w:rsidR="00E83C31" w:rsidRPr="0063119B">
        <w:rPr>
          <w:szCs w:val="22"/>
        </w:rPr>
        <w:t xml:space="preserve"> Accord</w:t>
      </w:r>
      <w:r w:rsidRPr="0063119B">
        <w:rPr>
          <w:szCs w:val="22"/>
        </w:rPr>
        <w:t xml:space="preserve"> </w:t>
      </w:r>
      <w:r w:rsidR="000F75C6" w:rsidRPr="0063119B">
        <w:rPr>
          <w:szCs w:val="22"/>
        </w:rPr>
        <w:t xml:space="preserve">2,5 mg </w:t>
      </w:r>
      <w:r w:rsidRPr="0063119B">
        <w:rPr>
          <w:szCs w:val="22"/>
        </w:rPr>
        <w:t xml:space="preserve">deve ser interrompido pelo menos 12 horas antes da intervenção, se possível, e de acordo com o critério clínico do médico. Se um doente estiver para ser submetido a cirurgia eletiva e não se desejar um efeito antiplaquetário, os inibidores da agregação plaquetária devem ser descontinuados conforme indicado na informação de prescrição do fabricante. </w:t>
      </w:r>
    </w:p>
    <w:p w14:paraId="6A2CBFBA" w14:textId="77777777" w:rsidR="001B7699" w:rsidRPr="0063119B" w:rsidRDefault="001B7699" w:rsidP="001B7699">
      <w:pPr>
        <w:rPr>
          <w:szCs w:val="22"/>
        </w:rPr>
      </w:pPr>
      <w:r w:rsidRPr="0063119B">
        <w:rPr>
          <w:bCs/>
          <w:szCs w:val="22"/>
        </w:rPr>
        <w:t>Se o procedimento não puder ser adiado, o risco acrescido de hemorragia deve ser avaliado em relação à urgência da intervenção.</w:t>
      </w:r>
    </w:p>
    <w:p w14:paraId="51C42D1F" w14:textId="77777777" w:rsidR="001B7699" w:rsidRPr="0063119B" w:rsidRDefault="00607DE4" w:rsidP="001B7699">
      <w:pPr>
        <w:suppressAutoHyphens/>
        <w:rPr>
          <w:noProof/>
          <w:szCs w:val="22"/>
        </w:rPr>
      </w:pPr>
      <w:r>
        <w:rPr>
          <w:bCs/>
          <w:szCs w:val="22"/>
        </w:rPr>
        <w:t>Rivaroxabano</w:t>
      </w:r>
      <w:r w:rsidR="00E83C31" w:rsidRPr="0063119B">
        <w:rPr>
          <w:bCs/>
          <w:szCs w:val="22"/>
        </w:rPr>
        <w:t xml:space="preserve"> Accord</w:t>
      </w:r>
      <w:r w:rsidR="001B7699" w:rsidRPr="0063119B">
        <w:rPr>
          <w:bCs/>
          <w:szCs w:val="22"/>
        </w:rPr>
        <w:t xml:space="preserve"> deve ser reiniciado </w:t>
      </w:r>
      <w:r w:rsidR="003F7ABE" w:rsidRPr="0063119B">
        <w:rPr>
          <w:bCs/>
          <w:szCs w:val="22"/>
        </w:rPr>
        <w:t xml:space="preserve">logo que for possível </w:t>
      </w:r>
      <w:r w:rsidR="001B7699" w:rsidRPr="0063119B">
        <w:rPr>
          <w:bCs/>
          <w:szCs w:val="22"/>
        </w:rPr>
        <w:t xml:space="preserve">após o procedimento invasivo ou a intervenção cirúrgica, desde que a situação clínica o permita e a hemostase adequada tenha sido estabelecida </w:t>
      </w:r>
      <w:r w:rsidR="00BA4289" w:rsidRPr="0063119B">
        <w:rPr>
          <w:bCs/>
          <w:szCs w:val="22"/>
        </w:rPr>
        <w:t xml:space="preserve">conforme determinado pelo médico assistente </w:t>
      </w:r>
      <w:r w:rsidR="001B7699" w:rsidRPr="0063119B">
        <w:rPr>
          <w:bCs/>
          <w:szCs w:val="22"/>
        </w:rPr>
        <w:t>(ver secção 5.2).</w:t>
      </w:r>
    </w:p>
    <w:p w14:paraId="6E03D3FA" w14:textId="77777777" w:rsidR="001B7699" w:rsidRPr="0063119B" w:rsidRDefault="001B7699" w:rsidP="001B7699">
      <w:pPr>
        <w:suppressAutoHyphens/>
        <w:rPr>
          <w:noProof/>
          <w:szCs w:val="22"/>
        </w:rPr>
      </w:pPr>
    </w:p>
    <w:p w14:paraId="23E8163B" w14:textId="77777777" w:rsidR="00CB1C13" w:rsidRDefault="00CB1C13" w:rsidP="00CB1C13">
      <w:pPr>
        <w:autoSpaceDE w:val="0"/>
        <w:autoSpaceDN w:val="0"/>
        <w:adjustRightInd w:val="0"/>
        <w:rPr>
          <w:noProof/>
          <w:szCs w:val="22"/>
          <w:u w:val="single"/>
        </w:rPr>
      </w:pPr>
      <w:r w:rsidRPr="0063119B">
        <w:rPr>
          <w:noProof/>
          <w:szCs w:val="22"/>
          <w:u w:val="single"/>
        </w:rPr>
        <w:t>População idosa</w:t>
      </w:r>
    </w:p>
    <w:p w14:paraId="19A9AB61" w14:textId="77777777" w:rsidR="00A97106" w:rsidRPr="0063119B" w:rsidRDefault="00A97106" w:rsidP="00CB1C13">
      <w:pPr>
        <w:autoSpaceDE w:val="0"/>
        <w:autoSpaceDN w:val="0"/>
        <w:adjustRightInd w:val="0"/>
        <w:rPr>
          <w:noProof/>
          <w:szCs w:val="22"/>
        </w:rPr>
      </w:pPr>
    </w:p>
    <w:p w14:paraId="1D2068D4" w14:textId="77777777" w:rsidR="00A13414" w:rsidRPr="0063119B" w:rsidRDefault="00CB1C13" w:rsidP="00CB1C13">
      <w:pPr>
        <w:autoSpaceDE w:val="0"/>
        <w:autoSpaceDN w:val="0"/>
        <w:adjustRightInd w:val="0"/>
        <w:rPr>
          <w:szCs w:val="22"/>
        </w:rPr>
      </w:pPr>
      <w:r w:rsidRPr="0063119B">
        <w:rPr>
          <w:szCs w:val="22"/>
        </w:rPr>
        <w:t>A idade avançada pode aumentar o risco de hemorragia (ver secç</w:t>
      </w:r>
      <w:r w:rsidR="00BD2411" w:rsidRPr="0063119B">
        <w:rPr>
          <w:szCs w:val="22"/>
        </w:rPr>
        <w:t>ões 5.1 e</w:t>
      </w:r>
      <w:r w:rsidRPr="0063119B">
        <w:rPr>
          <w:szCs w:val="22"/>
        </w:rPr>
        <w:t> 5.2).</w:t>
      </w:r>
    </w:p>
    <w:p w14:paraId="7F625684" w14:textId="77777777" w:rsidR="00A13414" w:rsidRPr="0063119B" w:rsidRDefault="00A13414" w:rsidP="00CB1C13">
      <w:pPr>
        <w:autoSpaceDE w:val="0"/>
        <w:autoSpaceDN w:val="0"/>
        <w:adjustRightInd w:val="0"/>
        <w:rPr>
          <w:szCs w:val="22"/>
        </w:rPr>
      </w:pPr>
    </w:p>
    <w:p w14:paraId="7A9E0D6C" w14:textId="77777777" w:rsidR="00CB1C13" w:rsidRDefault="00A13414" w:rsidP="00CB1C13">
      <w:pPr>
        <w:autoSpaceDE w:val="0"/>
        <w:autoSpaceDN w:val="0"/>
        <w:adjustRightInd w:val="0"/>
        <w:rPr>
          <w:szCs w:val="22"/>
          <w:u w:val="single"/>
        </w:rPr>
      </w:pPr>
      <w:r w:rsidRPr="0063119B">
        <w:rPr>
          <w:szCs w:val="22"/>
          <w:u w:val="single"/>
        </w:rPr>
        <w:t>Reações dermatológicas</w:t>
      </w:r>
    </w:p>
    <w:p w14:paraId="1C75D1A9" w14:textId="77777777" w:rsidR="00A97106" w:rsidRPr="0063119B" w:rsidRDefault="00A97106" w:rsidP="00CB1C13">
      <w:pPr>
        <w:autoSpaceDE w:val="0"/>
        <w:autoSpaceDN w:val="0"/>
        <w:adjustRightInd w:val="0"/>
        <w:rPr>
          <w:szCs w:val="22"/>
          <w:u w:val="single"/>
        </w:rPr>
      </w:pPr>
    </w:p>
    <w:p w14:paraId="6EF909BF" w14:textId="77777777" w:rsidR="00A13414" w:rsidRPr="0063119B" w:rsidRDefault="00A13414" w:rsidP="00CA38F9">
      <w:pPr>
        <w:autoSpaceDE w:val="0"/>
        <w:autoSpaceDN w:val="0"/>
        <w:adjustRightInd w:val="0"/>
        <w:rPr>
          <w:szCs w:val="22"/>
        </w:rPr>
      </w:pPr>
      <w:r w:rsidRPr="0063119B">
        <w:rPr>
          <w:szCs w:val="22"/>
        </w:rPr>
        <w:t>Foram notificadas reações cutâneas graves, incluindo síndrome de Stevens-Johnson/</w:t>
      </w:r>
      <w:r w:rsidR="00865876" w:rsidRPr="0063119B">
        <w:rPr>
          <w:szCs w:val="22"/>
        </w:rPr>
        <w:t>n</w:t>
      </w:r>
      <w:r w:rsidRPr="0063119B">
        <w:rPr>
          <w:szCs w:val="22"/>
        </w:rPr>
        <w:t>ecrólise</w:t>
      </w:r>
      <w:r w:rsidR="00CA38F9" w:rsidRPr="0063119B">
        <w:rPr>
          <w:szCs w:val="22"/>
        </w:rPr>
        <w:t xml:space="preserve"> </w:t>
      </w:r>
      <w:r w:rsidR="00865876" w:rsidRPr="0063119B">
        <w:rPr>
          <w:szCs w:val="22"/>
        </w:rPr>
        <w:t>e</w:t>
      </w:r>
      <w:r w:rsidRPr="0063119B">
        <w:rPr>
          <w:szCs w:val="22"/>
        </w:rPr>
        <w:t xml:space="preserve">pidérmica </w:t>
      </w:r>
      <w:r w:rsidR="00865876" w:rsidRPr="0063119B">
        <w:rPr>
          <w:szCs w:val="22"/>
        </w:rPr>
        <w:t>t</w:t>
      </w:r>
      <w:r w:rsidRPr="0063119B">
        <w:rPr>
          <w:szCs w:val="22"/>
        </w:rPr>
        <w:t>óxica</w:t>
      </w:r>
      <w:r w:rsidR="00CA38F9" w:rsidRPr="0063119B">
        <w:rPr>
          <w:szCs w:val="22"/>
        </w:rPr>
        <w:t xml:space="preserve"> e síndrome </w:t>
      </w:r>
      <w:r w:rsidR="005E57C6" w:rsidRPr="0063119B">
        <w:rPr>
          <w:szCs w:val="22"/>
        </w:rPr>
        <w:t xml:space="preserve">de </w:t>
      </w:r>
      <w:r w:rsidR="00CA38F9" w:rsidRPr="0063119B">
        <w:rPr>
          <w:szCs w:val="22"/>
        </w:rPr>
        <w:t>DRESS</w:t>
      </w:r>
      <w:r w:rsidRPr="0063119B">
        <w:rPr>
          <w:szCs w:val="22"/>
        </w:rPr>
        <w:t>, durante a vigilância p</w:t>
      </w:r>
      <w:r w:rsidR="001C4797" w:rsidRPr="0063119B">
        <w:rPr>
          <w:szCs w:val="22"/>
        </w:rPr>
        <w:t>ós-comercialização</w:t>
      </w:r>
      <w:r w:rsidR="00EC173D" w:rsidRPr="0063119B">
        <w:rPr>
          <w:szCs w:val="22"/>
        </w:rPr>
        <w:t>,</w:t>
      </w:r>
      <w:r w:rsidRPr="0063119B">
        <w:rPr>
          <w:szCs w:val="22"/>
        </w:rPr>
        <w:t xml:space="preserve"> </w:t>
      </w:r>
      <w:r w:rsidR="001C4797" w:rsidRPr="0063119B">
        <w:rPr>
          <w:szCs w:val="22"/>
        </w:rPr>
        <w:t>associadas à</w:t>
      </w:r>
      <w:r w:rsidR="00CB479C" w:rsidRPr="0063119B">
        <w:rPr>
          <w:szCs w:val="22"/>
        </w:rPr>
        <w:t xml:space="preserve"> </w:t>
      </w:r>
      <w:r w:rsidRPr="0063119B">
        <w:rPr>
          <w:szCs w:val="22"/>
        </w:rPr>
        <w:t>utilização de rivaroxabano (ver secção 4.8). Os doentes parecem estar em maior risco</w:t>
      </w:r>
      <w:r w:rsidR="0056140C" w:rsidRPr="0063119B">
        <w:rPr>
          <w:szCs w:val="22"/>
        </w:rPr>
        <w:t xml:space="preserve"> para estas reações no início da terapêutica</w:t>
      </w:r>
      <w:r w:rsidRPr="0063119B">
        <w:rPr>
          <w:szCs w:val="22"/>
        </w:rPr>
        <w:t xml:space="preserve">: o início </w:t>
      </w:r>
      <w:r w:rsidR="0056140C" w:rsidRPr="0063119B">
        <w:rPr>
          <w:szCs w:val="22"/>
        </w:rPr>
        <w:t>da reação ocorre na maioria dos casos nas primeiras semanas de tratamento. O  rivaroxabano deve ser interrompido na primeira manifestação de uma erupção cutânea grave (</w:t>
      </w:r>
      <w:r w:rsidR="00CB479C" w:rsidRPr="0063119B">
        <w:rPr>
          <w:szCs w:val="22"/>
        </w:rPr>
        <w:t>ex.:</w:t>
      </w:r>
      <w:r w:rsidR="00EC173D" w:rsidRPr="0063119B">
        <w:rPr>
          <w:szCs w:val="22"/>
        </w:rPr>
        <w:t xml:space="preserve"> </w:t>
      </w:r>
      <w:r w:rsidR="0056140C" w:rsidRPr="0063119B">
        <w:rPr>
          <w:szCs w:val="22"/>
        </w:rPr>
        <w:t>disseminação intensa e/ou formação de bolhas) ou qualquer outro sinal de hipersensibilidade em associaç</w:t>
      </w:r>
      <w:r w:rsidR="00CB479C" w:rsidRPr="0063119B">
        <w:rPr>
          <w:szCs w:val="22"/>
        </w:rPr>
        <w:t>ão co</w:t>
      </w:r>
      <w:r w:rsidR="0056140C" w:rsidRPr="0063119B">
        <w:rPr>
          <w:szCs w:val="22"/>
        </w:rPr>
        <w:t xml:space="preserve">m lesões da mucosa.  </w:t>
      </w:r>
    </w:p>
    <w:p w14:paraId="62F7DDEB" w14:textId="77777777" w:rsidR="00CB479C" w:rsidRPr="0063119B" w:rsidRDefault="00CB479C" w:rsidP="00CB1C13">
      <w:pPr>
        <w:autoSpaceDE w:val="0"/>
        <w:autoSpaceDN w:val="0"/>
        <w:adjustRightInd w:val="0"/>
        <w:rPr>
          <w:szCs w:val="22"/>
        </w:rPr>
      </w:pPr>
    </w:p>
    <w:p w14:paraId="5A097230" w14:textId="77777777" w:rsidR="001B7699" w:rsidRDefault="001B7699" w:rsidP="00A9161F">
      <w:pPr>
        <w:keepNext/>
        <w:suppressAutoHyphens/>
        <w:rPr>
          <w:noProof/>
          <w:szCs w:val="22"/>
          <w:u w:val="single"/>
        </w:rPr>
      </w:pPr>
      <w:r w:rsidRPr="0063119B">
        <w:rPr>
          <w:noProof/>
          <w:szCs w:val="22"/>
          <w:u w:val="single"/>
        </w:rPr>
        <w:t>Informação sobre excipientes</w:t>
      </w:r>
    </w:p>
    <w:p w14:paraId="376E71E8" w14:textId="77777777" w:rsidR="00A97106" w:rsidRPr="0063119B" w:rsidRDefault="00A97106" w:rsidP="00A9161F">
      <w:pPr>
        <w:keepNext/>
        <w:suppressAutoHyphens/>
        <w:rPr>
          <w:noProof/>
          <w:szCs w:val="22"/>
          <w:u w:val="single"/>
        </w:rPr>
      </w:pPr>
    </w:p>
    <w:p w14:paraId="23149C49" w14:textId="77777777" w:rsidR="001B7699" w:rsidRPr="0063119B" w:rsidRDefault="00607DE4" w:rsidP="001B7699">
      <w:pPr>
        <w:suppressAutoHyphens/>
        <w:rPr>
          <w:noProof/>
          <w:szCs w:val="22"/>
        </w:rPr>
      </w:pPr>
      <w:r>
        <w:rPr>
          <w:noProof/>
          <w:szCs w:val="22"/>
        </w:rPr>
        <w:t>Rivaroxabano</w:t>
      </w:r>
      <w:r w:rsidR="00E83C31" w:rsidRPr="0063119B">
        <w:rPr>
          <w:noProof/>
          <w:szCs w:val="22"/>
        </w:rPr>
        <w:t xml:space="preserve"> Accord</w:t>
      </w:r>
      <w:r w:rsidR="001B7699" w:rsidRPr="0063119B">
        <w:rPr>
          <w:noProof/>
          <w:szCs w:val="22"/>
        </w:rPr>
        <w:t xml:space="preserve"> contém lactose. Doentes com problemas hereditários raros de intolerância à galactose, deficiência </w:t>
      </w:r>
      <w:r w:rsidR="00865876" w:rsidRPr="0063119B">
        <w:rPr>
          <w:noProof/>
          <w:szCs w:val="22"/>
        </w:rPr>
        <w:t xml:space="preserve">total </w:t>
      </w:r>
      <w:r w:rsidR="001B7699" w:rsidRPr="0063119B">
        <w:rPr>
          <w:noProof/>
          <w:szCs w:val="22"/>
        </w:rPr>
        <w:t>de lactase ou malabsorção de glucose</w:t>
      </w:r>
      <w:r w:rsidR="001B7699" w:rsidRPr="0063119B">
        <w:rPr>
          <w:noProof/>
          <w:szCs w:val="22"/>
        </w:rPr>
        <w:noBreakHyphen/>
        <w:t>galactose não devem tomar este medicamento.</w:t>
      </w:r>
    </w:p>
    <w:p w14:paraId="68BC6F8A" w14:textId="77777777" w:rsidR="00E83C31" w:rsidRPr="0063119B" w:rsidRDefault="00E83C31" w:rsidP="000B293C">
      <w:pPr>
        <w:autoSpaceDE w:val="0"/>
        <w:autoSpaceDN w:val="0"/>
        <w:adjustRightInd w:val="0"/>
        <w:rPr>
          <w:noProof/>
          <w:szCs w:val="22"/>
        </w:rPr>
      </w:pPr>
      <w:bookmarkStart w:id="0" w:name="_Hlk49078244"/>
      <w:r w:rsidRPr="0063119B">
        <w:rPr>
          <w:color w:val="000000"/>
          <w:szCs w:val="22"/>
          <w:lang w:eastAsia="en-GB"/>
        </w:rPr>
        <w:t>Este medicamento contém menos do que 1 mmol (23 mg) de sódio por comprimido, ou seja, é praticamente “isento de sódio”.</w:t>
      </w:r>
      <w:bookmarkEnd w:id="0"/>
    </w:p>
    <w:p w14:paraId="200FE4DD" w14:textId="77777777" w:rsidR="000F75C6" w:rsidRPr="0063119B" w:rsidRDefault="000F75C6" w:rsidP="001B7699">
      <w:pPr>
        <w:suppressAutoHyphens/>
        <w:ind w:left="567" w:hanging="567"/>
        <w:rPr>
          <w:b/>
          <w:noProof/>
          <w:szCs w:val="22"/>
        </w:rPr>
      </w:pPr>
    </w:p>
    <w:p w14:paraId="1CCBC30F" w14:textId="77777777" w:rsidR="001B7699" w:rsidRPr="0063119B" w:rsidRDefault="001B7699" w:rsidP="001B7699">
      <w:pPr>
        <w:suppressAutoHyphens/>
        <w:ind w:left="567" w:hanging="567"/>
        <w:rPr>
          <w:noProof/>
          <w:szCs w:val="22"/>
        </w:rPr>
      </w:pPr>
      <w:r w:rsidRPr="0063119B">
        <w:rPr>
          <w:b/>
          <w:noProof/>
          <w:szCs w:val="22"/>
        </w:rPr>
        <w:t>4.5</w:t>
      </w:r>
      <w:r w:rsidRPr="0063119B">
        <w:rPr>
          <w:b/>
          <w:noProof/>
          <w:szCs w:val="22"/>
        </w:rPr>
        <w:tab/>
        <w:t>Interações medicamentosas e outras formas de interação</w:t>
      </w:r>
    </w:p>
    <w:p w14:paraId="5006E8F2" w14:textId="77777777" w:rsidR="001B7699" w:rsidRPr="0063119B" w:rsidRDefault="001B7699" w:rsidP="001B7699">
      <w:pPr>
        <w:suppressAutoHyphens/>
        <w:rPr>
          <w:noProof/>
          <w:szCs w:val="22"/>
        </w:rPr>
      </w:pPr>
    </w:p>
    <w:p w14:paraId="3423653B" w14:textId="77777777" w:rsidR="001B7699" w:rsidRDefault="001B7699" w:rsidP="001B7699">
      <w:pPr>
        <w:suppressAutoHyphens/>
        <w:rPr>
          <w:noProof/>
          <w:szCs w:val="22"/>
          <w:u w:val="single"/>
        </w:rPr>
      </w:pPr>
      <w:r w:rsidRPr="0063119B">
        <w:rPr>
          <w:noProof/>
          <w:szCs w:val="22"/>
          <w:u w:val="single"/>
        </w:rPr>
        <w:t>Inibidores do CYP3A4 e da gp</w:t>
      </w:r>
      <w:r w:rsidRPr="0063119B">
        <w:rPr>
          <w:noProof/>
          <w:szCs w:val="22"/>
          <w:u w:val="single"/>
        </w:rPr>
        <w:noBreakHyphen/>
        <w:t>P</w:t>
      </w:r>
    </w:p>
    <w:p w14:paraId="4CEF4FB1" w14:textId="77777777" w:rsidR="00A97106" w:rsidRPr="0063119B" w:rsidRDefault="00A97106" w:rsidP="001B7699">
      <w:pPr>
        <w:suppressAutoHyphens/>
        <w:rPr>
          <w:noProof/>
          <w:szCs w:val="22"/>
          <w:u w:val="single"/>
        </w:rPr>
      </w:pPr>
    </w:p>
    <w:p w14:paraId="13D1092D" w14:textId="77777777" w:rsidR="001B7699" w:rsidRPr="0063119B" w:rsidRDefault="001B7699" w:rsidP="001B7699">
      <w:pPr>
        <w:suppressAutoHyphens/>
        <w:rPr>
          <w:noProof/>
          <w:szCs w:val="22"/>
        </w:rPr>
      </w:pPr>
      <w:r w:rsidRPr="0063119B">
        <w:rPr>
          <w:noProof/>
          <w:szCs w:val="22"/>
        </w:rPr>
        <w:t>A coadministração de rivaroxabano com cetoconazol (400 mg uma vez ao dia) ou ritonavir</w:t>
      </w:r>
    </w:p>
    <w:p w14:paraId="5559CEF3" w14:textId="77777777" w:rsidR="001B7699" w:rsidRPr="0063119B" w:rsidRDefault="001B7699" w:rsidP="001B7699">
      <w:pPr>
        <w:suppressAutoHyphens/>
        <w:rPr>
          <w:noProof/>
          <w:szCs w:val="22"/>
        </w:rPr>
      </w:pPr>
      <w:r w:rsidRPr="0063119B">
        <w:rPr>
          <w:noProof/>
          <w:szCs w:val="22"/>
        </w:rPr>
        <w:lastRenderedPageBreak/>
        <w:t xml:space="preserve">(600 mg duas vezes ao dia) originou um aumento de 2,6 vezes / 2,5 vezes da média da AUC do rivaroxabano e um aumento de 1,7 vezes / 1,6 vezes da média da </w:t>
      </w:r>
      <w:r w:rsidRPr="0063119B">
        <w:rPr>
          <w:rFonts w:eastAsia="MS Mincho"/>
          <w:noProof/>
          <w:szCs w:val="22"/>
          <w:lang w:eastAsia="ja-JP"/>
        </w:rPr>
        <w:t>C</w:t>
      </w:r>
      <w:r w:rsidRPr="0063119B">
        <w:rPr>
          <w:rFonts w:eastAsia="MS Mincho"/>
          <w:noProof/>
          <w:szCs w:val="22"/>
          <w:vertAlign w:val="subscript"/>
          <w:lang w:eastAsia="ja-JP"/>
        </w:rPr>
        <w:t>max</w:t>
      </w:r>
      <w:r w:rsidRPr="0063119B">
        <w:rPr>
          <w:noProof/>
          <w:szCs w:val="22"/>
        </w:rPr>
        <w:t xml:space="preserve"> do rivaroxabano, com aumentos significativos nos efeitos farmacodinâmicos o que pode originar um risco aumentado de hemorragia. Deste modo, a utilização de </w:t>
      </w:r>
      <w:r w:rsidR="00E83C31" w:rsidRPr="0063119B">
        <w:rPr>
          <w:noProof/>
          <w:szCs w:val="22"/>
        </w:rPr>
        <w:t xml:space="preserve">rivaroxabano </w:t>
      </w:r>
      <w:r w:rsidRPr="0063119B">
        <w:rPr>
          <w:noProof/>
          <w:szCs w:val="22"/>
        </w:rPr>
        <w:t>não é recomendada em doentes submetidos a tratamento sistémico concomitante com antimicóticos azólicos tais como cetoconazol, itraconazol, voriconazol, posaconazol ou inibidores da protease do VIH. Estas substâncias ativas são potentes inibidores do CYP3A4 e da gp</w:t>
      </w:r>
      <w:r w:rsidRPr="0063119B">
        <w:rPr>
          <w:noProof/>
          <w:szCs w:val="22"/>
        </w:rPr>
        <w:noBreakHyphen/>
        <w:t>P (ver secção 4.4).</w:t>
      </w:r>
    </w:p>
    <w:p w14:paraId="716524AE" w14:textId="77777777" w:rsidR="001B7699" w:rsidRPr="0063119B" w:rsidRDefault="001B7699" w:rsidP="001B7699">
      <w:pPr>
        <w:suppressAutoHyphens/>
        <w:rPr>
          <w:noProof/>
          <w:szCs w:val="22"/>
        </w:rPr>
      </w:pPr>
    </w:p>
    <w:p w14:paraId="503D1056" w14:textId="77777777" w:rsidR="001B7699" w:rsidRPr="0063119B" w:rsidRDefault="001B7699" w:rsidP="001B7699">
      <w:pPr>
        <w:suppressAutoHyphens/>
        <w:rPr>
          <w:noProof/>
          <w:szCs w:val="22"/>
        </w:rPr>
      </w:pPr>
      <w:r w:rsidRPr="0063119B">
        <w:rPr>
          <w:noProof/>
          <w:szCs w:val="22"/>
        </w:rPr>
        <w:t>Prevê</w:t>
      </w:r>
      <w:r w:rsidRPr="0063119B">
        <w:rPr>
          <w:noProof/>
          <w:szCs w:val="22"/>
        </w:rPr>
        <w:noBreakHyphen/>
        <w:t>se que substâncias ativas que inibam fortemente apenas uma das vias de eliminação de rivaroxabano, quer o CYP3A4 quer a gp</w:t>
      </w:r>
      <w:r w:rsidRPr="0063119B">
        <w:rPr>
          <w:noProof/>
          <w:szCs w:val="22"/>
        </w:rPr>
        <w:noBreakHyphen/>
        <w:t>P, aumentem em menor grau as concentrações plasmáticas de rivaroxabano. A claritromicina (500 mg duas vezes ao dia), por exemplo, considerada como um potente inibidor do CYP3A4 e um inibidor moderado da gp</w:t>
      </w:r>
      <w:r w:rsidRPr="0063119B">
        <w:rPr>
          <w:noProof/>
          <w:szCs w:val="22"/>
        </w:rPr>
        <w:noBreakHyphen/>
        <w:t xml:space="preserve">P, originou um aumento de 1,5 vezes da média da AUC do rivaroxabano e um aumento de 1,4 vezes na </w:t>
      </w:r>
      <w:r w:rsidRPr="0063119B">
        <w:rPr>
          <w:rFonts w:eastAsia="MS Mincho"/>
          <w:noProof/>
          <w:szCs w:val="22"/>
          <w:lang w:eastAsia="ja-JP"/>
        </w:rPr>
        <w:t>C</w:t>
      </w:r>
      <w:r w:rsidRPr="0063119B">
        <w:rPr>
          <w:rFonts w:eastAsia="MS Mincho"/>
          <w:noProof/>
          <w:szCs w:val="22"/>
          <w:vertAlign w:val="subscript"/>
          <w:lang w:eastAsia="ja-JP"/>
        </w:rPr>
        <w:t>max</w:t>
      </w:r>
      <w:r w:rsidRPr="0063119B">
        <w:rPr>
          <w:noProof/>
          <w:szCs w:val="22"/>
        </w:rPr>
        <w:t xml:space="preserve">. </w:t>
      </w:r>
      <w:r w:rsidR="00411999" w:rsidRPr="0063119B">
        <w:rPr>
          <w:szCs w:val="22"/>
        </w:rPr>
        <w:t xml:space="preserve"> </w:t>
      </w:r>
      <w:r w:rsidR="00C1543F" w:rsidRPr="0063119B">
        <w:rPr>
          <w:szCs w:val="22"/>
        </w:rPr>
        <w:t>Provavelmente, a</w:t>
      </w:r>
      <w:r w:rsidR="00411999" w:rsidRPr="0063119B">
        <w:rPr>
          <w:noProof/>
          <w:szCs w:val="22"/>
        </w:rPr>
        <w:t xml:space="preserve"> interação co</w:t>
      </w:r>
      <w:r w:rsidR="00C1543F" w:rsidRPr="0063119B">
        <w:rPr>
          <w:noProof/>
          <w:szCs w:val="22"/>
        </w:rPr>
        <w:t>m a claritromicina</w:t>
      </w:r>
      <w:r w:rsidR="00411999" w:rsidRPr="0063119B">
        <w:rPr>
          <w:noProof/>
          <w:szCs w:val="22"/>
        </w:rPr>
        <w:t xml:space="preserve"> não é clinicamente relevante na maioria dos doentes, mas pode ser potencialmente significativa em doentes</w:t>
      </w:r>
      <w:r w:rsidR="00C1543F" w:rsidRPr="0063119B">
        <w:rPr>
          <w:noProof/>
          <w:szCs w:val="22"/>
        </w:rPr>
        <w:t xml:space="preserve"> de alto risco </w:t>
      </w:r>
      <w:r w:rsidR="00C472F6" w:rsidRPr="0063119B">
        <w:rPr>
          <w:noProof/>
          <w:szCs w:val="22"/>
        </w:rPr>
        <w:t>(</w:t>
      </w:r>
      <w:r w:rsidR="006850C0" w:rsidRPr="0063119B">
        <w:rPr>
          <w:noProof/>
          <w:szCs w:val="22"/>
        </w:rPr>
        <w:t>para</w:t>
      </w:r>
      <w:r w:rsidR="00C472F6" w:rsidRPr="0063119B">
        <w:rPr>
          <w:noProof/>
          <w:szCs w:val="22"/>
        </w:rPr>
        <w:t xml:space="preserve"> doentes com </w:t>
      </w:r>
      <w:r w:rsidR="000741CC" w:rsidRPr="0063119B">
        <w:rPr>
          <w:noProof/>
          <w:szCs w:val="22"/>
        </w:rPr>
        <w:t>compromisso</w:t>
      </w:r>
      <w:r w:rsidR="00C472F6" w:rsidRPr="0063119B">
        <w:rPr>
          <w:noProof/>
          <w:szCs w:val="22"/>
        </w:rPr>
        <w:t xml:space="preserve"> renal: ver secção 4.4).</w:t>
      </w:r>
    </w:p>
    <w:p w14:paraId="51A88716" w14:textId="77777777" w:rsidR="001B7699" w:rsidRPr="0063119B" w:rsidRDefault="001B7699" w:rsidP="001B7699">
      <w:pPr>
        <w:suppressAutoHyphens/>
        <w:rPr>
          <w:noProof/>
          <w:szCs w:val="22"/>
        </w:rPr>
      </w:pPr>
    </w:p>
    <w:p w14:paraId="49533AA6" w14:textId="77777777" w:rsidR="001B7699" w:rsidRPr="0063119B" w:rsidRDefault="001B7699" w:rsidP="001B7699">
      <w:pPr>
        <w:suppressAutoHyphens/>
        <w:rPr>
          <w:noProof/>
          <w:szCs w:val="22"/>
        </w:rPr>
      </w:pPr>
      <w:r w:rsidRPr="0063119B">
        <w:rPr>
          <w:noProof/>
          <w:szCs w:val="22"/>
        </w:rPr>
        <w:t>A eritromicina (500 mg três vezes ao dia), que inibe moderamente o CYP3A4 e a gp</w:t>
      </w:r>
      <w:r w:rsidRPr="0063119B">
        <w:rPr>
          <w:noProof/>
          <w:szCs w:val="22"/>
        </w:rPr>
        <w:noBreakHyphen/>
        <w:t xml:space="preserve">P, originou um aumento de 1,3 vezes da média da AUC e da </w:t>
      </w:r>
      <w:r w:rsidRPr="0063119B">
        <w:rPr>
          <w:rFonts w:eastAsia="MS Mincho"/>
          <w:noProof/>
          <w:szCs w:val="22"/>
          <w:lang w:eastAsia="ja-JP"/>
        </w:rPr>
        <w:t>C</w:t>
      </w:r>
      <w:r w:rsidRPr="0063119B">
        <w:rPr>
          <w:rFonts w:eastAsia="MS Mincho"/>
          <w:noProof/>
          <w:szCs w:val="22"/>
          <w:vertAlign w:val="subscript"/>
          <w:lang w:eastAsia="ja-JP"/>
        </w:rPr>
        <w:t>max</w:t>
      </w:r>
      <w:r w:rsidRPr="0063119B">
        <w:rPr>
          <w:noProof/>
          <w:szCs w:val="22"/>
        </w:rPr>
        <w:t xml:space="preserve"> do rivaroxabano. </w:t>
      </w:r>
      <w:r w:rsidR="00C1543F" w:rsidRPr="0063119B">
        <w:rPr>
          <w:szCs w:val="22"/>
        </w:rPr>
        <w:t>Provavelmente, a</w:t>
      </w:r>
      <w:r w:rsidR="00C1543F" w:rsidRPr="0063119B">
        <w:rPr>
          <w:noProof/>
          <w:szCs w:val="22"/>
        </w:rPr>
        <w:t xml:space="preserve"> interação com a eritromicina não é clinicamente relevante na maioria dos doentes, mas pode ser potencialmente significativa em doentes de alto risco.</w:t>
      </w:r>
    </w:p>
    <w:p w14:paraId="18FDBC1D" w14:textId="77777777" w:rsidR="001B7699" w:rsidRPr="0063119B" w:rsidRDefault="009211D6" w:rsidP="00EE6BBA">
      <w:pPr>
        <w:pStyle w:val="ListBullet"/>
        <w:numPr>
          <w:ilvl w:val="0"/>
          <w:numId w:val="0"/>
        </w:numPr>
        <w:rPr>
          <w:noProof/>
          <w:szCs w:val="22"/>
        </w:rPr>
      </w:pPr>
      <w:r w:rsidRPr="0063119B">
        <w:rPr>
          <w:noProof/>
          <w:szCs w:val="22"/>
        </w:rPr>
        <w:t>A eritromicina (500 mg três vezes ao dia) originou um aumento de 1,8 vezes da média da AUC d</w:t>
      </w:r>
      <w:r w:rsidR="00A21F34" w:rsidRPr="0063119B">
        <w:rPr>
          <w:noProof/>
          <w:szCs w:val="22"/>
        </w:rPr>
        <w:t>o rivaroxabano</w:t>
      </w:r>
      <w:r w:rsidR="000D7B09" w:rsidRPr="0063119B">
        <w:rPr>
          <w:noProof/>
          <w:szCs w:val="22"/>
        </w:rPr>
        <w:t xml:space="preserve"> e de 1,6 vezes da C</w:t>
      </w:r>
      <w:r w:rsidR="000D7B09" w:rsidRPr="0063119B">
        <w:rPr>
          <w:noProof/>
          <w:szCs w:val="22"/>
          <w:vertAlign w:val="subscript"/>
        </w:rPr>
        <w:t>max</w:t>
      </w:r>
      <w:r w:rsidR="000D7B09" w:rsidRPr="0063119B">
        <w:rPr>
          <w:noProof/>
          <w:szCs w:val="22"/>
        </w:rPr>
        <w:t xml:space="preserve"> em indivíduos com </w:t>
      </w:r>
      <w:r w:rsidR="00B70ADD" w:rsidRPr="0063119B">
        <w:rPr>
          <w:noProof/>
          <w:szCs w:val="22"/>
        </w:rPr>
        <w:t>compromisso</w:t>
      </w:r>
      <w:r w:rsidR="000D7B09" w:rsidRPr="0063119B">
        <w:rPr>
          <w:noProof/>
          <w:szCs w:val="22"/>
        </w:rPr>
        <w:t xml:space="preserve"> renal ligeir</w:t>
      </w:r>
      <w:r w:rsidR="00B70ADD" w:rsidRPr="0063119B">
        <w:rPr>
          <w:noProof/>
          <w:szCs w:val="22"/>
        </w:rPr>
        <w:t>o</w:t>
      </w:r>
      <w:r w:rsidR="000D7B09" w:rsidRPr="0063119B">
        <w:rPr>
          <w:noProof/>
          <w:szCs w:val="22"/>
        </w:rPr>
        <w:t xml:space="preserve"> quando comparados com indivíduos com função renal normal. Em indivíduos com </w:t>
      </w:r>
      <w:r w:rsidR="00B70ADD" w:rsidRPr="0063119B">
        <w:rPr>
          <w:noProof/>
          <w:szCs w:val="22"/>
        </w:rPr>
        <w:t>compromisso renal moderado</w:t>
      </w:r>
      <w:r w:rsidR="000D7B09" w:rsidRPr="0063119B">
        <w:rPr>
          <w:noProof/>
          <w:szCs w:val="22"/>
        </w:rPr>
        <w:t>, a eritromicina originou um aumento de 2</w:t>
      </w:r>
      <w:r w:rsidR="009F22D5" w:rsidRPr="0063119B">
        <w:rPr>
          <w:noProof/>
          <w:szCs w:val="22"/>
        </w:rPr>
        <w:t>,0</w:t>
      </w:r>
      <w:r w:rsidR="000D7B09" w:rsidRPr="0063119B">
        <w:rPr>
          <w:noProof/>
          <w:szCs w:val="22"/>
        </w:rPr>
        <w:t> vezes da média da AUC do rivaroxabano e de 1,6 vezes na C</w:t>
      </w:r>
      <w:r w:rsidR="000D7B09" w:rsidRPr="0063119B">
        <w:rPr>
          <w:noProof/>
          <w:szCs w:val="22"/>
          <w:vertAlign w:val="subscript"/>
        </w:rPr>
        <w:t>max</w:t>
      </w:r>
      <w:r w:rsidR="000D7B09" w:rsidRPr="0063119B">
        <w:rPr>
          <w:noProof/>
          <w:szCs w:val="22"/>
        </w:rPr>
        <w:t xml:space="preserve"> quando comparados com indivíduos com função renal normal</w:t>
      </w:r>
      <w:r w:rsidR="006F4CB9" w:rsidRPr="0063119B">
        <w:rPr>
          <w:noProof/>
          <w:szCs w:val="22"/>
        </w:rPr>
        <w:t>. O efeito da eritromicina é aditivo ao do compromisso renal</w:t>
      </w:r>
      <w:r w:rsidR="000D7B09" w:rsidRPr="0063119B">
        <w:rPr>
          <w:noProof/>
          <w:szCs w:val="22"/>
        </w:rPr>
        <w:t xml:space="preserve"> (ver secção 4.4).</w:t>
      </w:r>
    </w:p>
    <w:p w14:paraId="592654CA" w14:textId="77777777" w:rsidR="000D7B09" w:rsidRPr="0063119B" w:rsidRDefault="000D7B09" w:rsidP="001B7699">
      <w:pPr>
        <w:suppressAutoHyphens/>
        <w:rPr>
          <w:noProof/>
          <w:szCs w:val="22"/>
        </w:rPr>
      </w:pPr>
    </w:p>
    <w:p w14:paraId="2E8FA253" w14:textId="77777777" w:rsidR="001B7699" w:rsidRPr="0063119B" w:rsidRDefault="001B7699" w:rsidP="001B7699">
      <w:pPr>
        <w:suppressAutoHyphens/>
        <w:rPr>
          <w:szCs w:val="22"/>
        </w:rPr>
      </w:pPr>
      <w:r w:rsidRPr="0063119B">
        <w:rPr>
          <w:szCs w:val="22"/>
        </w:rPr>
        <w:t xml:space="preserve">O fluconazol (400 mg uma vez por dia) considerado como um inibidor moderado da CYP3A4, originou um aumento de 1,4 vezes da AUC média do rivaroxabano e um aumento de 1,3 vezes da </w:t>
      </w:r>
      <w:r w:rsidRPr="0063119B">
        <w:rPr>
          <w:rFonts w:eastAsia="MS Mincho"/>
          <w:noProof/>
          <w:szCs w:val="22"/>
          <w:lang w:eastAsia="ja-JP"/>
        </w:rPr>
        <w:t>C</w:t>
      </w:r>
      <w:r w:rsidRPr="0063119B">
        <w:rPr>
          <w:rFonts w:eastAsia="MS Mincho"/>
          <w:noProof/>
          <w:szCs w:val="22"/>
          <w:vertAlign w:val="subscript"/>
          <w:lang w:eastAsia="ja-JP"/>
        </w:rPr>
        <w:t>max</w:t>
      </w:r>
      <w:r w:rsidRPr="0063119B">
        <w:rPr>
          <w:szCs w:val="22"/>
        </w:rPr>
        <w:t xml:space="preserve"> média. </w:t>
      </w:r>
      <w:r w:rsidR="00C1543F" w:rsidRPr="0063119B">
        <w:rPr>
          <w:szCs w:val="22"/>
        </w:rPr>
        <w:t>Provavelmente, a</w:t>
      </w:r>
      <w:r w:rsidR="00C1543F" w:rsidRPr="0063119B">
        <w:rPr>
          <w:noProof/>
          <w:szCs w:val="22"/>
        </w:rPr>
        <w:t xml:space="preserve"> interação com o fluconazol não é clinicamente relevante na maioria dos doentes, mas pode ser potencialmente significativa em doentes de alto risco</w:t>
      </w:r>
      <w:r w:rsidR="00A32F42" w:rsidRPr="0063119B">
        <w:rPr>
          <w:szCs w:val="22"/>
        </w:rPr>
        <w:t xml:space="preserve"> (para</w:t>
      </w:r>
      <w:r w:rsidR="006F4CB9" w:rsidRPr="0063119B">
        <w:rPr>
          <w:szCs w:val="22"/>
        </w:rPr>
        <w:t xml:space="preserve"> doentes com compromisso renal</w:t>
      </w:r>
      <w:r w:rsidR="00EF4BB1" w:rsidRPr="0063119B">
        <w:rPr>
          <w:szCs w:val="22"/>
        </w:rPr>
        <w:t>:</w:t>
      </w:r>
      <w:r w:rsidR="006F4CB9" w:rsidRPr="0063119B">
        <w:rPr>
          <w:szCs w:val="22"/>
        </w:rPr>
        <w:t xml:space="preserve"> ver secção</w:t>
      </w:r>
      <w:r w:rsidR="00651577" w:rsidRPr="0063119B">
        <w:rPr>
          <w:szCs w:val="22"/>
        </w:rPr>
        <w:t> </w:t>
      </w:r>
      <w:r w:rsidR="006F4CB9" w:rsidRPr="0063119B">
        <w:rPr>
          <w:szCs w:val="22"/>
        </w:rPr>
        <w:t xml:space="preserve">4.4). </w:t>
      </w:r>
    </w:p>
    <w:p w14:paraId="575314EE" w14:textId="77777777" w:rsidR="001B7699" w:rsidRPr="0063119B" w:rsidRDefault="001B7699" w:rsidP="001B7699">
      <w:pPr>
        <w:suppressAutoHyphens/>
        <w:rPr>
          <w:noProof/>
          <w:szCs w:val="22"/>
        </w:rPr>
      </w:pPr>
    </w:p>
    <w:p w14:paraId="2956D2F1" w14:textId="77777777" w:rsidR="001B7699" w:rsidRPr="0063119B" w:rsidRDefault="001B7699" w:rsidP="001B7699">
      <w:pPr>
        <w:suppressAutoHyphens/>
        <w:rPr>
          <w:noProof/>
          <w:szCs w:val="22"/>
        </w:rPr>
      </w:pPr>
      <w:r w:rsidRPr="0063119B">
        <w:rPr>
          <w:noProof/>
          <w:szCs w:val="22"/>
        </w:rPr>
        <w:t>Face aos dados clínicos disponíveis com dronedarona serem limitados, a coadministração com rivaroxabano deve ser evitada.</w:t>
      </w:r>
    </w:p>
    <w:p w14:paraId="02E73149" w14:textId="77777777" w:rsidR="001B7699" w:rsidRPr="0063119B" w:rsidRDefault="001B7699" w:rsidP="001B7699">
      <w:pPr>
        <w:suppressAutoHyphens/>
        <w:rPr>
          <w:noProof/>
          <w:szCs w:val="22"/>
        </w:rPr>
      </w:pPr>
    </w:p>
    <w:p w14:paraId="7A5A66CD" w14:textId="77777777" w:rsidR="00A97106" w:rsidRDefault="001B7699" w:rsidP="001B7699">
      <w:pPr>
        <w:suppressAutoHyphens/>
        <w:rPr>
          <w:noProof/>
          <w:szCs w:val="22"/>
        </w:rPr>
      </w:pPr>
      <w:r w:rsidRPr="0063119B">
        <w:rPr>
          <w:noProof/>
          <w:szCs w:val="22"/>
          <w:u w:val="single"/>
        </w:rPr>
        <w:t xml:space="preserve">Anticoagulantes </w:t>
      </w:r>
      <w:r w:rsidRPr="0063119B">
        <w:rPr>
          <w:noProof/>
          <w:szCs w:val="22"/>
          <w:u w:val="single"/>
        </w:rPr>
        <w:br/>
      </w:r>
    </w:p>
    <w:p w14:paraId="7926C9E5" w14:textId="77777777" w:rsidR="001B7699" w:rsidRPr="0063119B" w:rsidRDefault="001B7699" w:rsidP="001B7699">
      <w:pPr>
        <w:suppressAutoHyphens/>
        <w:rPr>
          <w:noProof/>
          <w:szCs w:val="22"/>
        </w:rPr>
      </w:pPr>
      <w:r w:rsidRPr="0063119B">
        <w:rPr>
          <w:noProof/>
          <w:szCs w:val="22"/>
        </w:rPr>
        <w:t>Após a administração combinada de enoxaparina (dose única de 40 mg) com rivaroxabano (dose única de 10 mg), foi observado um efeito aditivo sobre a atividade do antifator</w:t>
      </w:r>
      <w:r w:rsidR="00B70ADD" w:rsidRPr="0063119B">
        <w:rPr>
          <w:noProof/>
          <w:szCs w:val="22"/>
        </w:rPr>
        <w:t> </w:t>
      </w:r>
      <w:r w:rsidRPr="0063119B">
        <w:rPr>
          <w:noProof/>
          <w:szCs w:val="22"/>
        </w:rPr>
        <w:t>Xa, sem quaisquer efeitos adicionais sobre os testes de coagulação (TP, aPTT). A enoxaparina não afetou as propriedades farmacocinéticas do rivaroxabano.</w:t>
      </w:r>
    </w:p>
    <w:p w14:paraId="601C5E09" w14:textId="77777777" w:rsidR="001B7699" w:rsidRPr="0063119B" w:rsidRDefault="001B7699" w:rsidP="001B7699">
      <w:pPr>
        <w:suppressAutoHyphens/>
        <w:rPr>
          <w:noProof/>
          <w:szCs w:val="22"/>
        </w:rPr>
      </w:pPr>
      <w:r w:rsidRPr="0063119B">
        <w:rPr>
          <w:noProof/>
          <w:szCs w:val="22"/>
        </w:rPr>
        <w:t>Devido ao risco aumentado de hemorragia, deve ter</w:t>
      </w:r>
      <w:r w:rsidRPr="0063119B">
        <w:rPr>
          <w:noProof/>
          <w:szCs w:val="22"/>
        </w:rPr>
        <w:noBreakHyphen/>
        <w:t>se precaução se os doentes são tratados concomitantemente com quaisquer outros anticoagulantes (ver secções 4.3 e 4.4).</w:t>
      </w:r>
    </w:p>
    <w:p w14:paraId="3B50653F" w14:textId="77777777" w:rsidR="001B7699" w:rsidRPr="0063119B" w:rsidRDefault="001B7699" w:rsidP="001B7699">
      <w:pPr>
        <w:suppressAutoHyphens/>
        <w:rPr>
          <w:noProof/>
          <w:szCs w:val="22"/>
        </w:rPr>
      </w:pPr>
    </w:p>
    <w:p w14:paraId="164903E5" w14:textId="77777777" w:rsidR="001B7699" w:rsidRPr="0063119B" w:rsidRDefault="001B7699" w:rsidP="001B7699">
      <w:pPr>
        <w:keepNext/>
        <w:suppressAutoHyphens/>
        <w:rPr>
          <w:noProof/>
          <w:szCs w:val="22"/>
          <w:u w:val="single"/>
        </w:rPr>
      </w:pPr>
      <w:r w:rsidRPr="0063119B">
        <w:rPr>
          <w:noProof/>
          <w:szCs w:val="22"/>
          <w:u w:val="single"/>
        </w:rPr>
        <w:t>AINEs/inibidores da agregação plaquetária</w:t>
      </w:r>
    </w:p>
    <w:p w14:paraId="0A273226" w14:textId="77777777" w:rsidR="00A97106" w:rsidRDefault="00A97106" w:rsidP="001B7699">
      <w:pPr>
        <w:keepNext/>
        <w:suppressAutoHyphens/>
        <w:rPr>
          <w:noProof/>
          <w:szCs w:val="22"/>
        </w:rPr>
      </w:pPr>
    </w:p>
    <w:p w14:paraId="1CBB99FF" w14:textId="77777777" w:rsidR="001B7699" w:rsidRPr="0063119B" w:rsidRDefault="001B7699" w:rsidP="001B7699">
      <w:pPr>
        <w:keepNext/>
        <w:suppressAutoHyphens/>
        <w:rPr>
          <w:noProof/>
          <w:szCs w:val="22"/>
        </w:rPr>
      </w:pPr>
      <w:r w:rsidRPr="0063119B">
        <w:rPr>
          <w:noProof/>
          <w:szCs w:val="22"/>
        </w:rPr>
        <w:t>Não foi observado nenhum prolongamento, clinicamente relevante, do tempo de hemorragia, após a administração concomitante de rivaroxabano (15 mg) e de 500 mg de naproxeno. Contudo, poderão existir indivíduos com uma resposta farmacodinâmica mais pronunciada.</w:t>
      </w:r>
    </w:p>
    <w:p w14:paraId="640F9C55" w14:textId="77777777" w:rsidR="001B7699" w:rsidRPr="0063119B" w:rsidRDefault="001B7699" w:rsidP="00A9161F">
      <w:pPr>
        <w:suppressAutoHyphens/>
        <w:rPr>
          <w:noProof/>
          <w:szCs w:val="22"/>
        </w:rPr>
      </w:pPr>
      <w:r w:rsidRPr="0063119B">
        <w:rPr>
          <w:noProof/>
          <w:szCs w:val="22"/>
        </w:rPr>
        <w:t xml:space="preserve">Não foram observadas interações farmacocinéticas nem farmacodinâmicas clinicamente </w:t>
      </w:r>
      <w:r w:rsidRPr="0063119B">
        <w:rPr>
          <w:noProof/>
          <w:szCs w:val="22"/>
        </w:rPr>
        <w:br/>
        <w:t>significativas quando rivaroxabano foi coadministrado com 500 mg de ácido acetilsalicílico.</w:t>
      </w:r>
    </w:p>
    <w:p w14:paraId="45ED5AC5" w14:textId="77777777" w:rsidR="001B7699" w:rsidRPr="0063119B" w:rsidRDefault="001B7699" w:rsidP="00A9161F">
      <w:pPr>
        <w:suppressAutoHyphens/>
        <w:rPr>
          <w:noProof/>
          <w:szCs w:val="22"/>
        </w:rPr>
      </w:pPr>
      <w:r w:rsidRPr="0063119B">
        <w:rPr>
          <w:noProof/>
          <w:szCs w:val="22"/>
        </w:rPr>
        <w:t>O clopidogrel (dose de carga de 300 mg, seguida da dose de manutenção de 75 mg) não mostrou nenhuma interação farmacocinética com o rivaroxabano (15 mg), contudo, foi observado um aumento relevante no tempo de hemorragia num subgrupo de doentes não correlacionado com a agregação plaquetária, nem com os níveis de P</w:t>
      </w:r>
      <w:r w:rsidRPr="0063119B">
        <w:rPr>
          <w:noProof/>
          <w:szCs w:val="22"/>
        </w:rPr>
        <w:noBreakHyphen/>
        <w:t>selectina ou dos recetores GPIIb/IIIa.</w:t>
      </w:r>
    </w:p>
    <w:p w14:paraId="3DC01501" w14:textId="77777777" w:rsidR="001B7699" w:rsidRPr="0063119B" w:rsidRDefault="001B7699" w:rsidP="00A9161F">
      <w:pPr>
        <w:suppressAutoHyphens/>
        <w:rPr>
          <w:noProof/>
          <w:szCs w:val="22"/>
        </w:rPr>
      </w:pPr>
      <w:r w:rsidRPr="0063119B">
        <w:rPr>
          <w:noProof/>
          <w:szCs w:val="22"/>
        </w:rPr>
        <w:lastRenderedPageBreak/>
        <w:t>Deve ter</w:t>
      </w:r>
      <w:r w:rsidRPr="0063119B">
        <w:rPr>
          <w:noProof/>
          <w:szCs w:val="22"/>
        </w:rPr>
        <w:noBreakHyphen/>
        <w:t>se precaução nos doentes tratados concomitantemente com AINEs (incluindo ácido acetilsalicílico) e inibidores da agregação plaquetária, porque estes medicamentos aumentam, normalmente, o risco de hemorragia (ver secção 4.4).</w:t>
      </w:r>
    </w:p>
    <w:p w14:paraId="0CF28E40" w14:textId="77777777" w:rsidR="001B7699" w:rsidRPr="0063119B" w:rsidRDefault="001B7699" w:rsidP="00A9161F">
      <w:pPr>
        <w:suppressAutoHyphens/>
        <w:rPr>
          <w:noProof/>
          <w:szCs w:val="22"/>
        </w:rPr>
      </w:pPr>
    </w:p>
    <w:p w14:paraId="5047DA48" w14:textId="77777777" w:rsidR="00883A30" w:rsidRDefault="00883A30" w:rsidP="00883A30">
      <w:pPr>
        <w:rPr>
          <w:szCs w:val="22"/>
          <w:u w:val="single"/>
        </w:rPr>
      </w:pPr>
      <w:r w:rsidRPr="0063119B">
        <w:rPr>
          <w:szCs w:val="22"/>
          <w:u w:val="single"/>
        </w:rPr>
        <w:t>ISRS/IRSN</w:t>
      </w:r>
    </w:p>
    <w:p w14:paraId="6F8DDC5D" w14:textId="77777777" w:rsidR="00A97106" w:rsidRPr="0063119B" w:rsidRDefault="00A97106" w:rsidP="00883A30">
      <w:pPr>
        <w:rPr>
          <w:szCs w:val="22"/>
          <w:u w:val="single"/>
        </w:rPr>
      </w:pPr>
    </w:p>
    <w:p w14:paraId="304BBE51" w14:textId="77777777" w:rsidR="00883A30" w:rsidRPr="0063119B" w:rsidRDefault="00883A30" w:rsidP="00883A30">
      <w:pPr>
        <w:suppressAutoHyphens/>
        <w:rPr>
          <w:szCs w:val="22"/>
        </w:rPr>
      </w:pPr>
      <w:r w:rsidRPr="0063119B">
        <w:rPr>
          <w:szCs w:val="22"/>
        </w:rPr>
        <w:t>Assim como com outros anticoagulantes, poderá existir a possibilidade dos doentes apresentarem um maior risco de hemorragia em caso de utilização concomitante com ISRS ou IRSN</w:t>
      </w:r>
      <w:r w:rsidR="005450DB" w:rsidRPr="0063119B">
        <w:rPr>
          <w:szCs w:val="22"/>
        </w:rPr>
        <w:t>,</w:t>
      </w:r>
      <w:r w:rsidRPr="0063119B">
        <w:rPr>
          <w:szCs w:val="22"/>
        </w:rPr>
        <w:t xml:space="preserve"> devido ao seu efeito relatado sobre as plaquetas. Quando utilizados </w:t>
      </w:r>
      <w:r w:rsidR="005450DB" w:rsidRPr="0063119B">
        <w:rPr>
          <w:szCs w:val="22"/>
        </w:rPr>
        <w:t xml:space="preserve">concomitantemente </w:t>
      </w:r>
      <w:r w:rsidRPr="0063119B">
        <w:rPr>
          <w:szCs w:val="22"/>
        </w:rPr>
        <w:t>no programa clínico do rivaroxabano, observaram-se taxas numericamente superiores de</w:t>
      </w:r>
      <w:r w:rsidR="005450DB" w:rsidRPr="0063119B">
        <w:rPr>
          <w:szCs w:val="22"/>
        </w:rPr>
        <w:t xml:space="preserve"> </w:t>
      </w:r>
      <w:r w:rsidRPr="0063119B">
        <w:rPr>
          <w:szCs w:val="22"/>
        </w:rPr>
        <w:t xml:space="preserve">hemorragias </w:t>
      </w:r>
      <w:r w:rsidR="00417496" w:rsidRPr="0063119B">
        <w:rPr>
          <w:szCs w:val="22"/>
        </w:rPr>
        <w:t>principais</w:t>
      </w:r>
      <w:r w:rsidR="00104B9D" w:rsidRPr="0063119B">
        <w:rPr>
          <w:szCs w:val="22"/>
        </w:rPr>
        <w:t xml:space="preserve"> </w:t>
      </w:r>
      <w:r w:rsidR="005450DB" w:rsidRPr="0063119B">
        <w:rPr>
          <w:szCs w:val="22"/>
        </w:rPr>
        <w:t>ou não</w:t>
      </w:r>
      <w:r w:rsidR="00104B9D" w:rsidRPr="0063119B">
        <w:rPr>
          <w:i/>
          <w:szCs w:val="22"/>
        </w:rPr>
        <w:t xml:space="preserve"> </w:t>
      </w:r>
      <w:r w:rsidR="00417496" w:rsidRPr="0063119B">
        <w:rPr>
          <w:szCs w:val="22"/>
        </w:rPr>
        <w:t>principais</w:t>
      </w:r>
      <w:r w:rsidR="005450DB" w:rsidRPr="0063119B">
        <w:rPr>
          <w:szCs w:val="22"/>
        </w:rPr>
        <w:t>, clinicamente relevantes, em todos os grupos de tratamento.</w:t>
      </w:r>
    </w:p>
    <w:p w14:paraId="64D0FDDE" w14:textId="77777777" w:rsidR="00883A30" w:rsidRPr="0063119B" w:rsidRDefault="00883A30" w:rsidP="00883A30">
      <w:pPr>
        <w:suppressAutoHyphens/>
        <w:rPr>
          <w:noProof/>
          <w:szCs w:val="22"/>
        </w:rPr>
      </w:pPr>
    </w:p>
    <w:p w14:paraId="40A822B0" w14:textId="77777777" w:rsidR="001B7699" w:rsidRDefault="001B7699" w:rsidP="001B7699">
      <w:pPr>
        <w:rPr>
          <w:szCs w:val="22"/>
          <w:u w:val="single"/>
        </w:rPr>
      </w:pPr>
      <w:r w:rsidRPr="0063119B">
        <w:rPr>
          <w:szCs w:val="22"/>
          <w:u w:val="single"/>
        </w:rPr>
        <w:t>Varfarina</w:t>
      </w:r>
    </w:p>
    <w:p w14:paraId="0D478924" w14:textId="77777777" w:rsidR="00A97106" w:rsidRPr="0063119B" w:rsidRDefault="00A97106" w:rsidP="001B7699">
      <w:pPr>
        <w:rPr>
          <w:szCs w:val="22"/>
        </w:rPr>
      </w:pPr>
    </w:p>
    <w:p w14:paraId="0C64DD55" w14:textId="77777777" w:rsidR="001B7699" w:rsidRPr="0063119B" w:rsidRDefault="001B7699" w:rsidP="001B7699">
      <w:pPr>
        <w:tabs>
          <w:tab w:val="left" w:pos="1080"/>
        </w:tabs>
        <w:autoSpaceDE w:val="0"/>
        <w:autoSpaceDN w:val="0"/>
        <w:adjustRightInd w:val="0"/>
        <w:rPr>
          <w:szCs w:val="22"/>
        </w:rPr>
      </w:pPr>
      <w:r w:rsidRPr="0063119B">
        <w:rPr>
          <w:szCs w:val="22"/>
        </w:rPr>
        <w:t>A passagem de doentes da varfarina, um antagonista da vitamina K (INR 2,0 a 3,0) para rivaroxabano (20 mg) ou de rivaroxabano (20 mg) para varfarina (INR 2,0 a 3,0) aumentou o tempo de protrombina/INR (Neoplastin) de forma mais do que aditiva (podem observar</w:t>
      </w:r>
      <w:r w:rsidRPr="0063119B">
        <w:rPr>
          <w:szCs w:val="22"/>
        </w:rPr>
        <w:noBreakHyphen/>
        <w:t>se valores individuais do INR até 12), enquanto que os efeitos sobre o aPTT, a inibição da atividade do fator Xa e o potencial da trombina endógena foram aditivos.</w:t>
      </w:r>
    </w:p>
    <w:p w14:paraId="148BC2A6" w14:textId="77777777" w:rsidR="001B7699" w:rsidRPr="0063119B" w:rsidRDefault="001B7699" w:rsidP="001B7699">
      <w:pPr>
        <w:tabs>
          <w:tab w:val="left" w:pos="1080"/>
        </w:tabs>
        <w:autoSpaceDE w:val="0"/>
        <w:autoSpaceDN w:val="0"/>
        <w:adjustRightInd w:val="0"/>
        <w:rPr>
          <w:szCs w:val="22"/>
        </w:rPr>
      </w:pPr>
      <w:r w:rsidRPr="0063119B">
        <w:rPr>
          <w:szCs w:val="22"/>
        </w:rPr>
        <w:t>Se se desejar testar os efeitos farmacodinâmicos do rivaroxabano durante o período de passagem, podem utilizar</w:t>
      </w:r>
      <w:r w:rsidRPr="0063119B">
        <w:rPr>
          <w:szCs w:val="22"/>
        </w:rPr>
        <w:noBreakHyphen/>
        <w:t>se a atividade antifator Xa, PiCT e Heptest dado que estes testes não foram afetados pela varfarina. No quarto dia após a última dose de varfarina, todos os testes (incluindo TP, aPTT, inibição da atividade do fator Xa e PTE) refletiram apenas o efeito do rivaroxabano.</w:t>
      </w:r>
    </w:p>
    <w:p w14:paraId="50B719B1" w14:textId="77777777" w:rsidR="001B7699" w:rsidRPr="0063119B" w:rsidRDefault="001B7699" w:rsidP="001B7699">
      <w:pPr>
        <w:autoSpaceDE w:val="0"/>
        <w:autoSpaceDN w:val="0"/>
        <w:adjustRightInd w:val="0"/>
        <w:rPr>
          <w:szCs w:val="22"/>
        </w:rPr>
      </w:pPr>
      <w:r w:rsidRPr="0063119B">
        <w:rPr>
          <w:szCs w:val="22"/>
        </w:rPr>
        <w:t>Se se desejar testar os efeitos farmacodinâmicos da varfarina durante o período de passagem, pode utilizar</w:t>
      </w:r>
      <w:r w:rsidRPr="0063119B">
        <w:rPr>
          <w:szCs w:val="22"/>
        </w:rPr>
        <w:noBreakHyphen/>
        <w:t>se a determinação do INR na C</w:t>
      </w:r>
      <w:r w:rsidRPr="0063119B">
        <w:rPr>
          <w:szCs w:val="22"/>
          <w:vertAlign w:val="subscript"/>
        </w:rPr>
        <w:t>min</w:t>
      </w:r>
      <w:r w:rsidRPr="0063119B">
        <w:rPr>
          <w:szCs w:val="22"/>
        </w:rPr>
        <w:t xml:space="preserve"> do rivaroxabano (24 horas após a toma anterior de rivaroxabano) dado que este teste é minimamente afetado pelo rivaroxabano neste ponto.</w:t>
      </w:r>
    </w:p>
    <w:p w14:paraId="1B618EC5" w14:textId="77777777" w:rsidR="001B7699" w:rsidRPr="0063119B" w:rsidRDefault="001B7699" w:rsidP="001B7699">
      <w:pPr>
        <w:autoSpaceDE w:val="0"/>
        <w:autoSpaceDN w:val="0"/>
        <w:adjustRightInd w:val="0"/>
        <w:rPr>
          <w:i/>
          <w:szCs w:val="22"/>
          <w:u w:val="single"/>
        </w:rPr>
      </w:pPr>
      <w:r w:rsidRPr="0063119B">
        <w:rPr>
          <w:szCs w:val="22"/>
        </w:rPr>
        <w:t>Não se observaram interações farmacocinéticas entre a varfarina e o rivaroxabano.</w:t>
      </w:r>
    </w:p>
    <w:p w14:paraId="08AECB86" w14:textId="77777777" w:rsidR="001B7699" w:rsidRDefault="001B7699" w:rsidP="001B7699">
      <w:pPr>
        <w:suppressAutoHyphens/>
        <w:rPr>
          <w:noProof/>
          <w:szCs w:val="22"/>
          <w:u w:val="single"/>
        </w:rPr>
      </w:pPr>
      <w:r w:rsidRPr="0063119B">
        <w:rPr>
          <w:noProof/>
          <w:szCs w:val="22"/>
        </w:rPr>
        <w:br/>
      </w:r>
      <w:r w:rsidRPr="0063119B">
        <w:rPr>
          <w:noProof/>
          <w:szCs w:val="22"/>
          <w:u w:val="single"/>
        </w:rPr>
        <w:t>Indutores do CYP3A4</w:t>
      </w:r>
    </w:p>
    <w:p w14:paraId="34C290BF" w14:textId="77777777" w:rsidR="00A97106" w:rsidRPr="0063119B" w:rsidRDefault="00A97106" w:rsidP="001B7699">
      <w:pPr>
        <w:suppressAutoHyphens/>
        <w:rPr>
          <w:noProof/>
          <w:szCs w:val="22"/>
          <w:u w:val="single"/>
        </w:rPr>
      </w:pPr>
    </w:p>
    <w:p w14:paraId="2737CAA7" w14:textId="77777777" w:rsidR="001B7699" w:rsidRPr="0063119B" w:rsidRDefault="001B7699" w:rsidP="001B7699">
      <w:pPr>
        <w:suppressAutoHyphens/>
        <w:rPr>
          <w:noProof/>
          <w:szCs w:val="22"/>
        </w:rPr>
      </w:pPr>
      <w:r w:rsidRPr="0063119B">
        <w:rPr>
          <w:noProof/>
          <w:szCs w:val="22"/>
        </w:rPr>
        <w:t xml:space="preserve">A coadministração de rivaroxabano com rifampicina, um potente indutor do CYP3A4, originou uma diminuição aproximada de 50% da média da AUC do rivaroxabano, com diminuições paralelas nos seus efeitos farmacodinâmicos. O uso concomitante de rivaroxabano com outros indutores potentes do CYP3A4 (ex.: fenitoína, carbamazepina, fenobarbital ou hipericão </w:t>
      </w:r>
      <w:r w:rsidRPr="0063119B">
        <w:rPr>
          <w:rStyle w:val="BoldtextinprintedPIonly"/>
          <w:b w:val="0"/>
          <w:noProof/>
          <w:szCs w:val="22"/>
        </w:rPr>
        <w:t>(</w:t>
      </w:r>
      <w:r w:rsidRPr="0063119B">
        <w:rPr>
          <w:rStyle w:val="BoldtextinprintedPIonly"/>
          <w:b w:val="0"/>
          <w:i/>
          <w:noProof/>
          <w:szCs w:val="22"/>
        </w:rPr>
        <w:t>Hypericum perforatum</w:t>
      </w:r>
      <w:r w:rsidRPr="0063119B">
        <w:rPr>
          <w:rStyle w:val="BoldtextinprintedPIonly"/>
          <w:b w:val="0"/>
          <w:noProof/>
          <w:szCs w:val="22"/>
        </w:rPr>
        <w:t>)</w:t>
      </w:r>
      <w:r w:rsidRPr="0063119B">
        <w:rPr>
          <w:noProof/>
          <w:szCs w:val="22"/>
        </w:rPr>
        <w:t xml:space="preserve">) pode originar também a redução das concentrações plasmáticas do rivaroxabano. </w:t>
      </w:r>
      <w:r w:rsidR="004D29FF" w:rsidRPr="0063119B">
        <w:rPr>
          <w:noProof/>
          <w:szCs w:val="22"/>
        </w:rPr>
        <w:t xml:space="preserve">Por este motivo, a administração concomitante de </w:t>
      </w:r>
      <w:r w:rsidRPr="0063119B">
        <w:rPr>
          <w:noProof/>
          <w:szCs w:val="22"/>
        </w:rPr>
        <w:t xml:space="preserve">indutores potentes do CYP3A4 deve ser </w:t>
      </w:r>
      <w:r w:rsidR="002F5460" w:rsidRPr="0063119B">
        <w:rPr>
          <w:noProof/>
          <w:szCs w:val="22"/>
        </w:rPr>
        <w:t>evitad</w:t>
      </w:r>
      <w:r w:rsidR="009A3044" w:rsidRPr="0063119B">
        <w:rPr>
          <w:noProof/>
          <w:szCs w:val="22"/>
        </w:rPr>
        <w:t>a</w:t>
      </w:r>
      <w:r w:rsidR="002F5460" w:rsidRPr="0063119B">
        <w:rPr>
          <w:noProof/>
          <w:szCs w:val="22"/>
        </w:rPr>
        <w:t xml:space="preserve"> a menos que o doente seja observado atentamente quanto a sinais e sintomas de trombose.</w:t>
      </w:r>
    </w:p>
    <w:p w14:paraId="22662549" w14:textId="77777777" w:rsidR="001B7699" w:rsidRPr="0063119B" w:rsidRDefault="001B7699" w:rsidP="001B7699">
      <w:pPr>
        <w:suppressAutoHyphens/>
        <w:rPr>
          <w:noProof/>
          <w:szCs w:val="22"/>
        </w:rPr>
      </w:pPr>
    </w:p>
    <w:p w14:paraId="43B13956" w14:textId="77777777" w:rsidR="001B7699" w:rsidRDefault="001B7699" w:rsidP="001B7699">
      <w:pPr>
        <w:suppressAutoHyphens/>
        <w:rPr>
          <w:noProof/>
          <w:szCs w:val="22"/>
          <w:u w:val="single"/>
        </w:rPr>
      </w:pPr>
      <w:r w:rsidRPr="0063119B">
        <w:rPr>
          <w:noProof/>
          <w:szCs w:val="22"/>
          <w:u w:val="single"/>
        </w:rPr>
        <w:t>Outros tratamentos concomitantes</w:t>
      </w:r>
    </w:p>
    <w:p w14:paraId="00F16D97" w14:textId="77777777" w:rsidR="00A97106" w:rsidRPr="0063119B" w:rsidRDefault="00A97106" w:rsidP="001B7699">
      <w:pPr>
        <w:suppressAutoHyphens/>
        <w:rPr>
          <w:noProof/>
          <w:szCs w:val="22"/>
          <w:u w:val="single"/>
        </w:rPr>
      </w:pPr>
    </w:p>
    <w:p w14:paraId="4905E90F" w14:textId="77777777" w:rsidR="001B7699" w:rsidRPr="0063119B" w:rsidRDefault="001B7699" w:rsidP="001B7699">
      <w:pPr>
        <w:suppressAutoHyphens/>
        <w:rPr>
          <w:noProof/>
          <w:szCs w:val="22"/>
        </w:rPr>
      </w:pPr>
      <w:r w:rsidRPr="0063119B">
        <w:rPr>
          <w:noProof/>
          <w:szCs w:val="22"/>
        </w:rPr>
        <w:t>Não foram observadas interações farmacocinéticas ou farmacodinâmicas clinicamente relevantes quando o rivaroxabano foi coadministrado com midazolam (substrato do CYP3A4), digoxina (substrato da gp</w:t>
      </w:r>
      <w:r w:rsidRPr="0063119B">
        <w:rPr>
          <w:noProof/>
          <w:szCs w:val="22"/>
        </w:rPr>
        <w:noBreakHyphen/>
        <w:t>P), atorvastatina (substrato do CYP3A4 e da gp</w:t>
      </w:r>
      <w:r w:rsidRPr="0063119B">
        <w:rPr>
          <w:noProof/>
          <w:szCs w:val="22"/>
        </w:rPr>
        <w:noBreakHyphen/>
        <w:t>P) ou omeprazol (inibidor da bomba de protões). O rivaroxabano não inibe nem induz nenhuma isoforma importante do CYP, como o CYP3A4.</w:t>
      </w:r>
    </w:p>
    <w:p w14:paraId="02CACEED" w14:textId="77777777" w:rsidR="001B7699" w:rsidRPr="0063119B" w:rsidRDefault="001B7699" w:rsidP="001B7699">
      <w:pPr>
        <w:suppressAutoHyphens/>
        <w:rPr>
          <w:noProof/>
          <w:szCs w:val="22"/>
        </w:rPr>
      </w:pPr>
      <w:r w:rsidRPr="0063119B">
        <w:rPr>
          <w:noProof/>
          <w:szCs w:val="22"/>
        </w:rPr>
        <w:t>Não foi observada interação clinicamente relevante com alimentos (ver secção 4.2).</w:t>
      </w:r>
    </w:p>
    <w:p w14:paraId="39711D4F" w14:textId="77777777" w:rsidR="001B7699" w:rsidRPr="0063119B" w:rsidRDefault="001B7699" w:rsidP="001B7699">
      <w:pPr>
        <w:suppressAutoHyphens/>
        <w:rPr>
          <w:noProof/>
          <w:szCs w:val="22"/>
        </w:rPr>
      </w:pPr>
    </w:p>
    <w:p w14:paraId="437E36EB" w14:textId="77777777" w:rsidR="001B7699" w:rsidRDefault="001B7699" w:rsidP="001B7699">
      <w:pPr>
        <w:keepNext/>
        <w:suppressAutoHyphens/>
        <w:rPr>
          <w:noProof/>
          <w:szCs w:val="22"/>
          <w:u w:val="single"/>
        </w:rPr>
      </w:pPr>
      <w:r w:rsidRPr="0063119B">
        <w:rPr>
          <w:noProof/>
          <w:szCs w:val="22"/>
          <w:u w:val="single"/>
        </w:rPr>
        <w:t>Parâmetros laboratoriais</w:t>
      </w:r>
    </w:p>
    <w:p w14:paraId="5C0DB055" w14:textId="77777777" w:rsidR="00A97106" w:rsidRPr="0063119B" w:rsidRDefault="00A97106" w:rsidP="001B7699">
      <w:pPr>
        <w:keepNext/>
        <w:suppressAutoHyphens/>
        <w:rPr>
          <w:noProof/>
          <w:szCs w:val="22"/>
          <w:u w:val="single"/>
        </w:rPr>
      </w:pPr>
    </w:p>
    <w:p w14:paraId="14329A5A" w14:textId="77777777" w:rsidR="001B7699" w:rsidRPr="0063119B" w:rsidRDefault="001B7699" w:rsidP="001B7699">
      <w:pPr>
        <w:keepNext/>
        <w:suppressAutoHyphens/>
        <w:rPr>
          <w:noProof/>
          <w:szCs w:val="22"/>
        </w:rPr>
      </w:pPr>
      <w:r w:rsidRPr="0063119B">
        <w:rPr>
          <w:noProof/>
          <w:szCs w:val="22"/>
        </w:rPr>
        <w:t>Os parâmetros de coagulação (ex.: TP, aPTT, HepTest) são afetados conforme esperado pelo modo de ação do rivaroxabano (ver secção 5.1).</w:t>
      </w:r>
    </w:p>
    <w:p w14:paraId="745830A1" w14:textId="77777777" w:rsidR="001B7699" w:rsidRPr="0063119B" w:rsidRDefault="001B7699" w:rsidP="001B7699">
      <w:pPr>
        <w:suppressAutoHyphens/>
        <w:rPr>
          <w:noProof/>
          <w:szCs w:val="22"/>
        </w:rPr>
      </w:pPr>
    </w:p>
    <w:p w14:paraId="764E8AB1" w14:textId="77777777" w:rsidR="001B7699" w:rsidRPr="0063119B" w:rsidRDefault="001B7699" w:rsidP="001B7699">
      <w:pPr>
        <w:keepNext/>
        <w:suppressAutoHyphens/>
        <w:ind w:left="567" w:hanging="567"/>
        <w:rPr>
          <w:b/>
          <w:noProof/>
          <w:szCs w:val="22"/>
        </w:rPr>
      </w:pPr>
      <w:r w:rsidRPr="0063119B">
        <w:rPr>
          <w:b/>
          <w:noProof/>
          <w:szCs w:val="22"/>
        </w:rPr>
        <w:lastRenderedPageBreak/>
        <w:t>4.6</w:t>
      </w:r>
      <w:r w:rsidRPr="0063119B">
        <w:rPr>
          <w:b/>
          <w:noProof/>
          <w:szCs w:val="22"/>
        </w:rPr>
        <w:tab/>
        <w:t>Fertilidade, gravidez e aleitamento</w:t>
      </w:r>
    </w:p>
    <w:p w14:paraId="3E2BB265" w14:textId="77777777" w:rsidR="001B7699" w:rsidRPr="0063119B" w:rsidRDefault="001B7699" w:rsidP="001B7699">
      <w:pPr>
        <w:keepNext/>
        <w:suppressAutoHyphens/>
        <w:rPr>
          <w:noProof/>
          <w:szCs w:val="22"/>
        </w:rPr>
      </w:pPr>
    </w:p>
    <w:p w14:paraId="2D679D8A" w14:textId="77777777" w:rsidR="001B7699" w:rsidRDefault="001B7699" w:rsidP="001B7699">
      <w:pPr>
        <w:keepNext/>
        <w:suppressAutoHyphens/>
        <w:rPr>
          <w:noProof/>
          <w:szCs w:val="22"/>
          <w:u w:val="single"/>
        </w:rPr>
      </w:pPr>
      <w:r w:rsidRPr="0063119B">
        <w:rPr>
          <w:noProof/>
          <w:szCs w:val="22"/>
          <w:u w:val="single"/>
        </w:rPr>
        <w:t>Gravidez</w:t>
      </w:r>
    </w:p>
    <w:p w14:paraId="7B139098" w14:textId="77777777" w:rsidR="00A97106" w:rsidRPr="0063119B" w:rsidRDefault="00A97106" w:rsidP="001B7699">
      <w:pPr>
        <w:keepNext/>
        <w:suppressAutoHyphens/>
        <w:rPr>
          <w:noProof/>
          <w:szCs w:val="22"/>
          <w:u w:val="single"/>
        </w:rPr>
      </w:pPr>
    </w:p>
    <w:p w14:paraId="389F12C7" w14:textId="77777777" w:rsidR="001B7699" w:rsidRPr="0063119B" w:rsidRDefault="001B7699" w:rsidP="001B7699">
      <w:pPr>
        <w:keepNext/>
        <w:suppressAutoHyphens/>
        <w:rPr>
          <w:noProof/>
          <w:szCs w:val="22"/>
        </w:rPr>
      </w:pPr>
      <w:r w:rsidRPr="0063119B">
        <w:rPr>
          <w:noProof/>
          <w:szCs w:val="22"/>
        </w:rPr>
        <w:t xml:space="preserve">A segurança e eficácia de </w:t>
      </w:r>
      <w:r w:rsidR="00D82850" w:rsidRPr="0063119B">
        <w:rPr>
          <w:noProof/>
          <w:szCs w:val="22"/>
        </w:rPr>
        <w:t>rivaroxabano</w:t>
      </w:r>
      <w:r w:rsidRPr="0063119B">
        <w:rPr>
          <w:noProof/>
          <w:szCs w:val="22"/>
        </w:rPr>
        <w:t xml:space="preserve"> não foram estabelecidas em mulheres grávidas. Os estudos em animais revelaram toxicidade reprodutiva (ver secção 5.3). Devido à potencial toxicidade reprodutiva, ao risco intrínseco de hemorragia e à evidência de que o rivaroxabano atravessa a placenta, </w:t>
      </w:r>
      <w:r w:rsidR="00D82850" w:rsidRPr="0063119B">
        <w:rPr>
          <w:noProof/>
          <w:szCs w:val="22"/>
        </w:rPr>
        <w:t xml:space="preserve">o rivaroxabano </w:t>
      </w:r>
      <w:r w:rsidRPr="0063119B">
        <w:rPr>
          <w:noProof/>
          <w:szCs w:val="22"/>
        </w:rPr>
        <w:t>é contraindicado durante a gravidez (ver secção 4.3).</w:t>
      </w:r>
    </w:p>
    <w:p w14:paraId="49A02400" w14:textId="77777777" w:rsidR="001B7699" w:rsidRPr="0063119B" w:rsidRDefault="001B7699" w:rsidP="001B7699">
      <w:pPr>
        <w:suppressAutoHyphens/>
        <w:rPr>
          <w:noProof/>
          <w:szCs w:val="22"/>
        </w:rPr>
      </w:pPr>
      <w:r w:rsidRPr="0063119B">
        <w:rPr>
          <w:noProof/>
          <w:szCs w:val="22"/>
        </w:rPr>
        <w:t>As mulheres em idade fértil devem evitar engravidar durante o tratamento com rivaroxabano.</w:t>
      </w:r>
    </w:p>
    <w:p w14:paraId="1F91E753" w14:textId="77777777" w:rsidR="001B7699" w:rsidRPr="0063119B" w:rsidRDefault="001B7699" w:rsidP="001B7699">
      <w:pPr>
        <w:suppressAutoHyphens/>
        <w:rPr>
          <w:noProof/>
          <w:szCs w:val="22"/>
        </w:rPr>
      </w:pPr>
    </w:p>
    <w:p w14:paraId="3B640E07" w14:textId="77777777" w:rsidR="001B7699" w:rsidRDefault="001B7699" w:rsidP="001B7699">
      <w:pPr>
        <w:suppressAutoHyphens/>
        <w:rPr>
          <w:noProof/>
          <w:szCs w:val="22"/>
          <w:u w:val="single"/>
        </w:rPr>
      </w:pPr>
      <w:r w:rsidRPr="0063119B">
        <w:rPr>
          <w:noProof/>
          <w:szCs w:val="22"/>
          <w:u w:val="single"/>
        </w:rPr>
        <w:t>Amamentação</w:t>
      </w:r>
    </w:p>
    <w:p w14:paraId="087B0933" w14:textId="77777777" w:rsidR="00A97106" w:rsidRPr="0063119B" w:rsidRDefault="00A97106" w:rsidP="001B7699">
      <w:pPr>
        <w:suppressAutoHyphens/>
        <w:rPr>
          <w:noProof/>
          <w:szCs w:val="22"/>
          <w:u w:val="single"/>
        </w:rPr>
      </w:pPr>
    </w:p>
    <w:p w14:paraId="731C9728" w14:textId="77777777" w:rsidR="001B7699" w:rsidRPr="0063119B" w:rsidRDefault="001B7699" w:rsidP="001B7699">
      <w:pPr>
        <w:suppressAutoHyphens/>
        <w:rPr>
          <w:noProof/>
          <w:szCs w:val="22"/>
        </w:rPr>
      </w:pPr>
      <w:r w:rsidRPr="0063119B">
        <w:rPr>
          <w:noProof/>
          <w:szCs w:val="22"/>
        </w:rPr>
        <w:t xml:space="preserve">A segurança e eficácia de </w:t>
      </w:r>
      <w:r w:rsidR="00D82850" w:rsidRPr="0063119B">
        <w:rPr>
          <w:noProof/>
          <w:szCs w:val="22"/>
        </w:rPr>
        <w:t>rivaroxabano</w:t>
      </w:r>
      <w:r w:rsidRPr="0063119B">
        <w:rPr>
          <w:noProof/>
          <w:szCs w:val="22"/>
        </w:rPr>
        <w:t xml:space="preserve"> não foram estabelecidas em mães que estão a amamentar. Os dados obtidos em animais indicam que rivaroxabano é excretado no leite. Deste modo, </w:t>
      </w:r>
      <w:r w:rsidR="00D82850" w:rsidRPr="0063119B">
        <w:rPr>
          <w:noProof/>
          <w:szCs w:val="22"/>
        </w:rPr>
        <w:t xml:space="preserve">o rivaroxabano </w:t>
      </w:r>
      <w:r w:rsidRPr="0063119B">
        <w:rPr>
          <w:noProof/>
          <w:szCs w:val="22"/>
        </w:rPr>
        <w:t>é contraindicado durante a amamentação (ver secção 4.3). Tem de ser tomada uma decisão sobre a descontinuação da amamentação ou a descontinuação/abstenção da terapêutica.</w:t>
      </w:r>
    </w:p>
    <w:p w14:paraId="2ADFCB20" w14:textId="77777777" w:rsidR="001B7699" w:rsidRPr="0063119B" w:rsidRDefault="001B7699" w:rsidP="001B7699">
      <w:pPr>
        <w:suppressAutoHyphens/>
        <w:rPr>
          <w:noProof/>
          <w:szCs w:val="22"/>
        </w:rPr>
      </w:pPr>
    </w:p>
    <w:p w14:paraId="66804C2F" w14:textId="77777777" w:rsidR="001B7699" w:rsidRDefault="001B7699" w:rsidP="001B7699">
      <w:pPr>
        <w:keepNext/>
        <w:rPr>
          <w:szCs w:val="22"/>
          <w:u w:val="single"/>
        </w:rPr>
      </w:pPr>
      <w:r w:rsidRPr="0063119B">
        <w:rPr>
          <w:szCs w:val="22"/>
          <w:u w:val="single"/>
        </w:rPr>
        <w:t>Fertilidade</w:t>
      </w:r>
    </w:p>
    <w:p w14:paraId="62F7A4CD" w14:textId="77777777" w:rsidR="00A97106" w:rsidRPr="0063119B" w:rsidRDefault="00A97106" w:rsidP="001B7699">
      <w:pPr>
        <w:keepNext/>
        <w:rPr>
          <w:szCs w:val="22"/>
        </w:rPr>
      </w:pPr>
    </w:p>
    <w:p w14:paraId="517A44BB" w14:textId="77777777" w:rsidR="001B7699" w:rsidRPr="0063119B" w:rsidRDefault="001B7699" w:rsidP="001B7699">
      <w:pPr>
        <w:suppressAutoHyphens/>
        <w:rPr>
          <w:noProof/>
          <w:szCs w:val="22"/>
        </w:rPr>
      </w:pPr>
      <w:r w:rsidRPr="0063119B">
        <w:rPr>
          <w:szCs w:val="22"/>
        </w:rPr>
        <w:t>Não se realizaram estudos específicos com rivaroxabano para avaliar os efeitos sobre a fertilidade no ser humano. Não se observaram quaisquer efeitos num estudo de fertilidade masculina e feminina realizado em ratos (ver secção 5.3).</w:t>
      </w:r>
    </w:p>
    <w:p w14:paraId="5AABA83A" w14:textId="77777777" w:rsidR="001B7699" w:rsidRPr="0063119B" w:rsidRDefault="001B7699" w:rsidP="001B7699">
      <w:pPr>
        <w:suppressAutoHyphens/>
        <w:ind w:left="567" w:hanging="567"/>
        <w:rPr>
          <w:noProof/>
          <w:szCs w:val="22"/>
        </w:rPr>
      </w:pPr>
    </w:p>
    <w:p w14:paraId="0661A14D" w14:textId="77777777" w:rsidR="001B7699" w:rsidRPr="0063119B" w:rsidRDefault="001B7699" w:rsidP="001B7699">
      <w:pPr>
        <w:keepNext/>
        <w:suppressAutoHyphens/>
        <w:ind w:left="567" w:hanging="567"/>
        <w:rPr>
          <w:b/>
          <w:noProof/>
          <w:szCs w:val="22"/>
        </w:rPr>
      </w:pPr>
      <w:r w:rsidRPr="0063119B">
        <w:rPr>
          <w:b/>
          <w:noProof/>
          <w:szCs w:val="22"/>
        </w:rPr>
        <w:t>4.7</w:t>
      </w:r>
      <w:r w:rsidRPr="0063119B">
        <w:rPr>
          <w:b/>
          <w:noProof/>
          <w:szCs w:val="22"/>
        </w:rPr>
        <w:tab/>
        <w:t>Efeitos sobre a capacidade de conduzir e utilizar máquinas</w:t>
      </w:r>
    </w:p>
    <w:p w14:paraId="6A75AD7C" w14:textId="77777777" w:rsidR="001B7699" w:rsidRPr="0063119B" w:rsidRDefault="001B7699" w:rsidP="001B7699">
      <w:pPr>
        <w:keepNext/>
        <w:suppressAutoHyphens/>
        <w:rPr>
          <w:b/>
          <w:noProof/>
          <w:szCs w:val="22"/>
        </w:rPr>
      </w:pPr>
    </w:p>
    <w:p w14:paraId="3F8D55D3" w14:textId="77777777" w:rsidR="001B7699" w:rsidRPr="0063119B" w:rsidRDefault="003B14EF" w:rsidP="001B7699">
      <w:pPr>
        <w:keepNext/>
        <w:suppressAutoHyphens/>
        <w:rPr>
          <w:noProof/>
          <w:szCs w:val="22"/>
        </w:rPr>
      </w:pPr>
      <w:r w:rsidRPr="0063119B">
        <w:rPr>
          <w:noProof/>
          <w:szCs w:val="22"/>
        </w:rPr>
        <w:t>Os efeitos d</w:t>
      </w:r>
      <w:r w:rsidR="002C68B2" w:rsidRPr="0063119B">
        <w:rPr>
          <w:noProof/>
          <w:szCs w:val="22"/>
        </w:rPr>
        <w:t>o</w:t>
      </w:r>
      <w:r w:rsidRPr="0063119B">
        <w:rPr>
          <w:noProof/>
          <w:szCs w:val="22"/>
        </w:rPr>
        <w:t xml:space="preserve"> rivaroxabano sobre a capacidade de conduzir e utilizar máquinas são reduzidos.</w:t>
      </w:r>
      <w:r w:rsidR="001B7699" w:rsidRPr="0063119B">
        <w:rPr>
          <w:noProof/>
          <w:szCs w:val="22"/>
        </w:rPr>
        <w:t xml:space="preserve"> Foram notificadas reações adversas como síncope (frequência: pouco frequentes) e tonturas (frequência: frequentes) (ver secção 4.8). Os doentes com estas reações adversas não devem conduzir ou utilizar máquinas.</w:t>
      </w:r>
    </w:p>
    <w:p w14:paraId="2C224915" w14:textId="77777777" w:rsidR="001B7699" w:rsidRPr="0063119B" w:rsidRDefault="001B7699" w:rsidP="001B7699">
      <w:pPr>
        <w:suppressAutoHyphens/>
        <w:ind w:left="567" w:hanging="567"/>
        <w:rPr>
          <w:b/>
          <w:noProof/>
          <w:szCs w:val="22"/>
        </w:rPr>
      </w:pPr>
    </w:p>
    <w:p w14:paraId="3A5A84C5" w14:textId="77777777" w:rsidR="001B7699" w:rsidRPr="0063119B" w:rsidRDefault="001B7699" w:rsidP="001B7699">
      <w:pPr>
        <w:suppressAutoHyphens/>
        <w:ind w:left="567" w:hanging="567"/>
        <w:rPr>
          <w:b/>
          <w:noProof/>
          <w:szCs w:val="22"/>
        </w:rPr>
      </w:pPr>
      <w:r w:rsidRPr="0063119B">
        <w:rPr>
          <w:b/>
          <w:noProof/>
          <w:szCs w:val="22"/>
        </w:rPr>
        <w:t>4.8</w:t>
      </w:r>
      <w:r w:rsidRPr="0063119B">
        <w:rPr>
          <w:b/>
          <w:noProof/>
          <w:szCs w:val="22"/>
        </w:rPr>
        <w:tab/>
        <w:t>Efeitos indesejáveis</w:t>
      </w:r>
    </w:p>
    <w:p w14:paraId="3DA440C0" w14:textId="77777777" w:rsidR="001B7699" w:rsidRPr="0063119B" w:rsidRDefault="001B7699" w:rsidP="001B7699">
      <w:pPr>
        <w:suppressAutoHyphens/>
        <w:rPr>
          <w:noProof/>
          <w:szCs w:val="22"/>
        </w:rPr>
      </w:pPr>
    </w:p>
    <w:p w14:paraId="6154CEA7" w14:textId="77777777" w:rsidR="001B7699" w:rsidRPr="0063119B" w:rsidRDefault="001B7699" w:rsidP="001B7699">
      <w:pPr>
        <w:suppressAutoHyphens/>
        <w:rPr>
          <w:noProof/>
          <w:szCs w:val="22"/>
        </w:rPr>
      </w:pPr>
      <w:r w:rsidRPr="0063119B">
        <w:rPr>
          <w:noProof/>
          <w:szCs w:val="22"/>
          <w:u w:val="single"/>
        </w:rPr>
        <w:t>Resumo do perfil de segurança</w:t>
      </w:r>
    </w:p>
    <w:p w14:paraId="0D88D2C2" w14:textId="77777777" w:rsidR="003B14EF" w:rsidRPr="0063119B" w:rsidRDefault="003B14EF" w:rsidP="00951279">
      <w:pPr>
        <w:rPr>
          <w:szCs w:val="22"/>
        </w:rPr>
      </w:pPr>
    </w:p>
    <w:p w14:paraId="550A1A24" w14:textId="77777777" w:rsidR="00F2531E" w:rsidRDefault="001B7699" w:rsidP="0003401D">
      <w:pPr>
        <w:rPr>
          <w:szCs w:val="22"/>
        </w:rPr>
      </w:pPr>
      <w:r w:rsidRPr="0063119B">
        <w:rPr>
          <w:szCs w:val="22"/>
        </w:rPr>
        <w:t xml:space="preserve">A segurança do rivaroxabano foi avaliada em </w:t>
      </w:r>
      <w:r w:rsidR="00BD2411" w:rsidRPr="0063119B">
        <w:rPr>
          <w:szCs w:val="22"/>
        </w:rPr>
        <w:t>tre</w:t>
      </w:r>
      <w:r w:rsidR="005450DB" w:rsidRPr="0063119B">
        <w:rPr>
          <w:szCs w:val="22"/>
        </w:rPr>
        <w:t xml:space="preserve">ze </w:t>
      </w:r>
      <w:r w:rsidRPr="0063119B">
        <w:rPr>
          <w:szCs w:val="22"/>
        </w:rPr>
        <w:t xml:space="preserve">estudos de </w:t>
      </w:r>
      <w:r w:rsidR="00F2531E">
        <w:rPr>
          <w:szCs w:val="22"/>
        </w:rPr>
        <w:t xml:space="preserve">referência  de </w:t>
      </w:r>
      <w:r w:rsidRPr="0063119B">
        <w:rPr>
          <w:szCs w:val="22"/>
        </w:rPr>
        <w:t xml:space="preserve">fase III </w:t>
      </w:r>
      <w:r w:rsidR="00F2531E">
        <w:rPr>
          <w:szCs w:val="22"/>
        </w:rPr>
        <w:t>(ver Quadro 1).</w:t>
      </w:r>
    </w:p>
    <w:p w14:paraId="7F99C3B8" w14:textId="77777777" w:rsidR="00F2531E" w:rsidRDefault="00F2531E" w:rsidP="0003401D">
      <w:pPr>
        <w:rPr>
          <w:szCs w:val="22"/>
        </w:rPr>
      </w:pPr>
    </w:p>
    <w:p w14:paraId="48F67895" w14:textId="5AC5FB13" w:rsidR="001B7699" w:rsidRPr="0063119B" w:rsidRDefault="00F2531E" w:rsidP="00F2531E">
      <w:pPr>
        <w:rPr>
          <w:szCs w:val="22"/>
        </w:rPr>
      </w:pPr>
      <w:r>
        <w:rPr>
          <w:szCs w:val="22"/>
        </w:rPr>
        <w:t>Globalmente, foram expostos ao rivaroxabano 69.608</w:t>
      </w:r>
      <w:r w:rsidR="005450DB" w:rsidRPr="0063119B">
        <w:rPr>
          <w:szCs w:val="22"/>
        </w:rPr>
        <w:t> </w:t>
      </w:r>
      <w:r w:rsidR="001B7699" w:rsidRPr="0063119B">
        <w:rPr>
          <w:szCs w:val="22"/>
        </w:rPr>
        <w:t xml:space="preserve">doentes </w:t>
      </w:r>
      <w:r>
        <w:rPr>
          <w:szCs w:val="22"/>
        </w:rPr>
        <w:t>adultos em dezanove estudos de fase III e 4</w:t>
      </w:r>
      <w:r w:rsidR="00320623">
        <w:rPr>
          <w:szCs w:val="22"/>
        </w:rPr>
        <w:t>88</w:t>
      </w:r>
      <w:r>
        <w:rPr>
          <w:szCs w:val="22"/>
        </w:rPr>
        <w:t xml:space="preserve"> doentes pediátricos</w:t>
      </w:r>
      <w:r w:rsidR="0003401D">
        <w:rPr>
          <w:szCs w:val="22"/>
        </w:rPr>
        <w:t xml:space="preserve"> </w:t>
      </w:r>
      <w:r w:rsidR="0003401D" w:rsidRPr="0003401D">
        <w:rPr>
          <w:szCs w:val="22"/>
        </w:rPr>
        <w:t xml:space="preserve">em dois estudos pediátricos de fase II e </w:t>
      </w:r>
      <w:r w:rsidR="00320623">
        <w:rPr>
          <w:szCs w:val="22"/>
        </w:rPr>
        <w:t>em dois estudos</w:t>
      </w:r>
      <w:r w:rsidR="0003401D" w:rsidRPr="0003401D">
        <w:rPr>
          <w:szCs w:val="22"/>
        </w:rPr>
        <w:t xml:space="preserve"> de fase III</w:t>
      </w:r>
      <w:r>
        <w:rPr>
          <w:szCs w:val="22"/>
        </w:rPr>
        <w:t>.</w:t>
      </w:r>
    </w:p>
    <w:p w14:paraId="327CC705" w14:textId="77777777" w:rsidR="001B7699" w:rsidRPr="0063119B" w:rsidRDefault="001B7699" w:rsidP="00951279">
      <w:pPr>
        <w:rPr>
          <w:b/>
          <w:szCs w:val="22"/>
        </w:rPr>
      </w:pPr>
    </w:p>
    <w:p w14:paraId="77EBCAF4" w14:textId="77777777" w:rsidR="001B7699" w:rsidRDefault="001B7699" w:rsidP="00951279">
      <w:pPr>
        <w:rPr>
          <w:b/>
          <w:szCs w:val="22"/>
        </w:rPr>
      </w:pPr>
      <w:r w:rsidRPr="0063119B">
        <w:rPr>
          <w:b/>
          <w:szCs w:val="22"/>
        </w:rPr>
        <w:t xml:space="preserve">Quadro 1: Número de doentes estudados, dose diária </w:t>
      </w:r>
      <w:r w:rsidR="005450DB" w:rsidRPr="0063119B">
        <w:rPr>
          <w:b/>
          <w:szCs w:val="22"/>
        </w:rPr>
        <w:t xml:space="preserve">total </w:t>
      </w:r>
      <w:r w:rsidRPr="0063119B">
        <w:rPr>
          <w:b/>
          <w:szCs w:val="22"/>
        </w:rPr>
        <w:t xml:space="preserve">e duração </w:t>
      </w:r>
      <w:r w:rsidR="005450DB" w:rsidRPr="0063119B">
        <w:rPr>
          <w:b/>
          <w:szCs w:val="22"/>
        </w:rPr>
        <w:t xml:space="preserve">máxima </w:t>
      </w:r>
      <w:r w:rsidRPr="0063119B">
        <w:rPr>
          <w:b/>
          <w:szCs w:val="22"/>
        </w:rPr>
        <w:t>do tratamento em estudos de fase III</w:t>
      </w:r>
      <w:r w:rsidR="0003401D">
        <w:rPr>
          <w:b/>
          <w:szCs w:val="22"/>
        </w:rPr>
        <w:t xml:space="preserve"> </w:t>
      </w:r>
      <w:r w:rsidR="0003401D" w:rsidRPr="0003401D">
        <w:rPr>
          <w:b/>
          <w:szCs w:val="22"/>
        </w:rPr>
        <w:t>em doentes adultos e pediátricos</w:t>
      </w:r>
    </w:p>
    <w:p w14:paraId="2BD5DF10" w14:textId="77777777" w:rsidR="0003401D" w:rsidRPr="0063119B" w:rsidRDefault="0003401D" w:rsidP="0095127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1189"/>
        <w:gridCol w:w="2127"/>
        <w:gridCol w:w="2045"/>
      </w:tblGrid>
      <w:tr w:rsidR="001B7699" w:rsidRPr="0063119B" w14:paraId="54C03F0B" w14:textId="77777777" w:rsidTr="00BD2411">
        <w:trPr>
          <w:tblHeader/>
        </w:trPr>
        <w:tc>
          <w:tcPr>
            <w:tcW w:w="3823" w:type="dxa"/>
          </w:tcPr>
          <w:p w14:paraId="46DB3C5C" w14:textId="77777777" w:rsidR="001B7699" w:rsidRPr="0063119B" w:rsidRDefault="001B7699" w:rsidP="00951279">
            <w:pPr>
              <w:rPr>
                <w:szCs w:val="22"/>
              </w:rPr>
            </w:pPr>
            <w:r w:rsidRPr="0063119B">
              <w:rPr>
                <w:b/>
                <w:szCs w:val="22"/>
              </w:rPr>
              <w:t>Indicação</w:t>
            </w:r>
          </w:p>
        </w:tc>
        <w:tc>
          <w:tcPr>
            <w:tcW w:w="1199" w:type="dxa"/>
          </w:tcPr>
          <w:p w14:paraId="63A75D34" w14:textId="77777777" w:rsidR="001B7699" w:rsidRPr="0063119B" w:rsidRDefault="001B7699" w:rsidP="00951279">
            <w:pPr>
              <w:rPr>
                <w:szCs w:val="22"/>
              </w:rPr>
            </w:pPr>
            <w:r w:rsidRPr="0063119B">
              <w:rPr>
                <w:b/>
                <w:szCs w:val="22"/>
              </w:rPr>
              <w:t>Número de doentes*</w:t>
            </w:r>
          </w:p>
        </w:tc>
        <w:tc>
          <w:tcPr>
            <w:tcW w:w="2158" w:type="dxa"/>
          </w:tcPr>
          <w:p w14:paraId="26AF6E2E" w14:textId="77777777" w:rsidR="001B7699" w:rsidRPr="0063119B" w:rsidRDefault="001B7699" w:rsidP="00951279">
            <w:pPr>
              <w:rPr>
                <w:szCs w:val="22"/>
              </w:rPr>
            </w:pPr>
            <w:r w:rsidRPr="0063119B">
              <w:rPr>
                <w:b/>
                <w:szCs w:val="22"/>
              </w:rPr>
              <w:t xml:space="preserve">Dose diária </w:t>
            </w:r>
            <w:r w:rsidR="005450DB" w:rsidRPr="0063119B">
              <w:rPr>
                <w:b/>
                <w:szCs w:val="22"/>
              </w:rPr>
              <w:t>total</w:t>
            </w:r>
          </w:p>
        </w:tc>
        <w:tc>
          <w:tcPr>
            <w:tcW w:w="2096" w:type="dxa"/>
          </w:tcPr>
          <w:p w14:paraId="3322AFD5" w14:textId="77777777" w:rsidR="001B7699" w:rsidRPr="0063119B" w:rsidRDefault="001B7699" w:rsidP="00951279">
            <w:pPr>
              <w:rPr>
                <w:szCs w:val="22"/>
              </w:rPr>
            </w:pPr>
            <w:r w:rsidRPr="0063119B">
              <w:rPr>
                <w:b/>
                <w:szCs w:val="22"/>
              </w:rPr>
              <w:t>Duração máxima do tratamento</w:t>
            </w:r>
          </w:p>
        </w:tc>
      </w:tr>
      <w:tr w:rsidR="001B7699" w:rsidRPr="0063119B" w14:paraId="2A555A2D" w14:textId="77777777" w:rsidTr="00BD2411">
        <w:tc>
          <w:tcPr>
            <w:tcW w:w="3823" w:type="dxa"/>
          </w:tcPr>
          <w:p w14:paraId="6E3F5977" w14:textId="77777777" w:rsidR="001B7699" w:rsidRPr="0063119B" w:rsidRDefault="001B7699" w:rsidP="00951279">
            <w:pPr>
              <w:rPr>
                <w:szCs w:val="22"/>
              </w:rPr>
            </w:pPr>
            <w:r w:rsidRPr="0063119B">
              <w:rPr>
                <w:szCs w:val="22"/>
              </w:rPr>
              <w:t>Prevenção do tromboembolismo venoso (TEV) em doentes adultos submetidos a artroplastia eletiva da anca ou joelho</w:t>
            </w:r>
          </w:p>
        </w:tc>
        <w:tc>
          <w:tcPr>
            <w:tcW w:w="1199" w:type="dxa"/>
          </w:tcPr>
          <w:p w14:paraId="0F582D95" w14:textId="77777777" w:rsidR="001B7699" w:rsidRPr="0063119B" w:rsidRDefault="001B7699" w:rsidP="00951279">
            <w:pPr>
              <w:rPr>
                <w:szCs w:val="22"/>
              </w:rPr>
            </w:pPr>
            <w:r w:rsidRPr="0063119B">
              <w:rPr>
                <w:szCs w:val="22"/>
              </w:rPr>
              <w:t>6.097</w:t>
            </w:r>
          </w:p>
        </w:tc>
        <w:tc>
          <w:tcPr>
            <w:tcW w:w="2158" w:type="dxa"/>
          </w:tcPr>
          <w:p w14:paraId="44D970A4" w14:textId="77777777" w:rsidR="001B7699" w:rsidRPr="0063119B" w:rsidRDefault="001B7699" w:rsidP="00951279">
            <w:pPr>
              <w:rPr>
                <w:szCs w:val="22"/>
              </w:rPr>
            </w:pPr>
            <w:r w:rsidRPr="0063119B">
              <w:rPr>
                <w:szCs w:val="22"/>
              </w:rPr>
              <w:t>10 mg</w:t>
            </w:r>
          </w:p>
        </w:tc>
        <w:tc>
          <w:tcPr>
            <w:tcW w:w="2096" w:type="dxa"/>
          </w:tcPr>
          <w:p w14:paraId="64C3104E" w14:textId="77777777" w:rsidR="001B7699" w:rsidRPr="0063119B" w:rsidRDefault="001B7699" w:rsidP="00951279">
            <w:pPr>
              <w:rPr>
                <w:szCs w:val="22"/>
              </w:rPr>
            </w:pPr>
            <w:r w:rsidRPr="0063119B">
              <w:rPr>
                <w:szCs w:val="22"/>
              </w:rPr>
              <w:t>39 dias</w:t>
            </w:r>
          </w:p>
        </w:tc>
      </w:tr>
      <w:tr w:rsidR="001B7699" w:rsidRPr="0063119B" w14:paraId="742F7CA9" w14:textId="77777777" w:rsidTr="00BD2411">
        <w:tc>
          <w:tcPr>
            <w:tcW w:w="3823" w:type="dxa"/>
          </w:tcPr>
          <w:p w14:paraId="27714205" w14:textId="77777777" w:rsidR="001B7699" w:rsidRPr="0063119B" w:rsidRDefault="001B7699" w:rsidP="00951279">
            <w:pPr>
              <w:rPr>
                <w:szCs w:val="22"/>
              </w:rPr>
            </w:pPr>
            <w:r w:rsidRPr="0063119B">
              <w:rPr>
                <w:szCs w:val="22"/>
              </w:rPr>
              <w:t xml:space="preserve">Prevenção do </w:t>
            </w:r>
            <w:r w:rsidR="0078113C" w:rsidRPr="0063119B">
              <w:rPr>
                <w:szCs w:val="22"/>
              </w:rPr>
              <w:t xml:space="preserve">TEV </w:t>
            </w:r>
            <w:r w:rsidRPr="0063119B">
              <w:rPr>
                <w:szCs w:val="22"/>
              </w:rPr>
              <w:t>em doentes não cirúrgicos</w:t>
            </w:r>
          </w:p>
        </w:tc>
        <w:tc>
          <w:tcPr>
            <w:tcW w:w="1199" w:type="dxa"/>
          </w:tcPr>
          <w:p w14:paraId="3EFE9335" w14:textId="77777777" w:rsidR="001B7699" w:rsidRPr="0063119B" w:rsidRDefault="001B7699" w:rsidP="00951279">
            <w:pPr>
              <w:rPr>
                <w:szCs w:val="22"/>
              </w:rPr>
            </w:pPr>
            <w:r w:rsidRPr="0063119B">
              <w:rPr>
                <w:szCs w:val="22"/>
              </w:rPr>
              <w:t>3.997</w:t>
            </w:r>
          </w:p>
        </w:tc>
        <w:tc>
          <w:tcPr>
            <w:tcW w:w="2158" w:type="dxa"/>
          </w:tcPr>
          <w:p w14:paraId="4762267B" w14:textId="77777777" w:rsidR="001B7699" w:rsidRPr="0063119B" w:rsidRDefault="001B7699" w:rsidP="00951279">
            <w:pPr>
              <w:rPr>
                <w:szCs w:val="22"/>
              </w:rPr>
            </w:pPr>
            <w:r w:rsidRPr="0063119B">
              <w:rPr>
                <w:szCs w:val="22"/>
              </w:rPr>
              <w:t>10 mg</w:t>
            </w:r>
          </w:p>
        </w:tc>
        <w:tc>
          <w:tcPr>
            <w:tcW w:w="2096" w:type="dxa"/>
          </w:tcPr>
          <w:p w14:paraId="1B6B0870" w14:textId="77777777" w:rsidR="001B7699" w:rsidRPr="0063119B" w:rsidRDefault="001B7699" w:rsidP="00951279">
            <w:pPr>
              <w:rPr>
                <w:szCs w:val="22"/>
              </w:rPr>
            </w:pPr>
            <w:r w:rsidRPr="0063119B">
              <w:rPr>
                <w:szCs w:val="22"/>
              </w:rPr>
              <w:t>39 dias</w:t>
            </w:r>
          </w:p>
        </w:tc>
      </w:tr>
      <w:tr w:rsidR="001B7699" w:rsidRPr="0063119B" w14:paraId="7A2E3F6D" w14:textId="77777777" w:rsidTr="00BD2411">
        <w:tc>
          <w:tcPr>
            <w:tcW w:w="3823" w:type="dxa"/>
          </w:tcPr>
          <w:p w14:paraId="5CCE66A3" w14:textId="77777777" w:rsidR="001B7699" w:rsidRPr="0063119B" w:rsidRDefault="001B7699" w:rsidP="00951279">
            <w:pPr>
              <w:rPr>
                <w:szCs w:val="22"/>
              </w:rPr>
            </w:pPr>
            <w:r w:rsidRPr="0063119B">
              <w:rPr>
                <w:szCs w:val="22"/>
              </w:rPr>
              <w:t xml:space="preserve">Tratamento da </w:t>
            </w:r>
            <w:r w:rsidR="0078113C" w:rsidRPr="0063119B">
              <w:rPr>
                <w:szCs w:val="22"/>
              </w:rPr>
              <w:t>trombose venosa profunda</w:t>
            </w:r>
            <w:r w:rsidR="00B418D5" w:rsidRPr="0063119B">
              <w:rPr>
                <w:szCs w:val="22"/>
              </w:rPr>
              <w:t xml:space="preserve"> (TVP)</w:t>
            </w:r>
            <w:r w:rsidRPr="0063119B">
              <w:rPr>
                <w:szCs w:val="22"/>
              </w:rPr>
              <w:t xml:space="preserve">, </w:t>
            </w:r>
            <w:r w:rsidR="0078113C" w:rsidRPr="0063119B">
              <w:rPr>
                <w:szCs w:val="22"/>
              </w:rPr>
              <w:t>embolia pulmonar (</w:t>
            </w:r>
            <w:r w:rsidRPr="0063119B">
              <w:rPr>
                <w:szCs w:val="22"/>
              </w:rPr>
              <w:t>EP</w:t>
            </w:r>
            <w:r w:rsidR="0078113C" w:rsidRPr="0063119B">
              <w:rPr>
                <w:szCs w:val="22"/>
              </w:rPr>
              <w:t>)</w:t>
            </w:r>
            <w:r w:rsidRPr="0063119B">
              <w:rPr>
                <w:szCs w:val="22"/>
              </w:rPr>
              <w:t xml:space="preserve"> e prevenção da recorrência</w:t>
            </w:r>
          </w:p>
        </w:tc>
        <w:tc>
          <w:tcPr>
            <w:tcW w:w="1199" w:type="dxa"/>
          </w:tcPr>
          <w:p w14:paraId="7544762B" w14:textId="77777777" w:rsidR="001B7699" w:rsidRPr="0063119B" w:rsidRDefault="005450DB" w:rsidP="00951279">
            <w:pPr>
              <w:rPr>
                <w:szCs w:val="22"/>
              </w:rPr>
            </w:pPr>
            <w:r w:rsidRPr="0063119B">
              <w:rPr>
                <w:szCs w:val="22"/>
              </w:rPr>
              <w:t>6.790</w:t>
            </w:r>
          </w:p>
        </w:tc>
        <w:tc>
          <w:tcPr>
            <w:tcW w:w="2158" w:type="dxa"/>
          </w:tcPr>
          <w:p w14:paraId="5E765298" w14:textId="77777777" w:rsidR="001B7699" w:rsidRPr="0063119B" w:rsidRDefault="001B7699" w:rsidP="00951279">
            <w:pPr>
              <w:rPr>
                <w:szCs w:val="22"/>
              </w:rPr>
            </w:pPr>
            <w:r w:rsidRPr="0063119B">
              <w:rPr>
                <w:szCs w:val="22"/>
              </w:rPr>
              <w:t>Dias 1 </w:t>
            </w:r>
            <w:r w:rsidRPr="0063119B">
              <w:rPr>
                <w:szCs w:val="22"/>
              </w:rPr>
              <w:noBreakHyphen/>
              <w:t> 21: 30 mg</w:t>
            </w:r>
          </w:p>
          <w:p w14:paraId="7C4B7E89" w14:textId="77777777" w:rsidR="001B7699" w:rsidRPr="0063119B" w:rsidRDefault="001B7699" w:rsidP="00951279">
            <w:pPr>
              <w:rPr>
                <w:szCs w:val="22"/>
              </w:rPr>
            </w:pPr>
            <w:r w:rsidRPr="0063119B">
              <w:rPr>
                <w:szCs w:val="22"/>
              </w:rPr>
              <w:t>Dia 22 e seguintes: 20 mg</w:t>
            </w:r>
          </w:p>
          <w:p w14:paraId="77424E7E" w14:textId="77777777" w:rsidR="005450DB" w:rsidRPr="0063119B" w:rsidRDefault="00104B9D" w:rsidP="00951279">
            <w:pPr>
              <w:rPr>
                <w:szCs w:val="22"/>
              </w:rPr>
            </w:pPr>
            <w:r w:rsidRPr="0063119B">
              <w:rPr>
                <w:szCs w:val="22"/>
              </w:rPr>
              <w:t>Depois de</w:t>
            </w:r>
            <w:r w:rsidR="005450DB" w:rsidRPr="0063119B">
              <w:rPr>
                <w:szCs w:val="22"/>
              </w:rPr>
              <w:t xml:space="preserve"> pelo menos 6 meses: 10 mg ou 20 mg</w:t>
            </w:r>
          </w:p>
        </w:tc>
        <w:tc>
          <w:tcPr>
            <w:tcW w:w="2096" w:type="dxa"/>
          </w:tcPr>
          <w:p w14:paraId="45CA3A60" w14:textId="77777777" w:rsidR="001B7699" w:rsidRPr="0063119B" w:rsidRDefault="001B7699" w:rsidP="00951279">
            <w:pPr>
              <w:rPr>
                <w:szCs w:val="22"/>
              </w:rPr>
            </w:pPr>
            <w:r w:rsidRPr="0063119B">
              <w:rPr>
                <w:szCs w:val="22"/>
              </w:rPr>
              <w:t>21 meses</w:t>
            </w:r>
          </w:p>
        </w:tc>
      </w:tr>
      <w:tr w:rsidR="0003401D" w:rsidRPr="0063119B" w14:paraId="3BFADEEA" w14:textId="77777777" w:rsidTr="00BD2411">
        <w:tc>
          <w:tcPr>
            <w:tcW w:w="3823" w:type="dxa"/>
          </w:tcPr>
          <w:p w14:paraId="5B442E89" w14:textId="77777777" w:rsidR="0003401D" w:rsidRDefault="0003401D" w:rsidP="0003401D">
            <w:pPr>
              <w:autoSpaceDE w:val="0"/>
              <w:autoSpaceDN w:val="0"/>
              <w:adjustRightInd w:val="0"/>
              <w:rPr>
                <w:szCs w:val="22"/>
                <w:lang w:eastAsia="pt-PT"/>
              </w:rPr>
            </w:pPr>
            <w:r>
              <w:rPr>
                <w:szCs w:val="22"/>
                <w:lang w:eastAsia="pt-PT"/>
              </w:rPr>
              <w:lastRenderedPageBreak/>
              <w:t>Tratamento do TEV e prevenção da</w:t>
            </w:r>
          </w:p>
          <w:p w14:paraId="61BA1403" w14:textId="77777777" w:rsidR="0003401D" w:rsidRDefault="0003401D" w:rsidP="0003401D">
            <w:pPr>
              <w:autoSpaceDE w:val="0"/>
              <w:autoSpaceDN w:val="0"/>
              <w:adjustRightInd w:val="0"/>
              <w:rPr>
                <w:szCs w:val="22"/>
                <w:lang w:eastAsia="pt-PT"/>
              </w:rPr>
            </w:pPr>
            <w:r>
              <w:rPr>
                <w:szCs w:val="22"/>
                <w:lang w:eastAsia="pt-PT"/>
              </w:rPr>
              <w:t>recorrência de TEV em recém-nascidos</w:t>
            </w:r>
          </w:p>
          <w:p w14:paraId="3A9E938D" w14:textId="77777777" w:rsidR="0003401D" w:rsidRDefault="0003401D" w:rsidP="0003401D">
            <w:pPr>
              <w:autoSpaceDE w:val="0"/>
              <w:autoSpaceDN w:val="0"/>
              <w:adjustRightInd w:val="0"/>
              <w:rPr>
                <w:szCs w:val="22"/>
                <w:lang w:eastAsia="pt-PT"/>
              </w:rPr>
            </w:pPr>
            <w:r>
              <w:rPr>
                <w:szCs w:val="22"/>
                <w:lang w:eastAsia="pt-PT"/>
              </w:rPr>
              <w:t>de termo e em crianças com menos de</w:t>
            </w:r>
          </w:p>
          <w:p w14:paraId="708F679B" w14:textId="77777777" w:rsidR="0003401D" w:rsidRDefault="0003401D" w:rsidP="0003401D">
            <w:pPr>
              <w:autoSpaceDE w:val="0"/>
              <w:autoSpaceDN w:val="0"/>
              <w:adjustRightInd w:val="0"/>
              <w:rPr>
                <w:szCs w:val="22"/>
                <w:lang w:eastAsia="pt-PT"/>
              </w:rPr>
            </w:pPr>
            <w:r>
              <w:rPr>
                <w:szCs w:val="22"/>
                <w:lang w:eastAsia="pt-PT"/>
              </w:rPr>
              <w:t>18 anos de idade após o início do</w:t>
            </w:r>
          </w:p>
          <w:p w14:paraId="488687EA" w14:textId="77777777" w:rsidR="0003401D" w:rsidRPr="0063119B" w:rsidRDefault="0003401D" w:rsidP="0003401D">
            <w:pPr>
              <w:rPr>
                <w:szCs w:val="22"/>
              </w:rPr>
            </w:pPr>
            <w:r>
              <w:rPr>
                <w:szCs w:val="22"/>
                <w:lang w:eastAsia="pt-PT"/>
              </w:rPr>
              <w:t>tratamento anticoagulante padrão</w:t>
            </w:r>
          </w:p>
        </w:tc>
        <w:tc>
          <w:tcPr>
            <w:tcW w:w="1199" w:type="dxa"/>
          </w:tcPr>
          <w:p w14:paraId="6C18F758" w14:textId="77777777" w:rsidR="0003401D" w:rsidRPr="0063119B" w:rsidRDefault="00B55942" w:rsidP="00951279">
            <w:pPr>
              <w:rPr>
                <w:szCs w:val="22"/>
              </w:rPr>
            </w:pPr>
            <w:r>
              <w:rPr>
                <w:szCs w:val="22"/>
              </w:rPr>
              <w:t>329</w:t>
            </w:r>
          </w:p>
        </w:tc>
        <w:tc>
          <w:tcPr>
            <w:tcW w:w="2158" w:type="dxa"/>
          </w:tcPr>
          <w:p w14:paraId="14D5D4EC" w14:textId="77777777" w:rsidR="00B55942" w:rsidRDefault="00B55942" w:rsidP="00B55942">
            <w:pPr>
              <w:autoSpaceDE w:val="0"/>
              <w:autoSpaceDN w:val="0"/>
              <w:adjustRightInd w:val="0"/>
              <w:rPr>
                <w:szCs w:val="22"/>
                <w:lang w:eastAsia="pt-PT"/>
              </w:rPr>
            </w:pPr>
            <w:r>
              <w:rPr>
                <w:szCs w:val="22"/>
                <w:lang w:eastAsia="pt-PT"/>
              </w:rPr>
              <w:t>Dose ajustada em</w:t>
            </w:r>
          </w:p>
          <w:p w14:paraId="6A560F37" w14:textId="77777777" w:rsidR="00B55942" w:rsidRDefault="00B55942" w:rsidP="00B55942">
            <w:pPr>
              <w:autoSpaceDE w:val="0"/>
              <w:autoSpaceDN w:val="0"/>
              <w:adjustRightInd w:val="0"/>
              <w:rPr>
                <w:szCs w:val="22"/>
                <w:lang w:eastAsia="pt-PT"/>
              </w:rPr>
            </w:pPr>
            <w:r>
              <w:rPr>
                <w:szCs w:val="22"/>
                <w:lang w:eastAsia="pt-PT"/>
              </w:rPr>
              <w:t>função do peso</w:t>
            </w:r>
          </w:p>
          <w:p w14:paraId="029294A4" w14:textId="77777777" w:rsidR="00B55942" w:rsidRDefault="00B55942" w:rsidP="00B55942">
            <w:pPr>
              <w:autoSpaceDE w:val="0"/>
              <w:autoSpaceDN w:val="0"/>
              <w:adjustRightInd w:val="0"/>
              <w:rPr>
                <w:szCs w:val="22"/>
                <w:lang w:eastAsia="pt-PT"/>
              </w:rPr>
            </w:pPr>
            <w:r>
              <w:rPr>
                <w:szCs w:val="22"/>
                <w:lang w:eastAsia="pt-PT"/>
              </w:rPr>
              <w:t>corporal de modo a</w:t>
            </w:r>
          </w:p>
          <w:p w14:paraId="4C5CFB05" w14:textId="77777777" w:rsidR="00B55942" w:rsidRDefault="00B55942" w:rsidP="00B55942">
            <w:pPr>
              <w:autoSpaceDE w:val="0"/>
              <w:autoSpaceDN w:val="0"/>
              <w:adjustRightInd w:val="0"/>
              <w:rPr>
                <w:szCs w:val="22"/>
                <w:lang w:eastAsia="pt-PT"/>
              </w:rPr>
            </w:pPr>
            <w:r>
              <w:rPr>
                <w:szCs w:val="22"/>
                <w:lang w:eastAsia="pt-PT"/>
              </w:rPr>
              <w:t>se atingir uma</w:t>
            </w:r>
          </w:p>
          <w:p w14:paraId="2616C570" w14:textId="77777777" w:rsidR="00B55942" w:rsidRDefault="00B55942" w:rsidP="00B55942">
            <w:pPr>
              <w:autoSpaceDE w:val="0"/>
              <w:autoSpaceDN w:val="0"/>
              <w:adjustRightInd w:val="0"/>
              <w:rPr>
                <w:szCs w:val="22"/>
                <w:lang w:eastAsia="pt-PT"/>
              </w:rPr>
            </w:pPr>
            <w:r>
              <w:rPr>
                <w:szCs w:val="22"/>
                <w:lang w:eastAsia="pt-PT"/>
              </w:rPr>
              <w:t>exposição semelhante</w:t>
            </w:r>
          </w:p>
          <w:p w14:paraId="52A12344" w14:textId="77777777" w:rsidR="00B55942" w:rsidRDefault="00B55942" w:rsidP="00B55942">
            <w:pPr>
              <w:autoSpaceDE w:val="0"/>
              <w:autoSpaceDN w:val="0"/>
              <w:adjustRightInd w:val="0"/>
              <w:rPr>
                <w:szCs w:val="22"/>
                <w:lang w:eastAsia="pt-PT"/>
              </w:rPr>
            </w:pPr>
            <w:r>
              <w:rPr>
                <w:szCs w:val="22"/>
                <w:lang w:eastAsia="pt-PT"/>
              </w:rPr>
              <w:t>à observada em</w:t>
            </w:r>
          </w:p>
          <w:p w14:paraId="0AD2CFC8" w14:textId="77777777" w:rsidR="00B55942" w:rsidRDefault="00B55942" w:rsidP="00B55942">
            <w:pPr>
              <w:autoSpaceDE w:val="0"/>
              <w:autoSpaceDN w:val="0"/>
              <w:adjustRightInd w:val="0"/>
              <w:rPr>
                <w:szCs w:val="22"/>
                <w:lang w:eastAsia="pt-PT"/>
              </w:rPr>
            </w:pPr>
            <w:r>
              <w:rPr>
                <w:szCs w:val="22"/>
                <w:lang w:eastAsia="pt-PT"/>
              </w:rPr>
              <w:t>adultos tratados para</w:t>
            </w:r>
          </w:p>
          <w:p w14:paraId="5479EA98" w14:textId="77777777" w:rsidR="00B55942" w:rsidRDefault="00B55942" w:rsidP="00B55942">
            <w:pPr>
              <w:autoSpaceDE w:val="0"/>
              <w:autoSpaceDN w:val="0"/>
              <w:adjustRightInd w:val="0"/>
              <w:rPr>
                <w:szCs w:val="22"/>
                <w:lang w:eastAsia="pt-PT"/>
              </w:rPr>
            </w:pPr>
            <w:r>
              <w:rPr>
                <w:szCs w:val="22"/>
                <w:lang w:eastAsia="pt-PT"/>
              </w:rPr>
              <w:t>TVP com 20 mg de</w:t>
            </w:r>
          </w:p>
          <w:p w14:paraId="6429B93C" w14:textId="77777777" w:rsidR="00B55942" w:rsidRDefault="00B55942" w:rsidP="00B55942">
            <w:pPr>
              <w:autoSpaceDE w:val="0"/>
              <w:autoSpaceDN w:val="0"/>
              <w:adjustRightInd w:val="0"/>
              <w:rPr>
                <w:szCs w:val="22"/>
                <w:lang w:eastAsia="pt-PT"/>
              </w:rPr>
            </w:pPr>
            <w:r>
              <w:rPr>
                <w:szCs w:val="22"/>
                <w:lang w:eastAsia="pt-PT"/>
              </w:rPr>
              <w:t>rivaroxabano uma</w:t>
            </w:r>
          </w:p>
          <w:p w14:paraId="2FB421D8" w14:textId="77777777" w:rsidR="0003401D" w:rsidRPr="0063119B" w:rsidRDefault="00B55942" w:rsidP="00B55942">
            <w:pPr>
              <w:rPr>
                <w:szCs w:val="22"/>
              </w:rPr>
            </w:pPr>
            <w:r>
              <w:rPr>
                <w:szCs w:val="22"/>
                <w:lang w:eastAsia="pt-PT"/>
              </w:rPr>
              <w:t>vez por dia</w:t>
            </w:r>
          </w:p>
        </w:tc>
        <w:tc>
          <w:tcPr>
            <w:tcW w:w="2096" w:type="dxa"/>
          </w:tcPr>
          <w:p w14:paraId="2C83164A" w14:textId="77777777" w:rsidR="0003401D" w:rsidRPr="0063119B" w:rsidRDefault="00B55942" w:rsidP="00951279">
            <w:pPr>
              <w:rPr>
                <w:szCs w:val="22"/>
              </w:rPr>
            </w:pPr>
            <w:r>
              <w:rPr>
                <w:szCs w:val="22"/>
              </w:rPr>
              <w:t>12 meses</w:t>
            </w:r>
          </w:p>
        </w:tc>
      </w:tr>
      <w:tr w:rsidR="001B7699" w:rsidRPr="0063119B" w14:paraId="3A6FAD04" w14:textId="77777777" w:rsidTr="00BD2411">
        <w:tc>
          <w:tcPr>
            <w:tcW w:w="3823" w:type="dxa"/>
          </w:tcPr>
          <w:p w14:paraId="22467C2B" w14:textId="77777777" w:rsidR="001B7699" w:rsidRPr="0063119B" w:rsidRDefault="001B7699" w:rsidP="00951279">
            <w:pPr>
              <w:rPr>
                <w:szCs w:val="22"/>
              </w:rPr>
            </w:pPr>
            <w:r w:rsidRPr="0063119B">
              <w:rPr>
                <w:szCs w:val="22"/>
              </w:rPr>
              <w:t>Prevenção do acidente vascular cerebral e do embolismo sistémico em doentes com fibrilhação auricular não-valvular</w:t>
            </w:r>
          </w:p>
        </w:tc>
        <w:tc>
          <w:tcPr>
            <w:tcW w:w="1199" w:type="dxa"/>
          </w:tcPr>
          <w:p w14:paraId="05164A34" w14:textId="77777777" w:rsidR="001B7699" w:rsidRPr="0063119B" w:rsidRDefault="001B7699" w:rsidP="00951279">
            <w:pPr>
              <w:rPr>
                <w:szCs w:val="22"/>
              </w:rPr>
            </w:pPr>
            <w:r w:rsidRPr="0063119B">
              <w:rPr>
                <w:szCs w:val="22"/>
              </w:rPr>
              <w:t>7.750</w:t>
            </w:r>
          </w:p>
        </w:tc>
        <w:tc>
          <w:tcPr>
            <w:tcW w:w="2158" w:type="dxa"/>
          </w:tcPr>
          <w:p w14:paraId="4329526E" w14:textId="77777777" w:rsidR="001B7699" w:rsidRPr="0063119B" w:rsidRDefault="001B7699" w:rsidP="00951279">
            <w:pPr>
              <w:rPr>
                <w:szCs w:val="22"/>
              </w:rPr>
            </w:pPr>
            <w:r w:rsidRPr="0063119B">
              <w:rPr>
                <w:szCs w:val="22"/>
              </w:rPr>
              <w:t>20 mg</w:t>
            </w:r>
          </w:p>
        </w:tc>
        <w:tc>
          <w:tcPr>
            <w:tcW w:w="2096" w:type="dxa"/>
          </w:tcPr>
          <w:p w14:paraId="234C1FE1" w14:textId="77777777" w:rsidR="001B7699" w:rsidRPr="0063119B" w:rsidRDefault="001B7699" w:rsidP="00951279">
            <w:pPr>
              <w:rPr>
                <w:szCs w:val="22"/>
              </w:rPr>
            </w:pPr>
            <w:r w:rsidRPr="0063119B">
              <w:rPr>
                <w:szCs w:val="22"/>
              </w:rPr>
              <w:t>41 meses</w:t>
            </w:r>
          </w:p>
        </w:tc>
      </w:tr>
      <w:tr w:rsidR="001B7699" w:rsidRPr="0063119B" w14:paraId="54AE736B" w14:textId="77777777" w:rsidTr="00BD2411">
        <w:tc>
          <w:tcPr>
            <w:tcW w:w="3823" w:type="dxa"/>
          </w:tcPr>
          <w:p w14:paraId="694D47B8" w14:textId="77777777" w:rsidR="001B7699" w:rsidRPr="0063119B" w:rsidRDefault="001B7699" w:rsidP="001B7699">
            <w:pPr>
              <w:rPr>
                <w:szCs w:val="22"/>
              </w:rPr>
            </w:pPr>
            <w:r w:rsidRPr="0063119B">
              <w:rPr>
                <w:szCs w:val="22"/>
              </w:rPr>
              <w:t xml:space="preserve">Prevenção de </w:t>
            </w:r>
            <w:r w:rsidRPr="0063119B">
              <w:rPr>
                <w:noProof/>
                <w:szCs w:val="22"/>
              </w:rPr>
              <w:t xml:space="preserve">acontecimentos aterotrombóticos </w:t>
            </w:r>
            <w:r w:rsidRPr="0063119B">
              <w:rPr>
                <w:szCs w:val="22"/>
              </w:rPr>
              <w:t>em doentes após uma SCA</w:t>
            </w:r>
          </w:p>
        </w:tc>
        <w:tc>
          <w:tcPr>
            <w:tcW w:w="1199" w:type="dxa"/>
          </w:tcPr>
          <w:p w14:paraId="54C552CE" w14:textId="77777777" w:rsidR="001B7699" w:rsidRPr="0063119B" w:rsidRDefault="001B7699" w:rsidP="001B7699">
            <w:pPr>
              <w:rPr>
                <w:szCs w:val="22"/>
              </w:rPr>
            </w:pPr>
            <w:r w:rsidRPr="0063119B">
              <w:rPr>
                <w:szCs w:val="22"/>
              </w:rPr>
              <w:t>10.225</w:t>
            </w:r>
          </w:p>
        </w:tc>
        <w:tc>
          <w:tcPr>
            <w:tcW w:w="2158" w:type="dxa"/>
          </w:tcPr>
          <w:p w14:paraId="3106976E" w14:textId="77777777" w:rsidR="001B7699" w:rsidRPr="0063119B" w:rsidRDefault="001B7699" w:rsidP="001B7699">
            <w:pPr>
              <w:rPr>
                <w:szCs w:val="22"/>
              </w:rPr>
            </w:pPr>
            <w:r w:rsidRPr="0063119B">
              <w:rPr>
                <w:szCs w:val="22"/>
              </w:rPr>
              <w:t>5 mg ou 10 mg respetivamente, coadministrados com AAS ou AAS mais clopidogrel ou ticlopidina</w:t>
            </w:r>
          </w:p>
        </w:tc>
        <w:tc>
          <w:tcPr>
            <w:tcW w:w="2096" w:type="dxa"/>
          </w:tcPr>
          <w:p w14:paraId="64EC34B2" w14:textId="77777777" w:rsidR="001B7699" w:rsidRPr="0063119B" w:rsidRDefault="001B7699" w:rsidP="001B7699">
            <w:pPr>
              <w:rPr>
                <w:szCs w:val="22"/>
              </w:rPr>
            </w:pPr>
            <w:r w:rsidRPr="0063119B">
              <w:rPr>
                <w:szCs w:val="22"/>
              </w:rPr>
              <w:t>31 meses</w:t>
            </w:r>
          </w:p>
        </w:tc>
      </w:tr>
      <w:tr w:rsidR="00F2531E" w:rsidRPr="0063119B" w14:paraId="2542644C" w14:textId="77777777" w:rsidTr="00BD2411">
        <w:tc>
          <w:tcPr>
            <w:tcW w:w="3823" w:type="dxa"/>
            <w:vMerge w:val="restart"/>
          </w:tcPr>
          <w:p w14:paraId="438EB925" w14:textId="77777777" w:rsidR="00F2531E" w:rsidRPr="0063119B" w:rsidRDefault="00F2531E" w:rsidP="00216E4B">
            <w:pPr>
              <w:rPr>
                <w:szCs w:val="22"/>
              </w:rPr>
            </w:pPr>
            <w:r w:rsidRPr="0063119B">
              <w:rPr>
                <w:szCs w:val="22"/>
              </w:rPr>
              <w:t>Prevenção de acontecimentos aterotrombóticos em doentes com DAC/DAP</w:t>
            </w:r>
          </w:p>
        </w:tc>
        <w:tc>
          <w:tcPr>
            <w:tcW w:w="1199" w:type="dxa"/>
          </w:tcPr>
          <w:p w14:paraId="5561A226" w14:textId="77777777" w:rsidR="00F2531E" w:rsidRPr="0063119B" w:rsidRDefault="00F2531E" w:rsidP="00BD2411">
            <w:pPr>
              <w:rPr>
                <w:szCs w:val="22"/>
              </w:rPr>
            </w:pPr>
            <w:r w:rsidRPr="0063119B">
              <w:rPr>
                <w:szCs w:val="22"/>
              </w:rPr>
              <w:t>18.244</w:t>
            </w:r>
          </w:p>
        </w:tc>
        <w:tc>
          <w:tcPr>
            <w:tcW w:w="2158" w:type="dxa"/>
          </w:tcPr>
          <w:p w14:paraId="1D966040" w14:textId="77777777" w:rsidR="00F2531E" w:rsidRPr="0063119B" w:rsidRDefault="00F2531E" w:rsidP="00BD2411">
            <w:pPr>
              <w:rPr>
                <w:szCs w:val="22"/>
              </w:rPr>
            </w:pPr>
            <w:r w:rsidRPr="0063119B">
              <w:rPr>
                <w:szCs w:val="22"/>
              </w:rPr>
              <w:t>5 mg coadministrados com AAS ou 10 mg isoladamente</w:t>
            </w:r>
          </w:p>
        </w:tc>
        <w:tc>
          <w:tcPr>
            <w:tcW w:w="2096" w:type="dxa"/>
          </w:tcPr>
          <w:p w14:paraId="2CF745ED" w14:textId="77777777" w:rsidR="00F2531E" w:rsidRPr="0063119B" w:rsidRDefault="00F2531E" w:rsidP="00BD2411">
            <w:pPr>
              <w:rPr>
                <w:szCs w:val="22"/>
              </w:rPr>
            </w:pPr>
            <w:r w:rsidRPr="0063119B">
              <w:rPr>
                <w:szCs w:val="22"/>
              </w:rPr>
              <w:t>47 meses</w:t>
            </w:r>
          </w:p>
        </w:tc>
      </w:tr>
      <w:tr w:rsidR="00F2531E" w:rsidRPr="0063119B" w14:paraId="4205163D" w14:textId="77777777" w:rsidTr="00BD2411">
        <w:tc>
          <w:tcPr>
            <w:tcW w:w="3823" w:type="dxa"/>
            <w:vMerge/>
          </w:tcPr>
          <w:p w14:paraId="7F0E9138" w14:textId="77777777" w:rsidR="00F2531E" w:rsidRPr="0063119B" w:rsidRDefault="00F2531E" w:rsidP="00216E4B">
            <w:pPr>
              <w:rPr>
                <w:szCs w:val="22"/>
              </w:rPr>
            </w:pPr>
          </w:p>
        </w:tc>
        <w:tc>
          <w:tcPr>
            <w:tcW w:w="1199" w:type="dxa"/>
          </w:tcPr>
          <w:p w14:paraId="6CE61AD6" w14:textId="77777777" w:rsidR="00F2531E" w:rsidRPr="0063119B" w:rsidRDefault="00F2531E" w:rsidP="00BD2411">
            <w:pPr>
              <w:rPr>
                <w:szCs w:val="22"/>
              </w:rPr>
            </w:pPr>
            <w:r>
              <w:rPr>
                <w:szCs w:val="22"/>
              </w:rPr>
              <w:t>3.256**</w:t>
            </w:r>
          </w:p>
        </w:tc>
        <w:tc>
          <w:tcPr>
            <w:tcW w:w="2158" w:type="dxa"/>
          </w:tcPr>
          <w:p w14:paraId="52A06992" w14:textId="77777777" w:rsidR="00F2531E" w:rsidRPr="0063119B" w:rsidRDefault="00F2531E" w:rsidP="00BD2411">
            <w:pPr>
              <w:rPr>
                <w:szCs w:val="22"/>
              </w:rPr>
            </w:pPr>
            <w:r>
              <w:rPr>
                <w:szCs w:val="22"/>
              </w:rPr>
              <w:t>5 mg coadministrados com AAS</w:t>
            </w:r>
          </w:p>
        </w:tc>
        <w:tc>
          <w:tcPr>
            <w:tcW w:w="2096" w:type="dxa"/>
          </w:tcPr>
          <w:p w14:paraId="6EFEDA2E" w14:textId="77777777" w:rsidR="00F2531E" w:rsidRPr="0063119B" w:rsidRDefault="00F2531E" w:rsidP="00BD2411">
            <w:pPr>
              <w:rPr>
                <w:szCs w:val="22"/>
              </w:rPr>
            </w:pPr>
            <w:r>
              <w:rPr>
                <w:szCs w:val="22"/>
              </w:rPr>
              <w:t>42 meses</w:t>
            </w:r>
          </w:p>
        </w:tc>
      </w:tr>
    </w:tbl>
    <w:p w14:paraId="583301FE" w14:textId="77777777" w:rsidR="001B7699" w:rsidRDefault="001B7699" w:rsidP="001B7699">
      <w:pPr>
        <w:rPr>
          <w:szCs w:val="22"/>
        </w:rPr>
      </w:pPr>
      <w:r w:rsidRPr="0063119B">
        <w:rPr>
          <w:szCs w:val="22"/>
        </w:rPr>
        <w:t>*Doentes expostos a pelo menos uma dose de rivaroxabano</w:t>
      </w:r>
    </w:p>
    <w:p w14:paraId="37E05354" w14:textId="77777777" w:rsidR="00F2531E" w:rsidRPr="00F2531E" w:rsidRDefault="00F2531E" w:rsidP="001B7699">
      <w:pPr>
        <w:rPr>
          <w:szCs w:val="22"/>
        </w:rPr>
      </w:pPr>
      <w:r>
        <w:rPr>
          <w:szCs w:val="22"/>
        </w:rPr>
        <w:t>** Do estudo VOYAGER PAD</w:t>
      </w:r>
    </w:p>
    <w:p w14:paraId="33E98021" w14:textId="77777777" w:rsidR="001B7699" w:rsidRPr="0063119B" w:rsidRDefault="001B7699" w:rsidP="001B7699">
      <w:pPr>
        <w:rPr>
          <w:szCs w:val="22"/>
        </w:rPr>
      </w:pPr>
    </w:p>
    <w:p w14:paraId="1FE537D3" w14:textId="77777777" w:rsidR="00E86A42" w:rsidRPr="0063119B" w:rsidRDefault="00E86A42" w:rsidP="0081501A">
      <w:pPr>
        <w:suppressAutoHyphens/>
        <w:rPr>
          <w:rFonts w:eastAsia="SimSun"/>
          <w:szCs w:val="22"/>
        </w:rPr>
      </w:pPr>
      <w:r w:rsidRPr="0063119B">
        <w:rPr>
          <w:rFonts w:eastAsia="SimSun"/>
          <w:szCs w:val="22"/>
        </w:rPr>
        <w:t>As reações adversas notificadas com maior frequência em doentes a</w:t>
      </w:r>
      <w:r w:rsidR="006568D5" w:rsidRPr="0063119B">
        <w:rPr>
          <w:rFonts w:eastAsia="SimSun"/>
          <w:szCs w:val="22"/>
        </w:rPr>
        <w:t>os quais foi administrado</w:t>
      </w:r>
      <w:r w:rsidRPr="0063119B">
        <w:rPr>
          <w:rFonts w:eastAsia="SimSun"/>
          <w:szCs w:val="22"/>
        </w:rPr>
        <w:t xml:space="preserve"> rivaroxabano foram hemorragias</w:t>
      </w:r>
      <w:r w:rsidR="0078113C" w:rsidRPr="0063119B">
        <w:rPr>
          <w:rFonts w:eastAsia="SimSun"/>
          <w:szCs w:val="22"/>
        </w:rPr>
        <w:t xml:space="preserve"> (Quadro</w:t>
      </w:r>
      <w:r w:rsidR="00D56F59" w:rsidRPr="0063119B">
        <w:rPr>
          <w:rFonts w:eastAsia="SimSun"/>
          <w:szCs w:val="22"/>
        </w:rPr>
        <w:t> </w:t>
      </w:r>
      <w:r w:rsidR="0078113C" w:rsidRPr="0063119B">
        <w:rPr>
          <w:rFonts w:eastAsia="SimSun"/>
          <w:szCs w:val="22"/>
        </w:rPr>
        <w:t>2)</w:t>
      </w:r>
      <w:r w:rsidRPr="0063119B">
        <w:rPr>
          <w:rFonts w:eastAsia="SimSun"/>
          <w:szCs w:val="22"/>
        </w:rPr>
        <w:t xml:space="preserve"> (ver secção 4.4 e </w:t>
      </w:r>
      <w:r w:rsidR="006568D5" w:rsidRPr="0063119B">
        <w:rPr>
          <w:rFonts w:eastAsia="SimSun"/>
          <w:szCs w:val="22"/>
        </w:rPr>
        <w:t>“</w:t>
      </w:r>
      <w:r w:rsidRPr="0063119B">
        <w:rPr>
          <w:noProof/>
          <w:szCs w:val="22"/>
        </w:rPr>
        <w:t>Descrição das reações adversas selecionadas</w:t>
      </w:r>
      <w:r w:rsidR="006568D5" w:rsidRPr="0063119B">
        <w:rPr>
          <w:noProof/>
          <w:szCs w:val="22"/>
        </w:rPr>
        <w:t>”</w:t>
      </w:r>
      <w:r w:rsidRPr="0063119B">
        <w:rPr>
          <w:noProof/>
          <w:szCs w:val="22"/>
        </w:rPr>
        <w:t xml:space="preserve"> abaixo). As hemorragias notificadas com maior frequência </w:t>
      </w:r>
      <w:r w:rsidRPr="0063119B">
        <w:rPr>
          <w:szCs w:val="22"/>
        </w:rPr>
        <w:t>foram epistaxe (</w:t>
      </w:r>
      <w:r w:rsidR="00BD2411" w:rsidRPr="0063119B">
        <w:rPr>
          <w:szCs w:val="22"/>
        </w:rPr>
        <w:t>4,5</w:t>
      </w:r>
      <w:r w:rsidRPr="0063119B">
        <w:rPr>
          <w:szCs w:val="22"/>
        </w:rPr>
        <w:t>%) e hemorragia do trato gastrointestinal (</w:t>
      </w:r>
      <w:r w:rsidR="00BD2411" w:rsidRPr="0063119B">
        <w:rPr>
          <w:szCs w:val="22"/>
        </w:rPr>
        <w:t>3,8</w:t>
      </w:r>
      <w:r w:rsidRPr="0063119B">
        <w:rPr>
          <w:szCs w:val="22"/>
        </w:rPr>
        <w:t>%).</w:t>
      </w:r>
    </w:p>
    <w:p w14:paraId="379B5838" w14:textId="77777777" w:rsidR="00F215B4" w:rsidRPr="0063119B" w:rsidRDefault="00F215B4" w:rsidP="001B7699">
      <w:pPr>
        <w:rPr>
          <w:rFonts w:eastAsia="SimSun"/>
          <w:szCs w:val="22"/>
        </w:rPr>
      </w:pPr>
    </w:p>
    <w:p w14:paraId="5D942985" w14:textId="77777777" w:rsidR="00F215B4" w:rsidRPr="0063119B" w:rsidRDefault="00F215B4" w:rsidP="00F215B4">
      <w:pPr>
        <w:keepNext/>
        <w:rPr>
          <w:b/>
          <w:szCs w:val="22"/>
        </w:rPr>
      </w:pPr>
      <w:r w:rsidRPr="0063119B">
        <w:rPr>
          <w:b/>
          <w:szCs w:val="22"/>
        </w:rPr>
        <w:t>Quadro 2</w:t>
      </w:r>
      <w:r w:rsidR="005E57C6" w:rsidRPr="0063119B">
        <w:rPr>
          <w:b/>
          <w:szCs w:val="22"/>
        </w:rPr>
        <w:t>:</w:t>
      </w:r>
      <w:r w:rsidRPr="0063119B">
        <w:rPr>
          <w:b/>
          <w:szCs w:val="22"/>
        </w:rPr>
        <w:t xml:space="preserve"> </w:t>
      </w:r>
      <w:r w:rsidR="00104B9D" w:rsidRPr="0063119B">
        <w:rPr>
          <w:b/>
          <w:szCs w:val="22"/>
        </w:rPr>
        <w:t>Taxas de acontecimentos hemorrá</w:t>
      </w:r>
      <w:r w:rsidRPr="0063119B">
        <w:rPr>
          <w:b/>
          <w:szCs w:val="22"/>
        </w:rPr>
        <w:t>gi</w:t>
      </w:r>
      <w:r w:rsidR="00104B9D" w:rsidRPr="0063119B">
        <w:rPr>
          <w:b/>
          <w:szCs w:val="22"/>
        </w:rPr>
        <w:t>cos</w:t>
      </w:r>
      <w:r w:rsidR="00BD2411" w:rsidRPr="0063119B">
        <w:rPr>
          <w:b/>
          <w:szCs w:val="22"/>
        </w:rPr>
        <w:t>*</w:t>
      </w:r>
      <w:r w:rsidRPr="0063119B">
        <w:rPr>
          <w:b/>
          <w:szCs w:val="22"/>
        </w:rPr>
        <w:t xml:space="preserve"> e anemia em doentes expostos ao rivaroxabano nos estudos de fase III </w:t>
      </w:r>
      <w:r w:rsidR="000F427C">
        <w:rPr>
          <w:b/>
          <w:bCs/>
          <w:szCs w:val="22"/>
          <w:lang w:eastAsia="pt-PT"/>
        </w:rPr>
        <w:t>em doentes adultos e pediátricos</w:t>
      </w:r>
      <w:r w:rsidR="000F427C" w:rsidRPr="0063119B">
        <w:rPr>
          <w:b/>
          <w:szCs w:val="22"/>
        </w:rPr>
        <w:t xml:space="preserve"> </w:t>
      </w:r>
      <w:r w:rsidRPr="0063119B">
        <w:rPr>
          <w:b/>
          <w:szCs w:val="22"/>
        </w:rPr>
        <w:t>concluídos</w:t>
      </w:r>
    </w:p>
    <w:p w14:paraId="1809B09B" w14:textId="77777777" w:rsidR="00F215B4" w:rsidRPr="0063119B" w:rsidRDefault="00F215B4" w:rsidP="00F215B4">
      <w:pPr>
        <w:keepNext/>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F215B4" w:rsidRPr="0063119B" w14:paraId="4ECC7754" w14:textId="77777777" w:rsidTr="002F4FE5">
        <w:trPr>
          <w:tblHeader/>
        </w:trPr>
        <w:tc>
          <w:tcPr>
            <w:tcW w:w="3544" w:type="dxa"/>
          </w:tcPr>
          <w:p w14:paraId="46C8E341" w14:textId="77777777" w:rsidR="00F215B4" w:rsidRPr="0063119B" w:rsidRDefault="00F215B4" w:rsidP="00F215B4">
            <w:pPr>
              <w:keepNext/>
              <w:rPr>
                <w:b/>
                <w:szCs w:val="22"/>
              </w:rPr>
            </w:pPr>
            <w:r w:rsidRPr="0063119B">
              <w:rPr>
                <w:b/>
                <w:szCs w:val="22"/>
              </w:rPr>
              <w:t>Indicação</w:t>
            </w:r>
          </w:p>
        </w:tc>
        <w:tc>
          <w:tcPr>
            <w:tcW w:w="1985" w:type="dxa"/>
          </w:tcPr>
          <w:p w14:paraId="23C31041" w14:textId="77777777" w:rsidR="00F215B4" w:rsidRPr="0063119B" w:rsidRDefault="00F215B4" w:rsidP="00F215B4">
            <w:pPr>
              <w:keepNext/>
              <w:rPr>
                <w:szCs w:val="22"/>
              </w:rPr>
            </w:pPr>
            <w:r w:rsidRPr="0063119B">
              <w:rPr>
                <w:b/>
                <w:szCs w:val="22"/>
              </w:rPr>
              <w:t>Qualquer hemorragia</w:t>
            </w:r>
          </w:p>
        </w:tc>
        <w:tc>
          <w:tcPr>
            <w:tcW w:w="2126" w:type="dxa"/>
          </w:tcPr>
          <w:p w14:paraId="0D5346B6" w14:textId="77777777" w:rsidR="00F215B4" w:rsidRPr="0063119B" w:rsidRDefault="00F215B4" w:rsidP="002F4FE5">
            <w:pPr>
              <w:keepNext/>
              <w:rPr>
                <w:b/>
                <w:szCs w:val="22"/>
              </w:rPr>
            </w:pPr>
            <w:r w:rsidRPr="0063119B">
              <w:rPr>
                <w:b/>
                <w:szCs w:val="22"/>
              </w:rPr>
              <w:t>Anemia</w:t>
            </w:r>
          </w:p>
        </w:tc>
      </w:tr>
      <w:tr w:rsidR="00F215B4" w:rsidRPr="0063119B" w14:paraId="21D3B548" w14:textId="77777777" w:rsidTr="002F4FE5">
        <w:tc>
          <w:tcPr>
            <w:tcW w:w="3544" w:type="dxa"/>
          </w:tcPr>
          <w:p w14:paraId="150AA8BC" w14:textId="77777777" w:rsidR="00F215B4" w:rsidRPr="0063119B" w:rsidRDefault="00F215B4" w:rsidP="00104B9D">
            <w:pPr>
              <w:keepNext/>
              <w:rPr>
                <w:szCs w:val="22"/>
              </w:rPr>
            </w:pPr>
            <w:r w:rsidRPr="0063119B">
              <w:rPr>
                <w:szCs w:val="22"/>
              </w:rPr>
              <w:t>Preven</w:t>
            </w:r>
            <w:r w:rsidR="00F66E39" w:rsidRPr="0063119B">
              <w:rPr>
                <w:szCs w:val="22"/>
              </w:rPr>
              <w:t>ção do</w:t>
            </w:r>
            <w:r w:rsidR="00B418D5" w:rsidRPr="0063119B">
              <w:rPr>
                <w:szCs w:val="22"/>
              </w:rPr>
              <w:t xml:space="preserve"> tromboembolismo venoso</w:t>
            </w:r>
            <w:r w:rsidRPr="0063119B">
              <w:rPr>
                <w:szCs w:val="22"/>
              </w:rPr>
              <w:t xml:space="preserve"> </w:t>
            </w:r>
            <w:r w:rsidR="00B418D5" w:rsidRPr="0063119B">
              <w:rPr>
                <w:szCs w:val="22"/>
              </w:rPr>
              <w:t>(</w:t>
            </w:r>
            <w:r w:rsidRPr="0063119B">
              <w:rPr>
                <w:szCs w:val="22"/>
              </w:rPr>
              <w:t>TEV</w:t>
            </w:r>
            <w:r w:rsidR="00B418D5" w:rsidRPr="0063119B">
              <w:rPr>
                <w:szCs w:val="22"/>
              </w:rPr>
              <w:t>)</w:t>
            </w:r>
            <w:r w:rsidRPr="0063119B">
              <w:rPr>
                <w:szCs w:val="22"/>
              </w:rPr>
              <w:t xml:space="preserve"> em doentes adultos submetidos a artroplastia eletiva da anca ou joelho</w:t>
            </w:r>
          </w:p>
        </w:tc>
        <w:tc>
          <w:tcPr>
            <w:tcW w:w="1985" w:type="dxa"/>
          </w:tcPr>
          <w:p w14:paraId="54F7F842" w14:textId="77777777" w:rsidR="00F215B4" w:rsidRPr="0063119B" w:rsidRDefault="002F4FE5" w:rsidP="002F4FE5">
            <w:pPr>
              <w:keepNext/>
              <w:rPr>
                <w:szCs w:val="22"/>
              </w:rPr>
            </w:pPr>
            <w:r w:rsidRPr="0063119B">
              <w:rPr>
                <w:szCs w:val="22"/>
              </w:rPr>
              <w:t>6,</w:t>
            </w:r>
            <w:r w:rsidR="00F215B4" w:rsidRPr="0063119B">
              <w:rPr>
                <w:szCs w:val="22"/>
              </w:rPr>
              <w:t xml:space="preserve">8% </w:t>
            </w:r>
            <w:r w:rsidRPr="0063119B">
              <w:rPr>
                <w:szCs w:val="22"/>
              </w:rPr>
              <w:t>d</w:t>
            </w:r>
            <w:r w:rsidR="00F215B4" w:rsidRPr="0063119B">
              <w:rPr>
                <w:szCs w:val="22"/>
              </w:rPr>
              <w:t>o</w:t>
            </w:r>
            <w:r w:rsidRPr="0063119B">
              <w:rPr>
                <w:szCs w:val="22"/>
              </w:rPr>
              <w:t>s doentes</w:t>
            </w:r>
          </w:p>
        </w:tc>
        <w:tc>
          <w:tcPr>
            <w:tcW w:w="2126" w:type="dxa"/>
          </w:tcPr>
          <w:p w14:paraId="47FBCC26" w14:textId="77777777" w:rsidR="00F215B4" w:rsidRPr="0063119B" w:rsidRDefault="002F4FE5" w:rsidP="002F4FE5">
            <w:pPr>
              <w:keepNext/>
              <w:rPr>
                <w:szCs w:val="22"/>
              </w:rPr>
            </w:pPr>
            <w:r w:rsidRPr="0063119B">
              <w:rPr>
                <w:szCs w:val="22"/>
              </w:rPr>
              <w:t>5,</w:t>
            </w:r>
            <w:r w:rsidR="00F215B4" w:rsidRPr="0063119B">
              <w:rPr>
                <w:szCs w:val="22"/>
              </w:rPr>
              <w:t xml:space="preserve">9% </w:t>
            </w:r>
            <w:r w:rsidRPr="0063119B">
              <w:rPr>
                <w:szCs w:val="22"/>
              </w:rPr>
              <w:t>dos doentes</w:t>
            </w:r>
          </w:p>
        </w:tc>
      </w:tr>
      <w:tr w:rsidR="00F215B4" w:rsidRPr="0063119B" w14:paraId="5C0CAC90" w14:textId="77777777" w:rsidTr="002F4FE5">
        <w:tc>
          <w:tcPr>
            <w:tcW w:w="3544" w:type="dxa"/>
          </w:tcPr>
          <w:p w14:paraId="51DE5F13" w14:textId="77777777" w:rsidR="00F215B4" w:rsidRPr="0063119B" w:rsidRDefault="00F215B4" w:rsidP="00216E4B">
            <w:pPr>
              <w:keepNext/>
              <w:rPr>
                <w:szCs w:val="22"/>
              </w:rPr>
            </w:pPr>
            <w:r w:rsidRPr="0063119B">
              <w:rPr>
                <w:szCs w:val="22"/>
              </w:rPr>
              <w:t>Prevenção d</w:t>
            </w:r>
            <w:r w:rsidR="000E46B1" w:rsidRPr="0063119B">
              <w:rPr>
                <w:szCs w:val="22"/>
              </w:rPr>
              <w:t>o</w:t>
            </w:r>
            <w:r w:rsidRPr="0063119B">
              <w:rPr>
                <w:szCs w:val="22"/>
              </w:rPr>
              <w:t xml:space="preserve"> </w:t>
            </w:r>
            <w:r w:rsidR="00B418D5" w:rsidRPr="0063119B">
              <w:rPr>
                <w:szCs w:val="22"/>
              </w:rPr>
              <w:t>tromboembolismo venoso</w:t>
            </w:r>
            <w:r w:rsidRPr="0063119B">
              <w:rPr>
                <w:szCs w:val="22"/>
              </w:rPr>
              <w:t xml:space="preserve"> em doentes </w:t>
            </w:r>
            <w:r w:rsidR="00AB54CD" w:rsidRPr="0063119B">
              <w:rPr>
                <w:szCs w:val="22"/>
              </w:rPr>
              <w:t>com patologias médicas</w:t>
            </w:r>
          </w:p>
        </w:tc>
        <w:tc>
          <w:tcPr>
            <w:tcW w:w="1985" w:type="dxa"/>
          </w:tcPr>
          <w:p w14:paraId="5AF24686" w14:textId="77777777" w:rsidR="00F215B4" w:rsidRPr="0063119B" w:rsidRDefault="002F4FE5" w:rsidP="002F4FE5">
            <w:pPr>
              <w:keepNext/>
              <w:rPr>
                <w:szCs w:val="22"/>
              </w:rPr>
            </w:pPr>
            <w:r w:rsidRPr="0063119B">
              <w:rPr>
                <w:szCs w:val="22"/>
              </w:rPr>
              <w:t>12,</w:t>
            </w:r>
            <w:r w:rsidR="00F215B4" w:rsidRPr="0063119B">
              <w:rPr>
                <w:szCs w:val="22"/>
              </w:rPr>
              <w:t xml:space="preserve">6% </w:t>
            </w:r>
            <w:r w:rsidRPr="0063119B">
              <w:rPr>
                <w:szCs w:val="22"/>
              </w:rPr>
              <w:t>dos doentes</w:t>
            </w:r>
          </w:p>
        </w:tc>
        <w:tc>
          <w:tcPr>
            <w:tcW w:w="2126" w:type="dxa"/>
          </w:tcPr>
          <w:p w14:paraId="1B886EBB" w14:textId="77777777" w:rsidR="00F215B4" w:rsidRPr="0063119B" w:rsidRDefault="002F4FE5" w:rsidP="002F4FE5">
            <w:pPr>
              <w:keepNext/>
              <w:rPr>
                <w:szCs w:val="22"/>
              </w:rPr>
            </w:pPr>
            <w:r w:rsidRPr="0063119B">
              <w:rPr>
                <w:szCs w:val="22"/>
              </w:rPr>
              <w:t>2,</w:t>
            </w:r>
            <w:r w:rsidR="00F215B4" w:rsidRPr="0063119B">
              <w:rPr>
                <w:szCs w:val="22"/>
              </w:rPr>
              <w:t xml:space="preserve">1% </w:t>
            </w:r>
            <w:r w:rsidRPr="0063119B">
              <w:rPr>
                <w:szCs w:val="22"/>
              </w:rPr>
              <w:t>dos doentes</w:t>
            </w:r>
          </w:p>
        </w:tc>
      </w:tr>
      <w:tr w:rsidR="00F215B4" w:rsidRPr="0063119B" w14:paraId="5F05AA45" w14:textId="77777777" w:rsidTr="002F4FE5">
        <w:tc>
          <w:tcPr>
            <w:tcW w:w="3544" w:type="dxa"/>
          </w:tcPr>
          <w:p w14:paraId="6D44E5BA" w14:textId="77777777" w:rsidR="00F215B4" w:rsidRPr="0063119B" w:rsidRDefault="00F215B4" w:rsidP="00104B9D">
            <w:pPr>
              <w:keepNext/>
              <w:rPr>
                <w:szCs w:val="22"/>
              </w:rPr>
            </w:pPr>
            <w:r w:rsidRPr="0063119B">
              <w:rPr>
                <w:szCs w:val="22"/>
              </w:rPr>
              <w:t>Tratamento d</w:t>
            </w:r>
            <w:r w:rsidR="002F4FE5" w:rsidRPr="0063119B">
              <w:rPr>
                <w:szCs w:val="22"/>
              </w:rPr>
              <w:t>a</w:t>
            </w:r>
            <w:r w:rsidRPr="0063119B">
              <w:rPr>
                <w:szCs w:val="22"/>
              </w:rPr>
              <w:t xml:space="preserve"> </w:t>
            </w:r>
            <w:r w:rsidR="002F4FE5" w:rsidRPr="0063119B">
              <w:rPr>
                <w:szCs w:val="22"/>
              </w:rPr>
              <w:t>TVP</w:t>
            </w:r>
            <w:r w:rsidR="0051410B" w:rsidRPr="0063119B">
              <w:rPr>
                <w:szCs w:val="22"/>
              </w:rPr>
              <w:t xml:space="preserve">, </w:t>
            </w:r>
            <w:r w:rsidR="002F4FE5" w:rsidRPr="0063119B">
              <w:rPr>
                <w:szCs w:val="22"/>
              </w:rPr>
              <w:t xml:space="preserve">EP </w:t>
            </w:r>
            <w:r w:rsidRPr="0063119B">
              <w:rPr>
                <w:szCs w:val="22"/>
              </w:rPr>
              <w:t>e prevenção de recorrências</w:t>
            </w:r>
          </w:p>
        </w:tc>
        <w:tc>
          <w:tcPr>
            <w:tcW w:w="1985" w:type="dxa"/>
          </w:tcPr>
          <w:p w14:paraId="072E1379" w14:textId="77777777" w:rsidR="00F215B4" w:rsidRPr="0063119B" w:rsidRDefault="00F215B4" w:rsidP="002F4FE5">
            <w:pPr>
              <w:keepNext/>
              <w:rPr>
                <w:szCs w:val="22"/>
              </w:rPr>
            </w:pPr>
            <w:r w:rsidRPr="0063119B">
              <w:rPr>
                <w:szCs w:val="22"/>
              </w:rPr>
              <w:t xml:space="preserve">23% </w:t>
            </w:r>
            <w:r w:rsidR="002F4FE5" w:rsidRPr="0063119B">
              <w:rPr>
                <w:szCs w:val="22"/>
              </w:rPr>
              <w:t>dos doentes</w:t>
            </w:r>
          </w:p>
        </w:tc>
        <w:tc>
          <w:tcPr>
            <w:tcW w:w="2126" w:type="dxa"/>
          </w:tcPr>
          <w:p w14:paraId="0DADC906" w14:textId="77777777" w:rsidR="00F215B4" w:rsidRPr="0063119B" w:rsidRDefault="002F4FE5" w:rsidP="002F4FE5">
            <w:pPr>
              <w:keepNext/>
              <w:rPr>
                <w:szCs w:val="22"/>
              </w:rPr>
            </w:pPr>
            <w:r w:rsidRPr="0063119B">
              <w:rPr>
                <w:szCs w:val="22"/>
              </w:rPr>
              <w:t>1,</w:t>
            </w:r>
            <w:r w:rsidR="00F215B4" w:rsidRPr="0063119B">
              <w:rPr>
                <w:szCs w:val="22"/>
              </w:rPr>
              <w:t xml:space="preserve">6% </w:t>
            </w:r>
            <w:r w:rsidRPr="0063119B">
              <w:rPr>
                <w:szCs w:val="22"/>
              </w:rPr>
              <w:t>dos doentes</w:t>
            </w:r>
          </w:p>
        </w:tc>
      </w:tr>
      <w:tr w:rsidR="00F215B4" w:rsidRPr="0063119B" w14:paraId="2F186EBF" w14:textId="77777777" w:rsidTr="002F4FE5">
        <w:tc>
          <w:tcPr>
            <w:tcW w:w="3544" w:type="dxa"/>
          </w:tcPr>
          <w:p w14:paraId="7761F0A8" w14:textId="77777777" w:rsidR="000F427C" w:rsidRDefault="000F427C" w:rsidP="000F427C">
            <w:pPr>
              <w:autoSpaceDE w:val="0"/>
              <w:autoSpaceDN w:val="0"/>
              <w:adjustRightInd w:val="0"/>
              <w:rPr>
                <w:szCs w:val="22"/>
                <w:lang w:eastAsia="pt-PT"/>
              </w:rPr>
            </w:pPr>
            <w:r>
              <w:rPr>
                <w:szCs w:val="22"/>
                <w:lang w:eastAsia="pt-PT"/>
              </w:rPr>
              <w:t>Tratamento do TEV e prevenção da</w:t>
            </w:r>
          </w:p>
          <w:p w14:paraId="035A43D6" w14:textId="77777777" w:rsidR="000F427C" w:rsidRDefault="000F427C" w:rsidP="000F427C">
            <w:pPr>
              <w:autoSpaceDE w:val="0"/>
              <w:autoSpaceDN w:val="0"/>
              <w:adjustRightInd w:val="0"/>
              <w:rPr>
                <w:szCs w:val="22"/>
                <w:lang w:eastAsia="pt-PT"/>
              </w:rPr>
            </w:pPr>
            <w:r>
              <w:rPr>
                <w:szCs w:val="22"/>
                <w:lang w:eastAsia="pt-PT"/>
              </w:rPr>
              <w:t>recorrência de TEV em recém-nascidos de termo e em crianças com</w:t>
            </w:r>
          </w:p>
          <w:p w14:paraId="38E92450" w14:textId="77777777" w:rsidR="000F427C" w:rsidRDefault="000F427C" w:rsidP="000F427C">
            <w:pPr>
              <w:autoSpaceDE w:val="0"/>
              <w:autoSpaceDN w:val="0"/>
              <w:adjustRightInd w:val="0"/>
              <w:rPr>
                <w:szCs w:val="22"/>
                <w:lang w:eastAsia="pt-PT"/>
              </w:rPr>
            </w:pPr>
            <w:r>
              <w:rPr>
                <w:szCs w:val="22"/>
                <w:lang w:eastAsia="pt-PT"/>
              </w:rPr>
              <w:t>menos de 18 anos de idade após o</w:t>
            </w:r>
          </w:p>
          <w:p w14:paraId="6322D40C" w14:textId="77777777" w:rsidR="000F427C" w:rsidRDefault="000F427C" w:rsidP="000F427C">
            <w:pPr>
              <w:autoSpaceDE w:val="0"/>
              <w:autoSpaceDN w:val="0"/>
              <w:adjustRightInd w:val="0"/>
              <w:rPr>
                <w:szCs w:val="22"/>
                <w:lang w:eastAsia="pt-PT"/>
              </w:rPr>
            </w:pPr>
            <w:r>
              <w:rPr>
                <w:szCs w:val="22"/>
                <w:lang w:eastAsia="pt-PT"/>
              </w:rPr>
              <w:lastRenderedPageBreak/>
              <w:t>início do tratamento anticoagulante</w:t>
            </w:r>
          </w:p>
          <w:p w14:paraId="4A2DB909" w14:textId="77777777" w:rsidR="00F215B4" w:rsidRPr="0063119B" w:rsidRDefault="000F427C" w:rsidP="000F427C">
            <w:pPr>
              <w:keepNext/>
              <w:rPr>
                <w:szCs w:val="22"/>
              </w:rPr>
            </w:pPr>
            <w:r>
              <w:rPr>
                <w:szCs w:val="22"/>
                <w:lang w:eastAsia="pt-PT"/>
              </w:rPr>
              <w:t>padrão</w:t>
            </w:r>
          </w:p>
        </w:tc>
        <w:tc>
          <w:tcPr>
            <w:tcW w:w="1985" w:type="dxa"/>
          </w:tcPr>
          <w:p w14:paraId="57205E97" w14:textId="77777777" w:rsidR="00F215B4" w:rsidRPr="0063119B" w:rsidRDefault="000F427C" w:rsidP="002F4FE5">
            <w:pPr>
              <w:keepNext/>
              <w:rPr>
                <w:szCs w:val="22"/>
              </w:rPr>
            </w:pPr>
            <w:r>
              <w:rPr>
                <w:szCs w:val="22"/>
              </w:rPr>
              <w:lastRenderedPageBreak/>
              <w:t xml:space="preserve">39,5% dos </w:t>
            </w:r>
            <w:r w:rsidR="002F4FE5" w:rsidRPr="0063119B">
              <w:rPr>
                <w:szCs w:val="22"/>
              </w:rPr>
              <w:t>doente</w:t>
            </w:r>
          </w:p>
        </w:tc>
        <w:tc>
          <w:tcPr>
            <w:tcW w:w="2126" w:type="dxa"/>
          </w:tcPr>
          <w:p w14:paraId="0FD9BC45" w14:textId="77777777" w:rsidR="00F215B4" w:rsidRPr="0063119B" w:rsidRDefault="000F427C" w:rsidP="002F4FE5">
            <w:pPr>
              <w:keepNext/>
              <w:rPr>
                <w:szCs w:val="22"/>
              </w:rPr>
            </w:pPr>
            <w:r>
              <w:rPr>
                <w:szCs w:val="22"/>
              </w:rPr>
              <w:t xml:space="preserve">4,6% dos </w:t>
            </w:r>
            <w:r w:rsidR="002F4FE5" w:rsidRPr="0063119B">
              <w:rPr>
                <w:szCs w:val="22"/>
              </w:rPr>
              <w:t>doente</w:t>
            </w:r>
          </w:p>
        </w:tc>
      </w:tr>
      <w:tr w:rsidR="00F215B4" w:rsidRPr="0063119B" w14:paraId="59D49F5D" w14:textId="77777777" w:rsidTr="002F4FE5">
        <w:tc>
          <w:tcPr>
            <w:tcW w:w="3544" w:type="dxa"/>
          </w:tcPr>
          <w:p w14:paraId="575D5A65" w14:textId="77777777" w:rsidR="00F215B4" w:rsidRPr="0063119B" w:rsidRDefault="00F215B4" w:rsidP="002F4FE5">
            <w:pPr>
              <w:keepNext/>
              <w:rPr>
                <w:szCs w:val="22"/>
              </w:rPr>
            </w:pPr>
            <w:r w:rsidRPr="0063119B">
              <w:rPr>
                <w:szCs w:val="22"/>
              </w:rPr>
              <w:t xml:space="preserve">Prevenção de </w:t>
            </w:r>
            <w:r w:rsidR="002F4FE5" w:rsidRPr="0063119B">
              <w:rPr>
                <w:szCs w:val="22"/>
              </w:rPr>
              <w:t xml:space="preserve">acontecimentos </w:t>
            </w:r>
            <w:r w:rsidRPr="0063119B">
              <w:rPr>
                <w:szCs w:val="22"/>
              </w:rPr>
              <w:t>aterot</w:t>
            </w:r>
            <w:r w:rsidR="002F4FE5" w:rsidRPr="0063119B">
              <w:rPr>
                <w:szCs w:val="22"/>
              </w:rPr>
              <w:t>rombó</w:t>
            </w:r>
            <w:r w:rsidRPr="0063119B">
              <w:rPr>
                <w:szCs w:val="22"/>
              </w:rPr>
              <w:t>tic</w:t>
            </w:r>
            <w:r w:rsidR="002F4FE5" w:rsidRPr="0063119B">
              <w:rPr>
                <w:szCs w:val="22"/>
              </w:rPr>
              <w:t>os em doentes após um SC</w:t>
            </w:r>
            <w:r w:rsidRPr="0063119B">
              <w:rPr>
                <w:szCs w:val="22"/>
              </w:rPr>
              <w:t>A</w:t>
            </w:r>
          </w:p>
        </w:tc>
        <w:tc>
          <w:tcPr>
            <w:tcW w:w="1985" w:type="dxa"/>
          </w:tcPr>
          <w:p w14:paraId="3361B9B2" w14:textId="77777777" w:rsidR="00F215B4" w:rsidRPr="0063119B" w:rsidRDefault="002F4FE5" w:rsidP="002F4FE5">
            <w:pPr>
              <w:keepNext/>
              <w:rPr>
                <w:szCs w:val="22"/>
              </w:rPr>
            </w:pPr>
            <w:r w:rsidRPr="0063119B">
              <w:rPr>
                <w:szCs w:val="22"/>
              </w:rPr>
              <w:t>22 po</w:t>
            </w:r>
            <w:r w:rsidR="00F215B4" w:rsidRPr="0063119B">
              <w:rPr>
                <w:szCs w:val="22"/>
              </w:rPr>
              <w:t>r 100</w:t>
            </w:r>
            <w:r w:rsidRPr="0063119B">
              <w:rPr>
                <w:szCs w:val="22"/>
              </w:rPr>
              <w:t> </w:t>
            </w:r>
            <w:r w:rsidR="00801954" w:rsidRPr="0063119B" w:rsidDel="00801954">
              <w:rPr>
                <w:szCs w:val="22"/>
              </w:rPr>
              <w:t xml:space="preserve"> </w:t>
            </w:r>
            <w:r w:rsidRPr="0063119B">
              <w:rPr>
                <w:szCs w:val="22"/>
              </w:rPr>
              <w:t>doente</w:t>
            </w:r>
            <w:r w:rsidR="00801954">
              <w:rPr>
                <w:szCs w:val="22"/>
              </w:rPr>
              <w:t>s-ano</w:t>
            </w:r>
          </w:p>
        </w:tc>
        <w:tc>
          <w:tcPr>
            <w:tcW w:w="2126" w:type="dxa"/>
          </w:tcPr>
          <w:p w14:paraId="471DB5CF" w14:textId="77777777" w:rsidR="00F215B4" w:rsidRPr="0063119B" w:rsidRDefault="002F4FE5" w:rsidP="002F4FE5">
            <w:pPr>
              <w:keepNext/>
              <w:rPr>
                <w:szCs w:val="22"/>
              </w:rPr>
            </w:pPr>
            <w:r w:rsidRPr="0063119B">
              <w:rPr>
                <w:szCs w:val="22"/>
              </w:rPr>
              <w:t>1,</w:t>
            </w:r>
            <w:r w:rsidR="00F215B4" w:rsidRPr="0063119B">
              <w:rPr>
                <w:szCs w:val="22"/>
              </w:rPr>
              <w:t>4</w:t>
            </w:r>
            <w:r w:rsidRPr="0063119B">
              <w:rPr>
                <w:szCs w:val="22"/>
              </w:rPr>
              <w:t xml:space="preserve"> po</w:t>
            </w:r>
            <w:r w:rsidR="00F215B4" w:rsidRPr="0063119B">
              <w:rPr>
                <w:szCs w:val="22"/>
              </w:rPr>
              <w:t>r 100</w:t>
            </w:r>
            <w:r w:rsidRPr="0063119B">
              <w:rPr>
                <w:szCs w:val="22"/>
              </w:rPr>
              <w:t> </w:t>
            </w:r>
            <w:r w:rsidR="00801954" w:rsidRPr="0063119B" w:rsidDel="00801954">
              <w:rPr>
                <w:szCs w:val="22"/>
              </w:rPr>
              <w:t xml:space="preserve"> </w:t>
            </w:r>
            <w:r w:rsidRPr="0063119B">
              <w:rPr>
                <w:szCs w:val="22"/>
              </w:rPr>
              <w:t>doente</w:t>
            </w:r>
            <w:r w:rsidR="00801954">
              <w:rPr>
                <w:szCs w:val="22"/>
              </w:rPr>
              <w:t>s-ano</w:t>
            </w:r>
          </w:p>
        </w:tc>
      </w:tr>
      <w:tr w:rsidR="00801954" w:rsidRPr="0063119B" w14:paraId="3DE76A8B" w14:textId="77777777" w:rsidTr="00F03D43">
        <w:tc>
          <w:tcPr>
            <w:tcW w:w="3544" w:type="dxa"/>
            <w:vMerge w:val="restart"/>
          </w:tcPr>
          <w:p w14:paraId="4CF29278" w14:textId="77777777" w:rsidR="00801954" w:rsidRPr="0063119B" w:rsidRDefault="00801954" w:rsidP="00216E4B">
            <w:pPr>
              <w:keepNext/>
              <w:rPr>
                <w:szCs w:val="22"/>
              </w:rPr>
            </w:pPr>
            <w:r w:rsidRPr="0063119B">
              <w:rPr>
                <w:szCs w:val="22"/>
              </w:rPr>
              <w:t xml:space="preserve">Prevenção de acontecimentos aterotrombóticos em doentes com DAC/DAP </w:t>
            </w:r>
          </w:p>
        </w:tc>
        <w:tc>
          <w:tcPr>
            <w:tcW w:w="1985" w:type="dxa"/>
            <w:tcBorders>
              <w:bottom w:val="single" w:sz="4" w:space="0" w:color="auto"/>
            </w:tcBorders>
          </w:tcPr>
          <w:p w14:paraId="10E9DDB6" w14:textId="77777777" w:rsidR="00801954" w:rsidRPr="0063119B" w:rsidRDefault="00801954" w:rsidP="00DC5F96">
            <w:pPr>
              <w:keepNext/>
              <w:rPr>
                <w:szCs w:val="22"/>
              </w:rPr>
            </w:pPr>
            <w:r w:rsidRPr="0063119B">
              <w:rPr>
                <w:szCs w:val="22"/>
              </w:rPr>
              <w:t>6,7 por 100 </w:t>
            </w:r>
            <w:r w:rsidRPr="0063119B" w:rsidDel="00801954">
              <w:rPr>
                <w:szCs w:val="22"/>
              </w:rPr>
              <w:t xml:space="preserve"> </w:t>
            </w:r>
            <w:r w:rsidRPr="0063119B">
              <w:rPr>
                <w:szCs w:val="22"/>
              </w:rPr>
              <w:t>doente</w:t>
            </w:r>
            <w:r>
              <w:rPr>
                <w:szCs w:val="22"/>
              </w:rPr>
              <w:t>s-ano</w:t>
            </w:r>
          </w:p>
        </w:tc>
        <w:tc>
          <w:tcPr>
            <w:tcW w:w="2126" w:type="dxa"/>
            <w:tcBorders>
              <w:bottom w:val="single" w:sz="4" w:space="0" w:color="auto"/>
            </w:tcBorders>
          </w:tcPr>
          <w:p w14:paraId="76EB59F8" w14:textId="77777777" w:rsidR="00801954" w:rsidRPr="0063119B" w:rsidRDefault="00801954" w:rsidP="00DC5F96">
            <w:pPr>
              <w:keepNext/>
              <w:rPr>
                <w:szCs w:val="22"/>
              </w:rPr>
            </w:pPr>
            <w:r w:rsidRPr="0063119B">
              <w:rPr>
                <w:szCs w:val="22"/>
              </w:rPr>
              <w:t>0,15 por 100 </w:t>
            </w:r>
            <w:r w:rsidRPr="0063119B" w:rsidDel="00801954">
              <w:rPr>
                <w:szCs w:val="22"/>
              </w:rPr>
              <w:t xml:space="preserve"> </w:t>
            </w:r>
            <w:r w:rsidRPr="0063119B">
              <w:rPr>
                <w:szCs w:val="22"/>
              </w:rPr>
              <w:t>-doente</w:t>
            </w:r>
            <w:r>
              <w:rPr>
                <w:szCs w:val="22"/>
              </w:rPr>
              <w:t>s-ano</w:t>
            </w:r>
            <w:r w:rsidRPr="0063119B">
              <w:rPr>
                <w:szCs w:val="22"/>
              </w:rPr>
              <w:t xml:space="preserve">** </w:t>
            </w:r>
          </w:p>
        </w:tc>
      </w:tr>
      <w:tr w:rsidR="00801954" w:rsidRPr="0063119B" w14:paraId="58A026C1" w14:textId="77777777" w:rsidTr="003311FD">
        <w:tc>
          <w:tcPr>
            <w:tcW w:w="3544" w:type="dxa"/>
            <w:vMerge/>
            <w:tcBorders>
              <w:bottom w:val="single" w:sz="4" w:space="0" w:color="auto"/>
            </w:tcBorders>
          </w:tcPr>
          <w:p w14:paraId="71EF1C40" w14:textId="77777777" w:rsidR="00801954" w:rsidRPr="0063119B" w:rsidRDefault="00801954" w:rsidP="00216E4B">
            <w:pPr>
              <w:keepNext/>
              <w:rPr>
                <w:szCs w:val="22"/>
              </w:rPr>
            </w:pPr>
          </w:p>
        </w:tc>
        <w:tc>
          <w:tcPr>
            <w:tcW w:w="1985" w:type="dxa"/>
            <w:tcBorders>
              <w:bottom w:val="single" w:sz="4" w:space="0" w:color="auto"/>
            </w:tcBorders>
          </w:tcPr>
          <w:p w14:paraId="7D1BC792" w14:textId="77777777" w:rsidR="00801954" w:rsidRPr="0063119B" w:rsidRDefault="00801954" w:rsidP="00DC5F96">
            <w:pPr>
              <w:keepNext/>
              <w:rPr>
                <w:szCs w:val="22"/>
              </w:rPr>
            </w:pPr>
            <w:r>
              <w:rPr>
                <w:szCs w:val="22"/>
              </w:rPr>
              <w:t>8</w:t>
            </w:r>
            <w:r w:rsidRPr="0063119B">
              <w:rPr>
                <w:szCs w:val="22"/>
              </w:rPr>
              <w:t>,</w:t>
            </w:r>
            <w:r>
              <w:rPr>
                <w:szCs w:val="22"/>
              </w:rPr>
              <w:t>38</w:t>
            </w:r>
            <w:r w:rsidRPr="0063119B">
              <w:rPr>
                <w:szCs w:val="22"/>
              </w:rPr>
              <w:t xml:space="preserve"> por 100 doente</w:t>
            </w:r>
            <w:r>
              <w:rPr>
                <w:szCs w:val="22"/>
              </w:rPr>
              <w:t>s-ano</w:t>
            </w:r>
            <w:r w:rsidRPr="007E1ED7">
              <w:rPr>
                <w:szCs w:val="22"/>
                <w:vertAlign w:val="superscript"/>
              </w:rPr>
              <w:t>#</w:t>
            </w:r>
          </w:p>
        </w:tc>
        <w:tc>
          <w:tcPr>
            <w:tcW w:w="2126" w:type="dxa"/>
            <w:tcBorders>
              <w:bottom w:val="single" w:sz="4" w:space="0" w:color="auto"/>
            </w:tcBorders>
          </w:tcPr>
          <w:p w14:paraId="2DC423DA" w14:textId="77777777" w:rsidR="00801954" w:rsidRPr="0063119B" w:rsidRDefault="00801954" w:rsidP="00DC5F96">
            <w:pPr>
              <w:keepNext/>
              <w:rPr>
                <w:szCs w:val="22"/>
              </w:rPr>
            </w:pPr>
            <w:r>
              <w:rPr>
                <w:szCs w:val="22"/>
              </w:rPr>
              <w:t>0</w:t>
            </w:r>
            <w:r w:rsidRPr="0063119B">
              <w:rPr>
                <w:szCs w:val="22"/>
              </w:rPr>
              <w:t>,7</w:t>
            </w:r>
            <w:r>
              <w:rPr>
                <w:szCs w:val="22"/>
              </w:rPr>
              <w:t>4</w:t>
            </w:r>
            <w:r w:rsidRPr="0063119B">
              <w:rPr>
                <w:szCs w:val="22"/>
              </w:rPr>
              <w:t xml:space="preserve"> por 100 doente</w:t>
            </w:r>
            <w:r>
              <w:rPr>
                <w:szCs w:val="22"/>
              </w:rPr>
              <w:t>s-ano***</w:t>
            </w:r>
            <w:r w:rsidRPr="007E1ED7">
              <w:rPr>
                <w:szCs w:val="22"/>
                <w:vertAlign w:val="superscript"/>
              </w:rPr>
              <w:t>#</w:t>
            </w:r>
          </w:p>
        </w:tc>
      </w:tr>
      <w:tr w:rsidR="00BD2411" w:rsidRPr="0063119B" w14:paraId="767E043F" w14:textId="77777777" w:rsidTr="003311FD">
        <w:tc>
          <w:tcPr>
            <w:tcW w:w="7655" w:type="dxa"/>
            <w:gridSpan w:val="3"/>
            <w:tcBorders>
              <w:top w:val="single" w:sz="4" w:space="0" w:color="auto"/>
              <w:left w:val="nil"/>
              <w:bottom w:val="nil"/>
              <w:right w:val="nil"/>
            </w:tcBorders>
          </w:tcPr>
          <w:p w14:paraId="12FB9BAC" w14:textId="77777777" w:rsidR="00BD2411" w:rsidRPr="0063119B" w:rsidRDefault="00BD2411" w:rsidP="00C66F4D">
            <w:pPr>
              <w:keepNext/>
              <w:tabs>
                <w:tab w:val="left" w:pos="459"/>
              </w:tabs>
              <w:rPr>
                <w:szCs w:val="22"/>
              </w:rPr>
            </w:pPr>
            <w:r w:rsidRPr="0063119B">
              <w:rPr>
                <w:szCs w:val="22"/>
              </w:rPr>
              <w:t>*</w:t>
            </w:r>
            <w:r w:rsidRPr="0063119B">
              <w:rPr>
                <w:szCs w:val="22"/>
              </w:rPr>
              <w:tab/>
              <w:t>Para todos os estudos com rivaroxabano foram recolhidos, notificados e adjudicados todos o</w:t>
            </w:r>
            <w:r w:rsidR="00DC5F96" w:rsidRPr="0063119B">
              <w:rPr>
                <w:szCs w:val="22"/>
              </w:rPr>
              <w:t>s acontecimentos hemorrágicos.</w:t>
            </w:r>
          </w:p>
          <w:p w14:paraId="598FDBFE" w14:textId="77777777" w:rsidR="00BD2411" w:rsidRDefault="00C66F4D" w:rsidP="00216E4B">
            <w:pPr>
              <w:keepNext/>
              <w:tabs>
                <w:tab w:val="left" w:pos="459"/>
              </w:tabs>
              <w:rPr>
                <w:szCs w:val="22"/>
              </w:rPr>
            </w:pPr>
            <w:r w:rsidRPr="0063119B">
              <w:rPr>
                <w:szCs w:val="22"/>
              </w:rPr>
              <w:t>**</w:t>
            </w:r>
            <w:r w:rsidR="00BD2411" w:rsidRPr="0063119B">
              <w:rPr>
                <w:szCs w:val="22"/>
              </w:rPr>
              <w:tab/>
              <w:t>No estudo COMPASS, existe uma incidência baixa de anemia dado ter sido utilizad</w:t>
            </w:r>
            <w:r w:rsidR="00B418D5" w:rsidRPr="0063119B">
              <w:rPr>
                <w:szCs w:val="22"/>
              </w:rPr>
              <w:t>a</w:t>
            </w:r>
            <w:r w:rsidR="00BD2411" w:rsidRPr="0063119B">
              <w:rPr>
                <w:szCs w:val="22"/>
              </w:rPr>
              <w:t xml:space="preserve"> um</w:t>
            </w:r>
            <w:r w:rsidR="00B418D5" w:rsidRPr="0063119B">
              <w:rPr>
                <w:szCs w:val="22"/>
              </w:rPr>
              <w:t>a abordagem</w:t>
            </w:r>
            <w:r w:rsidR="00BD2411" w:rsidRPr="0063119B">
              <w:rPr>
                <w:szCs w:val="22"/>
              </w:rPr>
              <w:t xml:space="preserve"> seletiv</w:t>
            </w:r>
            <w:r w:rsidR="00B418D5" w:rsidRPr="0063119B">
              <w:rPr>
                <w:szCs w:val="22"/>
              </w:rPr>
              <w:t>a</w:t>
            </w:r>
            <w:r w:rsidR="00BD2411" w:rsidRPr="0063119B">
              <w:rPr>
                <w:szCs w:val="22"/>
              </w:rPr>
              <w:t xml:space="preserve"> para recolha de acontecimentos adversos</w:t>
            </w:r>
          </w:p>
          <w:p w14:paraId="7EF77630" w14:textId="77777777" w:rsidR="00801954" w:rsidRPr="0063119B" w:rsidRDefault="00801954" w:rsidP="00216E4B">
            <w:pPr>
              <w:keepNext/>
              <w:tabs>
                <w:tab w:val="left" w:pos="459"/>
              </w:tabs>
              <w:rPr>
                <w:szCs w:val="22"/>
              </w:rPr>
            </w:pPr>
            <w:r>
              <w:rPr>
                <w:szCs w:val="22"/>
              </w:rPr>
              <w:t>***</w:t>
            </w:r>
            <w:r w:rsidRPr="0063119B">
              <w:rPr>
                <w:szCs w:val="22"/>
              </w:rPr>
              <w:tab/>
            </w:r>
            <w:r>
              <w:rPr>
                <w:szCs w:val="22"/>
              </w:rPr>
              <w:t xml:space="preserve"> </w:t>
            </w:r>
            <w:r>
              <w:t>Aplicou-se uma abordagem seletiva para recolha de acontecimentos adversos #</w:t>
            </w:r>
            <w:r w:rsidRPr="0063119B">
              <w:rPr>
                <w:szCs w:val="22"/>
              </w:rPr>
              <w:tab/>
            </w:r>
            <w:r>
              <w:t>Do estudo VOYAGER PAD</w:t>
            </w:r>
          </w:p>
        </w:tc>
      </w:tr>
    </w:tbl>
    <w:p w14:paraId="5B75EBFB" w14:textId="77777777" w:rsidR="001B7699" w:rsidRPr="0063119B" w:rsidRDefault="001B7699" w:rsidP="001B7699">
      <w:pPr>
        <w:rPr>
          <w:b/>
          <w:szCs w:val="22"/>
        </w:rPr>
      </w:pPr>
    </w:p>
    <w:p w14:paraId="55EAE934" w14:textId="77777777" w:rsidR="001B7699" w:rsidRPr="0063119B" w:rsidRDefault="001B7699" w:rsidP="001B7699">
      <w:pPr>
        <w:rPr>
          <w:szCs w:val="22"/>
        </w:rPr>
      </w:pPr>
      <w:r w:rsidRPr="0063119B">
        <w:rPr>
          <w:szCs w:val="22"/>
          <w:u w:val="single"/>
        </w:rPr>
        <w:t>Lista tabelada de reações adversas</w:t>
      </w:r>
    </w:p>
    <w:p w14:paraId="300154BF" w14:textId="77777777" w:rsidR="003B14EF" w:rsidRPr="0063119B" w:rsidRDefault="003B14EF" w:rsidP="001B7699">
      <w:pPr>
        <w:suppressAutoHyphens/>
        <w:rPr>
          <w:szCs w:val="22"/>
        </w:rPr>
      </w:pPr>
    </w:p>
    <w:p w14:paraId="3E1CE998" w14:textId="77777777" w:rsidR="001B7699" w:rsidRPr="0063119B" w:rsidRDefault="001B7699" w:rsidP="001B7699">
      <w:pPr>
        <w:suppressAutoHyphens/>
        <w:rPr>
          <w:szCs w:val="22"/>
        </w:rPr>
      </w:pPr>
      <w:r w:rsidRPr="0063119B">
        <w:rPr>
          <w:szCs w:val="22"/>
        </w:rPr>
        <w:t xml:space="preserve">As frequências de reações adversas notificadas com </w:t>
      </w:r>
      <w:r w:rsidR="003B14EF" w:rsidRPr="0063119B">
        <w:rPr>
          <w:szCs w:val="22"/>
        </w:rPr>
        <w:t>o rivaroxabano</w:t>
      </w:r>
      <w:r w:rsidR="000F427C">
        <w:rPr>
          <w:szCs w:val="22"/>
        </w:rPr>
        <w:t xml:space="preserve"> </w:t>
      </w:r>
      <w:r w:rsidR="000F427C" w:rsidRPr="000F427C">
        <w:rPr>
          <w:szCs w:val="22"/>
        </w:rPr>
        <w:t>em doentes adultos e pediátricos</w:t>
      </w:r>
      <w:r w:rsidR="003B14EF" w:rsidRPr="0063119B">
        <w:rPr>
          <w:szCs w:val="22"/>
        </w:rPr>
        <w:t xml:space="preserve"> </w:t>
      </w:r>
      <w:r w:rsidRPr="0063119B">
        <w:rPr>
          <w:szCs w:val="22"/>
        </w:rPr>
        <w:t xml:space="preserve">estão resumidas abaixo no </w:t>
      </w:r>
      <w:r w:rsidR="0078113C" w:rsidRPr="0063119B">
        <w:rPr>
          <w:szCs w:val="22"/>
        </w:rPr>
        <w:t>Q</w:t>
      </w:r>
      <w:r w:rsidRPr="0063119B">
        <w:rPr>
          <w:szCs w:val="22"/>
        </w:rPr>
        <w:t>uadro </w:t>
      </w:r>
      <w:r w:rsidR="002F4FE5" w:rsidRPr="0063119B">
        <w:rPr>
          <w:szCs w:val="22"/>
        </w:rPr>
        <w:t>3</w:t>
      </w:r>
      <w:r w:rsidRPr="0063119B">
        <w:rPr>
          <w:szCs w:val="22"/>
        </w:rPr>
        <w:t xml:space="preserve"> por classe de sistemas de órgãos (classificação MedDRA) e por frequência.</w:t>
      </w:r>
    </w:p>
    <w:p w14:paraId="763A4D9F" w14:textId="77777777" w:rsidR="001B7699" w:rsidRPr="0063119B" w:rsidRDefault="001B7699" w:rsidP="001B7699">
      <w:pPr>
        <w:suppressAutoHyphens/>
        <w:rPr>
          <w:b/>
          <w:noProof/>
          <w:szCs w:val="22"/>
        </w:rPr>
      </w:pPr>
    </w:p>
    <w:p w14:paraId="35C0D20F" w14:textId="77777777" w:rsidR="001B7699" w:rsidRPr="0063119B" w:rsidRDefault="001B7699" w:rsidP="001B7699">
      <w:pPr>
        <w:suppressAutoHyphens/>
        <w:jc w:val="both"/>
        <w:rPr>
          <w:noProof/>
          <w:szCs w:val="22"/>
        </w:rPr>
      </w:pPr>
      <w:r w:rsidRPr="0063119B">
        <w:rPr>
          <w:noProof/>
          <w:szCs w:val="22"/>
        </w:rPr>
        <w:t>As frequências são definidas como:</w:t>
      </w:r>
    </w:p>
    <w:p w14:paraId="414768AF" w14:textId="77777777" w:rsidR="001B7699" w:rsidRPr="0063119B" w:rsidRDefault="001B7699" w:rsidP="001B7699">
      <w:pPr>
        <w:suppressAutoHyphens/>
        <w:jc w:val="both"/>
        <w:rPr>
          <w:szCs w:val="22"/>
        </w:rPr>
      </w:pPr>
      <w:r w:rsidRPr="0063119B">
        <w:rPr>
          <w:noProof/>
          <w:szCs w:val="22"/>
        </w:rPr>
        <w:t>muito frequentes (≥ 1/10</w:t>
      </w:r>
      <w:r w:rsidRPr="0063119B">
        <w:rPr>
          <w:szCs w:val="22"/>
        </w:rPr>
        <w:t xml:space="preserve">) </w:t>
      </w:r>
    </w:p>
    <w:p w14:paraId="6B87D63E" w14:textId="77777777" w:rsidR="001B7699" w:rsidRPr="0063119B" w:rsidRDefault="001B7699" w:rsidP="001B7699">
      <w:pPr>
        <w:suppressAutoHyphens/>
        <w:jc w:val="both"/>
        <w:rPr>
          <w:noProof/>
          <w:szCs w:val="22"/>
        </w:rPr>
      </w:pPr>
      <w:r w:rsidRPr="0063119B">
        <w:rPr>
          <w:noProof/>
          <w:szCs w:val="22"/>
        </w:rPr>
        <w:t>frequentes (≥ 1/100, &lt; 1/10)</w:t>
      </w:r>
    </w:p>
    <w:p w14:paraId="5532EC1A" w14:textId="77777777" w:rsidR="001B7699" w:rsidRPr="0063119B" w:rsidRDefault="001B7699" w:rsidP="001B7699">
      <w:pPr>
        <w:suppressAutoHyphens/>
        <w:jc w:val="both"/>
        <w:rPr>
          <w:noProof/>
          <w:szCs w:val="22"/>
        </w:rPr>
      </w:pPr>
      <w:r w:rsidRPr="0063119B">
        <w:rPr>
          <w:noProof/>
          <w:szCs w:val="22"/>
        </w:rPr>
        <w:t>pouco frequentes (≥ 1/1.000, &lt; 1/100)</w:t>
      </w:r>
    </w:p>
    <w:p w14:paraId="1D988AB9" w14:textId="77777777" w:rsidR="001B7699" w:rsidRPr="0063119B" w:rsidRDefault="001B7699" w:rsidP="001B7699">
      <w:pPr>
        <w:suppressAutoHyphens/>
        <w:jc w:val="both"/>
        <w:rPr>
          <w:noProof/>
          <w:szCs w:val="22"/>
        </w:rPr>
      </w:pPr>
      <w:r w:rsidRPr="0063119B">
        <w:rPr>
          <w:noProof/>
          <w:szCs w:val="22"/>
        </w:rPr>
        <w:t>raros (≥ 1/10.000, &lt; 1/1.000)</w:t>
      </w:r>
    </w:p>
    <w:p w14:paraId="000E968E" w14:textId="77777777" w:rsidR="001B7699" w:rsidRPr="0063119B" w:rsidRDefault="001B7699" w:rsidP="001B7699">
      <w:pPr>
        <w:suppressAutoHyphens/>
        <w:jc w:val="both"/>
        <w:rPr>
          <w:noProof/>
          <w:szCs w:val="22"/>
        </w:rPr>
      </w:pPr>
      <w:r w:rsidRPr="0063119B">
        <w:rPr>
          <w:noProof/>
          <w:szCs w:val="22"/>
        </w:rPr>
        <w:t>muito raros (&lt; 1/10.000)</w:t>
      </w:r>
    </w:p>
    <w:p w14:paraId="4AB273AB" w14:textId="77777777" w:rsidR="001B7699" w:rsidRPr="0063119B" w:rsidRDefault="001B7699" w:rsidP="001B7699">
      <w:pPr>
        <w:suppressAutoHyphens/>
        <w:rPr>
          <w:noProof/>
          <w:szCs w:val="22"/>
        </w:rPr>
      </w:pPr>
      <w:r w:rsidRPr="0063119B">
        <w:rPr>
          <w:noProof/>
          <w:szCs w:val="22"/>
        </w:rPr>
        <w:t>desconhecido (não pode ser calculada a partir dos dados disponíveis).</w:t>
      </w:r>
    </w:p>
    <w:p w14:paraId="3B0C35CC" w14:textId="77777777" w:rsidR="001B7699" w:rsidRPr="0063119B" w:rsidRDefault="001B7699" w:rsidP="001B7699">
      <w:pPr>
        <w:rPr>
          <w:b/>
          <w:szCs w:val="22"/>
        </w:rPr>
      </w:pPr>
    </w:p>
    <w:p w14:paraId="5E78AFF2" w14:textId="7C00E58D" w:rsidR="001B7699" w:rsidRPr="0063119B" w:rsidRDefault="001B7699" w:rsidP="00EF3721">
      <w:pPr>
        <w:autoSpaceDE w:val="0"/>
        <w:autoSpaceDN w:val="0"/>
        <w:adjustRightInd w:val="0"/>
        <w:rPr>
          <w:b/>
          <w:szCs w:val="22"/>
        </w:rPr>
      </w:pPr>
      <w:r w:rsidRPr="0063119B">
        <w:rPr>
          <w:b/>
          <w:szCs w:val="22"/>
        </w:rPr>
        <w:t>Quadro </w:t>
      </w:r>
      <w:r w:rsidR="002F4FE5" w:rsidRPr="0063119B">
        <w:rPr>
          <w:b/>
          <w:szCs w:val="22"/>
        </w:rPr>
        <w:t>3</w:t>
      </w:r>
      <w:r w:rsidRPr="0063119B">
        <w:rPr>
          <w:b/>
          <w:szCs w:val="22"/>
        </w:rPr>
        <w:t>:</w:t>
      </w:r>
      <w:r w:rsidR="005E57C6" w:rsidRPr="0063119B">
        <w:rPr>
          <w:b/>
          <w:szCs w:val="22"/>
        </w:rPr>
        <w:t xml:space="preserve"> </w:t>
      </w:r>
      <w:r w:rsidR="0021302F" w:rsidRPr="0063119B">
        <w:rPr>
          <w:b/>
          <w:szCs w:val="22"/>
        </w:rPr>
        <w:t>Todas as rea</w:t>
      </w:r>
      <w:r w:rsidR="005E57C6" w:rsidRPr="0063119B">
        <w:rPr>
          <w:b/>
          <w:szCs w:val="22"/>
        </w:rPr>
        <w:t xml:space="preserve">ções adversas notificadas em doentes </w:t>
      </w:r>
      <w:r w:rsidR="000F427C">
        <w:rPr>
          <w:b/>
          <w:szCs w:val="22"/>
        </w:rPr>
        <w:t xml:space="preserve">adultos </w:t>
      </w:r>
      <w:r w:rsidR="005E57C6" w:rsidRPr="0063119B">
        <w:rPr>
          <w:b/>
          <w:szCs w:val="22"/>
        </w:rPr>
        <w:t xml:space="preserve">em </w:t>
      </w:r>
      <w:r w:rsidR="000F427C">
        <w:rPr>
          <w:b/>
          <w:szCs w:val="22"/>
        </w:rPr>
        <w:t>estudos</w:t>
      </w:r>
      <w:r w:rsidR="005E57C6" w:rsidRPr="0063119B">
        <w:rPr>
          <w:b/>
          <w:szCs w:val="22"/>
        </w:rPr>
        <w:t xml:space="preserve"> clínicos de fase III ou por utilização pós-comercialização</w:t>
      </w:r>
      <w:r w:rsidR="00BD2411" w:rsidRPr="0063119B">
        <w:rPr>
          <w:b/>
          <w:szCs w:val="22"/>
        </w:rPr>
        <w:t>*</w:t>
      </w:r>
      <w:r w:rsidR="000F427C">
        <w:rPr>
          <w:b/>
          <w:szCs w:val="22"/>
        </w:rPr>
        <w:t xml:space="preserve"> </w:t>
      </w:r>
      <w:r w:rsidR="000F427C">
        <w:rPr>
          <w:b/>
          <w:bCs/>
          <w:szCs w:val="22"/>
          <w:lang w:eastAsia="pt-PT"/>
        </w:rPr>
        <w:t xml:space="preserve">e em dois estudos de fase II e </w:t>
      </w:r>
      <w:r w:rsidR="00320623">
        <w:rPr>
          <w:b/>
          <w:bCs/>
          <w:szCs w:val="22"/>
          <w:lang w:eastAsia="pt-PT"/>
        </w:rPr>
        <w:t>dois estudos</w:t>
      </w:r>
      <w:r w:rsidR="000F427C">
        <w:rPr>
          <w:b/>
          <w:bCs/>
          <w:szCs w:val="22"/>
          <w:lang w:eastAsia="pt-PT"/>
        </w:rPr>
        <w:t xml:space="preserve"> de fase III em doentes pediátricos</w:t>
      </w:r>
    </w:p>
    <w:p w14:paraId="5702B2C6" w14:textId="77777777" w:rsidR="002C68B2" w:rsidRPr="0063119B" w:rsidRDefault="002C68B2" w:rsidP="00DA6697">
      <w:pPr>
        <w:keepNext/>
        <w:rPr>
          <w:noProof/>
          <w:szCs w:val="22"/>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842"/>
        <w:gridCol w:w="1756"/>
        <w:gridCol w:w="1853"/>
        <w:gridCol w:w="1847"/>
      </w:tblGrid>
      <w:tr w:rsidR="00FD7C0C" w:rsidRPr="0063119B" w14:paraId="6C1187EC" w14:textId="77777777" w:rsidTr="00D733A1">
        <w:trPr>
          <w:tblHeader/>
        </w:trPr>
        <w:tc>
          <w:tcPr>
            <w:tcW w:w="1978" w:type="dxa"/>
            <w:shd w:val="clear" w:color="auto" w:fill="7F7F7F"/>
          </w:tcPr>
          <w:p w14:paraId="1D914A4C" w14:textId="77777777" w:rsidR="00FD7C0C" w:rsidRPr="0063119B" w:rsidRDefault="00FD7C0C" w:rsidP="00DA6697">
            <w:pPr>
              <w:keepNext/>
              <w:suppressAutoHyphens/>
              <w:rPr>
                <w:b/>
                <w:noProof/>
                <w:szCs w:val="22"/>
              </w:rPr>
            </w:pPr>
            <w:r w:rsidRPr="0063119B">
              <w:rPr>
                <w:b/>
                <w:noProof/>
                <w:szCs w:val="22"/>
              </w:rPr>
              <w:t>Frequentes</w:t>
            </w:r>
          </w:p>
          <w:p w14:paraId="69DBFC74" w14:textId="77777777" w:rsidR="00FD7C0C" w:rsidRPr="0063119B" w:rsidRDefault="00FD7C0C" w:rsidP="00DA6697">
            <w:pPr>
              <w:keepNext/>
              <w:suppressAutoHyphens/>
              <w:rPr>
                <w:noProof/>
                <w:szCs w:val="22"/>
              </w:rPr>
            </w:pPr>
          </w:p>
        </w:tc>
        <w:tc>
          <w:tcPr>
            <w:tcW w:w="1842" w:type="dxa"/>
            <w:shd w:val="clear" w:color="auto" w:fill="7F7F7F"/>
          </w:tcPr>
          <w:p w14:paraId="3770ECD8" w14:textId="77777777" w:rsidR="00FD7C0C" w:rsidRPr="0063119B" w:rsidRDefault="00FD7C0C" w:rsidP="00DA6697">
            <w:pPr>
              <w:keepNext/>
              <w:suppressAutoHyphens/>
              <w:rPr>
                <w:b/>
                <w:noProof/>
                <w:szCs w:val="22"/>
              </w:rPr>
            </w:pPr>
            <w:r w:rsidRPr="0063119B">
              <w:rPr>
                <w:b/>
                <w:noProof/>
                <w:szCs w:val="22"/>
              </w:rPr>
              <w:t>Pouco frequentes</w:t>
            </w:r>
          </w:p>
          <w:p w14:paraId="023AFA3B" w14:textId="77777777" w:rsidR="00FD7C0C" w:rsidRPr="0063119B" w:rsidRDefault="00FD7C0C" w:rsidP="00DA6697">
            <w:pPr>
              <w:keepNext/>
              <w:suppressAutoHyphens/>
              <w:rPr>
                <w:noProof/>
                <w:szCs w:val="22"/>
              </w:rPr>
            </w:pPr>
          </w:p>
        </w:tc>
        <w:tc>
          <w:tcPr>
            <w:tcW w:w="1756" w:type="dxa"/>
            <w:shd w:val="clear" w:color="auto" w:fill="7F7F7F"/>
          </w:tcPr>
          <w:p w14:paraId="2B9E6228" w14:textId="77777777" w:rsidR="00FD7C0C" w:rsidRPr="0063119B" w:rsidRDefault="00FD7C0C" w:rsidP="00DA6697">
            <w:pPr>
              <w:keepNext/>
              <w:suppressAutoHyphens/>
              <w:rPr>
                <w:b/>
                <w:noProof/>
                <w:szCs w:val="22"/>
              </w:rPr>
            </w:pPr>
            <w:r w:rsidRPr="0063119B">
              <w:rPr>
                <w:b/>
                <w:noProof/>
                <w:szCs w:val="22"/>
              </w:rPr>
              <w:t>Raros</w:t>
            </w:r>
          </w:p>
          <w:p w14:paraId="76285F43" w14:textId="77777777" w:rsidR="00FD7C0C" w:rsidRPr="0063119B" w:rsidRDefault="00FD7C0C" w:rsidP="00DA6697">
            <w:pPr>
              <w:keepNext/>
              <w:suppressAutoHyphens/>
              <w:rPr>
                <w:noProof/>
                <w:szCs w:val="22"/>
              </w:rPr>
            </w:pPr>
          </w:p>
        </w:tc>
        <w:tc>
          <w:tcPr>
            <w:tcW w:w="1853" w:type="dxa"/>
            <w:shd w:val="clear" w:color="auto" w:fill="7F7F7F"/>
          </w:tcPr>
          <w:p w14:paraId="05DB902B" w14:textId="77777777" w:rsidR="00FD7C0C" w:rsidRPr="0063119B" w:rsidRDefault="00FD7C0C" w:rsidP="00DA6697">
            <w:pPr>
              <w:keepNext/>
              <w:suppressAutoHyphens/>
              <w:rPr>
                <w:b/>
                <w:noProof/>
                <w:szCs w:val="22"/>
              </w:rPr>
            </w:pPr>
            <w:r w:rsidRPr="0063119B">
              <w:rPr>
                <w:b/>
                <w:noProof/>
                <w:szCs w:val="22"/>
              </w:rPr>
              <w:t>Muito raros</w:t>
            </w:r>
          </w:p>
        </w:tc>
        <w:tc>
          <w:tcPr>
            <w:tcW w:w="1847" w:type="dxa"/>
            <w:shd w:val="clear" w:color="auto" w:fill="7F7F7F"/>
          </w:tcPr>
          <w:p w14:paraId="53367ACA" w14:textId="77777777" w:rsidR="00FD7C0C" w:rsidRPr="0063119B" w:rsidRDefault="00FD7C0C" w:rsidP="00DA6697">
            <w:pPr>
              <w:keepNext/>
              <w:suppressAutoHyphens/>
              <w:rPr>
                <w:b/>
                <w:noProof/>
                <w:szCs w:val="22"/>
                <w:vertAlign w:val="superscript"/>
              </w:rPr>
            </w:pPr>
            <w:r w:rsidRPr="0063119B">
              <w:rPr>
                <w:b/>
                <w:noProof/>
                <w:szCs w:val="22"/>
              </w:rPr>
              <w:t>Desconhecido</w:t>
            </w:r>
          </w:p>
        </w:tc>
      </w:tr>
      <w:tr w:rsidR="00FD7C0C" w:rsidRPr="0063119B" w14:paraId="4167DFCD" w14:textId="77777777" w:rsidTr="00D733A1">
        <w:tc>
          <w:tcPr>
            <w:tcW w:w="5576" w:type="dxa"/>
            <w:gridSpan w:val="3"/>
          </w:tcPr>
          <w:p w14:paraId="77986231" w14:textId="77777777" w:rsidR="00FD7C0C" w:rsidRPr="0063119B" w:rsidRDefault="00FD7C0C" w:rsidP="001B7699">
            <w:pPr>
              <w:suppressAutoHyphens/>
              <w:rPr>
                <w:b/>
                <w:noProof/>
                <w:szCs w:val="22"/>
              </w:rPr>
            </w:pPr>
            <w:r w:rsidRPr="0063119B">
              <w:rPr>
                <w:b/>
                <w:noProof/>
                <w:szCs w:val="22"/>
              </w:rPr>
              <w:t>Doenças do sangue e do sistema linfático</w:t>
            </w:r>
          </w:p>
        </w:tc>
        <w:tc>
          <w:tcPr>
            <w:tcW w:w="1853" w:type="dxa"/>
          </w:tcPr>
          <w:p w14:paraId="2BFBDC93" w14:textId="77777777" w:rsidR="00FD7C0C" w:rsidRPr="0063119B" w:rsidRDefault="00FD7C0C" w:rsidP="001B7699">
            <w:pPr>
              <w:suppressAutoHyphens/>
              <w:rPr>
                <w:b/>
                <w:noProof/>
                <w:szCs w:val="22"/>
              </w:rPr>
            </w:pPr>
          </w:p>
        </w:tc>
        <w:tc>
          <w:tcPr>
            <w:tcW w:w="1847" w:type="dxa"/>
          </w:tcPr>
          <w:p w14:paraId="7849C718" w14:textId="77777777" w:rsidR="00FD7C0C" w:rsidRPr="0063119B" w:rsidRDefault="00FD7C0C" w:rsidP="001B7699">
            <w:pPr>
              <w:suppressAutoHyphens/>
              <w:rPr>
                <w:b/>
                <w:noProof/>
                <w:szCs w:val="22"/>
              </w:rPr>
            </w:pPr>
          </w:p>
        </w:tc>
      </w:tr>
      <w:tr w:rsidR="00FD7C0C" w:rsidRPr="0063119B" w14:paraId="68706CF0" w14:textId="77777777" w:rsidTr="00D733A1">
        <w:tc>
          <w:tcPr>
            <w:tcW w:w="1978" w:type="dxa"/>
          </w:tcPr>
          <w:p w14:paraId="49018D85" w14:textId="77777777" w:rsidR="00FD7C0C" w:rsidRPr="0063119B" w:rsidRDefault="00FD7C0C" w:rsidP="001B7699">
            <w:pPr>
              <w:suppressAutoHyphens/>
              <w:rPr>
                <w:b/>
                <w:noProof/>
                <w:szCs w:val="22"/>
              </w:rPr>
            </w:pPr>
            <w:r w:rsidRPr="0063119B">
              <w:rPr>
                <w:noProof/>
                <w:szCs w:val="22"/>
              </w:rPr>
              <w:t>Anemia (incl. parâmetros laboratoriais respetivos)</w:t>
            </w:r>
          </w:p>
        </w:tc>
        <w:tc>
          <w:tcPr>
            <w:tcW w:w="1842" w:type="dxa"/>
          </w:tcPr>
          <w:p w14:paraId="5B9EFD2F" w14:textId="77777777" w:rsidR="00FD7C0C" w:rsidRPr="0063119B" w:rsidRDefault="00FD7C0C" w:rsidP="002F4FE5">
            <w:pPr>
              <w:suppressAutoHyphens/>
              <w:rPr>
                <w:noProof/>
                <w:szCs w:val="22"/>
              </w:rPr>
            </w:pPr>
            <w:r w:rsidRPr="0063119B">
              <w:rPr>
                <w:noProof/>
                <w:szCs w:val="22"/>
              </w:rPr>
              <w:t>Trombocitose (incl. aumento da contagem de plaquetas)</w:t>
            </w:r>
            <w:r w:rsidRPr="0063119B">
              <w:rPr>
                <w:noProof/>
                <w:szCs w:val="22"/>
                <w:vertAlign w:val="superscript"/>
              </w:rPr>
              <w:t>A</w:t>
            </w:r>
            <w:r w:rsidRPr="0063119B">
              <w:rPr>
                <w:noProof/>
                <w:szCs w:val="22"/>
              </w:rPr>
              <w:t>,</w:t>
            </w:r>
          </w:p>
          <w:p w14:paraId="7D63D40E" w14:textId="77777777" w:rsidR="00FD7C0C" w:rsidRPr="0063119B" w:rsidRDefault="00FD7C0C" w:rsidP="002F4FE5">
            <w:pPr>
              <w:suppressAutoHyphens/>
              <w:rPr>
                <w:b/>
                <w:noProof/>
                <w:szCs w:val="22"/>
              </w:rPr>
            </w:pPr>
            <w:r w:rsidRPr="0063119B">
              <w:rPr>
                <w:rStyle w:val="shorttext"/>
                <w:szCs w:val="22"/>
              </w:rPr>
              <w:t>Trombocitopenia</w:t>
            </w:r>
          </w:p>
        </w:tc>
        <w:tc>
          <w:tcPr>
            <w:tcW w:w="1756" w:type="dxa"/>
          </w:tcPr>
          <w:p w14:paraId="79CB1112" w14:textId="77777777" w:rsidR="00FD7C0C" w:rsidRPr="0063119B" w:rsidRDefault="00FD7C0C" w:rsidP="001B7699">
            <w:pPr>
              <w:suppressAutoHyphens/>
              <w:rPr>
                <w:b/>
                <w:noProof/>
                <w:szCs w:val="22"/>
              </w:rPr>
            </w:pPr>
          </w:p>
        </w:tc>
        <w:tc>
          <w:tcPr>
            <w:tcW w:w="1853" w:type="dxa"/>
          </w:tcPr>
          <w:p w14:paraId="7E5AE6A2" w14:textId="77777777" w:rsidR="00FD7C0C" w:rsidRPr="0063119B" w:rsidRDefault="00FD7C0C" w:rsidP="001B7699">
            <w:pPr>
              <w:suppressAutoHyphens/>
              <w:rPr>
                <w:b/>
                <w:noProof/>
                <w:szCs w:val="22"/>
              </w:rPr>
            </w:pPr>
          </w:p>
        </w:tc>
        <w:tc>
          <w:tcPr>
            <w:tcW w:w="1847" w:type="dxa"/>
          </w:tcPr>
          <w:p w14:paraId="004EC1E0" w14:textId="77777777" w:rsidR="00FD7C0C" w:rsidRPr="0063119B" w:rsidRDefault="00FD7C0C" w:rsidP="001B7699">
            <w:pPr>
              <w:suppressAutoHyphens/>
              <w:rPr>
                <w:b/>
                <w:noProof/>
                <w:szCs w:val="22"/>
              </w:rPr>
            </w:pPr>
          </w:p>
        </w:tc>
      </w:tr>
      <w:tr w:rsidR="00FD7C0C" w:rsidRPr="0063119B" w14:paraId="3D7ED54B" w14:textId="77777777" w:rsidTr="00D733A1">
        <w:tc>
          <w:tcPr>
            <w:tcW w:w="5576" w:type="dxa"/>
            <w:gridSpan w:val="3"/>
          </w:tcPr>
          <w:p w14:paraId="3C1026BB" w14:textId="77777777" w:rsidR="00FD7C0C" w:rsidRPr="0063119B" w:rsidRDefault="00FD7C0C" w:rsidP="001B7699">
            <w:pPr>
              <w:suppressAutoHyphens/>
              <w:rPr>
                <w:b/>
                <w:noProof/>
                <w:szCs w:val="22"/>
              </w:rPr>
            </w:pPr>
            <w:r w:rsidRPr="0063119B">
              <w:rPr>
                <w:b/>
                <w:noProof/>
                <w:szCs w:val="22"/>
              </w:rPr>
              <w:t>Doenças do sistema imunitário</w:t>
            </w:r>
          </w:p>
        </w:tc>
        <w:tc>
          <w:tcPr>
            <w:tcW w:w="1853" w:type="dxa"/>
          </w:tcPr>
          <w:p w14:paraId="52AA993E" w14:textId="77777777" w:rsidR="00FD7C0C" w:rsidRPr="0063119B" w:rsidRDefault="00FD7C0C" w:rsidP="001B7699">
            <w:pPr>
              <w:suppressAutoHyphens/>
              <w:rPr>
                <w:b/>
                <w:noProof/>
                <w:szCs w:val="22"/>
              </w:rPr>
            </w:pPr>
          </w:p>
        </w:tc>
        <w:tc>
          <w:tcPr>
            <w:tcW w:w="1847" w:type="dxa"/>
          </w:tcPr>
          <w:p w14:paraId="75C5BA09" w14:textId="77777777" w:rsidR="00FD7C0C" w:rsidRPr="0063119B" w:rsidRDefault="00FD7C0C" w:rsidP="001B7699">
            <w:pPr>
              <w:suppressAutoHyphens/>
              <w:rPr>
                <w:b/>
                <w:noProof/>
                <w:szCs w:val="22"/>
              </w:rPr>
            </w:pPr>
          </w:p>
        </w:tc>
      </w:tr>
      <w:tr w:rsidR="00FD7C0C" w:rsidRPr="0063119B" w14:paraId="5E78A43F" w14:textId="77777777" w:rsidTr="00D733A1">
        <w:tc>
          <w:tcPr>
            <w:tcW w:w="1978" w:type="dxa"/>
          </w:tcPr>
          <w:p w14:paraId="45C978FC" w14:textId="77777777" w:rsidR="00FD7C0C" w:rsidRPr="0063119B" w:rsidRDefault="00FD7C0C" w:rsidP="001B7699">
            <w:pPr>
              <w:suppressAutoHyphens/>
              <w:rPr>
                <w:b/>
                <w:noProof/>
                <w:szCs w:val="22"/>
              </w:rPr>
            </w:pPr>
          </w:p>
        </w:tc>
        <w:tc>
          <w:tcPr>
            <w:tcW w:w="1842" w:type="dxa"/>
          </w:tcPr>
          <w:p w14:paraId="5D33341C" w14:textId="77777777" w:rsidR="00FD7C0C" w:rsidRPr="0063119B" w:rsidRDefault="00FD7C0C" w:rsidP="001B7699">
            <w:pPr>
              <w:suppressAutoHyphens/>
              <w:rPr>
                <w:noProof/>
                <w:szCs w:val="22"/>
              </w:rPr>
            </w:pPr>
            <w:r w:rsidRPr="0063119B">
              <w:rPr>
                <w:noProof/>
                <w:szCs w:val="22"/>
              </w:rPr>
              <w:t>Reação alérgica, dermatite alérgica,</w:t>
            </w:r>
          </w:p>
          <w:p w14:paraId="10630AD7" w14:textId="77777777" w:rsidR="00FD7C0C" w:rsidRPr="0063119B" w:rsidRDefault="009B5694" w:rsidP="001B7699">
            <w:pPr>
              <w:suppressAutoHyphens/>
              <w:rPr>
                <w:b/>
                <w:noProof/>
                <w:szCs w:val="22"/>
              </w:rPr>
            </w:pPr>
            <w:r w:rsidRPr="0063119B">
              <w:rPr>
                <w:rStyle w:val="shorttext"/>
                <w:szCs w:val="22"/>
              </w:rPr>
              <w:t>Angioedema e edema alérgico</w:t>
            </w:r>
          </w:p>
        </w:tc>
        <w:tc>
          <w:tcPr>
            <w:tcW w:w="1756" w:type="dxa"/>
          </w:tcPr>
          <w:p w14:paraId="42A38677" w14:textId="77777777" w:rsidR="00FD7C0C" w:rsidRPr="0063119B" w:rsidRDefault="00FD7C0C" w:rsidP="001B7699">
            <w:pPr>
              <w:suppressAutoHyphens/>
              <w:rPr>
                <w:b/>
                <w:noProof/>
                <w:szCs w:val="22"/>
              </w:rPr>
            </w:pPr>
          </w:p>
        </w:tc>
        <w:tc>
          <w:tcPr>
            <w:tcW w:w="1853" w:type="dxa"/>
          </w:tcPr>
          <w:p w14:paraId="166A4B17" w14:textId="77777777" w:rsidR="00FD7C0C" w:rsidRPr="0063119B" w:rsidRDefault="009B5694" w:rsidP="001B7699">
            <w:pPr>
              <w:suppressAutoHyphens/>
              <w:rPr>
                <w:b/>
                <w:noProof/>
                <w:szCs w:val="22"/>
              </w:rPr>
            </w:pPr>
            <w:r w:rsidRPr="0063119B">
              <w:rPr>
                <w:szCs w:val="22"/>
              </w:rPr>
              <w:t>Reações anafiláticas, incluindo choque anafilático</w:t>
            </w:r>
          </w:p>
        </w:tc>
        <w:tc>
          <w:tcPr>
            <w:tcW w:w="1847" w:type="dxa"/>
          </w:tcPr>
          <w:p w14:paraId="06CF6C41" w14:textId="77777777" w:rsidR="00FD7C0C" w:rsidRPr="0063119B" w:rsidRDefault="00FD7C0C" w:rsidP="001B7699">
            <w:pPr>
              <w:suppressAutoHyphens/>
              <w:rPr>
                <w:b/>
                <w:noProof/>
                <w:szCs w:val="22"/>
              </w:rPr>
            </w:pPr>
          </w:p>
        </w:tc>
      </w:tr>
      <w:tr w:rsidR="00FD7C0C" w:rsidRPr="0063119B" w14:paraId="16BA99F0" w14:textId="77777777" w:rsidTr="00D733A1">
        <w:tc>
          <w:tcPr>
            <w:tcW w:w="5576" w:type="dxa"/>
            <w:gridSpan w:val="3"/>
          </w:tcPr>
          <w:p w14:paraId="5541EC49" w14:textId="77777777" w:rsidR="00FD7C0C" w:rsidRPr="0063119B" w:rsidRDefault="00FD7C0C" w:rsidP="001B7699">
            <w:pPr>
              <w:suppressAutoHyphens/>
              <w:rPr>
                <w:noProof/>
                <w:szCs w:val="22"/>
              </w:rPr>
            </w:pPr>
            <w:r w:rsidRPr="0063119B">
              <w:rPr>
                <w:b/>
                <w:noProof/>
                <w:szCs w:val="22"/>
              </w:rPr>
              <w:t>Doenças do sistema nervoso</w:t>
            </w:r>
          </w:p>
        </w:tc>
        <w:tc>
          <w:tcPr>
            <w:tcW w:w="1853" w:type="dxa"/>
          </w:tcPr>
          <w:p w14:paraId="5D129FD5" w14:textId="77777777" w:rsidR="00FD7C0C" w:rsidRPr="0063119B" w:rsidRDefault="00FD7C0C" w:rsidP="001B7699">
            <w:pPr>
              <w:suppressAutoHyphens/>
              <w:rPr>
                <w:noProof/>
                <w:szCs w:val="22"/>
              </w:rPr>
            </w:pPr>
          </w:p>
        </w:tc>
        <w:tc>
          <w:tcPr>
            <w:tcW w:w="1847" w:type="dxa"/>
          </w:tcPr>
          <w:p w14:paraId="2E8A9D20" w14:textId="77777777" w:rsidR="00FD7C0C" w:rsidRPr="0063119B" w:rsidRDefault="00FD7C0C" w:rsidP="001B7699">
            <w:pPr>
              <w:suppressAutoHyphens/>
              <w:rPr>
                <w:noProof/>
                <w:szCs w:val="22"/>
              </w:rPr>
            </w:pPr>
          </w:p>
        </w:tc>
      </w:tr>
      <w:tr w:rsidR="00FD7C0C" w:rsidRPr="0063119B" w14:paraId="29FBCB33" w14:textId="77777777" w:rsidTr="00D733A1">
        <w:tc>
          <w:tcPr>
            <w:tcW w:w="1978" w:type="dxa"/>
          </w:tcPr>
          <w:p w14:paraId="0FB04057" w14:textId="77777777" w:rsidR="00FD7C0C" w:rsidRPr="0063119B" w:rsidRDefault="00FD7C0C" w:rsidP="001B7699">
            <w:pPr>
              <w:suppressAutoHyphens/>
              <w:rPr>
                <w:b/>
                <w:noProof/>
                <w:szCs w:val="22"/>
              </w:rPr>
            </w:pPr>
            <w:r w:rsidRPr="0063119B">
              <w:rPr>
                <w:noProof/>
                <w:szCs w:val="22"/>
              </w:rPr>
              <w:t>Tonturas, cefaleias</w:t>
            </w:r>
          </w:p>
        </w:tc>
        <w:tc>
          <w:tcPr>
            <w:tcW w:w="1842" w:type="dxa"/>
          </w:tcPr>
          <w:p w14:paraId="77A10D43" w14:textId="77777777" w:rsidR="00FD7C0C" w:rsidRPr="0063119B" w:rsidRDefault="00FD7C0C" w:rsidP="001B7699">
            <w:pPr>
              <w:suppressAutoHyphens/>
              <w:rPr>
                <w:b/>
                <w:noProof/>
                <w:szCs w:val="22"/>
              </w:rPr>
            </w:pPr>
            <w:r w:rsidRPr="0063119B">
              <w:rPr>
                <w:noProof/>
                <w:szCs w:val="22"/>
              </w:rPr>
              <w:t>Hemorragia cerebral e intracraniana, síncope</w:t>
            </w:r>
          </w:p>
        </w:tc>
        <w:tc>
          <w:tcPr>
            <w:tcW w:w="1756" w:type="dxa"/>
          </w:tcPr>
          <w:p w14:paraId="7886C45D" w14:textId="77777777" w:rsidR="00FD7C0C" w:rsidRPr="0063119B" w:rsidRDefault="00FD7C0C" w:rsidP="001B7699">
            <w:pPr>
              <w:suppressAutoHyphens/>
              <w:rPr>
                <w:noProof/>
                <w:szCs w:val="22"/>
              </w:rPr>
            </w:pPr>
          </w:p>
        </w:tc>
        <w:tc>
          <w:tcPr>
            <w:tcW w:w="1853" w:type="dxa"/>
          </w:tcPr>
          <w:p w14:paraId="65281BE5" w14:textId="77777777" w:rsidR="00FD7C0C" w:rsidRPr="0063119B" w:rsidRDefault="00FD7C0C" w:rsidP="001B7699">
            <w:pPr>
              <w:suppressAutoHyphens/>
              <w:rPr>
                <w:noProof/>
                <w:szCs w:val="22"/>
              </w:rPr>
            </w:pPr>
          </w:p>
        </w:tc>
        <w:tc>
          <w:tcPr>
            <w:tcW w:w="1847" w:type="dxa"/>
          </w:tcPr>
          <w:p w14:paraId="4EC300A0" w14:textId="77777777" w:rsidR="00FD7C0C" w:rsidRPr="0063119B" w:rsidRDefault="00FD7C0C" w:rsidP="001B7699">
            <w:pPr>
              <w:suppressAutoHyphens/>
              <w:rPr>
                <w:noProof/>
                <w:szCs w:val="22"/>
              </w:rPr>
            </w:pPr>
          </w:p>
        </w:tc>
      </w:tr>
      <w:tr w:rsidR="009B5694" w:rsidRPr="0063119B" w14:paraId="4A25EF99" w14:textId="77777777" w:rsidTr="009934BB">
        <w:tc>
          <w:tcPr>
            <w:tcW w:w="9276" w:type="dxa"/>
            <w:gridSpan w:val="5"/>
          </w:tcPr>
          <w:p w14:paraId="3BAF2B89" w14:textId="77777777" w:rsidR="009B5694" w:rsidRPr="0063119B" w:rsidRDefault="009B5694" w:rsidP="001B7699">
            <w:pPr>
              <w:suppressAutoHyphens/>
              <w:rPr>
                <w:b/>
                <w:noProof/>
                <w:szCs w:val="22"/>
              </w:rPr>
            </w:pPr>
            <w:r w:rsidRPr="0063119B">
              <w:rPr>
                <w:b/>
                <w:noProof/>
                <w:szCs w:val="22"/>
              </w:rPr>
              <w:t>Afeções oculares</w:t>
            </w:r>
          </w:p>
        </w:tc>
      </w:tr>
      <w:tr w:rsidR="00FD7C0C" w:rsidRPr="0063119B" w14:paraId="47AD746B" w14:textId="77777777" w:rsidTr="00D733A1">
        <w:tc>
          <w:tcPr>
            <w:tcW w:w="1978" w:type="dxa"/>
          </w:tcPr>
          <w:p w14:paraId="2C65AFB4" w14:textId="77777777" w:rsidR="00FD7C0C" w:rsidRPr="0063119B" w:rsidRDefault="00FD7C0C" w:rsidP="001B7699">
            <w:pPr>
              <w:suppressAutoHyphens/>
              <w:rPr>
                <w:noProof/>
                <w:szCs w:val="22"/>
              </w:rPr>
            </w:pPr>
            <w:r w:rsidRPr="0063119B">
              <w:rPr>
                <w:noProof/>
                <w:szCs w:val="22"/>
              </w:rPr>
              <w:lastRenderedPageBreak/>
              <w:t>Hemorragia ocular (incl. hemorragia conjuntival)</w:t>
            </w:r>
          </w:p>
        </w:tc>
        <w:tc>
          <w:tcPr>
            <w:tcW w:w="1842" w:type="dxa"/>
          </w:tcPr>
          <w:p w14:paraId="54124E2D" w14:textId="77777777" w:rsidR="00FD7C0C" w:rsidRPr="0063119B" w:rsidRDefault="00FD7C0C" w:rsidP="001B7699">
            <w:pPr>
              <w:suppressAutoHyphens/>
              <w:rPr>
                <w:b/>
                <w:noProof/>
                <w:szCs w:val="22"/>
              </w:rPr>
            </w:pPr>
          </w:p>
        </w:tc>
        <w:tc>
          <w:tcPr>
            <w:tcW w:w="1756" w:type="dxa"/>
          </w:tcPr>
          <w:p w14:paraId="5D4E009E" w14:textId="77777777" w:rsidR="00FD7C0C" w:rsidRPr="0063119B" w:rsidRDefault="00FD7C0C" w:rsidP="001B7699">
            <w:pPr>
              <w:suppressAutoHyphens/>
              <w:rPr>
                <w:b/>
                <w:noProof/>
                <w:szCs w:val="22"/>
              </w:rPr>
            </w:pPr>
          </w:p>
        </w:tc>
        <w:tc>
          <w:tcPr>
            <w:tcW w:w="1853" w:type="dxa"/>
          </w:tcPr>
          <w:p w14:paraId="147A994C" w14:textId="77777777" w:rsidR="00FD7C0C" w:rsidRPr="0063119B" w:rsidRDefault="00FD7C0C" w:rsidP="001B7699">
            <w:pPr>
              <w:suppressAutoHyphens/>
              <w:rPr>
                <w:b/>
                <w:noProof/>
                <w:szCs w:val="22"/>
              </w:rPr>
            </w:pPr>
          </w:p>
        </w:tc>
        <w:tc>
          <w:tcPr>
            <w:tcW w:w="1847" w:type="dxa"/>
          </w:tcPr>
          <w:p w14:paraId="3E57C1AA" w14:textId="77777777" w:rsidR="00FD7C0C" w:rsidRPr="0063119B" w:rsidRDefault="00FD7C0C" w:rsidP="001B7699">
            <w:pPr>
              <w:suppressAutoHyphens/>
              <w:rPr>
                <w:b/>
                <w:noProof/>
                <w:szCs w:val="22"/>
              </w:rPr>
            </w:pPr>
          </w:p>
        </w:tc>
      </w:tr>
      <w:tr w:rsidR="00FD7C0C" w:rsidRPr="0063119B" w14:paraId="76E5B26C" w14:textId="77777777" w:rsidTr="00D733A1">
        <w:tc>
          <w:tcPr>
            <w:tcW w:w="5576" w:type="dxa"/>
            <w:gridSpan w:val="3"/>
          </w:tcPr>
          <w:p w14:paraId="645808A8" w14:textId="77777777" w:rsidR="00FD7C0C" w:rsidRPr="0063119B" w:rsidRDefault="00FD7C0C" w:rsidP="001B7699">
            <w:pPr>
              <w:suppressAutoHyphens/>
              <w:rPr>
                <w:b/>
                <w:noProof/>
                <w:szCs w:val="22"/>
              </w:rPr>
            </w:pPr>
            <w:r w:rsidRPr="0063119B">
              <w:rPr>
                <w:b/>
                <w:noProof/>
                <w:szCs w:val="22"/>
              </w:rPr>
              <w:t>Cardiopatias</w:t>
            </w:r>
          </w:p>
        </w:tc>
        <w:tc>
          <w:tcPr>
            <w:tcW w:w="1853" w:type="dxa"/>
          </w:tcPr>
          <w:p w14:paraId="2051026E" w14:textId="77777777" w:rsidR="00FD7C0C" w:rsidRPr="0063119B" w:rsidRDefault="00FD7C0C" w:rsidP="001B7699">
            <w:pPr>
              <w:suppressAutoHyphens/>
              <w:rPr>
                <w:b/>
                <w:noProof/>
                <w:szCs w:val="22"/>
              </w:rPr>
            </w:pPr>
          </w:p>
        </w:tc>
        <w:tc>
          <w:tcPr>
            <w:tcW w:w="1847" w:type="dxa"/>
          </w:tcPr>
          <w:p w14:paraId="5ED6F0EE" w14:textId="77777777" w:rsidR="00FD7C0C" w:rsidRPr="0063119B" w:rsidRDefault="00FD7C0C" w:rsidP="001B7699">
            <w:pPr>
              <w:suppressAutoHyphens/>
              <w:rPr>
                <w:b/>
                <w:noProof/>
                <w:szCs w:val="22"/>
              </w:rPr>
            </w:pPr>
          </w:p>
        </w:tc>
      </w:tr>
      <w:tr w:rsidR="00FD7C0C" w:rsidRPr="0063119B" w14:paraId="745B5E46" w14:textId="77777777" w:rsidTr="00D733A1">
        <w:tc>
          <w:tcPr>
            <w:tcW w:w="1978" w:type="dxa"/>
          </w:tcPr>
          <w:p w14:paraId="64FAE2E0" w14:textId="77777777" w:rsidR="00FD7C0C" w:rsidRPr="0063119B" w:rsidRDefault="00FD7C0C" w:rsidP="001B7699">
            <w:pPr>
              <w:suppressAutoHyphens/>
              <w:rPr>
                <w:noProof/>
                <w:szCs w:val="22"/>
              </w:rPr>
            </w:pPr>
          </w:p>
        </w:tc>
        <w:tc>
          <w:tcPr>
            <w:tcW w:w="1842" w:type="dxa"/>
          </w:tcPr>
          <w:p w14:paraId="07DE9F25" w14:textId="77777777" w:rsidR="00FD7C0C" w:rsidRPr="0063119B" w:rsidRDefault="00FD7C0C" w:rsidP="001B7699">
            <w:pPr>
              <w:suppressAutoHyphens/>
              <w:rPr>
                <w:noProof/>
                <w:szCs w:val="22"/>
              </w:rPr>
            </w:pPr>
            <w:r w:rsidRPr="0063119B">
              <w:rPr>
                <w:noProof/>
                <w:szCs w:val="22"/>
              </w:rPr>
              <w:t>Taquicardia</w:t>
            </w:r>
          </w:p>
        </w:tc>
        <w:tc>
          <w:tcPr>
            <w:tcW w:w="1756" w:type="dxa"/>
          </w:tcPr>
          <w:p w14:paraId="028BF3E9" w14:textId="77777777" w:rsidR="00FD7C0C" w:rsidRPr="0063119B" w:rsidRDefault="00FD7C0C" w:rsidP="001B7699">
            <w:pPr>
              <w:suppressAutoHyphens/>
              <w:rPr>
                <w:noProof/>
                <w:szCs w:val="22"/>
              </w:rPr>
            </w:pPr>
          </w:p>
        </w:tc>
        <w:tc>
          <w:tcPr>
            <w:tcW w:w="1853" w:type="dxa"/>
          </w:tcPr>
          <w:p w14:paraId="4E18DE3A" w14:textId="77777777" w:rsidR="00FD7C0C" w:rsidRPr="0063119B" w:rsidRDefault="00FD7C0C" w:rsidP="001B7699">
            <w:pPr>
              <w:suppressAutoHyphens/>
              <w:rPr>
                <w:noProof/>
                <w:szCs w:val="22"/>
              </w:rPr>
            </w:pPr>
          </w:p>
        </w:tc>
        <w:tc>
          <w:tcPr>
            <w:tcW w:w="1847" w:type="dxa"/>
          </w:tcPr>
          <w:p w14:paraId="2B1233D6" w14:textId="77777777" w:rsidR="00FD7C0C" w:rsidRPr="0063119B" w:rsidRDefault="00FD7C0C" w:rsidP="001B7699">
            <w:pPr>
              <w:suppressAutoHyphens/>
              <w:rPr>
                <w:noProof/>
                <w:szCs w:val="22"/>
              </w:rPr>
            </w:pPr>
          </w:p>
        </w:tc>
      </w:tr>
      <w:tr w:rsidR="00FD7C0C" w:rsidRPr="0063119B" w14:paraId="693C1A1B" w14:textId="77777777" w:rsidTr="00D733A1">
        <w:tc>
          <w:tcPr>
            <w:tcW w:w="5576" w:type="dxa"/>
            <w:gridSpan w:val="3"/>
          </w:tcPr>
          <w:p w14:paraId="703C92D8" w14:textId="77777777" w:rsidR="00FD7C0C" w:rsidRPr="0063119B" w:rsidRDefault="00FD7C0C" w:rsidP="001B7699">
            <w:pPr>
              <w:suppressAutoHyphens/>
              <w:rPr>
                <w:b/>
                <w:noProof/>
                <w:szCs w:val="22"/>
              </w:rPr>
            </w:pPr>
            <w:r w:rsidRPr="0063119B">
              <w:rPr>
                <w:b/>
                <w:noProof/>
                <w:szCs w:val="22"/>
              </w:rPr>
              <w:t>Vasculopatias</w:t>
            </w:r>
          </w:p>
        </w:tc>
        <w:tc>
          <w:tcPr>
            <w:tcW w:w="1853" w:type="dxa"/>
          </w:tcPr>
          <w:p w14:paraId="5EDA6C91" w14:textId="77777777" w:rsidR="00FD7C0C" w:rsidRPr="0063119B" w:rsidRDefault="00FD7C0C" w:rsidP="001B7699">
            <w:pPr>
              <w:suppressAutoHyphens/>
              <w:rPr>
                <w:b/>
                <w:noProof/>
                <w:szCs w:val="22"/>
              </w:rPr>
            </w:pPr>
          </w:p>
        </w:tc>
        <w:tc>
          <w:tcPr>
            <w:tcW w:w="1847" w:type="dxa"/>
          </w:tcPr>
          <w:p w14:paraId="7C83D981" w14:textId="77777777" w:rsidR="00FD7C0C" w:rsidRPr="0063119B" w:rsidRDefault="00FD7C0C" w:rsidP="001B7699">
            <w:pPr>
              <w:suppressAutoHyphens/>
              <w:rPr>
                <w:b/>
                <w:noProof/>
                <w:szCs w:val="22"/>
              </w:rPr>
            </w:pPr>
          </w:p>
        </w:tc>
      </w:tr>
      <w:tr w:rsidR="00FD7C0C" w:rsidRPr="0063119B" w14:paraId="643E98D1" w14:textId="77777777" w:rsidTr="00D733A1">
        <w:tc>
          <w:tcPr>
            <w:tcW w:w="1978" w:type="dxa"/>
          </w:tcPr>
          <w:p w14:paraId="41C25B8B" w14:textId="77777777" w:rsidR="00FD7C0C" w:rsidRPr="0063119B" w:rsidRDefault="00FD7C0C" w:rsidP="001B7699">
            <w:pPr>
              <w:suppressAutoHyphens/>
              <w:rPr>
                <w:b/>
                <w:noProof/>
                <w:szCs w:val="22"/>
              </w:rPr>
            </w:pPr>
            <w:r w:rsidRPr="0063119B">
              <w:rPr>
                <w:noProof/>
                <w:szCs w:val="22"/>
              </w:rPr>
              <w:t>Hipotensão, hematoma</w:t>
            </w:r>
          </w:p>
        </w:tc>
        <w:tc>
          <w:tcPr>
            <w:tcW w:w="1842" w:type="dxa"/>
          </w:tcPr>
          <w:p w14:paraId="583EC640" w14:textId="77777777" w:rsidR="00FD7C0C" w:rsidRPr="0063119B" w:rsidRDefault="00FD7C0C" w:rsidP="001B7699">
            <w:pPr>
              <w:suppressAutoHyphens/>
              <w:rPr>
                <w:b/>
                <w:noProof/>
                <w:szCs w:val="22"/>
              </w:rPr>
            </w:pPr>
          </w:p>
        </w:tc>
        <w:tc>
          <w:tcPr>
            <w:tcW w:w="1756" w:type="dxa"/>
          </w:tcPr>
          <w:p w14:paraId="7B486E85" w14:textId="77777777" w:rsidR="00FD7C0C" w:rsidRPr="0063119B" w:rsidRDefault="00FD7C0C" w:rsidP="001B7699">
            <w:pPr>
              <w:suppressAutoHyphens/>
              <w:rPr>
                <w:b/>
                <w:noProof/>
                <w:szCs w:val="22"/>
              </w:rPr>
            </w:pPr>
          </w:p>
        </w:tc>
        <w:tc>
          <w:tcPr>
            <w:tcW w:w="1853" w:type="dxa"/>
          </w:tcPr>
          <w:p w14:paraId="24C4EC63" w14:textId="77777777" w:rsidR="00FD7C0C" w:rsidRPr="0063119B" w:rsidRDefault="00FD7C0C" w:rsidP="001B7699">
            <w:pPr>
              <w:suppressAutoHyphens/>
              <w:rPr>
                <w:b/>
                <w:noProof/>
                <w:szCs w:val="22"/>
              </w:rPr>
            </w:pPr>
          </w:p>
        </w:tc>
        <w:tc>
          <w:tcPr>
            <w:tcW w:w="1847" w:type="dxa"/>
          </w:tcPr>
          <w:p w14:paraId="31AD6669" w14:textId="77777777" w:rsidR="00FD7C0C" w:rsidRPr="0063119B" w:rsidRDefault="00FD7C0C" w:rsidP="001B7699">
            <w:pPr>
              <w:suppressAutoHyphens/>
              <w:rPr>
                <w:b/>
                <w:noProof/>
                <w:szCs w:val="22"/>
              </w:rPr>
            </w:pPr>
          </w:p>
        </w:tc>
      </w:tr>
      <w:tr w:rsidR="00A8274C" w:rsidRPr="0063119B" w14:paraId="601CB806" w14:textId="77777777" w:rsidTr="009934BB">
        <w:tc>
          <w:tcPr>
            <w:tcW w:w="9276" w:type="dxa"/>
            <w:gridSpan w:val="5"/>
          </w:tcPr>
          <w:p w14:paraId="50797F7D" w14:textId="77777777" w:rsidR="00A8274C" w:rsidRPr="0063119B" w:rsidRDefault="00A8274C" w:rsidP="001B7699">
            <w:pPr>
              <w:suppressAutoHyphens/>
              <w:rPr>
                <w:b/>
                <w:noProof/>
                <w:szCs w:val="22"/>
              </w:rPr>
            </w:pPr>
            <w:r w:rsidRPr="0063119B">
              <w:rPr>
                <w:b/>
                <w:noProof/>
                <w:szCs w:val="22"/>
              </w:rPr>
              <w:t>Doenças respiratórias, torácicas e do mediastino</w:t>
            </w:r>
          </w:p>
        </w:tc>
      </w:tr>
      <w:tr w:rsidR="00FD7C0C" w:rsidRPr="0063119B" w14:paraId="098ABDFC" w14:textId="77777777" w:rsidTr="00D733A1">
        <w:tc>
          <w:tcPr>
            <w:tcW w:w="1978" w:type="dxa"/>
          </w:tcPr>
          <w:p w14:paraId="48CCA14F" w14:textId="77777777" w:rsidR="00FD7C0C" w:rsidRPr="0063119B" w:rsidRDefault="00FD7C0C" w:rsidP="001B7699">
            <w:pPr>
              <w:suppressAutoHyphens/>
              <w:rPr>
                <w:noProof/>
                <w:szCs w:val="22"/>
              </w:rPr>
            </w:pPr>
            <w:r w:rsidRPr="0063119B">
              <w:rPr>
                <w:noProof/>
                <w:szCs w:val="22"/>
              </w:rPr>
              <w:t xml:space="preserve">Epistaxe, </w:t>
            </w:r>
          </w:p>
          <w:p w14:paraId="6D553973" w14:textId="77777777" w:rsidR="00FD7C0C" w:rsidRPr="0063119B" w:rsidRDefault="00FD7C0C" w:rsidP="00065B4F">
            <w:pPr>
              <w:suppressAutoHyphens/>
              <w:rPr>
                <w:noProof/>
                <w:szCs w:val="22"/>
              </w:rPr>
            </w:pPr>
            <w:r w:rsidRPr="0063119B">
              <w:rPr>
                <w:noProof/>
                <w:szCs w:val="22"/>
              </w:rPr>
              <w:t>hemoptise</w:t>
            </w:r>
          </w:p>
        </w:tc>
        <w:tc>
          <w:tcPr>
            <w:tcW w:w="1842" w:type="dxa"/>
          </w:tcPr>
          <w:p w14:paraId="7989E43D" w14:textId="77777777" w:rsidR="00FD7C0C" w:rsidRPr="0063119B" w:rsidRDefault="00FD7C0C" w:rsidP="001B7699">
            <w:pPr>
              <w:suppressAutoHyphens/>
              <w:rPr>
                <w:noProof/>
                <w:szCs w:val="22"/>
              </w:rPr>
            </w:pPr>
          </w:p>
        </w:tc>
        <w:tc>
          <w:tcPr>
            <w:tcW w:w="1756" w:type="dxa"/>
          </w:tcPr>
          <w:p w14:paraId="3A05F4EB" w14:textId="77777777" w:rsidR="00FD7C0C" w:rsidRPr="0063119B" w:rsidRDefault="00FD7C0C" w:rsidP="001B7699">
            <w:pPr>
              <w:suppressAutoHyphens/>
              <w:rPr>
                <w:noProof/>
                <w:szCs w:val="22"/>
              </w:rPr>
            </w:pPr>
          </w:p>
        </w:tc>
        <w:tc>
          <w:tcPr>
            <w:tcW w:w="1853" w:type="dxa"/>
          </w:tcPr>
          <w:p w14:paraId="11919F7C" w14:textId="3E9C7F3E" w:rsidR="00FD7C0C" w:rsidRPr="0063119B" w:rsidRDefault="000536F1" w:rsidP="001B7699">
            <w:pPr>
              <w:suppressAutoHyphens/>
              <w:rPr>
                <w:noProof/>
                <w:szCs w:val="22"/>
              </w:rPr>
            </w:pPr>
            <w:r>
              <w:t>Pneumonia eosinofílica</w:t>
            </w:r>
          </w:p>
        </w:tc>
        <w:tc>
          <w:tcPr>
            <w:tcW w:w="1847" w:type="dxa"/>
          </w:tcPr>
          <w:p w14:paraId="1AA00FCC" w14:textId="77777777" w:rsidR="00FD7C0C" w:rsidRPr="0063119B" w:rsidRDefault="00FD7C0C" w:rsidP="001B7699">
            <w:pPr>
              <w:suppressAutoHyphens/>
              <w:rPr>
                <w:noProof/>
                <w:szCs w:val="22"/>
              </w:rPr>
            </w:pPr>
          </w:p>
        </w:tc>
      </w:tr>
      <w:tr w:rsidR="00FD7C0C" w:rsidRPr="0063119B" w14:paraId="05D5EDBB" w14:textId="77777777" w:rsidTr="00D733A1">
        <w:tc>
          <w:tcPr>
            <w:tcW w:w="5576" w:type="dxa"/>
            <w:gridSpan w:val="3"/>
          </w:tcPr>
          <w:p w14:paraId="2AA71ADB" w14:textId="77777777" w:rsidR="00FD7C0C" w:rsidRPr="0063119B" w:rsidRDefault="00FD7C0C" w:rsidP="001B7699">
            <w:pPr>
              <w:suppressAutoHyphens/>
              <w:rPr>
                <w:b/>
                <w:noProof/>
                <w:szCs w:val="22"/>
              </w:rPr>
            </w:pPr>
            <w:r w:rsidRPr="0063119B">
              <w:rPr>
                <w:b/>
                <w:noProof/>
                <w:szCs w:val="22"/>
              </w:rPr>
              <w:t>Doenças gastrointestinais</w:t>
            </w:r>
          </w:p>
        </w:tc>
        <w:tc>
          <w:tcPr>
            <w:tcW w:w="1853" w:type="dxa"/>
          </w:tcPr>
          <w:p w14:paraId="67BE00C6" w14:textId="77777777" w:rsidR="00FD7C0C" w:rsidRPr="0063119B" w:rsidRDefault="00FD7C0C" w:rsidP="001B7699">
            <w:pPr>
              <w:suppressAutoHyphens/>
              <w:rPr>
                <w:b/>
                <w:noProof/>
                <w:szCs w:val="22"/>
              </w:rPr>
            </w:pPr>
          </w:p>
        </w:tc>
        <w:tc>
          <w:tcPr>
            <w:tcW w:w="1847" w:type="dxa"/>
          </w:tcPr>
          <w:p w14:paraId="7F309520" w14:textId="77777777" w:rsidR="00FD7C0C" w:rsidRPr="0063119B" w:rsidRDefault="00FD7C0C" w:rsidP="001B7699">
            <w:pPr>
              <w:suppressAutoHyphens/>
              <w:rPr>
                <w:b/>
                <w:noProof/>
                <w:szCs w:val="22"/>
              </w:rPr>
            </w:pPr>
          </w:p>
        </w:tc>
      </w:tr>
      <w:tr w:rsidR="00FD7C0C" w:rsidRPr="0063119B" w14:paraId="1C3F4E1E" w14:textId="77777777" w:rsidTr="00D733A1">
        <w:tc>
          <w:tcPr>
            <w:tcW w:w="1978" w:type="dxa"/>
          </w:tcPr>
          <w:p w14:paraId="7B0DD135" w14:textId="77777777" w:rsidR="00FD7C0C" w:rsidRPr="0063119B" w:rsidRDefault="00FD7C0C" w:rsidP="001B7699">
            <w:pPr>
              <w:suppressAutoHyphens/>
              <w:rPr>
                <w:noProof/>
                <w:szCs w:val="22"/>
                <w:vertAlign w:val="superscript"/>
              </w:rPr>
            </w:pPr>
            <w:r w:rsidRPr="0063119B">
              <w:rPr>
                <w:noProof/>
                <w:szCs w:val="22"/>
              </w:rPr>
              <w:t>Hemorragia gengival, hemorragia do trato gastrointestinal (incl. hemorragia retal), dores gastrointestinais e abdominais, dispepsia, náuseas, obstipação</w:t>
            </w:r>
            <w:r w:rsidRPr="0063119B">
              <w:rPr>
                <w:noProof/>
                <w:szCs w:val="22"/>
                <w:vertAlign w:val="superscript"/>
              </w:rPr>
              <w:t>A</w:t>
            </w:r>
            <w:r w:rsidRPr="0063119B">
              <w:rPr>
                <w:noProof/>
                <w:szCs w:val="22"/>
              </w:rPr>
              <w:t>, diarreia, vómitos</w:t>
            </w:r>
            <w:r w:rsidRPr="0063119B">
              <w:rPr>
                <w:noProof/>
                <w:szCs w:val="22"/>
                <w:vertAlign w:val="superscript"/>
              </w:rPr>
              <w:t>A</w:t>
            </w:r>
          </w:p>
        </w:tc>
        <w:tc>
          <w:tcPr>
            <w:tcW w:w="1842" w:type="dxa"/>
          </w:tcPr>
          <w:p w14:paraId="5C1FD9E2" w14:textId="77777777" w:rsidR="00FD7C0C" w:rsidRPr="0063119B" w:rsidRDefault="00FD7C0C" w:rsidP="001B7699">
            <w:pPr>
              <w:suppressAutoHyphens/>
              <w:rPr>
                <w:noProof/>
                <w:szCs w:val="22"/>
              </w:rPr>
            </w:pPr>
            <w:r w:rsidRPr="0063119B">
              <w:rPr>
                <w:noProof/>
                <w:szCs w:val="22"/>
              </w:rPr>
              <w:t>Xerostomia</w:t>
            </w:r>
          </w:p>
        </w:tc>
        <w:tc>
          <w:tcPr>
            <w:tcW w:w="1756" w:type="dxa"/>
          </w:tcPr>
          <w:p w14:paraId="4CF6A837" w14:textId="77777777" w:rsidR="00FD7C0C" w:rsidRPr="0063119B" w:rsidRDefault="00FD7C0C" w:rsidP="001B7699">
            <w:pPr>
              <w:suppressAutoHyphens/>
              <w:rPr>
                <w:noProof/>
                <w:szCs w:val="22"/>
              </w:rPr>
            </w:pPr>
          </w:p>
        </w:tc>
        <w:tc>
          <w:tcPr>
            <w:tcW w:w="1853" w:type="dxa"/>
          </w:tcPr>
          <w:p w14:paraId="2DA01C26" w14:textId="77777777" w:rsidR="00FD7C0C" w:rsidRPr="0063119B" w:rsidRDefault="00FD7C0C" w:rsidP="001B7699">
            <w:pPr>
              <w:suppressAutoHyphens/>
              <w:rPr>
                <w:noProof/>
                <w:szCs w:val="22"/>
              </w:rPr>
            </w:pPr>
          </w:p>
        </w:tc>
        <w:tc>
          <w:tcPr>
            <w:tcW w:w="1847" w:type="dxa"/>
          </w:tcPr>
          <w:p w14:paraId="7264B34C" w14:textId="77777777" w:rsidR="00FD7C0C" w:rsidRPr="0063119B" w:rsidRDefault="00FD7C0C" w:rsidP="001B7699">
            <w:pPr>
              <w:suppressAutoHyphens/>
              <w:rPr>
                <w:noProof/>
                <w:szCs w:val="22"/>
              </w:rPr>
            </w:pPr>
          </w:p>
        </w:tc>
      </w:tr>
      <w:tr w:rsidR="00FD7C0C" w:rsidRPr="0063119B" w14:paraId="0B71FC30" w14:textId="77777777" w:rsidTr="00D733A1">
        <w:tc>
          <w:tcPr>
            <w:tcW w:w="5576" w:type="dxa"/>
            <w:gridSpan w:val="3"/>
          </w:tcPr>
          <w:p w14:paraId="43A490C4" w14:textId="77777777" w:rsidR="00FD7C0C" w:rsidRPr="0063119B" w:rsidRDefault="00FD7C0C" w:rsidP="00A9161F">
            <w:pPr>
              <w:keepNext/>
              <w:suppressAutoHyphens/>
              <w:rPr>
                <w:b/>
                <w:noProof/>
                <w:szCs w:val="22"/>
              </w:rPr>
            </w:pPr>
            <w:r w:rsidRPr="0063119B">
              <w:rPr>
                <w:b/>
                <w:noProof/>
                <w:szCs w:val="22"/>
              </w:rPr>
              <w:t>Afeções hepatobiliares</w:t>
            </w:r>
          </w:p>
        </w:tc>
        <w:tc>
          <w:tcPr>
            <w:tcW w:w="1853" w:type="dxa"/>
          </w:tcPr>
          <w:p w14:paraId="1B528E11" w14:textId="77777777" w:rsidR="00FD7C0C" w:rsidRPr="0063119B" w:rsidRDefault="00FD7C0C" w:rsidP="001B7699">
            <w:pPr>
              <w:suppressAutoHyphens/>
              <w:rPr>
                <w:b/>
                <w:noProof/>
                <w:szCs w:val="22"/>
              </w:rPr>
            </w:pPr>
          </w:p>
        </w:tc>
        <w:tc>
          <w:tcPr>
            <w:tcW w:w="1847" w:type="dxa"/>
          </w:tcPr>
          <w:p w14:paraId="4920D401" w14:textId="77777777" w:rsidR="00FD7C0C" w:rsidRPr="0063119B" w:rsidRDefault="00FD7C0C" w:rsidP="001B7699">
            <w:pPr>
              <w:suppressAutoHyphens/>
              <w:rPr>
                <w:b/>
                <w:noProof/>
                <w:szCs w:val="22"/>
              </w:rPr>
            </w:pPr>
          </w:p>
        </w:tc>
      </w:tr>
      <w:tr w:rsidR="00FD7C0C" w:rsidRPr="0063119B" w14:paraId="1AB760CD" w14:textId="77777777" w:rsidTr="00D733A1">
        <w:tc>
          <w:tcPr>
            <w:tcW w:w="1978" w:type="dxa"/>
          </w:tcPr>
          <w:p w14:paraId="2EE47E67" w14:textId="77777777" w:rsidR="00FD7C0C" w:rsidRPr="0063119B" w:rsidRDefault="00A8274C" w:rsidP="001B7699">
            <w:pPr>
              <w:suppressAutoHyphens/>
              <w:rPr>
                <w:noProof/>
                <w:szCs w:val="22"/>
              </w:rPr>
            </w:pPr>
            <w:r w:rsidRPr="0063119B">
              <w:rPr>
                <w:noProof/>
                <w:szCs w:val="22"/>
              </w:rPr>
              <w:t>Aumento das transaminases</w:t>
            </w:r>
          </w:p>
        </w:tc>
        <w:tc>
          <w:tcPr>
            <w:tcW w:w="1842" w:type="dxa"/>
          </w:tcPr>
          <w:p w14:paraId="0ED1FB68" w14:textId="77777777" w:rsidR="00A8274C" w:rsidRPr="0063119B" w:rsidRDefault="00FD7C0C" w:rsidP="001B7699">
            <w:pPr>
              <w:suppressAutoHyphens/>
              <w:rPr>
                <w:noProof/>
                <w:szCs w:val="22"/>
              </w:rPr>
            </w:pPr>
            <w:r w:rsidRPr="0063119B">
              <w:rPr>
                <w:noProof/>
                <w:szCs w:val="22"/>
              </w:rPr>
              <w:t>Compromisso hepático</w:t>
            </w:r>
            <w:r w:rsidR="00A8274C" w:rsidRPr="0063119B">
              <w:rPr>
                <w:noProof/>
                <w:szCs w:val="22"/>
              </w:rPr>
              <w:t xml:space="preserve">, </w:t>
            </w:r>
            <w:r w:rsidR="00A8274C" w:rsidRPr="0063119B">
              <w:rPr>
                <w:szCs w:val="22"/>
              </w:rPr>
              <w:t>Aumento da bilirrubina, aumento da fosfatase alcalina sérica</w:t>
            </w:r>
            <w:r w:rsidR="00A8274C" w:rsidRPr="0063119B">
              <w:rPr>
                <w:szCs w:val="22"/>
                <w:vertAlign w:val="superscript"/>
              </w:rPr>
              <w:t>A</w:t>
            </w:r>
            <w:r w:rsidR="00A8274C" w:rsidRPr="0063119B">
              <w:rPr>
                <w:szCs w:val="22"/>
              </w:rPr>
              <w:t>, aumento da GGT</w:t>
            </w:r>
            <w:r w:rsidR="00A8274C" w:rsidRPr="0063119B">
              <w:rPr>
                <w:szCs w:val="22"/>
                <w:vertAlign w:val="superscript"/>
              </w:rPr>
              <w:t>A</w:t>
            </w:r>
          </w:p>
        </w:tc>
        <w:tc>
          <w:tcPr>
            <w:tcW w:w="1756" w:type="dxa"/>
          </w:tcPr>
          <w:p w14:paraId="28A66AEC" w14:textId="77777777" w:rsidR="00FD7C0C" w:rsidRPr="0063119B" w:rsidRDefault="00FD7C0C" w:rsidP="00AE1814">
            <w:pPr>
              <w:suppressAutoHyphens/>
              <w:rPr>
                <w:b/>
                <w:noProof/>
                <w:szCs w:val="22"/>
              </w:rPr>
            </w:pPr>
            <w:r w:rsidRPr="0063119B">
              <w:rPr>
                <w:noProof/>
                <w:szCs w:val="22"/>
              </w:rPr>
              <w:t>Icterícia</w:t>
            </w:r>
            <w:r w:rsidR="00A8274C" w:rsidRPr="0063119B">
              <w:rPr>
                <w:noProof/>
                <w:szCs w:val="22"/>
              </w:rPr>
              <w:t xml:space="preserve">, </w:t>
            </w:r>
            <w:r w:rsidR="00A8274C" w:rsidRPr="0063119B">
              <w:rPr>
                <w:szCs w:val="22"/>
              </w:rPr>
              <w:t>Bilirrubina conjugada aumentada (co</w:t>
            </w:r>
            <w:r w:rsidR="00380D79" w:rsidRPr="0063119B">
              <w:rPr>
                <w:szCs w:val="22"/>
              </w:rPr>
              <w:t>m ou sem aumento concomitante da</w:t>
            </w:r>
            <w:r w:rsidR="00A8274C" w:rsidRPr="0063119B">
              <w:rPr>
                <w:szCs w:val="22"/>
              </w:rPr>
              <w:t xml:space="preserve"> ALT)</w:t>
            </w:r>
            <w:r w:rsidR="00BA7F7B" w:rsidRPr="0063119B">
              <w:rPr>
                <w:szCs w:val="22"/>
              </w:rPr>
              <w:t>,</w:t>
            </w:r>
            <w:r w:rsidR="00BA7F7B" w:rsidRPr="0063119B">
              <w:rPr>
                <w:szCs w:val="22"/>
              </w:rPr>
              <w:br/>
              <w:t>Colestase, Hepatite (incl.</w:t>
            </w:r>
            <w:r w:rsidR="00AE1814" w:rsidRPr="0063119B">
              <w:rPr>
                <w:szCs w:val="22"/>
              </w:rPr>
              <w:t xml:space="preserve"> Lesão </w:t>
            </w:r>
            <w:r w:rsidR="00A8274C" w:rsidRPr="0063119B">
              <w:rPr>
                <w:szCs w:val="22"/>
              </w:rPr>
              <w:t>hepatocelular)</w:t>
            </w:r>
          </w:p>
        </w:tc>
        <w:tc>
          <w:tcPr>
            <w:tcW w:w="1853" w:type="dxa"/>
          </w:tcPr>
          <w:p w14:paraId="1360A4AC" w14:textId="77777777" w:rsidR="00FD7C0C" w:rsidRPr="0063119B" w:rsidRDefault="00FD7C0C" w:rsidP="001B7699">
            <w:pPr>
              <w:suppressAutoHyphens/>
              <w:rPr>
                <w:b/>
                <w:noProof/>
                <w:szCs w:val="22"/>
              </w:rPr>
            </w:pPr>
          </w:p>
        </w:tc>
        <w:tc>
          <w:tcPr>
            <w:tcW w:w="1847" w:type="dxa"/>
          </w:tcPr>
          <w:p w14:paraId="7D9A1227" w14:textId="77777777" w:rsidR="00FD7C0C" w:rsidRPr="0063119B" w:rsidRDefault="00FD7C0C" w:rsidP="001B7699">
            <w:pPr>
              <w:suppressAutoHyphens/>
              <w:rPr>
                <w:b/>
                <w:noProof/>
                <w:szCs w:val="22"/>
              </w:rPr>
            </w:pPr>
          </w:p>
        </w:tc>
      </w:tr>
      <w:tr w:rsidR="00A8274C" w:rsidRPr="0063119B" w14:paraId="6790FC80" w14:textId="77777777" w:rsidTr="009934BB">
        <w:tc>
          <w:tcPr>
            <w:tcW w:w="9276" w:type="dxa"/>
            <w:gridSpan w:val="5"/>
          </w:tcPr>
          <w:p w14:paraId="08094B0E" w14:textId="77777777" w:rsidR="00A8274C" w:rsidRPr="0063119B" w:rsidRDefault="00A8274C" w:rsidP="001B7699">
            <w:pPr>
              <w:keepNext/>
              <w:suppressAutoHyphens/>
              <w:rPr>
                <w:b/>
                <w:noProof/>
                <w:szCs w:val="22"/>
              </w:rPr>
            </w:pPr>
            <w:r w:rsidRPr="0063119B">
              <w:rPr>
                <w:b/>
                <w:noProof/>
                <w:szCs w:val="22"/>
              </w:rPr>
              <w:t>Afeções dos tecidos cutâneos e subcutâneos</w:t>
            </w:r>
          </w:p>
        </w:tc>
      </w:tr>
      <w:tr w:rsidR="00FD7C0C" w:rsidRPr="0063119B" w14:paraId="0418CAAE" w14:textId="77777777" w:rsidTr="00D733A1">
        <w:tc>
          <w:tcPr>
            <w:tcW w:w="1978" w:type="dxa"/>
          </w:tcPr>
          <w:p w14:paraId="40339EFB" w14:textId="77777777" w:rsidR="00FD7C0C" w:rsidRPr="0063119B" w:rsidRDefault="00FD7C0C" w:rsidP="001B7699">
            <w:pPr>
              <w:keepNext/>
              <w:suppressAutoHyphens/>
              <w:rPr>
                <w:noProof/>
                <w:szCs w:val="22"/>
              </w:rPr>
            </w:pPr>
            <w:r w:rsidRPr="0063119B">
              <w:rPr>
                <w:noProof/>
                <w:szCs w:val="22"/>
              </w:rPr>
              <w:t>Prurido (incl. casos pouco frequentes de prurido generalizado), exantema cutâneo, equimose, hemorragia cutânea e subcutânea</w:t>
            </w:r>
          </w:p>
        </w:tc>
        <w:tc>
          <w:tcPr>
            <w:tcW w:w="1842" w:type="dxa"/>
          </w:tcPr>
          <w:p w14:paraId="1766CCEA" w14:textId="77777777" w:rsidR="00FD7C0C" w:rsidRPr="0063119B" w:rsidRDefault="00FD7C0C" w:rsidP="001B7699">
            <w:pPr>
              <w:keepNext/>
              <w:suppressAutoHyphens/>
              <w:rPr>
                <w:noProof/>
                <w:szCs w:val="22"/>
              </w:rPr>
            </w:pPr>
            <w:r w:rsidRPr="0063119B">
              <w:rPr>
                <w:noProof/>
                <w:szCs w:val="22"/>
              </w:rPr>
              <w:t>Urticária</w:t>
            </w:r>
          </w:p>
        </w:tc>
        <w:tc>
          <w:tcPr>
            <w:tcW w:w="1756" w:type="dxa"/>
          </w:tcPr>
          <w:p w14:paraId="5DCFFCA8" w14:textId="77777777" w:rsidR="00FD7C0C" w:rsidRPr="0063119B" w:rsidRDefault="00FD7C0C" w:rsidP="001B7699">
            <w:pPr>
              <w:keepNext/>
              <w:suppressAutoHyphens/>
              <w:rPr>
                <w:noProof/>
                <w:szCs w:val="22"/>
              </w:rPr>
            </w:pPr>
          </w:p>
        </w:tc>
        <w:tc>
          <w:tcPr>
            <w:tcW w:w="1853" w:type="dxa"/>
          </w:tcPr>
          <w:p w14:paraId="0F1C9618" w14:textId="77777777" w:rsidR="00AE1814" w:rsidRPr="0063119B" w:rsidRDefault="005E57C6" w:rsidP="001B7699">
            <w:pPr>
              <w:keepNext/>
              <w:suppressAutoHyphens/>
              <w:rPr>
                <w:szCs w:val="22"/>
              </w:rPr>
            </w:pPr>
            <w:r w:rsidRPr="0063119B">
              <w:rPr>
                <w:szCs w:val="22"/>
              </w:rPr>
              <w:t>Síndrome de Stevens-Johnson/</w:t>
            </w:r>
            <w:r w:rsidR="00AE1814" w:rsidRPr="0063119B">
              <w:rPr>
                <w:szCs w:val="22"/>
              </w:rPr>
              <w:t xml:space="preserve"> Necrólise Epidérmica Tóxica,</w:t>
            </w:r>
          </w:p>
          <w:p w14:paraId="56B6E11F" w14:textId="77777777" w:rsidR="00FD7C0C" w:rsidRPr="0063119B" w:rsidRDefault="005E57C6" w:rsidP="001B7699">
            <w:pPr>
              <w:keepNext/>
              <w:suppressAutoHyphens/>
              <w:rPr>
                <w:noProof/>
                <w:szCs w:val="22"/>
              </w:rPr>
            </w:pPr>
            <w:r w:rsidRPr="0063119B">
              <w:rPr>
                <w:szCs w:val="22"/>
              </w:rPr>
              <w:t>Síndrome de DRESS</w:t>
            </w:r>
          </w:p>
        </w:tc>
        <w:tc>
          <w:tcPr>
            <w:tcW w:w="1847" w:type="dxa"/>
          </w:tcPr>
          <w:p w14:paraId="40E74A43" w14:textId="77777777" w:rsidR="00FD7C0C" w:rsidRPr="0063119B" w:rsidRDefault="00FD7C0C" w:rsidP="001B7699">
            <w:pPr>
              <w:keepNext/>
              <w:suppressAutoHyphens/>
              <w:rPr>
                <w:noProof/>
                <w:szCs w:val="22"/>
              </w:rPr>
            </w:pPr>
          </w:p>
        </w:tc>
      </w:tr>
      <w:tr w:rsidR="00A8274C" w:rsidRPr="0063119B" w14:paraId="726AEE6E" w14:textId="77777777" w:rsidTr="009934BB">
        <w:tc>
          <w:tcPr>
            <w:tcW w:w="9276" w:type="dxa"/>
            <w:gridSpan w:val="5"/>
          </w:tcPr>
          <w:p w14:paraId="46241CA0" w14:textId="77777777" w:rsidR="00A8274C" w:rsidRPr="0063119B" w:rsidRDefault="00A8274C" w:rsidP="001B7699">
            <w:pPr>
              <w:suppressAutoHyphens/>
              <w:rPr>
                <w:b/>
                <w:noProof/>
                <w:szCs w:val="22"/>
              </w:rPr>
            </w:pPr>
            <w:r w:rsidRPr="0063119B">
              <w:rPr>
                <w:b/>
                <w:noProof/>
                <w:szCs w:val="22"/>
              </w:rPr>
              <w:t xml:space="preserve">Afeções musculosqueléticas e dos tecidos conjuntivos </w:t>
            </w:r>
          </w:p>
        </w:tc>
      </w:tr>
      <w:tr w:rsidR="00FD7C0C" w:rsidRPr="0063119B" w14:paraId="169A133A" w14:textId="77777777" w:rsidTr="00D733A1">
        <w:tc>
          <w:tcPr>
            <w:tcW w:w="1978" w:type="dxa"/>
          </w:tcPr>
          <w:p w14:paraId="0B49D6AB" w14:textId="77777777" w:rsidR="00FD7C0C" w:rsidRPr="0063119B" w:rsidRDefault="00FD7C0C" w:rsidP="001B7699">
            <w:pPr>
              <w:suppressAutoHyphens/>
              <w:rPr>
                <w:noProof/>
                <w:szCs w:val="22"/>
                <w:vertAlign w:val="superscript"/>
              </w:rPr>
            </w:pPr>
            <w:r w:rsidRPr="0063119B">
              <w:rPr>
                <w:noProof/>
                <w:szCs w:val="22"/>
              </w:rPr>
              <w:t>Dor nas extremidades</w:t>
            </w:r>
            <w:r w:rsidRPr="0063119B">
              <w:rPr>
                <w:noProof/>
                <w:szCs w:val="22"/>
                <w:vertAlign w:val="superscript"/>
              </w:rPr>
              <w:t>A</w:t>
            </w:r>
          </w:p>
        </w:tc>
        <w:tc>
          <w:tcPr>
            <w:tcW w:w="1842" w:type="dxa"/>
          </w:tcPr>
          <w:p w14:paraId="2ABD1665" w14:textId="77777777" w:rsidR="00FD7C0C" w:rsidRPr="0063119B" w:rsidRDefault="00FD7C0C" w:rsidP="001B7699">
            <w:pPr>
              <w:suppressAutoHyphens/>
              <w:rPr>
                <w:noProof/>
                <w:szCs w:val="22"/>
              </w:rPr>
            </w:pPr>
            <w:r w:rsidRPr="0063119B">
              <w:rPr>
                <w:noProof/>
                <w:szCs w:val="22"/>
              </w:rPr>
              <w:t>Hemartrose</w:t>
            </w:r>
          </w:p>
        </w:tc>
        <w:tc>
          <w:tcPr>
            <w:tcW w:w="1756" w:type="dxa"/>
          </w:tcPr>
          <w:p w14:paraId="3310E3FA" w14:textId="77777777" w:rsidR="00FD7C0C" w:rsidRPr="0063119B" w:rsidRDefault="00FD7C0C" w:rsidP="001B7699">
            <w:pPr>
              <w:suppressAutoHyphens/>
              <w:rPr>
                <w:noProof/>
                <w:szCs w:val="22"/>
              </w:rPr>
            </w:pPr>
            <w:r w:rsidRPr="0063119B">
              <w:rPr>
                <w:noProof/>
                <w:szCs w:val="22"/>
              </w:rPr>
              <w:t>Hemorragia muscular</w:t>
            </w:r>
          </w:p>
        </w:tc>
        <w:tc>
          <w:tcPr>
            <w:tcW w:w="1853" w:type="dxa"/>
          </w:tcPr>
          <w:p w14:paraId="2A06CC02" w14:textId="77777777" w:rsidR="00FD7C0C" w:rsidRPr="0063119B" w:rsidRDefault="00FD7C0C" w:rsidP="001B7699">
            <w:pPr>
              <w:suppressAutoHyphens/>
              <w:rPr>
                <w:noProof/>
                <w:szCs w:val="22"/>
              </w:rPr>
            </w:pPr>
          </w:p>
        </w:tc>
        <w:tc>
          <w:tcPr>
            <w:tcW w:w="1847" w:type="dxa"/>
          </w:tcPr>
          <w:p w14:paraId="61CD2890" w14:textId="77777777" w:rsidR="00FD7C0C" w:rsidRPr="0063119B" w:rsidRDefault="00FD7C0C" w:rsidP="001B7699">
            <w:pPr>
              <w:suppressAutoHyphens/>
              <w:rPr>
                <w:noProof/>
                <w:szCs w:val="22"/>
              </w:rPr>
            </w:pPr>
            <w:r w:rsidRPr="0063119B">
              <w:rPr>
                <w:noProof/>
                <w:szCs w:val="22"/>
              </w:rPr>
              <w:t>Síndrome compartimental secundária a hemorragia</w:t>
            </w:r>
          </w:p>
        </w:tc>
      </w:tr>
      <w:tr w:rsidR="00FD7C0C" w:rsidRPr="0063119B" w14:paraId="123660B6" w14:textId="77777777" w:rsidTr="00D733A1">
        <w:tc>
          <w:tcPr>
            <w:tcW w:w="5576" w:type="dxa"/>
            <w:gridSpan w:val="3"/>
          </w:tcPr>
          <w:p w14:paraId="2FE055AA" w14:textId="77777777" w:rsidR="00FD7C0C" w:rsidRPr="0063119B" w:rsidRDefault="00FD7C0C" w:rsidP="001B7699">
            <w:pPr>
              <w:suppressAutoHyphens/>
              <w:rPr>
                <w:b/>
                <w:noProof/>
                <w:szCs w:val="22"/>
              </w:rPr>
            </w:pPr>
            <w:r w:rsidRPr="0063119B">
              <w:rPr>
                <w:b/>
                <w:noProof/>
                <w:szCs w:val="22"/>
              </w:rPr>
              <w:t>Doenças renais e urinárias</w:t>
            </w:r>
          </w:p>
        </w:tc>
        <w:tc>
          <w:tcPr>
            <w:tcW w:w="1853" w:type="dxa"/>
          </w:tcPr>
          <w:p w14:paraId="4C431A12" w14:textId="77777777" w:rsidR="00FD7C0C" w:rsidRPr="0063119B" w:rsidRDefault="00FD7C0C" w:rsidP="001B7699">
            <w:pPr>
              <w:suppressAutoHyphens/>
              <w:rPr>
                <w:b/>
                <w:noProof/>
                <w:szCs w:val="22"/>
              </w:rPr>
            </w:pPr>
          </w:p>
        </w:tc>
        <w:tc>
          <w:tcPr>
            <w:tcW w:w="1847" w:type="dxa"/>
          </w:tcPr>
          <w:p w14:paraId="454C1109" w14:textId="77777777" w:rsidR="00FD7C0C" w:rsidRPr="0063119B" w:rsidRDefault="00FD7C0C" w:rsidP="001B7699">
            <w:pPr>
              <w:suppressAutoHyphens/>
              <w:rPr>
                <w:b/>
                <w:noProof/>
                <w:szCs w:val="22"/>
              </w:rPr>
            </w:pPr>
          </w:p>
        </w:tc>
      </w:tr>
      <w:tr w:rsidR="00FD7C0C" w:rsidRPr="0063119B" w14:paraId="028C1B17" w14:textId="77777777" w:rsidTr="00D733A1">
        <w:tc>
          <w:tcPr>
            <w:tcW w:w="1978" w:type="dxa"/>
          </w:tcPr>
          <w:p w14:paraId="4B28E2CF" w14:textId="77777777" w:rsidR="00FD7C0C" w:rsidRPr="0063119B" w:rsidRDefault="00FD7C0C" w:rsidP="001B7699">
            <w:pPr>
              <w:suppressAutoHyphens/>
              <w:rPr>
                <w:noProof/>
                <w:szCs w:val="22"/>
              </w:rPr>
            </w:pPr>
            <w:r w:rsidRPr="0063119B">
              <w:rPr>
                <w:noProof/>
                <w:szCs w:val="22"/>
              </w:rPr>
              <w:t xml:space="preserve">Hemorragia do trato urogenital (incluindo </w:t>
            </w:r>
            <w:r w:rsidRPr="0063119B">
              <w:rPr>
                <w:noProof/>
                <w:szCs w:val="22"/>
              </w:rPr>
              <w:lastRenderedPageBreak/>
              <w:t>hematúria e menorragia</w:t>
            </w:r>
            <w:r w:rsidRPr="0063119B">
              <w:rPr>
                <w:noProof/>
                <w:szCs w:val="22"/>
                <w:vertAlign w:val="superscript"/>
              </w:rPr>
              <w:t>B</w:t>
            </w:r>
            <w:r w:rsidRPr="0063119B">
              <w:rPr>
                <w:noProof/>
                <w:szCs w:val="22"/>
              </w:rPr>
              <w:t xml:space="preserve">), </w:t>
            </w:r>
          </w:p>
          <w:p w14:paraId="7A91FDFB" w14:textId="77777777" w:rsidR="00FD7C0C" w:rsidRPr="0063119B" w:rsidRDefault="00FD7C0C" w:rsidP="001B7699">
            <w:pPr>
              <w:suppressAutoHyphens/>
              <w:rPr>
                <w:noProof/>
                <w:szCs w:val="22"/>
              </w:rPr>
            </w:pPr>
            <w:r w:rsidRPr="0063119B">
              <w:rPr>
                <w:noProof/>
                <w:szCs w:val="22"/>
              </w:rPr>
              <w:t>compromisso renal (incl. aumento da creatinina no sangue, aumento de ureia no sangue)</w:t>
            </w:r>
          </w:p>
        </w:tc>
        <w:tc>
          <w:tcPr>
            <w:tcW w:w="1842" w:type="dxa"/>
          </w:tcPr>
          <w:p w14:paraId="4DC97DC5" w14:textId="77777777" w:rsidR="00FD7C0C" w:rsidRPr="0063119B" w:rsidRDefault="00FD7C0C" w:rsidP="001B7699">
            <w:pPr>
              <w:suppressAutoHyphens/>
              <w:rPr>
                <w:b/>
                <w:noProof/>
                <w:szCs w:val="22"/>
                <w:vertAlign w:val="superscript"/>
              </w:rPr>
            </w:pPr>
          </w:p>
        </w:tc>
        <w:tc>
          <w:tcPr>
            <w:tcW w:w="1756" w:type="dxa"/>
          </w:tcPr>
          <w:p w14:paraId="45EAC482" w14:textId="77777777" w:rsidR="00FD7C0C" w:rsidRPr="0063119B" w:rsidRDefault="00FD7C0C" w:rsidP="001B7699">
            <w:pPr>
              <w:suppressAutoHyphens/>
              <w:rPr>
                <w:b/>
                <w:noProof/>
                <w:szCs w:val="22"/>
              </w:rPr>
            </w:pPr>
          </w:p>
        </w:tc>
        <w:tc>
          <w:tcPr>
            <w:tcW w:w="1853" w:type="dxa"/>
          </w:tcPr>
          <w:p w14:paraId="5A81962D" w14:textId="77777777" w:rsidR="00FD7C0C" w:rsidRPr="0063119B" w:rsidRDefault="00FD7C0C" w:rsidP="001B7699">
            <w:pPr>
              <w:suppressAutoHyphens/>
              <w:rPr>
                <w:noProof/>
                <w:szCs w:val="22"/>
              </w:rPr>
            </w:pPr>
          </w:p>
        </w:tc>
        <w:tc>
          <w:tcPr>
            <w:tcW w:w="1847" w:type="dxa"/>
          </w:tcPr>
          <w:p w14:paraId="0B096493" w14:textId="77777777" w:rsidR="00347A76" w:rsidRPr="00347A76" w:rsidRDefault="00FD7C0C" w:rsidP="00347A76">
            <w:pPr>
              <w:suppressAutoHyphens/>
              <w:rPr>
                <w:noProof/>
                <w:szCs w:val="22"/>
              </w:rPr>
            </w:pPr>
            <w:r w:rsidRPr="0063119B">
              <w:rPr>
                <w:noProof/>
                <w:szCs w:val="22"/>
              </w:rPr>
              <w:t xml:space="preserve">Insuficiência renal/insuficiência renal aguda secundária a </w:t>
            </w:r>
            <w:r w:rsidRPr="0063119B">
              <w:rPr>
                <w:noProof/>
                <w:szCs w:val="22"/>
              </w:rPr>
              <w:lastRenderedPageBreak/>
              <w:t>hemorragia suficiente para causar hipoperfusão</w:t>
            </w:r>
            <w:r w:rsidR="00347A76">
              <w:rPr>
                <w:noProof/>
                <w:szCs w:val="22"/>
              </w:rPr>
              <w:t xml:space="preserve">, </w:t>
            </w:r>
            <w:r w:rsidR="00347A76" w:rsidRPr="00347A76">
              <w:rPr>
                <w:noProof/>
                <w:szCs w:val="22"/>
              </w:rPr>
              <w:t>Nefropatia</w:t>
            </w:r>
          </w:p>
          <w:p w14:paraId="02641E2B" w14:textId="77777777" w:rsidR="00347A76" w:rsidRPr="00347A76" w:rsidRDefault="00347A76" w:rsidP="00347A76">
            <w:pPr>
              <w:suppressAutoHyphens/>
              <w:rPr>
                <w:noProof/>
                <w:szCs w:val="22"/>
              </w:rPr>
            </w:pPr>
            <w:r w:rsidRPr="00347A76">
              <w:rPr>
                <w:noProof/>
                <w:szCs w:val="22"/>
              </w:rPr>
              <w:t>relacionada com</w:t>
            </w:r>
          </w:p>
          <w:p w14:paraId="386B2C37" w14:textId="55E60507" w:rsidR="00FD7C0C" w:rsidRPr="0063119B" w:rsidRDefault="00347A76" w:rsidP="00347A76">
            <w:pPr>
              <w:suppressAutoHyphens/>
              <w:rPr>
                <w:noProof/>
                <w:szCs w:val="22"/>
              </w:rPr>
            </w:pPr>
            <w:r w:rsidRPr="00347A76">
              <w:rPr>
                <w:noProof/>
                <w:szCs w:val="22"/>
              </w:rPr>
              <w:t>anticoagulante</w:t>
            </w:r>
          </w:p>
        </w:tc>
      </w:tr>
      <w:tr w:rsidR="00A8274C" w:rsidRPr="0063119B" w14:paraId="6CCE4627" w14:textId="77777777" w:rsidTr="009934BB">
        <w:tc>
          <w:tcPr>
            <w:tcW w:w="9276" w:type="dxa"/>
            <w:gridSpan w:val="5"/>
          </w:tcPr>
          <w:p w14:paraId="53F8046A" w14:textId="77777777" w:rsidR="00A8274C" w:rsidRPr="0063119B" w:rsidRDefault="00A8274C" w:rsidP="001B7699">
            <w:pPr>
              <w:suppressAutoHyphens/>
              <w:rPr>
                <w:b/>
                <w:noProof/>
                <w:szCs w:val="22"/>
              </w:rPr>
            </w:pPr>
            <w:r w:rsidRPr="0063119B">
              <w:rPr>
                <w:b/>
                <w:noProof/>
                <w:szCs w:val="22"/>
              </w:rPr>
              <w:lastRenderedPageBreak/>
              <w:t>Perturbações gerais e alterações no local de administração</w:t>
            </w:r>
          </w:p>
        </w:tc>
      </w:tr>
      <w:tr w:rsidR="00FD7C0C" w:rsidRPr="0063119B" w14:paraId="18B3BA2A" w14:textId="77777777" w:rsidTr="00D733A1">
        <w:tc>
          <w:tcPr>
            <w:tcW w:w="1978" w:type="dxa"/>
          </w:tcPr>
          <w:p w14:paraId="40662960" w14:textId="77777777" w:rsidR="00FD7C0C" w:rsidRPr="0063119B" w:rsidRDefault="00FD7C0C" w:rsidP="001B7699">
            <w:pPr>
              <w:suppressAutoHyphens/>
              <w:rPr>
                <w:b/>
                <w:noProof/>
                <w:szCs w:val="22"/>
              </w:rPr>
            </w:pPr>
            <w:r w:rsidRPr="0063119B">
              <w:rPr>
                <w:noProof/>
                <w:szCs w:val="22"/>
              </w:rPr>
              <w:t>Febre</w:t>
            </w:r>
            <w:r w:rsidRPr="0063119B">
              <w:rPr>
                <w:noProof/>
                <w:szCs w:val="22"/>
                <w:vertAlign w:val="superscript"/>
              </w:rPr>
              <w:t>A</w:t>
            </w:r>
            <w:r w:rsidRPr="0063119B">
              <w:rPr>
                <w:noProof/>
                <w:szCs w:val="22"/>
              </w:rPr>
              <w:t>, edema periférico, diminuição da força e energia de um modo geral (incl. fadiga, astenia)</w:t>
            </w:r>
          </w:p>
        </w:tc>
        <w:tc>
          <w:tcPr>
            <w:tcW w:w="1842" w:type="dxa"/>
          </w:tcPr>
          <w:p w14:paraId="2A4E0E3C" w14:textId="77777777" w:rsidR="00FD7C0C" w:rsidRPr="0063119B" w:rsidRDefault="00FD7C0C" w:rsidP="001B7699">
            <w:pPr>
              <w:suppressAutoHyphens/>
              <w:rPr>
                <w:b/>
                <w:noProof/>
                <w:szCs w:val="22"/>
              </w:rPr>
            </w:pPr>
            <w:r w:rsidRPr="0063119B">
              <w:rPr>
                <w:noProof/>
                <w:szCs w:val="22"/>
              </w:rPr>
              <w:t>Sensação de mal</w:t>
            </w:r>
            <w:r w:rsidRPr="0063119B">
              <w:rPr>
                <w:noProof/>
                <w:szCs w:val="22"/>
              </w:rPr>
              <w:noBreakHyphen/>
              <w:t>estar</w:t>
            </w:r>
          </w:p>
        </w:tc>
        <w:tc>
          <w:tcPr>
            <w:tcW w:w="1756" w:type="dxa"/>
          </w:tcPr>
          <w:p w14:paraId="0F84DCC8" w14:textId="77777777" w:rsidR="00FD7C0C" w:rsidRPr="0063119B" w:rsidRDefault="00FD7C0C" w:rsidP="001B7699">
            <w:pPr>
              <w:suppressAutoHyphens/>
              <w:rPr>
                <w:b/>
                <w:noProof/>
                <w:szCs w:val="22"/>
              </w:rPr>
            </w:pPr>
            <w:r w:rsidRPr="0063119B">
              <w:rPr>
                <w:noProof/>
                <w:szCs w:val="22"/>
              </w:rPr>
              <w:t>Edema</w:t>
            </w:r>
            <w:r w:rsidRPr="0063119B">
              <w:rPr>
                <w:noProof/>
                <w:szCs w:val="22"/>
                <w:vertAlign w:val="superscript"/>
              </w:rPr>
              <w:t xml:space="preserve"> </w:t>
            </w:r>
            <w:r w:rsidRPr="0063119B">
              <w:rPr>
                <w:noProof/>
                <w:szCs w:val="22"/>
              </w:rPr>
              <w:t>localizado</w:t>
            </w:r>
            <w:r w:rsidRPr="0063119B">
              <w:rPr>
                <w:noProof/>
                <w:szCs w:val="22"/>
                <w:vertAlign w:val="superscript"/>
              </w:rPr>
              <w:t>A</w:t>
            </w:r>
          </w:p>
        </w:tc>
        <w:tc>
          <w:tcPr>
            <w:tcW w:w="1853" w:type="dxa"/>
          </w:tcPr>
          <w:p w14:paraId="771694FB" w14:textId="77777777" w:rsidR="00FD7C0C" w:rsidRPr="0063119B" w:rsidRDefault="00FD7C0C" w:rsidP="001B7699">
            <w:pPr>
              <w:suppressAutoHyphens/>
              <w:rPr>
                <w:b/>
                <w:noProof/>
                <w:szCs w:val="22"/>
              </w:rPr>
            </w:pPr>
          </w:p>
        </w:tc>
        <w:tc>
          <w:tcPr>
            <w:tcW w:w="1847" w:type="dxa"/>
          </w:tcPr>
          <w:p w14:paraId="385E6775" w14:textId="77777777" w:rsidR="00FD7C0C" w:rsidRPr="0063119B" w:rsidRDefault="00FD7C0C" w:rsidP="001B7699">
            <w:pPr>
              <w:suppressAutoHyphens/>
              <w:rPr>
                <w:b/>
                <w:noProof/>
                <w:szCs w:val="22"/>
              </w:rPr>
            </w:pPr>
          </w:p>
        </w:tc>
      </w:tr>
      <w:tr w:rsidR="00FD7C0C" w:rsidRPr="0063119B" w14:paraId="18E5FD15" w14:textId="77777777" w:rsidTr="00D733A1">
        <w:tc>
          <w:tcPr>
            <w:tcW w:w="5576" w:type="dxa"/>
            <w:gridSpan w:val="3"/>
          </w:tcPr>
          <w:p w14:paraId="41F99BC0" w14:textId="77777777" w:rsidR="00FD7C0C" w:rsidRPr="0063119B" w:rsidRDefault="00FD7C0C" w:rsidP="001B7699">
            <w:pPr>
              <w:suppressAutoHyphens/>
              <w:rPr>
                <w:noProof/>
                <w:szCs w:val="22"/>
              </w:rPr>
            </w:pPr>
            <w:r w:rsidRPr="0063119B">
              <w:rPr>
                <w:b/>
                <w:noProof/>
                <w:szCs w:val="22"/>
              </w:rPr>
              <w:t>Exames complementares de diagnóstico</w:t>
            </w:r>
          </w:p>
        </w:tc>
        <w:tc>
          <w:tcPr>
            <w:tcW w:w="1853" w:type="dxa"/>
          </w:tcPr>
          <w:p w14:paraId="1FD8DAF6" w14:textId="77777777" w:rsidR="00FD7C0C" w:rsidRPr="0063119B" w:rsidRDefault="00FD7C0C" w:rsidP="001B7699">
            <w:pPr>
              <w:suppressAutoHyphens/>
              <w:rPr>
                <w:noProof/>
                <w:szCs w:val="22"/>
              </w:rPr>
            </w:pPr>
          </w:p>
        </w:tc>
        <w:tc>
          <w:tcPr>
            <w:tcW w:w="1847" w:type="dxa"/>
          </w:tcPr>
          <w:p w14:paraId="5D54CA69" w14:textId="77777777" w:rsidR="00FD7C0C" w:rsidRPr="0063119B" w:rsidRDefault="00FD7C0C" w:rsidP="001B7699">
            <w:pPr>
              <w:suppressAutoHyphens/>
              <w:rPr>
                <w:noProof/>
                <w:szCs w:val="22"/>
              </w:rPr>
            </w:pPr>
          </w:p>
        </w:tc>
      </w:tr>
      <w:tr w:rsidR="00FD7C0C" w:rsidRPr="0063119B" w14:paraId="4B340A5C" w14:textId="77777777" w:rsidTr="00D733A1">
        <w:tc>
          <w:tcPr>
            <w:tcW w:w="1978" w:type="dxa"/>
          </w:tcPr>
          <w:p w14:paraId="4A2AC76D" w14:textId="77777777" w:rsidR="00FD7C0C" w:rsidRPr="0063119B" w:rsidRDefault="00FD7C0C" w:rsidP="001B7699">
            <w:pPr>
              <w:suppressAutoHyphens/>
              <w:rPr>
                <w:noProof/>
                <w:szCs w:val="22"/>
              </w:rPr>
            </w:pPr>
          </w:p>
        </w:tc>
        <w:tc>
          <w:tcPr>
            <w:tcW w:w="1842" w:type="dxa"/>
          </w:tcPr>
          <w:p w14:paraId="66316E4C" w14:textId="77777777" w:rsidR="00FD7C0C" w:rsidRPr="0063119B" w:rsidRDefault="00380D79" w:rsidP="00380D79">
            <w:pPr>
              <w:suppressAutoHyphens/>
              <w:rPr>
                <w:noProof/>
                <w:szCs w:val="22"/>
              </w:rPr>
            </w:pPr>
            <w:r w:rsidRPr="0063119B">
              <w:rPr>
                <w:noProof/>
                <w:szCs w:val="22"/>
              </w:rPr>
              <w:t>A</w:t>
            </w:r>
            <w:r w:rsidR="00FD7C0C" w:rsidRPr="0063119B">
              <w:rPr>
                <w:noProof/>
                <w:szCs w:val="22"/>
              </w:rPr>
              <w:t>umento da HDL</w:t>
            </w:r>
            <w:r w:rsidR="00FD7C0C" w:rsidRPr="0063119B">
              <w:rPr>
                <w:noProof/>
                <w:szCs w:val="22"/>
                <w:vertAlign w:val="superscript"/>
              </w:rPr>
              <w:t>A</w:t>
            </w:r>
            <w:r w:rsidR="00FD7C0C" w:rsidRPr="0063119B">
              <w:rPr>
                <w:noProof/>
                <w:szCs w:val="22"/>
              </w:rPr>
              <w:t>, aumento da lipase</w:t>
            </w:r>
            <w:r w:rsidR="00FD7C0C" w:rsidRPr="0063119B">
              <w:rPr>
                <w:noProof/>
                <w:szCs w:val="22"/>
                <w:vertAlign w:val="superscript"/>
              </w:rPr>
              <w:t>A</w:t>
            </w:r>
            <w:r w:rsidR="00FD7C0C" w:rsidRPr="0063119B">
              <w:rPr>
                <w:noProof/>
                <w:szCs w:val="22"/>
              </w:rPr>
              <w:t>, aumento da amilase</w:t>
            </w:r>
            <w:r w:rsidR="00FD7C0C" w:rsidRPr="0063119B">
              <w:rPr>
                <w:noProof/>
                <w:szCs w:val="22"/>
                <w:vertAlign w:val="superscript"/>
              </w:rPr>
              <w:t>A</w:t>
            </w:r>
          </w:p>
        </w:tc>
        <w:tc>
          <w:tcPr>
            <w:tcW w:w="1756" w:type="dxa"/>
          </w:tcPr>
          <w:p w14:paraId="11614150" w14:textId="77777777" w:rsidR="00FD7C0C" w:rsidRPr="0063119B" w:rsidRDefault="00FD7C0C" w:rsidP="001B7699">
            <w:pPr>
              <w:suppressAutoHyphens/>
              <w:rPr>
                <w:noProof/>
                <w:szCs w:val="22"/>
              </w:rPr>
            </w:pPr>
          </w:p>
        </w:tc>
        <w:tc>
          <w:tcPr>
            <w:tcW w:w="1853" w:type="dxa"/>
          </w:tcPr>
          <w:p w14:paraId="5B135C86" w14:textId="77777777" w:rsidR="00FD7C0C" w:rsidRPr="0063119B" w:rsidRDefault="00FD7C0C" w:rsidP="001B7699">
            <w:pPr>
              <w:suppressAutoHyphens/>
              <w:rPr>
                <w:noProof/>
                <w:szCs w:val="22"/>
              </w:rPr>
            </w:pPr>
          </w:p>
        </w:tc>
        <w:tc>
          <w:tcPr>
            <w:tcW w:w="1847" w:type="dxa"/>
          </w:tcPr>
          <w:p w14:paraId="10D15EF1" w14:textId="77777777" w:rsidR="00FD7C0C" w:rsidRPr="0063119B" w:rsidRDefault="00FD7C0C" w:rsidP="001B7699">
            <w:pPr>
              <w:suppressAutoHyphens/>
              <w:rPr>
                <w:noProof/>
                <w:szCs w:val="22"/>
              </w:rPr>
            </w:pPr>
          </w:p>
        </w:tc>
      </w:tr>
      <w:tr w:rsidR="00A8274C" w:rsidRPr="0063119B" w14:paraId="53316429" w14:textId="77777777" w:rsidTr="009934BB">
        <w:tc>
          <w:tcPr>
            <w:tcW w:w="9276" w:type="dxa"/>
            <w:gridSpan w:val="5"/>
          </w:tcPr>
          <w:p w14:paraId="267E37DA" w14:textId="77777777" w:rsidR="00A8274C" w:rsidRPr="0063119B" w:rsidRDefault="00A8274C" w:rsidP="001B7699">
            <w:pPr>
              <w:suppressAutoHyphens/>
              <w:rPr>
                <w:noProof/>
                <w:szCs w:val="22"/>
              </w:rPr>
            </w:pPr>
            <w:r w:rsidRPr="0063119B">
              <w:rPr>
                <w:b/>
                <w:noProof/>
                <w:szCs w:val="22"/>
              </w:rPr>
              <w:t>Complicações de intervenções relacionadas com lesões e intoxicações</w:t>
            </w:r>
          </w:p>
        </w:tc>
      </w:tr>
      <w:tr w:rsidR="00FD7C0C" w:rsidRPr="0063119B" w14:paraId="5A359FAA" w14:textId="77777777" w:rsidTr="00D733A1">
        <w:tc>
          <w:tcPr>
            <w:tcW w:w="1978" w:type="dxa"/>
          </w:tcPr>
          <w:p w14:paraId="28DC5B0D" w14:textId="77777777" w:rsidR="00FD7C0C" w:rsidRPr="0063119B" w:rsidRDefault="00FD7C0C" w:rsidP="001B7699">
            <w:pPr>
              <w:suppressAutoHyphens/>
              <w:rPr>
                <w:noProof/>
                <w:szCs w:val="22"/>
              </w:rPr>
            </w:pPr>
            <w:r w:rsidRPr="0063119B">
              <w:rPr>
                <w:noProof/>
                <w:szCs w:val="22"/>
              </w:rPr>
              <w:t>Hemorragia pós</w:t>
            </w:r>
            <w:r w:rsidRPr="0063119B">
              <w:rPr>
                <w:noProof/>
                <w:szCs w:val="22"/>
              </w:rPr>
              <w:noBreakHyphen/>
              <w:t>procedimento (incl. anemia pós</w:t>
            </w:r>
            <w:r w:rsidRPr="0063119B">
              <w:rPr>
                <w:noProof/>
                <w:szCs w:val="22"/>
              </w:rPr>
              <w:noBreakHyphen/>
              <w:t>operatória e hemorragia da ferida), contusão, secreção da ferida</w:t>
            </w:r>
            <w:r w:rsidRPr="0063119B">
              <w:rPr>
                <w:noProof/>
                <w:szCs w:val="22"/>
                <w:vertAlign w:val="superscript"/>
              </w:rPr>
              <w:t>A</w:t>
            </w:r>
          </w:p>
        </w:tc>
        <w:tc>
          <w:tcPr>
            <w:tcW w:w="1842" w:type="dxa"/>
          </w:tcPr>
          <w:p w14:paraId="289DD99E" w14:textId="77777777" w:rsidR="00FD7C0C" w:rsidRPr="0063119B" w:rsidRDefault="00FD7C0C" w:rsidP="001B7699">
            <w:pPr>
              <w:suppressAutoHyphens/>
              <w:rPr>
                <w:noProof/>
                <w:szCs w:val="22"/>
              </w:rPr>
            </w:pPr>
          </w:p>
        </w:tc>
        <w:tc>
          <w:tcPr>
            <w:tcW w:w="1756" w:type="dxa"/>
          </w:tcPr>
          <w:p w14:paraId="4AB23859" w14:textId="77777777" w:rsidR="00FD7C0C" w:rsidRPr="0063119B" w:rsidRDefault="00FD7C0C" w:rsidP="002801F3">
            <w:pPr>
              <w:suppressAutoHyphens/>
              <w:rPr>
                <w:noProof/>
                <w:szCs w:val="22"/>
              </w:rPr>
            </w:pPr>
            <w:r w:rsidRPr="0063119B">
              <w:rPr>
                <w:noProof/>
                <w:szCs w:val="22"/>
              </w:rPr>
              <w:t>Pseudoaneurisma vascular</w:t>
            </w:r>
            <w:r w:rsidRPr="0063119B">
              <w:rPr>
                <w:noProof/>
                <w:szCs w:val="22"/>
                <w:vertAlign w:val="superscript"/>
              </w:rPr>
              <w:t>C</w:t>
            </w:r>
          </w:p>
        </w:tc>
        <w:tc>
          <w:tcPr>
            <w:tcW w:w="1853" w:type="dxa"/>
          </w:tcPr>
          <w:p w14:paraId="32287FC8" w14:textId="77777777" w:rsidR="00FD7C0C" w:rsidRPr="0063119B" w:rsidRDefault="00FD7C0C" w:rsidP="001B7699">
            <w:pPr>
              <w:suppressAutoHyphens/>
              <w:rPr>
                <w:noProof/>
                <w:szCs w:val="22"/>
              </w:rPr>
            </w:pPr>
          </w:p>
        </w:tc>
        <w:tc>
          <w:tcPr>
            <w:tcW w:w="1847" w:type="dxa"/>
          </w:tcPr>
          <w:p w14:paraId="56BAE024" w14:textId="77777777" w:rsidR="00FD7C0C" w:rsidRPr="0063119B" w:rsidRDefault="00FD7C0C" w:rsidP="001B7699">
            <w:pPr>
              <w:suppressAutoHyphens/>
              <w:rPr>
                <w:noProof/>
                <w:szCs w:val="22"/>
              </w:rPr>
            </w:pPr>
          </w:p>
        </w:tc>
      </w:tr>
    </w:tbl>
    <w:p w14:paraId="563B2DC0" w14:textId="77777777" w:rsidR="001B7699" w:rsidRPr="0063119B" w:rsidRDefault="001B7699" w:rsidP="001B7699">
      <w:pPr>
        <w:suppressAutoHyphens/>
        <w:rPr>
          <w:noProof/>
          <w:szCs w:val="22"/>
        </w:rPr>
      </w:pPr>
      <w:r w:rsidRPr="0063119B">
        <w:rPr>
          <w:szCs w:val="22"/>
        </w:rPr>
        <w:t>A: observados na p</w:t>
      </w:r>
      <w:r w:rsidRPr="0063119B">
        <w:rPr>
          <w:noProof/>
          <w:szCs w:val="22"/>
        </w:rPr>
        <w:t>revenção do TEV em doentes adultos submetidos a artroplastia eletiva da anca ou joelho</w:t>
      </w:r>
    </w:p>
    <w:p w14:paraId="3756F54B" w14:textId="77777777" w:rsidR="001B7699" w:rsidRPr="0063119B" w:rsidRDefault="001B7699" w:rsidP="001B7699">
      <w:pPr>
        <w:rPr>
          <w:szCs w:val="22"/>
        </w:rPr>
      </w:pPr>
      <w:r w:rsidRPr="0063119B">
        <w:rPr>
          <w:szCs w:val="22"/>
        </w:rPr>
        <w:t>B: observados no tratamento da TVP, EP e prevenção da recorrência como muito frequentes em mulheres com &lt; 55 anos</w:t>
      </w:r>
    </w:p>
    <w:p w14:paraId="1E0D1038" w14:textId="77777777" w:rsidR="001B7699" w:rsidRPr="0063119B" w:rsidRDefault="001B7699" w:rsidP="001B7699">
      <w:pPr>
        <w:rPr>
          <w:szCs w:val="22"/>
        </w:rPr>
      </w:pPr>
      <w:r w:rsidRPr="0063119B">
        <w:rPr>
          <w:szCs w:val="22"/>
        </w:rPr>
        <w:t xml:space="preserve">C: observados como pouco frequentes na prevenção de </w:t>
      </w:r>
      <w:r w:rsidRPr="0063119B">
        <w:rPr>
          <w:noProof/>
          <w:szCs w:val="22"/>
        </w:rPr>
        <w:t>acontecimentos aterotrombóticos</w:t>
      </w:r>
      <w:r w:rsidRPr="0063119B">
        <w:rPr>
          <w:szCs w:val="22"/>
        </w:rPr>
        <w:t xml:space="preserve"> em doentes após uma SCA (após intervenção coronária percutânea)</w:t>
      </w:r>
    </w:p>
    <w:p w14:paraId="7634033E" w14:textId="77777777" w:rsidR="00BD2411" w:rsidRPr="0063119B" w:rsidRDefault="00145B36" w:rsidP="00145B36">
      <w:pPr>
        <w:tabs>
          <w:tab w:val="left" w:pos="284"/>
        </w:tabs>
        <w:rPr>
          <w:szCs w:val="22"/>
        </w:rPr>
      </w:pPr>
      <w:r w:rsidRPr="0063119B">
        <w:rPr>
          <w:szCs w:val="22"/>
        </w:rPr>
        <w:t>*</w:t>
      </w:r>
      <w:r w:rsidR="00BD2411" w:rsidRPr="0063119B">
        <w:rPr>
          <w:szCs w:val="22"/>
        </w:rPr>
        <w:tab/>
      </w:r>
      <w:r w:rsidR="00801954">
        <w:t>Aplicou-se uma abordagem seletiva pré-especificada para a recolha de acontecimentos adversos em estudos de fase III selecionados. A incidência de reações adversas não aumentou e não foi identificada nenhuma reação adversa medicamentosa nova após a análise destes estudos.</w:t>
      </w:r>
    </w:p>
    <w:p w14:paraId="446D45A1" w14:textId="77777777" w:rsidR="001B7699" w:rsidRPr="0063119B" w:rsidRDefault="001B7699" w:rsidP="001B7699">
      <w:pPr>
        <w:suppressAutoHyphens/>
        <w:rPr>
          <w:noProof/>
          <w:szCs w:val="22"/>
        </w:rPr>
      </w:pPr>
    </w:p>
    <w:p w14:paraId="2F14FEBE" w14:textId="77777777" w:rsidR="001B7699" w:rsidRPr="0063119B" w:rsidRDefault="001B7699" w:rsidP="00A9161F">
      <w:pPr>
        <w:keepNext/>
        <w:keepLines/>
        <w:suppressAutoHyphens/>
        <w:rPr>
          <w:noProof/>
          <w:szCs w:val="22"/>
          <w:u w:val="single"/>
        </w:rPr>
      </w:pPr>
      <w:r w:rsidRPr="0063119B">
        <w:rPr>
          <w:noProof/>
          <w:szCs w:val="22"/>
          <w:u w:val="single"/>
        </w:rPr>
        <w:t>Descrição das reações adversas selecionadas</w:t>
      </w:r>
    </w:p>
    <w:p w14:paraId="537D7CEA" w14:textId="77777777" w:rsidR="001B7699" w:rsidRPr="0063119B" w:rsidRDefault="001B7699" w:rsidP="001B7699">
      <w:pPr>
        <w:suppressAutoHyphens/>
        <w:rPr>
          <w:noProof/>
          <w:szCs w:val="22"/>
        </w:rPr>
      </w:pPr>
      <w:r w:rsidRPr="0063119B">
        <w:rPr>
          <w:noProof/>
          <w:szCs w:val="22"/>
        </w:rPr>
        <w:t xml:space="preserve">Devido ao modo de ação farmacológico, a utilização de </w:t>
      </w:r>
      <w:r w:rsidR="003B14EF" w:rsidRPr="0063119B">
        <w:rPr>
          <w:noProof/>
          <w:szCs w:val="22"/>
        </w:rPr>
        <w:t xml:space="preserve">rivaroxabano </w:t>
      </w:r>
      <w:r w:rsidRPr="0063119B">
        <w:rPr>
          <w:noProof/>
          <w:szCs w:val="22"/>
        </w:rPr>
        <w:t>pode estar associada a um risco acrescido de hemorragia, oculta ou evidente, de qualquer tecido ou órgão, que pode resultar em anemia pós</w:t>
      </w:r>
      <w:r w:rsidRPr="0063119B">
        <w:rPr>
          <w:noProof/>
          <w:szCs w:val="22"/>
        </w:rPr>
        <w:noBreakHyphen/>
        <w:t>hemorrágica. Os sinais, sintomas e gravidade (incluindo desfecho fatal) irão variar de acordo com a localização e o grau ou a extensão da hemorragia e/ou anemia (ver secção 4.9 Controlo da hemorragia). Em estudos clínicos, foram observadas com maior frequência hemorragias das mucosas (ex.: epistaxe, gengival, gastrointestinal, genitourinária</w:t>
      </w:r>
      <w:r w:rsidR="0051410B" w:rsidRPr="0063119B">
        <w:rPr>
          <w:noProof/>
          <w:szCs w:val="22"/>
        </w:rPr>
        <w:t xml:space="preserve"> incluindo hemorragia vaginal anormal ou menstrual aumentada</w:t>
      </w:r>
      <w:r w:rsidRPr="0063119B">
        <w:rPr>
          <w:noProof/>
          <w:szCs w:val="22"/>
        </w:rPr>
        <w:t>) e anemia durante o tratamento prolongado com rivaroxabano, comparativamente ao tratamento com AVK. Assim, para além de uma vigilância clínica adequada, testes laboratoriais de hemoglobina/hematócrito podem ser uma mais-valia para detetar hemorragias ocultas</w:t>
      </w:r>
      <w:r w:rsidR="0051410B" w:rsidRPr="0063119B">
        <w:rPr>
          <w:noProof/>
          <w:szCs w:val="22"/>
        </w:rPr>
        <w:t xml:space="preserve"> e quantificar a relevância clínica de uma hemorragia óbvia</w:t>
      </w:r>
      <w:r w:rsidRPr="0063119B">
        <w:rPr>
          <w:noProof/>
          <w:szCs w:val="22"/>
        </w:rPr>
        <w:t>, quando considerado necessário. O risco de hemorragias pode estar aumentado em certos grupos de doentes, como por exemplo, os doentes com hipertensão arterial grave não controlada e/ou em tratamento concomitante, afetando a hemostase (ver secção 4.4</w:t>
      </w:r>
      <w:r w:rsidR="0078113C" w:rsidRPr="0063119B">
        <w:rPr>
          <w:noProof/>
          <w:szCs w:val="22"/>
        </w:rPr>
        <w:t xml:space="preserve"> “Risco hemorrágico”</w:t>
      </w:r>
      <w:r w:rsidRPr="0063119B">
        <w:rPr>
          <w:noProof/>
          <w:szCs w:val="22"/>
        </w:rPr>
        <w:t>). A hemorragia menstrual pode estar intensificada e/ou prolongada. As complicações hemorrágicas poderão apresentar</w:t>
      </w:r>
      <w:r w:rsidRPr="0063119B">
        <w:rPr>
          <w:noProof/>
          <w:szCs w:val="22"/>
        </w:rPr>
        <w:noBreakHyphen/>
        <w:t xml:space="preserve">se como fraqueza, palidez, tonturas, cefaleias ou edema inexplicável, dispneia e choque inexplicável. Em alguns casos, </w:t>
      </w:r>
      <w:r w:rsidRPr="0063119B">
        <w:rPr>
          <w:noProof/>
          <w:szCs w:val="22"/>
        </w:rPr>
        <w:lastRenderedPageBreak/>
        <w:t>observaram</w:t>
      </w:r>
      <w:r w:rsidRPr="0063119B">
        <w:rPr>
          <w:noProof/>
          <w:szCs w:val="22"/>
        </w:rPr>
        <w:noBreakHyphen/>
        <w:t>se, como consequência da anemia, sintomas de isquémia cardíaca como dor no peito ou angina de peito.</w:t>
      </w:r>
    </w:p>
    <w:p w14:paraId="102DF833" w14:textId="6D213689" w:rsidR="001B7699" w:rsidRPr="0063119B" w:rsidRDefault="001B7699" w:rsidP="001B7699">
      <w:pPr>
        <w:suppressAutoHyphens/>
        <w:rPr>
          <w:noProof/>
          <w:szCs w:val="22"/>
        </w:rPr>
      </w:pPr>
      <w:r w:rsidRPr="0063119B">
        <w:rPr>
          <w:noProof/>
          <w:szCs w:val="22"/>
        </w:rPr>
        <w:t xml:space="preserve">Foram notificadas com </w:t>
      </w:r>
      <w:r w:rsidR="003B14EF" w:rsidRPr="0063119B">
        <w:rPr>
          <w:noProof/>
          <w:szCs w:val="22"/>
        </w:rPr>
        <w:t xml:space="preserve">o rivaroxabano </w:t>
      </w:r>
      <w:r w:rsidRPr="0063119B">
        <w:rPr>
          <w:noProof/>
          <w:szCs w:val="22"/>
        </w:rPr>
        <w:t>complicações secundárias conhecidas à hemorragia grave, tais como síndrome compartimental e insuficiência renal devidas à hipoperfusão</w:t>
      </w:r>
      <w:r w:rsidR="00347A76">
        <w:rPr>
          <w:noProof/>
          <w:szCs w:val="22"/>
        </w:rPr>
        <w:t xml:space="preserve"> </w:t>
      </w:r>
      <w:r w:rsidR="00347A76">
        <w:t>ou nefropatia relacionada com anticoagulante</w:t>
      </w:r>
      <w:r w:rsidRPr="0063119B">
        <w:rPr>
          <w:noProof/>
          <w:szCs w:val="22"/>
        </w:rPr>
        <w:t>. Por este motivo, ao avaliar</w:t>
      </w:r>
      <w:r w:rsidRPr="0063119B">
        <w:rPr>
          <w:noProof/>
          <w:szCs w:val="22"/>
        </w:rPr>
        <w:noBreakHyphen/>
        <w:t>se o estado de qualquer doente tratado com anticoagulantes, deverá ser considerada a possibilidade de hemorragia.</w:t>
      </w:r>
    </w:p>
    <w:p w14:paraId="4E97722D" w14:textId="77777777" w:rsidR="00071543" w:rsidRPr="0063119B" w:rsidRDefault="00071543" w:rsidP="00071543">
      <w:pPr>
        <w:rPr>
          <w:szCs w:val="22"/>
        </w:rPr>
      </w:pPr>
    </w:p>
    <w:p w14:paraId="23040449" w14:textId="77777777" w:rsidR="00F73C7B" w:rsidRPr="0063119B" w:rsidRDefault="00F73C7B" w:rsidP="00F73C7B">
      <w:pPr>
        <w:suppressAutoHyphens/>
        <w:rPr>
          <w:noProof/>
          <w:szCs w:val="22"/>
          <w:u w:val="single"/>
        </w:rPr>
      </w:pPr>
      <w:r w:rsidRPr="0063119B">
        <w:rPr>
          <w:noProof/>
          <w:szCs w:val="22"/>
          <w:u w:val="single"/>
        </w:rPr>
        <w:t>Notificação de suspeitas de reações adversas</w:t>
      </w:r>
    </w:p>
    <w:p w14:paraId="6C25397C" w14:textId="77777777" w:rsidR="004C216B" w:rsidRPr="0063119B" w:rsidRDefault="00F73C7B" w:rsidP="00F73C7B">
      <w:pPr>
        <w:suppressAutoHyphens/>
        <w:rPr>
          <w:szCs w:val="22"/>
        </w:rPr>
      </w:pPr>
      <w:r w:rsidRPr="0063119B">
        <w:rPr>
          <w:noProof/>
          <w:szCs w:val="22"/>
        </w:rPr>
        <w:t>A notificação de suspeitas de reações adversas após a autorização do medicamento é importante, uma vez que permite uma monitorização contínua da relação benefício-risco do medicamento.</w:t>
      </w:r>
      <w:r w:rsidRPr="0063119B">
        <w:rPr>
          <w:szCs w:val="22"/>
        </w:rPr>
        <w:t xml:space="preserve"> Pede-se aos profissionais de saúde que notifiquem quaisquer suspeitas de reações adversas através </w:t>
      </w:r>
      <w:r w:rsidRPr="0063119B">
        <w:rPr>
          <w:szCs w:val="22"/>
          <w:highlight w:val="lightGray"/>
        </w:rPr>
        <w:t xml:space="preserve">do sistema nacional de notificação mencionado no </w:t>
      </w:r>
      <w:hyperlink r:id="rId12" w:history="1">
        <w:r w:rsidRPr="0063119B">
          <w:rPr>
            <w:rStyle w:val="Hyperlink"/>
            <w:szCs w:val="22"/>
            <w:highlight w:val="lightGray"/>
          </w:rPr>
          <w:t>Apêndice V</w:t>
        </w:r>
      </w:hyperlink>
      <w:r w:rsidR="004C216B" w:rsidRPr="0063119B">
        <w:rPr>
          <w:szCs w:val="22"/>
        </w:rPr>
        <w:t>.</w:t>
      </w:r>
    </w:p>
    <w:p w14:paraId="6B1B497F" w14:textId="77777777" w:rsidR="004C216B" w:rsidRPr="0063119B" w:rsidRDefault="004C216B" w:rsidP="00F73C7B">
      <w:pPr>
        <w:suppressAutoHyphens/>
        <w:rPr>
          <w:noProof/>
          <w:szCs w:val="22"/>
        </w:rPr>
      </w:pPr>
    </w:p>
    <w:p w14:paraId="10DF8C4B" w14:textId="77777777" w:rsidR="001B7699" w:rsidRPr="0063119B" w:rsidRDefault="001B7699" w:rsidP="001B7699">
      <w:pPr>
        <w:suppressAutoHyphens/>
        <w:ind w:left="567" w:hanging="567"/>
        <w:rPr>
          <w:noProof/>
          <w:szCs w:val="22"/>
        </w:rPr>
      </w:pPr>
      <w:r w:rsidRPr="0063119B">
        <w:rPr>
          <w:b/>
          <w:noProof/>
          <w:szCs w:val="22"/>
        </w:rPr>
        <w:t>4.9</w:t>
      </w:r>
      <w:r w:rsidRPr="0063119B">
        <w:rPr>
          <w:b/>
          <w:noProof/>
          <w:szCs w:val="22"/>
        </w:rPr>
        <w:tab/>
        <w:t>Sobredosagem</w:t>
      </w:r>
    </w:p>
    <w:p w14:paraId="6B15D629" w14:textId="77777777" w:rsidR="001B7699" w:rsidRPr="0063119B" w:rsidRDefault="001B7699" w:rsidP="001B7699">
      <w:pPr>
        <w:suppressAutoHyphens/>
        <w:rPr>
          <w:noProof/>
          <w:szCs w:val="22"/>
        </w:rPr>
      </w:pPr>
    </w:p>
    <w:p w14:paraId="3FC5D696" w14:textId="77777777" w:rsidR="001B7699" w:rsidRPr="0063119B" w:rsidRDefault="001B7699" w:rsidP="001B7699">
      <w:pPr>
        <w:suppressAutoHyphens/>
        <w:rPr>
          <w:rFonts w:eastAsia="MS Mincho"/>
          <w:szCs w:val="22"/>
          <w:lang w:eastAsia="ja-JP"/>
        </w:rPr>
      </w:pPr>
      <w:r w:rsidRPr="0063119B">
        <w:rPr>
          <w:szCs w:val="22"/>
        </w:rPr>
        <w:t xml:space="preserve">Foram notificados casos raros de sobredosagem com doses até </w:t>
      </w:r>
      <w:r w:rsidR="000F427C">
        <w:rPr>
          <w:szCs w:val="22"/>
        </w:rPr>
        <w:t>19</w:t>
      </w:r>
      <w:r w:rsidRPr="0063119B">
        <w:rPr>
          <w:szCs w:val="22"/>
        </w:rPr>
        <w:t>60 mg</w:t>
      </w:r>
      <w:r w:rsidR="000F427C">
        <w:rPr>
          <w:szCs w:val="22"/>
        </w:rPr>
        <w:t>.</w:t>
      </w:r>
      <w:r w:rsidRPr="0063119B">
        <w:rPr>
          <w:szCs w:val="22"/>
        </w:rPr>
        <w:t xml:space="preserve"> </w:t>
      </w:r>
      <w:r w:rsidR="000F427C">
        <w:rPr>
          <w:szCs w:val="22"/>
        </w:rPr>
        <w:t>Em casos de sobredosagem, o doente deve ser cuidadosamente observado quanto a</w:t>
      </w:r>
      <w:r w:rsidRPr="0063119B">
        <w:rPr>
          <w:szCs w:val="22"/>
        </w:rPr>
        <w:t xml:space="preserve"> complicações hemorrágicas ou outras reações adversas</w:t>
      </w:r>
      <w:r w:rsidR="000F427C">
        <w:rPr>
          <w:szCs w:val="22"/>
        </w:rPr>
        <w:t xml:space="preserve"> (ver secção “Controlo da hemorragia”)</w:t>
      </w:r>
      <w:r w:rsidRPr="0063119B">
        <w:rPr>
          <w:szCs w:val="22"/>
        </w:rPr>
        <w:t xml:space="preserve">. </w:t>
      </w:r>
      <w:r w:rsidRPr="0063119B">
        <w:rPr>
          <w:rFonts w:eastAsia="MS Mincho"/>
          <w:szCs w:val="22"/>
          <w:lang w:eastAsia="ja-JP"/>
        </w:rPr>
        <w:t>Devido à absorção limitada, prevê</w:t>
      </w:r>
      <w:r w:rsidRPr="0063119B">
        <w:rPr>
          <w:rFonts w:eastAsia="MS Mincho"/>
          <w:szCs w:val="22"/>
          <w:lang w:eastAsia="ja-JP"/>
        </w:rPr>
        <w:noBreakHyphen/>
        <w:t xml:space="preserve">se um efeito máximo sem aumento adicional da exposição plasmática média em doses supraterapêuticas de 50 mg ou mais de rivaroxabano. </w:t>
      </w:r>
    </w:p>
    <w:p w14:paraId="23C5FD5A" w14:textId="77777777" w:rsidR="001B7699" w:rsidRPr="0063119B" w:rsidRDefault="00CD1B38" w:rsidP="001B7699">
      <w:pPr>
        <w:suppressAutoHyphens/>
        <w:rPr>
          <w:noProof/>
          <w:szCs w:val="22"/>
        </w:rPr>
      </w:pPr>
      <w:r w:rsidRPr="0063119B">
        <w:rPr>
          <w:noProof/>
          <w:szCs w:val="22"/>
        </w:rPr>
        <w:t>E</w:t>
      </w:r>
      <w:r w:rsidR="001B7699" w:rsidRPr="0063119B">
        <w:rPr>
          <w:noProof/>
          <w:szCs w:val="22"/>
        </w:rPr>
        <w:t xml:space="preserve">stá disponível um </w:t>
      </w:r>
      <w:r w:rsidRPr="0063119B">
        <w:rPr>
          <w:noProof/>
          <w:szCs w:val="22"/>
        </w:rPr>
        <w:t xml:space="preserve">agente de reversão específico (andexanet alfa) </w:t>
      </w:r>
      <w:r w:rsidR="001B7699" w:rsidRPr="0063119B">
        <w:rPr>
          <w:noProof/>
          <w:szCs w:val="22"/>
        </w:rPr>
        <w:t>que antagoniz</w:t>
      </w:r>
      <w:r w:rsidR="005A06A6" w:rsidRPr="0063119B">
        <w:rPr>
          <w:noProof/>
          <w:szCs w:val="22"/>
        </w:rPr>
        <w:t>a</w:t>
      </w:r>
      <w:r w:rsidR="001B7699" w:rsidRPr="0063119B">
        <w:rPr>
          <w:noProof/>
          <w:szCs w:val="22"/>
        </w:rPr>
        <w:t xml:space="preserve"> o efeito farmacodinâmico do rivaroxabano</w:t>
      </w:r>
      <w:r w:rsidRPr="0063119B">
        <w:rPr>
          <w:noProof/>
          <w:szCs w:val="22"/>
        </w:rPr>
        <w:t xml:space="preserve"> (ver o Resumo das Características do Medicamento andexanet alfa)</w:t>
      </w:r>
      <w:r w:rsidR="001B7699" w:rsidRPr="0063119B">
        <w:rPr>
          <w:noProof/>
          <w:szCs w:val="22"/>
        </w:rPr>
        <w:t>.</w:t>
      </w:r>
    </w:p>
    <w:p w14:paraId="7D953CC2" w14:textId="77777777" w:rsidR="001B7699" w:rsidRPr="0063119B" w:rsidRDefault="001B7699" w:rsidP="001B7699">
      <w:pPr>
        <w:suppressAutoHyphens/>
        <w:rPr>
          <w:noProof/>
          <w:szCs w:val="22"/>
        </w:rPr>
      </w:pPr>
      <w:r w:rsidRPr="0063119B">
        <w:rPr>
          <w:noProof/>
          <w:szCs w:val="22"/>
        </w:rPr>
        <w:t>Em caso de sobredosagem com rivaroxabano poderá ser considerada a utilização de carvão ativado para reduzir a absorção.</w:t>
      </w:r>
    </w:p>
    <w:p w14:paraId="6148E13A" w14:textId="77777777" w:rsidR="001B7699" w:rsidRPr="0063119B" w:rsidRDefault="001B7699" w:rsidP="001B7699">
      <w:pPr>
        <w:suppressAutoHyphens/>
        <w:rPr>
          <w:noProof/>
          <w:szCs w:val="22"/>
        </w:rPr>
      </w:pPr>
    </w:p>
    <w:p w14:paraId="43F54690" w14:textId="77777777" w:rsidR="001B7699" w:rsidRDefault="001B7699" w:rsidP="003311FD">
      <w:pPr>
        <w:keepNext/>
        <w:suppressAutoHyphens/>
        <w:rPr>
          <w:noProof/>
          <w:szCs w:val="22"/>
          <w:u w:val="single"/>
        </w:rPr>
      </w:pPr>
      <w:r w:rsidRPr="0063119B">
        <w:rPr>
          <w:noProof/>
          <w:szCs w:val="22"/>
          <w:u w:val="single"/>
        </w:rPr>
        <w:t>Controlo da hemorragia</w:t>
      </w:r>
    </w:p>
    <w:p w14:paraId="33A0C9A5" w14:textId="77777777" w:rsidR="00016132" w:rsidRPr="0063119B" w:rsidRDefault="00016132" w:rsidP="003311FD">
      <w:pPr>
        <w:keepNext/>
        <w:suppressAutoHyphens/>
        <w:rPr>
          <w:noProof/>
          <w:szCs w:val="22"/>
          <w:u w:val="single"/>
        </w:rPr>
      </w:pPr>
    </w:p>
    <w:p w14:paraId="3A6495C9" w14:textId="77777777" w:rsidR="001B7699" w:rsidRPr="0063119B" w:rsidRDefault="001B7699" w:rsidP="001B7699">
      <w:pPr>
        <w:suppressAutoHyphens/>
        <w:rPr>
          <w:noProof/>
          <w:szCs w:val="22"/>
        </w:rPr>
      </w:pPr>
      <w:r w:rsidRPr="0063119B">
        <w:rPr>
          <w:noProof/>
          <w:szCs w:val="22"/>
        </w:rPr>
        <w:t>Se ocorrer uma complicação hemorrágica num doente tratado com rivaroxabano, a administração seguinte de rivaroxabano deve ser adiada ou o tratamento interrompido, se se considerar adequado. O rivaroxabano tem uma semivida de aproximadamente 5 a 13 horas (ver secção 5.2).</w:t>
      </w:r>
      <w:r w:rsidRPr="0063119B" w:rsidDel="006C7CA4">
        <w:rPr>
          <w:noProof/>
          <w:szCs w:val="22"/>
        </w:rPr>
        <w:t xml:space="preserve"> </w:t>
      </w:r>
      <w:r w:rsidRPr="0063119B">
        <w:rPr>
          <w:noProof/>
          <w:szCs w:val="22"/>
        </w:rPr>
        <w:t>O tratamento deve ser individualizado de acordo com a gravidade e localização da hemorragia. Pode utilizar</w:t>
      </w:r>
      <w:r w:rsidRPr="0063119B">
        <w:rPr>
          <w:noProof/>
          <w:szCs w:val="22"/>
        </w:rPr>
        <w:noBreakHyphen/>
        <w:t>se o tratamento sintomático apropriado, conforme necessário, como por exemplo, compressão mecânica (ex.: na epistaxe grave), hemostase cirúrgica com procedimentos de controlo de hemorragia, reposição hídrica e suporte hemodinâmico, produtos derivados do sangue (concentrado de eritrócitos ou plasma fresco congelado, dependendo se está associada uma anemia ou uma coagulopatia) ou plaquetas.</w:t>
      </w:r>
    </w:p>
    <w:p w14:paraId="3FD30780" w14:textId="49734457" w:rsidR="00C472F6" w:rsidRPr="0063119B" w:rsidRDefault="001B7699" w:rsidP="001B7699">
      <w:pPr>
        <w:suppressAutoHyphens/>
        <w:rPr>
          <w:noProof/>
          <w:szCs w:val="22"/>
        </w:rPr>
      </w:pPr>
      <w:r w:rsidRPr="0063119B">
        <w:rPr>
          <w:noProof/>
          <w:szCs w:val="22"/>
        </w:rPr>
        <w:t xml:space="preserve">Se a hemorragia não puder ser controlada com as medidas anteriores, </w:t>
      </w:r>
      <w:r w:rsidR="00DB08F7" w:rsidRPr="0063119B">
        <w:rPr>
          <w:noProof/>
          <w:szCs w:val="22"/>
        </w:rPr>
        <w:t xml:space="preserve">deve considerar-se a </w:t>
      </w:r>
      <w:r w:rsidR="00694A45" w:rsidRPr="0063119B">
        <w:rPr>
          <w:noProof/>
          <w:szCs w:val="22"/>
        </w:rPr>
        <w:t xml:space="preserve">administração de um agente de reversão do inibidor do factor Xa </w:t>
      </w:r>
      <w:r w:rsidR="007E0DE9" w:rsidRPr="0063119B">
        <w:rPr>
          <w:noProof/>
          <w:szCs w:val="22"/>
        </w:rPr>
        <w:t xml:space="preserve">específico </w:t>
      </w:r>
      <w:r w:rsidR="00694A45" w:rsidRPr="0063119B">
        <w:rPr>
          <w:noProof/>
          <w:szCs w:val="22"/>
        </w:rPr>
        <w:t>(andexanet alfa), que antagoniza o efeito farmacodin</w:t>
      </w:r>
      <w:r w:rsidR="002A68DC" w:rsidRPr="0063119B">
        <w:rPr>
          <w:noProof/>
          <w:szCs w:val="22"/>
        </w:rPr>
        <w:t>â</w:t>
      </w:r>
      <w:r w:rsidR="00694A45" w:rsidRPr="0063119B">
        <w:rPr>
          <w:noProof/>
          <w:szCs w:val="22"/>
        </w:rPr>
        <w:t xml:space="preserve">mico do rivaroxabano ou </w:t>
      </w:r>
      <w:r w:rsidR="00A6725C" w:rsidRPr="0063119B">
        <w:rPr>
          <w:noProof/>
          <w:szCs w:val="22"/>
        </w:rPr>
        <w:t xml:space="preserve">de </w:t>
      </w:r>
      <w:r w:rsidRPr="0063119B">
        <w:rPr>
          <w:noProof/>
          <w:szCs w:val="22"/>
        </w:rPr>
        <w:t>um agente procoagulante</w:t>
      </w:r>
      <w:r w:rsidR="007E0DE9" w:rsidRPr="0063119B">
        <w:rPr>
          <w:noProof/>
          <w:szCs w:val="22"/>
        </w:rPr>
        <w:t xml:space="preserve"> específico</w:t>
      </w:r>
      <w:r w:rsidRPr="0063119B">
        <w:rPr>
          <w:noProof/>
          <w:szCs w:val="22"/>
        </w:rPr>
        <w:t xml:space="preserve">, como por exemplo, concentrado de complexo de protrombina (CCP), concentrado de complexo de protrombina ativado (CCPA) ou fator VIIa recombinante (FVIIa-r). Contudo, existe atualmente uma experiência clínica muito limitada com a utilização destes </w:t>
      </w:r>
      <w:r w:rsidR="00BD2411" w:rsidRPr="0063119B">
        <w:rPr>
          <w:noProof/>
          <w:szCs w:val="22"/>
        </w:rPr>
        <w:t xml:space="preserve">medicamentos </w:t>
      </w:r>
      <w:r w:rsidRPr="0063119B">
        <w:rPr>
          <w:noProof/>
          <w:szCs w:val="22"/>
        </w:rPr>
        <w:t>em indivíduos tratados com rivaroxabano. A recomendação também é baseada nos dados não clínicos limitados. O ajuste da dose de fator VIIa recombinante deve ser considerado e titulado em função da melhoria da hemorragia.</w:t>
      </w:r>
      <w:r w:rsidR="001E2C11" w:rsidRPr="0063119B">
        <w:rPr>
          <w:noProof/>
          <w:szCs w:val="22"/>
        </w:rPr>
        <w:t xml:space="preserve"> </w:t>
      </w:r>
      <w:r w:rsidR="00C472F6" w:rsidRPr="0063119B">
        <w:rPr>
          <w:noProof/>
          <w:szCs w:val="22"/>
        </w:rPr>
        <w:t>Dependendo da disponibilidade local, em caso de grandes hemorragias deve considerar-se a consulta de um especialista em coagulação</w:t>
      </w:r>
      <w:r w:rsidR="003F7ABE" w:rsidRPr="0063119B">
        <w:rPr>
          <w:noProof/>
          <w:szCs w:val="22"/>
        </w:rPr>
        <w:t xml:space="preserve"> (ver secção 5.1)</w:t>
      </w:r>
      <w:r w:rsidR="00C472F6" w:rsidRPr="0063119B">
        <w:rPr>
          <w:noProof/>
          <w:szCs w:val="22"/>
        </w:rPr>
        <w:t>.</w:t>
      </w:r>
    </w:p>
    <w:p w14:paraId="1DD39E48" w14:textId="77777777" w:rsidR="001B7699" w:rsidRPr="0063119B" w:rsidRDefault="001B7699" w:rsidP="001B7699">
      <w:pPr>
        <w:suppressAutoHyphens/>
        <w:rPr>
          <w:noProof/>
          <w:szCs w:val="22"/>
        </w:rPr>
      </w:pPr>
    </w:p>
    <w:p w14:paraId="5A6BEF65" w14:textId="77777777" w:rsidR="001B7699" w:rsidRPr="0063119B" w:rsidRDefault="001B7699" w:rsidP="001B7699">
      <w:pPr>
        <w:suppressAutoHyphens/>
        <w:rPr>
          <w:noProof/>
          <w:szCs w:val="22"/>
        </w:rPr>
      </w:pPr>
      <w:r w:rsidRPr="0063119B">
        <w:rPr>
          <w:noProof/>
          <w:szCs w:val="22"/>
        </w:rPr>
        <w:t xml:space="preserve">Não se espera que o sulfato de protamina e a vitamina K afetem a atividade anticoagulante do rivaroxabano. </w:t>
      </w:r>
      <w:r w:rsidR="003F7ABE" w:rsidRPr="0063119B">
        <w:rPr>
          <w:noProof/>
          <w:szCs w:val="22"/>
        </w:rPr>
        <w:t>E</w:t>
      </w:r>
      <w:r w:rsidRPr="0063119B">
        <w:rPr>
          <w:noProof/>
          <w:szCs w:val="22"/>
        </w:rPr>
        <w:t xml:space="preserve">xiste </w:t>
      </w:r>
      <w:r w:rsidR="003F7ABE" w:rsidRPr="0063119B">
        <w:rPr>
          <w:noProof/>
          <w:szCs w:val="22"/>
        </w:rPr>
        <w:t xml:space="preserve">uma </w:t>
      </w:r>
      <w:r w:rsidRPr="0063119B">
        <w:rPr>
          <w:noProof/>
          <w:szCs w:val="22"/>
        </w:rPr>
        <w:t>experiência</w:t>
      </w:r>
      <w:r w:rsidR="003F7ABE" w:rsidRPr="0063119B">
        <w:rPr>
          <w:noProof/>
          <w:szCs w:val="22"/>
        </w:rPr>
        <w:t xml:space="preserve"> limitada  com</w:t>
      </w:r>
      <w:r w:rsidR="000F75C6" w:rsidRPr="0063119B">
        <w:rPr>
          <w:noProof/>
          <w:szCs w:val="22"/>
        </w:rPr>
        <w:t xml:space="preserve"> </w:t>
      </w:r>
      <w:r w:rsidRPr="0063119B">
        <w:rPr>
          <w:noProof/>
          <w:szCs w:val="22"/>
        </w:rPr>
        <w:t>ácido tranexâmico</w:t>
      </w:r>
      <w:r w:rsidR="003F7ABE" w:rsidRPr="0063119B">
        <w:rPr>
          <w:noProof/>
          <w:szCs w:val="22"/>
        </w:rPr>
        <w:t xml:space="preserve"> e não existe experiência com </w:t>
      </w:r>
      <w:r w:rsidRPr="0063119B">
        <w:rPr>
          <w:noProof/>
          <w:szCs w:val="22"/>
        </w:rPr>
        <w:t>ácido aminocapróico</w:t>
      </w:r>
      <w:r w:rsidR="003F7ABE" w:rsidRPr="0063119B">
        <w:rPr>
          <w:noProof/>
          <w:szCs w:val="22"/>
        </w:rPr>
        <w:t xml:space="preserve"> e aprotinina </w:t>
      </w:r>
      <w:r w:rsidRPr="0063119B">
        <w:rPr>
          <w:noProof/>
          <w:szCs w:val="22"/>
        </w:rPr>
        <w:t>em indivíduos tratados com rivaroxabano. Não existe nem justificação científica sobre o benefício nem experiência com a utilização d</w:t>
      </w:r>
      <w:r w:rsidR="003F7ABE" w:rsidRPr="0063119B">
        <w:rPr>
          <w:noProof/>
          <w:szCs w:val="22"/>
        </w:rPr>
        <w:t>o</w:t>
      </w:r>
      <w:r w:rsidRPr="0063119B">
        <w:rPr>
          <w:noProof/>
          <w:szCs w:val="22"/>
        </w:rPr>
        <w:t xml:space="preserve"> hemostático sistémico</w:t>
      </w:r>
      <w:r w:rsidR="003F7ABE" w:rsidRPr="0063119B">
        <w:rPr>
          <w:noProof/>
          <w:szCs w:val="22"/>
        </w:rPr>
        <w:t xml:space="preserve"> </w:t>
      </w:r>
      <w:r w:rsidRPr="0063119B">
        <w:rPr>
          <w:noProof/>
          <w:szCs w:val="22"/>
        </w:rPr>
        <w:t>desmopressina em indivíduos tratados com rivaroxabano. Devido à elevada ligação às proteínas plasmáticas, não é esperado que o rivaroxabano seja dialisável.</w:t>
      </w:r>
    </w:p>
    <w:p w14:paraId="79CBDB37" w14:textId="77777777" w:rsidR="001B7699" w:rsidRPr="0063119B" w:rsidRDefault="001B7699" w:rsidP="001B7699">
      <w:pPr>
        <w:suppressAutoHyphens/>
        <w:rPr>
          <w:noProof/>
          <w:szCs w:val="22"/>
        </w:rPr>
      </w:pPr>
    </w:p>
    <w:p w14:paraId="1CA5D1E8" w14:textId="77777777" w:rsidR="001B7699" w:rsidRPr="0063119B" w:rsidRDefault="001B7699" w:rsidP="001B7699">
      <w:pPr>
        <w:suppressAutoHyphens/>
        <w:rPr>
          <w:noProof/>
          <w:szCs w:val="22"/>
        </w:rPr>
      </w:pPr>
    </w:p>
    <w:p w14:paraId="20726DC0" w14:textId="77777777" w:rsidR="001B7699" w:rsidRPr="0063119B" w:rsidRDefault="001B7699" w:rsidP="003345A8">
      <w:pPr>
        <w:keepNext/>
        <w:suppressAutoHyphens/>
        <w:ind w:left="567" w:hanging="567"/>
        <w:rPr>
          <w:noProof/>
          <w:szCs w:val="22"/>
        </w:rPr>
      </w:pPr>
      <w:r w:rsidRPr="0063119B">
        <w:rPr>
          <w:b/>
          <w:noProof/>
          <w:szCs w:val="22"/>
        </w:rPr>
        <w:lastRenderedPageBreak/>
        <w:t>5.</w:t>
      </w:r>
      <w:r w:rsidRPr="0063119B">
        <w:rPr>
          <w:b/>
          <w:noProof/>
          <w:szCs w:val="22"/>
        </w:rPr>
        <w:tab/>
        <w:t>PROPRIEDADES FARMACOLÓGICAS</w:t>
      </w:r>
    </w:p>
    <w:p w14:paraId="60E928A1" w14:textId="77777777" w:rsidR="001B7699" w:rsidRPr="0063119B" w:rsidRDefault="001B7699" w:rsidP="003345A8">
      <w:pPr>
        <w:keepNext/>
        <w:suppressAutoHyphens/>
        <w:rPr>
          <w:noProof/>
          <w:szCs w:val="22"/>
        </w:rPr>
      </w:pPr>
    </w:p>
    <w:p w14:paraId="6BC88612" w14:textId="77777777" w:rsidR="001B7699" w:rsidRPr="0063119B" w:rsidRDefault="001B7699" w:rsidP="003345A8">
      <w:pPr>
        <w:keepNext/>
        <w:suppressAutoHyphens/>
        <w:ind w:left="567" w:hanging="567"/>
        <w:rPr>
          <w:noProof/>
          <w:szCs w:val="22"/>
        </w:rPr>
      </w:pPr>
      <w:r w:rsidRPr="0063119B">
        <w:rPr>
          <w:b/>
          <w:noProof/>
          <w:szCs w:val="22"/>
        </w:rPr>
        <w:t>5.1</w:t>
      </w:r>
      <w:r w:rsidRPr="0063119B">
        <w:rPr>
          <w:b/>
          <w:noProof/>
          <w:szCs w:val="22"/>
        </w:rPr>
        <w:tab/>
        <w:t>Propriedades farmacodinâmicas</w:t>
      </w:r>
    </w:p>
    <w:p w14:paraId="06CC5BBA" w14:textId="77777777" w:rsidR="001B7699" w:rsidRPr="0063119B" w:rsidRDefault="001B7699" w:rsidP="001B7699">
      <w:pPr>
        <w:suppressAutoHyphens/>
        <w:rPr>
          <w:noProof/>
          <w:szCs w:val="22"/>
        </w:rPr>
      </w:pPr>
    </w:p>
    <w:p w14:paraId="68E7935C" w14:textId="77777777" w:rsidR="001B7699" w:rsidRPr="0063119B" w:rsidRDefault="001B7699" w:rsidP="001B7699">
      <w:pPr>
        <w:suppressAutoHyphens/>
        <w:rPr>
          <w:noProof/>
          <w:szCs w:val="22"/>
        </w:rPr>
      </w:pPr>
      <w:r w:rsidRPr="0063119B">
        <w:rPr>
          <w:noProof/>
          <w:szCs w:val="22"/>
        </w:rPr>
        <w:t xml:space="preserve">Grupo farmacoterapêutico: </w:t>
      </w:r>
      <w:r w:rsidR="00E77768" w:rsidRPr="0063119B">
        <w:rPr>
          <w:noProof/>
          <w:szCs w:val="22"/>
        </w:rPr>
        <w:t>Agentes antitrombóticos, i</w:t>
      </w:r>
      <w:r w:rsidRPr="0063119B">
        <w:rPr>
          <w:noProof/>
          <w:szCs w:val="22"/>
        </w:rPr>
        <w:t>nibidores diretos do fator Xa, código ATC: B01AF01</w:t>
      </w:r>
    </w:p>
    <w:p w14:paraId="170D1162" w14:textId="77777777" w:rsidR="001B7699" w:rsidRPr="0063119B" w:rsidRDefault="001B7699" w:rsidP="001B7699">
      <w:pPr>
        <w:suppressAutoHyphens/>
        <w:rPr>
          <w:noProof/>
          <w:szCs w:val="22"/>
        </w:rPr>
      </w:pPr>
    </w:p>
    <w:p w14:paraId="6B6091B9" w14:textId="77777777" w:rsidR="001B7699" w:rsidRDefault="001B7699" w:rsidP="001B7699">
      <w:pPr>
        <w:suppressAutoHyphens/>
        <w:rPr>
          <w:noProof/>
          <w:szCs w:val="22"/>
          <w:u w:val="single"/>
        </w:rPr>
      </w:pPr>
      <w:r w:rsidRPr="0063119B">
        <w:rPr>
          <w:noProof/>
          <w:szCs w:val="22"/>
          <w:u w:val="single"/>
        </w:rPr>
        <w:t>Mecanismo de ação</w:t>
      </w:r>
    </w:p>
    <w:p w14:paraId="72C35E17" w14:textId="77777777" w:rsidR="00016132" w:rsidRPr="0063119B" w:rsidRDefault="00016132" w:rsidP="001B7699">
      <w:pPr>
        <w:suppressAutoHyphens/>
        <w:rPr>
          <w:noProof/>
          <w:szCs w:val="22"/>
          <w:u w:val="single"/>
        </w:rPr>
      </w:pPr>
    </w:p>
    <w:p w14:paraId="4BFD8A2C" w14:textId="77777777" w:rsidR="001B7699" w:rsidRPr="0063119B" w:rsidRDefault="001B7699" w:rsidP="001B7699">
      <w:pPr>
        <w:pStyle w:val="Default"/>
        <w:rPr>
          <w:color w:val="auto"/>
          <w:sz w:val="22"/>
          <w:szCs w:val="22"/>
          <w:lang w:val="pt-PT"/>
        </w:rPr>
      </w:pPr>
      <w:r w:rsidRPr="0063119B">
        <w:rPr>
          <w:color w:val="auto"/>
          <w:sz w:val="22"/>
          <w:szCs w:val="22"/>
          <w:lang w:val="pt-PT"/>
        </w:rPr>
        <w:t xml:space="preserve">O rivaroxabano é um inibidor direto altamente seletivo do </w:t>
      </w:r>
      <w:r w:rsidR="00A96A3C" w:rsidRPr="0063119B">
        <w:rPr>
          <w:color w:val="auto"/>
          <w:sz w:val="22"/>
          <w:szCs w:val="22"/>
          <w:lang w:val="pt-PT"/>
        </w:rPr>
        <w:t>f</w:t>
      </w:r>
      <w:r w:rsidRPr="0063119B">
        <w:rPr>
          <w:color w:val="auto"/>
          <w:sz w:val="22"/>
          <w:szCs w:val="22"/>
          <w:lang w:val="pt-PT"/>
        </w:rPr>
        <w:t xml:space="preserve">ator Xa com biodisponibilidade oral. A inibição do </w:t>
      </w:r>
      <w:r w:rsidR="00A96A3C" w:rsidRPr="0063119B">
        <w:rPr>
          <w:color w:val="auto"/>
          <w:sz w:val="22"/>
          <w:szCs w:val="22"/>
          <w:lang w:val="pt-PT"/>
        </w:rPr>
        <w:t>f</w:t>
      </w:r>
      <w:r w:rsidRPr="0063119B">
        <w:rPr>
          <w:color w:val="auto"/>
          <w:sz w:val="22"/>
          <w:szCs w:val="22"/>
          <w:lang w:val="pt-PT"/>
        </w:rPr>
        <w:t>ator Xa interrompe as vias intrínseca e extrínseca da cascata de coagulação sanguínea, inibindo tanto a formação de trombina como o desenvolvimento de trombos. O rivaroxabano não inibe a trombina (</w:t>
      </w:r>
      <w:r w:rsidR="00A96A3C" w:rsidRPr="0063119B">
        <w:rPr>
          <w:color w:val="auto"/>
          <w:sz w:val="22"/>
          <w:szCs w:val="22"/>
          <w:lang w:val="pt-PT"/>
        </w:rPr>
        <w:t>f</w:t>
      </w:r>
      <w:r w:rsidRPr="0063119B">
        <w:rPr>
          <w:color w:val="auto"/>
          <w:sz w:val="22"/>
          <w:szCs w:val="22"/>
          <w:lang w:val="pt-PT"/>
        </w:rPr>
        <w:t>ator II ativado) e não foram demonstrados efeitos nas plaquetas.</w:t>
      </w:r>
    </w:p>
    <w:p w14:paraId="58AA9086" w14:textId="77777777" w:rsidR="001B7699" w:rsidRPr="0063119B" w:rsidRDefault="001B7699" w:rsidP="001B7699">
      <w:pPr>
        <w:pStyle w:val="Default"/>
        <w:rPr>
          <w:color w:val="auto"/>
          <w:sz w:val="22"/>
          <w:szCs w:val="22"/>
          <w:lang w:val="pt-PT"/>
        </w:rPr>
      </w:pPr>
    </w:p>
    <w:p w14:paraId="22775D04" w14:textId="77777777" w:rsidR="001B7699" w:rsidRDefault="001B7699" w:rsidP="001B7699">
      <w:pPr>
        <w:rPr>
          <w:noProof/>
          <w:szCs w:val="22"/>
          <w:u w:val="single"/>
        </w:rPr>
      </w:pPr>
      <w:r w:rsidRPr="0063119B">
        <w:rPr>
          <w:noProof/>
          <w:szCs w:val="22"/>
          <w:u w:val="single"/>
        </w:rPr>
        <w:t>Efeitos farmacodinâmicos</w:t>
      </w:r>
    </w:p>
    <w:p w14:paraId="5838315A" w14:textId="77777777" w:rsidR="00016132" w:rsidRPr="0063119B" w:rsidRDefault="00016132" w:rsidP="001B7699">
      <w:pPr>
        <w:rPr>
          <w:noProof/>
          <w:szCs w:val="22"/>
        </w:rPr>
      </w:pPr>
    </w:p>
    <w:p w14:paraId="7ECA2DCC" w14:textId="77777777" w:rsidR="001B7699" w:rsidRPr="0063119B" w:rsidRDefault="001B7699" w:rsidP="001B7699">
      <w:pPr>
        <w:rPr>
          <w:noProof/>
          <w:szCs w:val="22"/>
        </w:rPr>
      </w:pPr>
      <w:r w:rsidRPr="0063119B">
        <w:rPr>
          <w:noProof/>
          <w:szCs w:val="22"/>
        </w:rPr>
        <w:t xml:space="preserve">No ser humano foi observada inibição dose-dependente da atividade do </w:t>
      </w:r>
      <w:r w:rsidR="00A96A3C" w:rsidRPr="0063119B">
        <w:rPr>
          <w:noProof/>
          <w:szCs w:val="22"/>
        </w:rPr>
        <w:t>f</w:t>
      </w:r>
      <w:r w:rsidRPr="0063119B">
        <w:rPr>
          <w:noProof/>
          <w:szCs w:val="22"/>
        </w:rPr>
        <w:t>ator Xa. O tempo de protrombina (TP) é influenciado pelo rivaroxabano de uma forma dependente da dose, com uma estreita correlação com as concentrações plasmáticas (valor r igual a 0,98) quando se emprega Neoplastin para o ensaio. Outros reagentes originariam resultados diferentes. A leitura do TP deve ser feita em segundos, porque o INR está apenas calibrado e validado para os cumarínicos e não pode ser usado para nenhum outro anticoagulante.</w:t>
      </w:r>
    </w:p>
    <w:p w14:paraId="2D4BDEBA" w14:textId="77777777" w:rsidR="00EC79F4" w:rsidRPr="0063119B" w:rsidRDefault="00FA7D5D" w:rsidP="001B7699">
      <w:pPr>
        <w:rPr>
          <w:noProof/>
          <w:szCs w:val="22"/>
        </w:rPr>
      </w:pPr>
      <w:r w:rsidRPr="0063119B">
        <w:rPr>
          <w:noProof/>
          <w:szCs w:val="22"/>
        </w:rPr>
        <w:t>Num estudo de farmacologia clí</w:t>
      </w:r>
      <w:r w:rsidR="00EC79F4" w:rsidRPr="0063119B">
        <w:rPr>
          <w:noProof/>
          <w:szCs w:val="22"/>
        </w:rPr>
        <w:t xml:space="preserve">nica sobre a farmacodinâmica de reversão do rivaroxabano em doentes adultos saudáveis (n=22), </w:t>
      </w:r>
      <w:r w:rsidR="00F427F2" w:rsidRPr="0063119B">
        <w:rPr>
          <w:noProof/>
          <w:szCs w:val="22"/>
        </w:rPr>
        <w:t xml:space="preserve">foram avaliados </w:t>
      </w:r>
      <w:r w:rsidR="00EC79F4" w:rsidRPr="0063119B">
        <w:rPr>
          <w:noProof/>
          <w:szCs w:val="22"/>
        </w:rPr>
        <w:t>os efeitos de doses únicas (50</w:t>
      </w:r>
      <w:r w:rsidR="00651577" w:rsidRPr="0063119B">
        <w:rPr>
          <w:noProof/>
          <w:szCs w:val="22"/>
        </w:rPr>
        <w:t> </w:t>
      </w:r>
      <w:r w:rsidR="00EC79F4" w:rsidRPr="0063119B">
        <w:rPr>
          <w:noProof/>
          <w:szCs w:val="22"/>
        </w:rPr>
        <w:t xml:space="preserve">UI/Kg) de dois tipos diferentes de CCPs, </w:t>
      </w:r>
      <w:r w:rsidR="000F75C6" w:rsidRPr="0063119B">
        <w:rPr>
          <w:noProof/>
          <w:szCs w:val="22"/>
        </w:rPr>
        <w:t xml:space="preserve">um </w:t>
      </w:r>
      <w:r w:rsidR="001049F1" w:rsidRPr="0063119B">
        <w:rPr>
          <w:noProof/>
          <w:szCs w:val="22"/>
        </w:rPr>
        <w:t>CCP</w:t>
      </w:r>
      <w:r w:rsidR="00F47839" w:rsidRPr="0063119B">
        <w:rPr>
          <w:noProof/>
          <w:szCs w:val="22"/>
        </w:rPr>
        <w:t xml:space="preserve"> </w:t>
      </w:r>
      <w:r w:rsidR="007B0ADE" w:rsidRPr="0063119B">
        <w:rPr>
          <w:noProof/>
          <w:szCs w:val="22"/>
        </w:rPr>
        <w:t xml:space="preserve">de 3 </w:t>
      </w:r>
      <w:r w:rsidR="00F47839" w:rsidRPr="0063119B">
        <w:rPr>
          <w:noProof/>
          <w:szCs w:val="22"/>
        </w:rPr>
        <w:t>fator</w:t>
      </w:r>
      <w:r w:rsidR="007B0ADE" w:rsidRPr="0063119B">
        <w:rPr>
          <w:noProof/>
          <w:szCs w:val="22"/>
        </w:rPr>
        <w:t>es</w:t>
      </w:r>
      <w:r w:rsidR="001049F1" w:rsidRPr="0063119B">
        <w:rPr>
          <w:noProof/>
          <w:szCs w:val="22"/>
        </w:rPr>
        <w:t xml:space="preserve"> </w:t>
      </w:r>
      <w:r w:rsidR="00F427F2" w:rsidRPr="0063119B">
        <w:rPr>
          <w:noProof/>
          <w:szCs w:val="22"/>
        </w:rPr>
        <w:t>(Fatores II,</w:t>
      </w:r>
      <w:r w:rsidR="00EC79F4" w:rsidRPr="0063119B">
        <w:rPr>
          <w:noProof/>
          <w:szCs w:val="22"/>
        </w:rPr>
        <w:t xml:space="preserve"> IX e X) e </w:t>
      </w:r>
      <w:r w:rsidR="000F75C6" w:rsidRPr="0063119B">
        <w:rPr>
          <w:noProof/>
          <w:szCs w:val="22"/>
        </w:rPr>
        <w:t xml:space="preserve">um </w:t>
      </w:r>
      <w:r w:rsidR="00EC79F4" w:rsidRPr="0063119B">
        <w:rPr>
          <w:noProof/>
          <w:szCs w:val="22"/>
        </w:rPr>
        <w:t xml:space="preserve">CCP </w:t>
      </w:r>
      <w:r w:rsidR="007B0ADE" w:rsidRPr="0063119B">
        <w:rPr>
          <w:noProof/>
          <w:szCs w:val="22"/>
        </w:rPr>
        <w:t xml:space="preserve">de 4 </w:t>
      </w:r>
      <w:r w:rsidR="00EC79F4" w:rsidRPr="0063119B">
        <w:rPr>
          <w:noProof/>
          <w:szCs w:val="22"/>
        </w:rPr>
        <w:t>fator</w:t>
      </w:r>
      <w:r w:rsidR="007B0ADE" w:rsidRPr="0063119B">
        <w:rPr>
          <w:noProof/>
          <w:szCs w:val="22"/>
        </w:rPr>
        <w:t>es</w:t>
      </w:r>
      <w:r w:rsidR="00EC79F4" w:rsidRPr="0063119B">
        <w:rPr>
          <w:noProof/>
          <w:szCs w:val="22"/>
        </w:rPr>
        <w:t xml:space="preserve"> (Fatores </w:t>
      </w:r>
      <w:r w:rsidR="00F427F2" w:rsidRPr="0063119B">
        <w:rPr>
          <w:noProof/>
          <w:szCs w:val="22"/>
        </w:rPr>
        <w:t>II, VII, IX e X</w:t>
      </w:r>
      <w:r w:rsidR="00EC79F4" w:rsidRPr="0063119B">
        <w:rPr>
          <w:noProof/>
          <w:szCs w:val="22"/>
        </w:rPr>
        <w:t>)</w:t>
      </w:r>
      <w:r w:rsidR="00F427F2" w:rsidRPr="0063119B">
        <w:rPr>
          <w:noProof/>
          <w:szCs w:val="22"/>
        </w:rPr>
        <w:t xml:space="preserve">. </w:t>
      </w:r>
      <w:r w:rsidR="001049F1" w:rsidRPr="0063119B">
        <w:rPr>
          <w:noProof/>
          <w:szCs w:val="22"/>
        </w:rPr>
        <w:t xml:space="preserve">O </w:t>
      </w:r>
      <w:r w:rsidR="00F47839" w:rsidRPr="0063119B">
        <w:rPr>
          <w:noProof/>
          <w:szCs w:val="22"/>
        </w:rPr>
        <w:t xml:space="preserve">CCP </w:t>
      </w:r>
      <w:r w:rsidR="007B0ADE" w:rsidRPr="0063119B">
        <w:rPr>
          <w:noProof/>
          <w:szCs w:val="22"/>
        </w:rPr>
        <w:t xml:space="preserve">de 3 </w:t>
      </w:r>
      <w:r w:rsidR="001049F1" w:rsidRPr="0063119B">
        <w:rPr>
          <w:noProof/>
          <w:szCs w:val="22"/>
        </w:rPr>
        <w:t>fator</w:t>
      </w:r>
      <w:r w:rsidR="007B0ADE" w:rsidRPr="0063119B">
        <w:rPr>
          <w:noProof/>
          <w:szCs w:val="22"/>
        </w:rPr>
        <w:t>es</w:t>
      </w:r>
      <w:r w:rsidR="001049F1" w:rsidRPr="0063119B">
        <w:rPr>
          <w:noProof/>
          <w:szCs w:val="22"/>
        </w:rPr>
        <w:t xml:space="preserve"> reduziu os valores médios de </w:t>
      </w:r>
      <w:r w:rsidR="00F47839" w:rsidRPr="0063119B">
        <w:rPr>
          <w:noProof/>
          <w:szCs w:val="22"/>
        </w:rPr>
        <w:t>TP de</w:t>
      </w:r>
      <w:r w:rsidR="001049F1" w:rsidRPr="0063119B">
        <w:rPr>
          <w:noProof/>
          <w:szCs w:val="22"/>
        </w:rPr>
        <w:t xml:space="preserve"> Neoplastin de aproximadamente 1,0 segundo em 30 minutos em comparação com reduções de aproximadamente</w:t>
      </w:r>
      <w:r w:rsidR="000F75C6" w:rsidRPr="0063119B">
        <w:rPr>
          <w:noProof/>
          <w:szCs w:val="22"/>
        </w:rPr>
        <w:t xml:space="preserve"> 3,5 segundos observada</w:t>
      </w:r>
      <w:r w:rsidR="001049F1" w:rsidRPr="0063119B">
        <w:rPr>
          <w:noProof/>
          <w:szCs w:val="22"/>
        </w:rPr>
        <w:t xml:space="preserve">s com o </w:t>
      </w:r>
      <w:r w:rsidR="00F47839" w:rsidRPr="0063119B">
        <w:rPr>
          <w:noProof/>
          <w:szCs w:val="22"/>
        </w:rPr>
        <w:t xml:space="preserve">CCP </w:t>
      </w:r>
      <w:r w:rsidR="007B0ADE" w:rsidRPr="0063119B">
        <w:rPr>
          <w:noProof/>
          <w:szCs w:val="22"/>
        </w:rPr>
        <w:t xml:space="preserve">de 4 </w:t>
      </w:r>
      <w:r w:rsidR="001049F1" w:rsidRPr="0063119B">
        <w:rPr>
          <w:noProof/>
          <w:szCs w:val="22"/>
        </w:rPr>
        <w:t>fator</w:t>
      </w:r>
      <w:r w:rsidR="007B0ADE" w:rsidRPr="0063119B">
        <w:rPr>
          <w:noProof/>
          <w:szCs w:val="22"/>
        </w:rPr>
        <w:t>es</w:t>
      </w:r>
      <w:r w:rsidR="001049F1" w:rsidRPr="0063119B">
        <w:rPr>
          <w:noProof/>
          <w:szCs w:val="22"/>
        </w:rPr>
        <w:t xml:space="preserve">. </w:t>
      </w:r>
      <w:r w:rsidR="006149BC" w:rsidRPr="0063119B">
        <w:rPr>
          <w:noProof/>
          <w:szCs w:val="22"/>
        </w:rPr>
        <w:t>Por outro lado</w:t>
      </w:r>
      <w:r w:rsidR="001049F1" w:rsidRPr="0063119B">
        <w:rPr>
          <w:noProof/>
          <w:szCs w:val="22"/>
        </w:rPr>
        <w:t>, o CCP</w:t>
      </w:r>
      <w:r w:rsidR="00F47839" w:rsidRPr="0063119B">
        <w:rPr>
          <w:noProof/>
          <w:szCs w:val="22"/>
        </w:rPr>
        <w:t xml:space="preserve"> </w:t>
      </w:r>
      <w:r w:rsidR="007B0ADE" w:rsidRPr="0063119B">
        <w:rPr>
          <w:noProof/>
          <w:szCs w:val="22"/>
        </w:rPr>
        <w:t xml:space="preserve">de 3 </w:t>
      </w:r>
      <w:r w:rsidR="00F47839" w:rsidRPr="0063119B">
        <w:rPr>
          <w:noProof/>
          <w:szCs w:val="22"/>
        </w:rPr>
        <w:t>fator</w:t>
      </w:r>
      <w:r w:rsidR="007B0ADE" w:rsidRPr="0063119B">
        <w:rPr>
          <w:noProof/>
          <w:szCs w:val="22"/>
        </w:rPr>
        <w:t>es</w:t>
      </w:r>
      <w:r w:rsidR="00F47839" w:rsidRPr="0063119B">
        <w:rPr>
          <w:noProof/>
          <w:szCs w:val="22"/>
        </w:rPr>
        <w:t xml:space="preserve"> </w:t>
      </w:r>
      <w:r w:rsidR="001049F1" w:rsidRPr="0063119B">
        <w:rPr>
          <w:noProof/>
          <w:szCs w:val="22"/>
        </w:rPr>
        <w:t>teve um melhor e mais rápido efeito global na reversão das alterações</w:t>
      </w:r>
      <w:r w:rsidR="000F75C6" w:rsidRPr="0063119B">
        <w:rPr>
          <w:noProof/>
          <w:szCs w:val="22"/>
        </w:rPr>
        <w:t xml:space="preserve"> n</w:t>
      </w:r>
      <w:r w:rsidR="00F25887" w:rsidRPr="0063119B">
        <w:rPr>
          <w:noProof/>
          <w:szCs w:val="22"/>
        </w:rPr>
        <w:t xml:space="preserve">a formação </w:t>
      </w:r>
      <w:r w:rsidR="00F47839" w:rsidRPr="0063119B">
        <w:rPr>
          <w:noProof/>
          <w:szCs w:val="22"/>
        </w:rPr>
        <w:t>da trombina</w:t>
      </w:r>
      <w:r w:rsidR="000F75C6" w:rsidRPr="0063119B">
        <w:rPr>
          <w:noProof/>
          <w:szCs w:val="22"/>
        </w:rPr>
        <w:t xml:space="preserve"> endógena</w:t>
      </w:r>
      <w:r w:rsidR="00F47839" w:rsidRPr="0063119B">
        <w:rPr>
          <w:noProof/>
          <w:szCs w:val="22"/>
        </w:rPr>
        <w:t xml:space="preserve"> que o CCP </w:t>
      </w:r>
      <w:r w:rsidR="007B0ADE" w:rsidRPr="0063119B">
        <w:rPr>
          <w:noProof/>
          <w:szCs w:val="22"/>
        </w:rPr>
        <w:t xml:space="preserve">de 4 </w:t>
      </w:r>
      <w:r w:rsidR="00F47839" w:rsidRPr="0063119B">
        <w:rPr>
          <w:noProof/>
          <w:szCs w:val="22"/>
        </w:rPr>
        <w:t>fator</w:t>
      </w:r>
      <w:r w:rsidR="007B0ADE" w:rsidRPr="0063119B">
        <w:rPr>
          <w:noProof/>
          <w:szCs w:val="22"/>
        </w:rPr>
        <w:t>es</w:t>
      </w:r>
      <w:r w:rsidR="001049F1" w:rsidRPr="0063119B">
        <w:rPr>
          <w:noProof/>
          <w:szCs w:val="22"/>
        </w:rPr>
        <w:t xml:space="preserve"> (ver secção 4.9).</w:t>
      </w:r>
    </w:p>
    <w:p w14:paraId="52AC4389" w14:textId="77777777" w:rsidR="00016132" w:rsidRDefault="001B7699" w:rsidP="001B7699">
      <w:pPr>
        <w:rPr>
          <w:noProof/>
          <w:szCs w:val="22"/>
        </w:rPr>
      </w:pPr>
      <w:r w:rsidRPr="0063119B">
        <w:rPr>
          <w:noProof/>
          <w:szCs w:val="22"/>
        </w:rPr>
        <w:t>O tempo de tromboplastina parcial ativada (aPTT) e o HepTest são igualmente prolongados, de forma dose</w:t>
      </w:r>
      <w:r w:rsidRPr="0063119B">
        <w:rPr>
          <w:noProof/>
          <w:szCs w:val="22"/>
        </w:rPr>
        <w:noBreakHyphen/>
        <w:t xml:space="preserve">dependente; contudo, não são recomendados para avaliar o efeito farmacodinâmico do rivaroxabano. Não há necessidade de monitorização dos parâmetros da coagulação durante o tratamento com rivaroxabano na prática clínica. </w:t>
      </w:r>
    </w:p>
    <w:p w14:paraId="35A7C0ED" w14:textId="77777777" w:rsidR="001B7699" w:rsidRPr="0063119B" w:rsidRDefault="001B7699" w:rsidP="001B7699">
      <w:pPr>
        <w:rPr>
          <w:noProof/>
          <w:szCs w:val="22"/>
        </w:rPr>
      </w:pPr>
      <w:r w:rsidRPr="0063119B">
        <w:rPr>
          <w:noProof/>
          <w:szCs w:val="22"/>
        </w:rPr>
        <w:t>Contudo, se clinicamente indicado, podem determinar-se os níveis de rivaroxabano através de testes quantitativos calibrados de antifator Xa (ver secção 5.2).</w:t>
      </w:r>
    </w:p>
    <w:p w14:paraId="7FA11BFC" w14:textId="77777777" w:rsidR="001B7699" w:rsidRPr="0063119B" w:rsidRDefault="001B7699" w:rsidP="001B7699">
      <w:pPr>
        <w:pStyle w:val="Default"/>
        <w:rPr>
          <w:color w:val="auto"/>
          <w:sz w:val="22"/>
          <w:szCs w:val="22"/>
          <w:lang w:val="pt-PT"/>
        </w:rPr>
      </w:pPr>
    </w:p>
    <w:p w14:paraId="62BB9538" w14:textId="77777777" w:rsidR="001B7699" w:rsidRDefault="001B7699" w:rsidP="001B7699">
      <w:pPr>
        <w:rPr>
          <w:noProof/>
          <w:szCs w:val="22"/>
          <w:u w:val="single"/>
        </w:rPr>
      </w:pPr>
      <w:r w:rsidRPr="0063119B">
        <w:rPr>
          <w:noProof/>
          <w:szCs w:val="22"/>
          <w:u w:val="single"/>
        </w:rPr>
        <w:t>Eficácia e segurança clínicas</w:t>
      </w:r>
    </w:p>
    <w:p w14:paraId="51587D27" w14:textId="77777777" w:rsidR="00016132" w:rsidRPr="0063119B" w:rsidRDefault="00016132" w:rsidP="001B7699">
      <w:pPr>
        <w:rPr>
          <w:noProof/>
          <w:szCs w:val="22"/>
          <w:u w:val="single"/>
        </w:rPr>
      </w:pPr>
    </w:p>
    <w:p w14:paraId="4AC62C04" w14:textId="77777777" w:rsidR="00BD2411" w:rsidRPr="0063119B" w:rsidRDefault="00BD2411" w:rsidP="001B7699">
      <w:pPr>
        <w:rPr>
          <w:i/>
          <w:szCs w:val="22"/>
          <w:u w:val="single"/>
        </w:rPr>
      </w:pPr>
      <w:r w:rsidRPr="0063119B">
        <w:rPr>
          <w:i/>
          <w:szCs w:val="22"/>
          <w:u w:val="single"/>
        </w:rPr>
        <w:t>SCA</w:t>
      </w:r>
    </w:p>
    <w:p w14:paraId="2F93700B" w14:textId="77777777" w:rsidR="001B7699" w:rsidRPr="0063119B" w:rsidRDefault="001B7699" w:rsidP="001B7699">
      <w:pPr>
        <w:rPr>
          <w:szCs w:val="22"/>
        </w:rPr>
      </w:pPr>
      <w:r w:rsidRPr="0063119B">
        <w:rPr>
          <w:szCs w:val="22"/>
        </w:rPr>
        <w:t xml:space="preserve">O programa clínico de rivaroxabano foi concebido para demonstrar a eficácia de </w:t>
      </w:r>
      <w:r w:rsidR="00E9034F" w:rsidRPr="0063119B">
        <w:rPr>
          <w:szCs w:val="22"/>
        </w:rPr>
        <w:t>rivaroxabano</w:t>
      </w:r>
      <w:r w:rsidRPr="0063119B">
        <w:rPr>
          <w:szCs w:val="22"/>
        </w:rPr>
        <w:t xml:space="preserve"> para a prevenção da morte cardiovascular (CV), </w:t>
      </w:r>
      <w:r w:rsidR="001A0F83" w:rsidRPr="0063119B">
        <w:rPr>
          <w:szCs w:val="22"/>
        </w:rPr>
        <w:t>enfarte do miocárdio (</w:t>
      </w:r>
      <w:r w:rsidRPr="0063119B">
        <w:rPr>
          <w:szCs w:val="22"/>
        </w:rPr>
        <w:t>EM</w:t>
      </w:r>
      <w:r w:rsidR="001A0F83" w:rsidRPr="0063119B">
        <w:rPr>
          <w:szCs w:val="22"/>
        </w:rPr>
        <w:t>)</w:t>
      </w:r>
      <w:r w:rsidRPr="0063119B">
        <w:rPr>
          <w:szCs w:val="22"/>
        </w:rPr>
        <w:t xml:space="preserve"> ou acidente vascular cerebral em indivíduos com SCA recente (enfarte do miocárdio com elevação do segmento ST [STEMI], enfarte do miocárdio sem elevação do segmento ST [NSTEMI] ou angina instável [AI]. No estudo de referência com dupla ocultação ATLAS ACS 2 TIMI 51, 15.526 doentes foram atribuídos aleatoriamente de 1:1:1 para um dos três grupos de tratamento: 2,5 mg</w:t>
      </w:r>
      <w:r w:rsidR="00E9034F" w:rsidRPr="0063119B">
        <w:rPr>
          <w:szCs w:val="22"/>
        </w:rPr>
        <w:t xml:space="preserve"> de rivaroxabano</w:t>
      </w:r>
      <w:r w:rsidRPr="0063119B">
        <w:rPr>
          <w:szCs w:val="22"/>
        </w:rPr>
        <w:t xml:space="preserve"> duas vezes ao dia por via oral, 5 mg duas vezes ao dia por via oral ou placebo duas vezes ao dia coadministrado com AAS </w:t>
      </w:r>
      <w:r w:rsidRPr="0063119B">
        <w:rPr>
          <w:noProof/>
          <w:szCs w:val="22"/>
        </w:rPr>
        <w:t xml:space="preserve">isoladamente ou com AAS mais uma tienopiridina (clopidogrel ou ticlopidina). Os doentes com uma SCA com idade inferior a 55 tinham que ter ou diabetes mellitus ou um EM anterior. </w:t>
      </w:r>
      <w:r w:rsidRPr="0063119B">
        <w:rPr>
          <w:szCs w:val="22"/>
        </w:rPr>
        <w:t xml:space="preserve">A duração mediana de tratamento foi de 13 meses e a duração total do tratamento atingiu quase 3 anos. 93,2% dos doentes recebeu AAS concomitantemente mais o tratamento com tienopiridina e 6,8% recebeu apenas AAS. Entre os doentes a receberem terapêutica antiplaquetária dupla, 98,8% recebeu clopidogrel, 0,9% recebeu ticlopidina e 0,3% recebeu prasugrel. Os doentes receberam a primeira dose de </w:t>
      </w:r>
      <w:r w:rsidR="00E9034F" w:rsidRPr="0063119B">
        <w:rPr>
          <w:szCs w:val="22"/>
        </w:rPr>
        <w:t>rivaroxabano</w:t>
      </w:r>
      <w:r w:rsidRPr="0063119B">
        <w:rPr>
          <w:szCs w:val="22"/>
        </w:rPr>
        <w:t xml:space="preserve"> depois de pelo menos 24 horas e até 7 dias (média de 4,7 dias) após a admissão hospitalar, mas logo que possível após a estabilização do acontecimento de SCA, incluindo os procedimentos de revascularização e na altura em que a terapêutica anticoagulante parentérica foi normalmente interrompida.</w:t>
      </w:r>
    </w:p>
    <w:p w14:paraId="463E20A0" w14:textId="77777777" w:rsidR="001B7699" w:rsidRPr="0063119B" w:rsidRDefault="001B7699" w:rsidP="001B7699">
      <w:pPr>
        <w:rPr>
          <w:szCs w:val="22"/>
        </w:rPr>
      </w:pPr>
    </w:p>
    <w:p w14:paraId="587670AA" w14:textId="77777777" w:rsidR="001B7699" w:rsidRPr="0063119B" w:rsidRDefault="001B7699" w:rsidP="001B7699">
      <w:pPr>
        <w:rPr>
          <w:noProof/>
          <w:szCs w:val="22"/>
        </w:rPr>
      </w:pPr>
      <w:r w:rsidRPr="0063119B">
        <w:rPr>
          <w:szCs w:val="22"/>
        </w:rPr>
        <w:t xml:space="preserve">Ambos os regimes, 2,5 mg duas vezes ao dia e 5 mg duas vezes ao dia, de rivaroxabano foram eficazes na redução adicional da incidência de acontecimentos CV com base em tratamentos antiplaquetários padrão. O regime de 2,5 mg duas vezes ao dia reduziu a mortalidade, e existe evidência que a dose mais baixa teve menores riscos de hemorragia, pelo que rivaroxabano 2,5 mg duas vezes ao dia, </w:t>
      </w:r>
      <w:r w:rsidRPr="0063119B">
        <w:rPr>
          <w:noProof/>
          <w:szCs w:val="22"/>
        </w:rPr>
        <w:t>coadministrado com ácido acetilsalicílico (AAS) isoladamente ou com AAS mais clopidogrel ou ticlopidina, é recomendado na prevenção de acontecimentos aterotrombóticos em doentes adultos após uma SCA com biomarcadores cardíacos elevados.</w:t>
      </w:r>
    </w:p>
    <w:p w14:paraId="52CD2218" w14:textId="77777777" w:rsidR="001B7699" w:rsidRPr="0063119B" w:rsidRDefault="001B7699" w:rsidP="001B7699">
      <w:pPr>
        <w:rPr>
          <w:noProof/>
          <w:szCs w:val="22"/>
        </w:rPr>
      </w:pPr>
    </w:p>
    <w:p w14:paraId="22A1C19F" w14:textId="77777777" w:rsidR="001B7699" w:rsidRPr="0063119B" w:rsidRDefault="001B7699" w:rsidP="001B7699">
      <w:pPr>
        <w:rPr>
          <w:szCs w:val="22"/>
        </w:rPr>
      </w:pPr>
      <w:r w:rsidRPr="0063119B">
        <w:rPr>
          <w:szCs w:val="22"/>
        </w:rPr>
        <w:t xml:space="preserve">Relativamente ao placebo, </w:t>
      </w:r>
      <w:r w:rsidR="00E9034F" w:rsidRPr="0063119B">
        <w:rPr>
          <w:szCs w:val="22"/>
        </w:rPr>
        <w:t xml:space="preserve">o rivaroxabano </w:t>
      </w:r>
      <w:r w:rsidRPr="0063119B">
        <w:rPr>
          <w:szCs w:val="22"/>
        </w:rPr>
        <w:t xml:space="preserve">reduziu significativamente o </w:t>
      </w:r>
      <w:r w:rsidRPr="0063119B">
        <w:rPr>
          <w:i/>
          <w:szCs w:val="22"/>
        </w:rPr>
        <w:t>endpoint</w:t>
      </w:r>
      <w:r w:rsidRPr="0063119B">
        <w:rPr>
          <w:szCs w:val="22"/>
        </w:rPr>
        <w:t xml:space="preserve"> primário composto de morte CV, EM ou acidente vascular cerebral. O benefício foi impulsionado por uma redução na morte CV e no EM e surgiu cedo com um efeito de tratamento constante ao longo de todo o período de tratamento (ver Quadro</w:t>
      </w:r>
      <w:r w:rsidR="0051410B" w:rsidRPr="0063119B">
        <w:rPr>
          <w:szCs w:val="22"/>
        </w:rPr>
        <w:t> 4</w:t>
      </w:r>
      <w:r w:rsidRPr="0063119B">
        <w:rPr>
          <w:szCs w:val="22"/>
        </w:rPr>
        <w:t xml:space="preserve"> e Figura 1). Igualmente, o primeiro </w:t>
      </w:r>
      <w:r w:rsidRPr="0063119B">
        <w:rPr>
          <w:i/>
          <w:szCs w:val="22"/>
        </w:rPr>
        <w:t>endpoint</w:t>
      </w:r>
      <w:r w:rsidRPr="0063119B">
        <w:rPr>
          <w:szCs w:val="22"/>
        </w:rPr>
        <w:t xml:space="preserve"> secundário (morte por todas as causas, EM ou acidente vascular cerebral) foi significativamente reduzido. Uma análise retrospetiva adicional demonstrou uma redução nominalmente significativa nas taxas de incidência de trombose do </w:t>
      </w:r>
      <w:r w:rsidRPr="0063119B">
        <w:rPr>
          <w:i/>
          <w:szCs w:val="22"/>
        </w:rPr>
        <w:t>stent</w:t>
      </w:r>
      <w:r w:rsidRPr="0063119B">
        <w:rPr>
          <w:szCs w:val="22"/>
        </w:rPr>
        <w:t xml:space="preserve"> comparativamente com placebo (ver Quadro </w:t>
      </w:r>
      <w:r w:rsidR="0051410B" w:rsidRPr="0063119B">
        <w:rPr>
          <w:szCs w:val="22"/>
        </w:rPr>
        <w:t>4</w:t>
      </w:r>
      <w:r w:rsidRPr="0063119B">
        <w:rPr>
          <w:szCs w:val="22"/>
        </w:rPr>
        <w:t xml:space="preserve">). As taxas de incidência do resultado de segurança principal (acontecimentos hemorrágicos </w:t>
      </w:r>
      <w:r w:rsidR="00B06231" w:rsidRPr="0063119B">
        <w:rPr>
          <w:szCs w:val="22"/>
        </w:rPr>
        <w:t>TIMI major</w:t>
      </w:r>
      <w:r w:rsidR="001A0F83" w:rsidRPr="0063119B">
        <w:rPr>
          <w:szCs w:val="22"/>
        </w:rPr>
        <w:t xml:space="preserve"> </w:t>
      </w:r>
      <w:r w:rsidRPr="0063119B">
        <w:rPr>
          <w:szCs w:val="22"/>
        </w:rPr>
        <w:t>não</w:t>
      </w:r>
      <w:r w:rsidR="00B06231" w:rsidRPr="0063119B">
        <w:rPr>
          <w:szCs w:val="22"/>
        </w:rPr>
        <w:t xml:space="preserve"> relacionados com bypass coronário</w:t>
      </w:r>
      <w:r w:rsidRPr="0063119B">
        <w:rPr>
          <w:szCs w:val="22"/>
        </w:rPr>
        <w:t xml:space="preserve"> </w:t>
      </w:r>
      <w:r w:rsidR="001A0F83" w:rsidRPr="0063119B">
        <w:rPr>
          <w:szCs w:val="22"/>
        </w:rPr>
        <w:t>(</w:t>
      </w:r>
      <w:r w:rsidRPr="0063119B">
        <w:rPr>
          <w:szCs w:val="22"/>
        </w:rPr>
        <w:t>CABG</w:t>
      </w:r>
      <w:r w:rsidR="001A0F83" w:rsidRPr="0063119B">
        <w:rPr>
          <w:szCs w:val="22"/>
        </w:rPr>
        <w:t>)</w:t>
      </w:r>
      <w:r w:rsidRPr="0063119B">
        <w:rPr>
          <w:szCs w:val="22"/>
        </w:rPr>
        <w:t xml:space="preserve"> TIMI) foram mais elevadas em doentes tratados com </w:t>
      </w:r>
      <w:r w:rsidR="00E9034F" w:rsidRPr="0063119B">
        <w:rPr>
          <w:szCs w:val="22"/>
        </w:rPr>
        <w:t>rivaroxabano</w:t>
      </w:r>
      <w:r w:rsidRPr="0063119B">
        <w:rPr>
          <w:szCs w:val="22"/>
        </w:rPr>
        <w:t xml:space="preserve"> do que em doentes que receberam placebo (ver Quadro </w:t>
      </w:r>
      <w:r w:rsidR="0051410B" w:rsidRPr="0063119B">
        <w:rPr>
          <w:szCs w:val="22"/>
        </w:rPr>
        <w:t>6</w:t>
      </w:r>
      <w:r w:rsidRPr="0063119B">
        <w:rPr>
          <w:szCs w:val="22"/>
        </w:rPr>
        <w:t xml:space="preserve">). No entanto, as taxas de incidência foram equilibradas entre </w:t>
      </w:r>
      <w:r w:rsidR="00E9034F" w:rsidRPr="0063119B">
        <w:rPr>
          <w:szCs w:val="22"/>
        </w:rPr>
        <w:t>o rivaroxabano</w:t>
      </w:r>
      <w:r w:rsidRPr="0063119B">
        <w:rPr>
          <w:szCs w:val="22"/>
        </w:rPr>
        <w:t xml:space="preserve"> e placebo no que se refere aos componentes de acontecimentos hemorrágicos fatais, hipotensão com necessidade de tratamento com agentes inotrópicos intravenosos e intervenção cirúrgica para hemorragia em curso.</w:t>
      </w:r>
    </w:p>
    <w:p w14:paraId="328DAE81" w14:textId="77777777" w:rsidR="001B7699" w:rsidRPr="0063119B" w:rsidRDefault="001B7699" w:rsidP="001B7699">
      <w:pPr>
        <w:rPr>
          <w:szCs w:val="22"/>
        </w:rPr>
      </w:pPr>
    </w:p>
    <w:p w14:paraId="006C581E" w14:textId="77777777" w:rsidR="001B7699" w:rsidRPr="0063119B" w:rsidRDefault="001B7699" w:rsidP="001B7699">
      <w:pPr>
        <w:rPr>
          <w:szCs w:val="22"/>
        </w:rPr>
      </w:pPr>
      <w:r w:rsidRPr="0063119B">
        <w:rPr>
          <w:szCs w:val="22"/>
        </w:rPr>
        <w:t>No Quadro</w:t>
      </w:r>
      <w:r w:rsidR="0051410B" w:rsidRPr="0063119B">
        <w:rPr>
          <w:szCs w:val="22"/>
        </w:rPr>
        <w:t> 5</w:t>
      </w:r>
      <w:r w:rsidRPr="0063119B">
        <w:rPr>
          <w:szCs w:val="22"/>
        </w:rPr>
        <w:t>, são apresentados os resultados de eficácia de doentes submetidos a intervenção coronária percutânea (ICP). Os resultados de segurança neste subgrupo de doentes submetidos a ICP foram comparáveis aos resultados de segurança globais.</w:t>
      </w:r>
    </w:p>
    <w:p w14:paraId="577D34CA" w14:textId="77777777" w:rsidR="001B7699" w:rsidRPr="0063119B" w:rsidRDefault="001B7699" w:rsidP="001B7699">
      <w:pPr>
        <w:rPr>
          <w:szCs w:val="22"/>
        </w:rPr>
      </w:pPr>
    </w:p>
    <w:p w14:paraId="795F0492" w14:textId="77777777" w:rsidR="001B7699" w:rsidRPr="0063119B" w:rsidRDefault="001B7699" w:rsidP="001B7699">
      <w:pPr>
        <w:rPr>
          <w:szCs w:val="22"/>
        </w:rPr>
      </w:pPr>
      <w:r w:rsidRPr="0063119B">
        <w:rPr>
          <w:szCs w:val="22"/>
        </w:rPr>
        <w:t xml:space="preserve">Os doentes com biomarcadores elevados (troponina ou CK-MB) e sem um </w:t>
      </w:r>
      <w:r w:rsidRPr="0063119B">
        <w:rPr>
          <w:noProof/>
          <w:szCs w:val="22"/>
        </w:rPr>
        <w:t xml:space="preserve">acidente vascular cerebral/AIT anterior constituíram </w:t>
      </w:r>
      <w:r w:rsidRPr="0063119B">
        <w:rPr>
          <w:szCs w:val="22"/>
        </w:rPr>
        <w:t>80% da população do estudo. Os resultados desta população de doentes também foram consistentes com os resultados globais de eficácia e segurança.</w:t>
      </w:r>
    </w:p>
    <w:p w14:paraId="4D3F3C84" w14:textId="77777777" w:rsidR="001B7699" w:rsidRPr="0063119B" w:rsidRDefault="001B7699" w:rsidP="001B7699">
      <w:pPr>
        <w:pStyle w:val="Default"/>
        <w:rPr>
          <w:color w:val="auto"/>
          <w:sz w:val="22"/>
          <w:szCs w:val="22"/>
          <w:lang w:val="pt-PT"/>
        </w:rPr>
      </w:pPr>
    </w:p>
    <w:tbl>
      <w:tblPr>
        <w:tblW w:w="9360" w:type="dxa"/>
        <w:tblInd w:w="108" w:type="dxa"/>
        <w:tblLook w:val="01E0" w:firstRow="1" w:lastRow="1" w:firstColumn="1" w:lastColumn="1" w:noHBand="0" w:noVBand="0"/>
      </w:tblPr>
      <w:tblGrid>
        <w:gridCol w:w="3474"/>
        <w:gridCol w:w="3747"/>
        <w:gridCol w:w="1676"/>
        <w:gridCol w:w="278"/>
        <w:gridCol w:w="185"/>
      </w:tblGrid>
      <w:tr w:rsidR="001B7699" w:rsidRPr="0063119B" w14:paraId="66FDA081" w14:textId="77777777" w:rsidTr="001B7699">
        <w:tc>
          <w:tcPr>
            <w:tcW w:w="9360" w:type="dxa"/>
            <w:gridSpan w:val="5"/>
          </w:tcPr>
          <w:p w14:paraId="0E0167F3" w14:textId="77777777" w:rsidR="001B7699" w:rsidRPr="0063119B" w:rsidRDefault="001B7699" w:rsidP="003345A8">
            <w:pPr>
              <w:pStyle w:val="BayerTableColumnHeadings"/>
              <w:keepNext/>
              <w:keepLines/>
              <w:spacing w:before="120" w:after="120" w:line="260" w:lineRule="exact"/>
              <w:jc w:val="left"/>
              <w:rPr>
                <w:szCs w:val="22"/>
                <w:lang w:val="pt-PT"/>
              </w:rPr>
            </w:pPr>
            <w:r w:rsidRPr="0063119B">
              <w:rPr>
                <w:szCs w:val="22"/>
                <w:lang w:val="pt-PT"/>
              </w:rPr>
              <w:lastRenderedPageBreak/>
              <w:t>Quadro </w:t>
            </w:r>
            <w:r w:rsidR="0051410B" w:rsidRPr="0063119B">
              <w:rPr>
                <w:szCs w:val="22"/>
                <w:lang w:val="pt-PT"/>
              </w:rPr>
              <w:t>4</w:t>
            </w:r>
            <w:r w:rsidRPr="0063119B">
              <w:rPr>
                <w:szCs w:val="22"/>
                <w:lang w:val="pt-PT"/>
              </w:rPr>
              <w:t>: Resultados de eficácia de fase III ATLAS ACS 2 TIMI 51</w:t>
            </w:r>
          </w:p>
        </w:tc>
      </w:tr>
      <w:tr w:rsidR="001B7699" w:rsidRPr="0063119B" w14:paraId="01502507"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blHeader/>
        </w:trPr>
        <w:tc>
          <w:tcPr>
            <w:tcW w:w="3544" w:type="dxa"/>
          </w:tcPr>
          <w:p w14:paraId="2B035CCA" w14:textId="77777777" w:rsidR="001B7699" w:rsidRPr="0063119B" w:rsidRDefault="001B7699" w:rsidP="003345A8">
            <w:pPr>
              <w:pStyle w:val="BayerTableColumnHeadings"/>
              <w:keepNext/>
              <w:keepLines/>
              <w:jc w:val="left"/>
              <w:rPr>
                <w:szCs w:val="22"/>
                <w:lang w:val="pt-PT"/>
              </w:rPr>
            </w:pPr>
            <w:r w:rsidRPr="0063119B">
              <w:rPr>
                <w:szCs w:val="22"/>
                <w:lang w:val="pt-PT"/>
              </w:rPr>
              <w:t>População do estudo</w:t>
            </w:r>
          </w:p>
          <w:p w14:paraId="3B0B88C0" w14:textId="77777777" w:rsidR="001B7699" w:rsidRPr="0063119B" w:rsidRDefault="001B7699" w:rsidP="003345A8">
            <w:pPr>
              <w:pStyle w:val="BayerTableRowHeadings"/>
              <w:keepLines/>
              <w:widowControl/>
              <w:rPr>
                <w:szCs w:val="22"/>
                <w:lang w:val="pt-PT"/>
              </w:rPr>
            </w:pPr>
          </w:p>
        </w:tc>
        <w:tc>
          <w:tcPr>
            <w:tcW w:w="5528" w:type="dxa"/>
            <w:gridSpan w:val="2"/>
            <w:vAlign w:val="center"/>
          </w:tcPr>
          <w:p w14:paraId="4489FFA6" w14:textId="77777777" w:rsidR="001B7699" w:rsidRPr="0063119B" w:rsidRDefault="001B7699" w:rsidP="003345A8">
            <w:pPr>
              <w:pStyle w:val="BayerTableColumnHeadings"/>
              <w:keepNext/>
              <w:keepLines/>
              <w:jc w:val="left"/>
              <w:rPr>
                <w:szCs w:val="22"/>
                <w:lang w:val="pt-PT"/>
              </w:rPr>
            </w:pPr>
            <w:r w:rsidRPr="0063119B">
              <w:rPr>
                <w:szCs w:val="22"/>
                <w:lang w:val="pt-PT"/>
              </w:rPr>
              <w:t>Doentes com síndrome coronária aguda recente </w:t>
            </w:r>
            <w:r w:rsidRPr="0063119B">
              <w:rPr>
                <w:szCs w:val="22"/>
                <w:vertAlign w:val="superscript"/>
                <w:lang w:val="pt-PT"/>
              </w:rPr>
              <w:t>a)</w:t>
            </w:r>
          </w:p>
          <w:p w14:paraId="7D214B3C" w14:textId="77777777" w:rsidR="001B7699" w:rsidRPr="0063119B" w:rsidRDefault="001B7699" w:rsidP="003345A8">
            <w:pPr>
              <w:pStyle w:val="BayerTableColumnHeadings"/>
              <w:keepNext/>
              <w:keepLines/>
              <w:jc w:val="left"/>
              <w:rPr>
                <w:b w:val="0"/>
                <w:szCs w:val="22"/>
                <w:lang w:val="pt-PT"/>
              </w:rPr>
            </w:pPr>
          </w:p>
        </w:tc>
      </w:tr>
      <w:tr w:rsidR="001B7699" w:rsidRPr="0063119B" w14:paraId="259D0321"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blHeader/>
        </w:trPr>
        <w:tc>
          <w:tcPr>
            <w:tcW w:w="3544" w:type="dxa"/>
          </w:tcPr>
          <w:p w14:paraId="7AA92421" w14:textId="77777777" w:rsidR="001B7699" w:rsidRPr="0063119B" w:rsidRDefault="001B7699" w:rsidP="003345A8">
            <w:pPr>
              <w:pStyle w:val="BayerTableRowHeadings"/>
              <w:keepLines/>
              <w:widowControl/>
              <w:rPr>
                <w:b/>
                <w:szCs w:val="22"/>
                <w:lang w:val="pt-PT"/>
              </w:rPr>
            </w:pPr>
            <w:r w:rsidRPr="0063119B">
              <w:rPr>
                <w:b/>
                <w:szCs w:val="22"/>
                <w:lang w:val="pt-PT"/>
              </w:rPr>
              <w:t>Dose de tratamento</w:t>
            </w:r>
          </w:p>
          <w:p w14:paraId="45DBF4BC" w14:textId="77777777" w:rsidR="001B7699" w:rsidRPr="0063119B" w:rsidRDefault="001B7699" w:rsidP="003345A8">
            <w:pPr>
              <w:pStyle w:val="BayerTableRowHeadings"/>
              <w:keepLines/>
              <w:widowControl/>
              <w:rPr>
                <w:b/>
                <w:szCs w:val="22"/>
                <w:lang w:val="pt-PT"/>
              </w:rPr>
            </w:pPr>
          </w:p>
        </w:tc>
        <w:tc>
          <w:tcPr>
            <w:tcW w:w="3827" w:type="dxa"/>
            <w:vAlign w:val="center"/>
          </w:tcPr>
          <w:p w14:paraId="2248A126" w14:textId="77777777" w:rsidR="001B7699" w:rsidRPr="0063119B" w:rsidRDefault="00E9034F" w:rsidP="003345A8">
            <w:pPr>
              <w:pStyle w:val="BayerTableColumnHeadings"/>
              <w:keepNext/>
              <w:keepLines/>
              <w:rPr>
                <w:szCs w:val="22"/>
                <w:lang w:val="pt-PT"/>
              </w:rPr>
            </w:pPr>
            <w:r w:rsidRPr="0063119B">
              <w:rPr>
                <w:szCs w:val="22"/>
                <w:lang w:val="pt-PT"/>
              </w:rPr>
              <w:t xml:space="preserve">Rivaroxabano </w:t>
            </w:r>
            <w:r w:rsidR="001B7699" w:rsidRPr="0063119B">
              <w:rPr>
                <w:szCs w:val="22"/>
                <w:lang w:val="pt-PT"/>
              </w:rPr>
              <w:t>2,5 mg, duas vezes ao dia, N=5.114</w:t>
            </w:r>
          </w:p>
          <w:p w14:paraId="575AE1E8" w14:textId="77777777" w:rsidR="001B7699" w:rsidRPr="0063119B" w:rsidRDefault="001B7699" w:rsidP="003345A8">
            <w:pPr>
              <w:pStyle w:val="BayerTableColumnHeadings"/>
              <w:keepNext/>
              <w:keepLines/>
              <w:rPr>
                <w:szCs w:val="22"/>
                <w:lang w:val="pt-PT"/>
              </w:rPr>
            </w:pPr>
            <w:r w:rsidRPr="0063119B">
              <w:rPr>
                <w:szCs w:val="22"/>
                <w:lang w:val="pt-PT"/>
              </w:rPr>
              <w:t>n (%)</w:t>
            </w:r>
          </w:p>
          <w:p w14:paraId="54995679" w14:textId="77777777" w:rsidR="001B7699" w:rsidRPr="0063119B" w:rsidRDefault="001B7699" w:rsidP="003345A8">
            <w:pPr>
              <w:pStyle w:val="BayerTableColumnHeadings"/>
              <w:keepNext/>
              <w:keepLines/>
              <w:rPr>
                <w:szCs w:val="22"/>
                <w:lang w:val="pt-PT"/>
              </w:rPr>
            </w:pPr>
            <w:r w:rsidRPr="0063119B">
              <w:rPr>
                <w:szCs w:val="22"/>
                <w:lang w:val="pt-PT"/>
              </w:rPr>
              <w:t xml:space="preserve">Razão de </w:t>
            </w:r>
            <w:r w:rsidR="00AA4546" w:rsidRPr="0063119B">
              <w:rPr>
                <w:szCs w:val="22"/>
                <w:lang w:val="pt-PT"/>
              </w:rPr>
              <w:t>R</w:t>
            </w:r>
            <w:r w:rsidRPr="0063119B">
              <w:rPr>
                <w:szCs w:val="22"/>
                <w:lang w:val="pt-PT"/>
              </w:rPr>
              <w:t>isco</w:t>
            </w:r>
            <w:r w:rsidR="001A0F83" w:rsidRPr="0063119B">
              <w:rPr>
                <w:szCs w:val="22"/>
                <w:lang w:val="pt-PT"/>
              </w:rPr>
              <w:t xml:space="preserve"> (RR)</w:t>
            </w:r>
            <w:r w:rsidRPr="0063119B">
              <w:rPr>
                <w:szCs w:val="22"/>
                <w:lang w:val="pt-PT"/>
              </w:rPr>
              <w:t xml:space="preserve"> (</w:t>
            </w:r>
            <w:r w:rsidR="00AA4546" w:rsidRPr="0063119B">
              <w:rPr>
                <w:szCs w:val="22"/>
                <w:lang w:val="pt-PT"/>
              </w:rPr>
              <w:t xml:space="preserve">IC </w:t>
            </w:r>
            <w:r w:rsidRPr="0063119B">
              <w:rPr>
                <w:szCs w:val="22"/>
                <w:lang w:val="pt-PT"/>
              </w:rPr>
              <w:t>95%) valor p </w:t>
            </w:r>
            <w:r w:rsidRPr="0063119B">
              <w:rPr>
                <w:szCs w:val="22"/>
                <w:vertAlign w:val="superscript"/>
                <w:lang w:val="pt-PT"/>
              </w:rPr>
              <w:t>b)</w:t>
            </w:r>
          </w:p>
        </w:tc>
        <w:tc>
          <w:tcPr>
            <w:tcW w:w="1701" w:type="dxa"/>
            <w:vAlign w:val="center"/>
          </w:tcPr>
          <w:p w14:paraId="19974DF4" w14:textId="77777777" w:rsidR="001B7699" w:rsidRPr="0063119B" w:rsidRDefault="001B7699" w:rsidP="003345A8">
            <w:pPr>
              <w:pStyle w:val="BayerTableColumnHeadings"/>
              <w:keepNext/>
              <w:keepLines/>
              <w:rPr>
                <w:szCs w:val="22"/>
                <w:lang w:val="pt-PT"/>
              </w:rPr>
            </w:pPr>
            <w:r w:rsidRPr="0063119B">
              <w:rPr>
                <w:szCs w:val="22"/>
                <w:lang w:val="pt-PT"/>
              </w:rPr>
              <w:t>Placebo</w:t>
            </w:r>
          </w:p>
          <w:p w14:paraId="5C9655FE" w14:textId="77777777" w:rsidR="001B7699" w:rsidRPr="0063119B" w:rsidRDefault="001B7699" w:rsidP="003345A8">
            <w:pPr>
              <w:pStyle w:val="BayerTableColumnHeadings"/>
              <w:keepNext/>
              <w:keepLines/>
              <w:rPr>
                <w:szCs w:val="22"/>
                <w:lang w:val="pt-PT"/>
              </w:rPr>
            </w:pPr>
            <w:r w:rsidRPr="0063119B">
              <w:rPr>
                <w:szCs w:val="22"/>
                <w:lang w:val="pt-PT"/>
              </w:rPr>
              <w:t>N=5.113</w:t>
            </w:r>
          </w:p>
          <w:p w14:paraId="0E6DCEA3" w14:textId="77777777" w:rsidR="001B7699" w:rsidRPr="0063119B" w:rsidRDefault="001B7699" w:rsidP="003345A8">
            <w:pPr>
              <w:pStyle w:val="BayerTableColumnHeadings"/>
              <w:keepNext/>
              <w:keepLines/>
              <w:rPr>
                <w:szCs w:val="22"/>
                <w:lang w:val="pt-PT"/>
              </w:rPr>
            </w:pPr>
            <w:r w:rsidRPr="0063119B">
              <w:rPr>
                <w:szCs w:val="22"/>
                <w:lang w:val="pt-PT"/>
              </w:rPr>
              <w:t>n (%)</w:t>
            </w:r>
          </w:p>
        </w:tc>
      </w:tr>
      <w:tr w:rsidR="001B7699" w:rsidRPr="0063119B" w14:paraId="0473B56A"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138DE082" w14:textId="77777777" w:rsidR="001B7699" w:rsidRPr="0063119B" w:rsidRDefault="001B7699" w:rsidP="003345A8">
            <w:pPr>
              <w:pStyle w:val="BayerTableRowHeadings"/>
              <w:keepLines/>
              <w:widowControl/>
              <w:rPr>
                <w:szCs w:val="22"/>
                <w:lang w:val="pt-PT"/>
              </w:rPr>
            </w:pPr>
            <w:r w:rsidRPr="0063119B">
              <w:rPr>
                <w:szCs w:val="22"/>
                <w:lang w:val="pt-PT"/>
              </w:rPr>
              <w:t>Morte cardiovascular, EM ou acidente vascular cerebral</w:t>
            </w:r>
          </w:p>
        </w:tc>
        <w:tc>
          <w:tcPr>
            <w:tcW w:w="3827" w:type="dxa"/>
          </w:tcPr>
          <w:p w14:paraId="44EA94B2" w14:textId="77777777" w:rsidR="001B7699" w:rsidRPr="0063119B" w:rsidRDefault="001B7699" w:rsidP="003311FD">
            <w:pPr>
              <w:pStyle w:val="BayerTableStyleCentered"/>
              <w:keepNext/>
              <w:keepLines/>
              <w:widowControl/>
              <w:spacing w:after="0"/>
              <w:jc w:val="left"/>
              <w:rPr>
                <w:szCs w:val="22"/>
                <w:lang w:val="pt-PT"/>
              </w:rPr>
            </w:pPr>
            <w:r w:rsidRPr="0063119B">
              <w:rPr>
                <w:szCs w:val="22"/>
                <w:lang w:val="pt-PT"/>
              </w:rPr>
              <w:t>313 (6,1%)</w:t>
            </w:r>
          </w:p>
          <w:p w14:paraId="765756B7" w14:textId="77777777" w:rsidR="001B7699" w:rsidRPr="0063119B" w:rsidRDefault="001B7699" w:rsidP="003311FD">
            <w:pPr>
              <w:pStyle w:val="BayerTableStyleCentered"/>
              <w:keepNext/>
              <w:keepLines/>
              <w:widowControl/>
              <w:spacing w:before="0"/>
              <w:jc w:val="left"/>
              <w:rPr>
                <w:szCs w:val="22"/>
                <w:lang w:val="pt-PT"/>
              </w:rPr>
            </w:pPr>
            <w:r w:rsidRPr="0063119B">
              <w:rPr>
                <w:szCs w:val="22"/>
                <w:lang w:val="pt-PT"/>
              </w:rPr>
              <w:t>0,84 (0,72; 0,97) p = 0,020*</w:t>
            </w:r>
          </w:p>
        </w:tc>
        <w:tc>
          <w:tcPr>
            <w:tcW w:w="1701" w:type="dxa"/>
          </w:tcPr>
          <w:p w14:paraId="0FA69375" w14:textId="77777777" w:rsidR="001B7699" w:rsidRPr="0063119B" w:rsidRDefault="001B7699" w:rsidP="003311FD">
            <w:pPr>
              <w:pStyle w:val="BayerTableStyleCentered"/>
              <w:keepNext/>
              <w:keepLines/>
              <w:widowControl/>
              <w:jc w:val="left"/>
              <w:rPr>
                <w:szCs w:val="22"/>
                <w:lang w:val="pt-PT"/>
              </w:rPr>
            </w:pPr>
            <w:r w:rsidRPr="0063119B">
              <w:rPr>
                <w:szCs w:val="22"/>
                <w:lang w:val="pt-PT"/>
              </w:rPr>
              <w:t>376 (7,4%)</w:t>
            </w:r>
          </w:p>
        </w:tc>
      </w:tr>
      <w:tr w:rsidR="001B7699" w:rsidRPr="0063119B" w14:paraId="7BF8765B"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6603690A" w14:textId="77777777" w:rsidR="001B7699" w:rsidRPr="0063119B" w:rsidRDefault="001B7699" w:rsidP="003345A8">
            <w:pPr>
              <w:pStyle w:val="BayerTableRowHeadings"/>
              <w:keepLines/>
              <w:widowControl/>
              <w:rPr>
                <w:szCs w:val="22"/>
                <w:lang w:val="pt-PT"/>
              </w:rPr>
            </w:pPr>
            <w:r w:rsidRPr="0063119B">
              <w:rPr>
                <w:szCs w:val="22"/>
                <w:lang w:val="pt-PT"/>
              </w:rPr>
              <w:t>Morte por todas as causas, EM ou acidente vascular cerebral</w:t>
            </w:r>
          </w:p>
        </w:tc>
        <w:tc>
          <w:tcPr>
            <w:tcW w:w="3827" w:type="dxa"/>
          </w:tcPr>
          <w:p w14:paraId="2BE1940D" w14:textId="77777777" w:rsidR="001B7699" w:rsidRPr="0063119B" w:rsidRDefault="001B7699" w:rsidP="003311FD">
            <w:pPr>
              <w:pStyle w:val="BayerTableStyleCentered"/>
              <w:keepNext/>
              <w:keepLines/>
              <w:widowControl/>
              <w:spacing w:after="0"/>
              <w:jc w:val="left"/>
              <w:rPr>
                <w:szCs w:val="22"/>
                <w:lang w:val="pt-PT"/>
              </w:rPr>
            </w:pPr>
            <w:r w:rsidRPr="0063119B">
              <w:rPr>
                <w:szCs w:val="22"/>
                <w:lang w:val="pt-PT"/>
              </w:rPr>
              <w:t>320 (6,3%)</w:t>
            </w:r>
          </w:p>
          <w:p w14:paraId="07F99463" w14:textId="77777777" w:rsidR="001B7699" w:rsidRPr="0063119B" w:rsidRDefault="001B7699" w:rsidP="003311FD">
            <w:pPr>
              <w:pStyle w:val="BayerTableStyleCentered"/>
              <w:keepNext/>
              <w:keepLines/>
              <w:widowControl/>
              <w:spacing w:before="0"/>
              <w:jc w:val="left"/>
              <w:rPr>
                <w:szCs w:val="22"/>
                <w:lang w:val="pt-PT"/>
              </w:rPr>
            </w:pPr>
            <w:r w:rsidRPr="0063119B">
              <w:rPr>
                <w:szCs w:val="22"/>
                <w:lang w:val="pt-PT"/>
              </w:rPr>
              <w:t>0,83 (0,72; 0,97) p = 0,016*</w:t>
            </w:r>
          </w:p>
        </w:tc>
        <w:tc>
          <w:tcPr>
            <w:tcW w:w="1701" w:type="dxa"/>
          </w:tcPr>
          <w:p w14:paraId="0CBE4F64" w14:textId="77777777" w:rsidR="001B7699" w:rsidRPr="0063119B" w:rsidRDefault="001B7699" w:rsidP="003311FD">
            <w:pPr>
              <w:pStyle w:val="BayerTableStyleCentered"/>
              <w:keepNext/>
              <w:keepLines/>
              <w:widowControl/>
              <w:jc w:val="left"/>
              <w:rPr>
                <w:szCs w:val="22"/>
                <w:lang w:val="pt-PT"/>
              </w:rPr>
            </w:pPr>
            <w:r w:rsidRPr="0063119B">
              <w:rPr>
                <w:szCs w:val="22"/>
                <w:lang w:val="pt-PT"/>
              </w:rPr>
              <w:t>386 (7,5%)</w:t>
            </w:r>
          </w:p>
        </w:tc>
      </w:tr>
      <w:tr w:rsidR="001B7699" w:rsidRPr="0063119B" w14:paraId="54713C80"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05E188C2" w14:textId="77777777" w:rsidR="001B7699" w:rsidRPr="0063119B" w:rsidRDefault="001B7699" w:rsidP="003345A8">
            <w:pPr>
              <w:pStyle w:val="BayerTableRowHeadings"/>
              <w:keepLines/>
              <w:widowControl/>
              <w:rPr>
                <w:szCs w:val="22"/>
                <w:lang w:val="pt-PT"/>
              </w:rPr>
            </w:pPr>
            <w:r w:rsidRPr="0063119B">
              <w:rPr>
                <w:szCs w:val="22"/>
                <w:lang w:val="pt-PT"/>
              </w:rPr>
              <w:t>Morte cardiovascular</w:t>
            </w:r>
          </w:p>
        </w:tc>
        <w:tc>
          <w:tcPr>
            <w:tcW w:w="3827" w:type="dxa"/>
          </w:tcPr>
          <w:p w14:paraId="38482C28" w14:textId="77777777" w:rsidR="001B7699" w:rsidRPr="0063119B" w:rsidRDefault="001B7699" w:rsidP="003311FD">
            <w:pPr>
              <w:pStyle w:val="BayerTableStyleCentered"/>
              <w:keepNext/>
              <w:keepLines/>
              <w:widowControl/>
              <w:spacing w:after="0"/>
              <w:jc w:val="left"/>
              <w:rPr>
                <w:szCs w:val="22"/>
                <w:lang w:val="pt-PT"/>
              </w:rPr>
            </w:pPr>
            <w:r w:rsidRPr="0063119B">
              <w:rPr>
                <w:szCs w:val="22"/>
                <w:lang w:val="pt-PT"/>
              </w:rPr>
              <w:t>94 (1,8%)</w:t>
            </w:r>
          </w:p>
          <w:p w14:paraId="43D2BE6B" w14:textId="77777777" w:rsidR="001B7699" w:rsidRPr="0063119B" w:rsidRDefault="001B7699" w:rsidP="003311FD">
            <w:pPr>
              <w:pStyle w:val="BayerTableStyleCentered"/>
              <w:keepNext/>
              <w:keepLines/>
              <w:widowControl/>
              <w:spacing w:before="0"/>
              <w:jc w:val="left"/>
              <w:rPr>
                <w:szCs w:val="22"/>
                <w:lang w:val="pt-PT"/>
              </w:rPr>
            </w:pPr>
            <w:r w:rsidRPr="0063119B">
              <w:rPr>
                <w:szCs w:val="22"/>
                <w:lang w:val="pt-PT"/>
              </w:rPr>
              <w:t>0,66 (0,51; 0,86) p = 0,002**</w:t>
            </w:r>
          </w:p>
        </w:tc>
        <w:tc>
          <w:tcPr>
            <w:tcW w:w="1701" w:type="dxa"/>
          </w:tcPr>
          <w:p w14:paraId="06DFD814" w14:textId="77777777" w:rsidR="001B7699" w:rsidRPr="0063119B" w:rsidRDefault="001B7699" w:rsidP="003311FD">
            <w:pPr>
              <w:pStyle w:val="BayerTableStyleCentered"/>
              <w:keepNext/>
              <w:keepLines/>
              <w:widowControl/>
              <w:jc w:val="left"/>
              <w:rPr>
                <w:szCs w:val="22"/>
                <w:lang w:val="pt-PT"/>
              </w:rPr>
            </w:pPr>
            <w:r w:rsidRPr="0063119B">
              <w:rPr>
                <w:szCs w:val="22"/>
                <w:lang w:val="pt-PT"/>
              </w:rPr>
              <w:t>143 (2,8%)</w:t>
            </w:r>
          </w:p>
        </w:tc>
      </w:tr>
      <w:tr w:rsidR="001B7699" w:rsidRPr="0063119B" w14:paraId="7753FFBA"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172ACE0C" w14:textId="77777777" w:rsidR="001B7699" w:rsidRPr="0063119B" w:rsidRDefault="001B7699" w:rsidP="003345A8">
            <w:pPr>
              <w:pStyle w:val="BayerTableRowHeadings"/>
              <w:keepLines/>
              <w:widowControl/>
              <w:rPr>
                <w:szCs w:val="22"/>
                <w:lang w:val="pt-PT"/>
              </w:rPr>
            </w:pPr>
            <w:r w:rsidRPr="0063119B">
              <w:rPr>
                <w:szCs w:val="22"/>
                <w:lang w:val="pt-PT"/>
              </w:rPr>
              <w:t>Morte por todas as causas</w:t>
            </w:r>
          </w:p>
        </w:tc>
        <w:tc>
          <w:tcPr>
            <w:tcW w:w="3827" w:type="dxa"/>
          </w:tcPr>
          <w:p w14:paraId="602F6A24" w14:textId="77777777" w:rsidR="001B7699" w:rsidRPr="0063119B" w:rsidRDefault="001B7699" w:rsidP="003311FD">
            <w:pPr>
              <w:pStyle w:val="BayerTableStyleCentered"/>
              <w:keepNext/>
              <w:keepLines/>
              <w:widowControl/>
              <w:spacing w:after="0"/>
              <w:jc w:val="left"/>
              <w:rPr>
                <w:szCs w:val="22"/>
                <w:lang w:val="pt-PT"/>
              </w:rPr>
            </w:pPr>
            <w:r w:rsidRPr="0063119B">
              <w:rPr>
                <w:szCs w:val="22"/>
                <w:lang w:val="pt-PT"/>
              </w:rPr>
              <w:t>103 (2,0%)</w:t>
            </w:r>
          </w:p>
          <w:p w14:paraId="1607C15F" w14:textId="77777777" w:rsidR="001B7699" w:rsidRPr="0063119B" w:rsidRDefault="001B7699" w:rsidP="003311FD">
            <w:pPr>
              <w:pStyle w:val="BayerTableStyleCentered"/>
              <w:keepNext/>
              <w:keepLines/>
              <w:widowControl/>
              <w:spacing w:before="0"/>
              <w:jc w:val="left"/>
              <w:rPr>
                <w:szCs w:val="22"/>
                <w:lang w:val="pt-PT"/>
              </w:rPr>
            </w:pPr>
            <w:r w:rsidRPr="0063119B">
              <w:rPr>
                <w:szCs w:val="22"/>
                <w:lang w:val="pt-PT"/>
              </w:rPr>
              <w:t>0,68 (0,53; 0,87) p = 0,002**</w:t>
            </w:r>
          </w:p>
        </w:tc>
        <w:tc>
          <w:tcPr>
            <w:tcW w:w="1701" w:type="dxa"/>
          </w:tcPr>
          <w:p w14:paraId="42920844" w14:textId="77777777" w:rsidR="001B7699" w:rsidRPr="0063119B" w:rsidRDefault="001B7699" w:rsidP="003311FD">
            <w:pPr>
              <w:pStyle w:val="BayerTableStyleCentered"/>
              <w:keepNext/>
              <w:keepLines/>
              <w:widowControl/>
              <w:jc w:val="left"/>
              <w:rPr>
                <w:szCs w:val="22"/>
                <w:lang w:val="pt-PT"/>
              </w:rPr>
            </w:pPr>
            <w:r w:rsidRPr="0063119B">
              <w:rPr>
                <w:szCs w:val="22"/>
                <w:lang w:val="pt-PT"/>
              </w:rPr>
              <w:t>153 (3,0%)</w:t>
            </w:r>
          </w:p>
        </w:tc>
      </w:tr>
      <w:tr w:rsidR="001B7699" w:rsidRPr="0063119B" w14:paraId="5CDB7D76"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6C867967" w14:textId="77777777" w:rsidR="001B7699" w:rsidRPr="0063119B" w:rsidRDefault="001B7699" w:rsidP="003345A8">
            <w:pPr>
              <w:pStyle w:val="BayerTableRowHeadings"/>
              <w:keepLines/>
              <w:widowControl/>
              <w:rPr>
                <w:szCs w:val="22"/>
                <w:lang w:val="pt-PT"/>
              </w:rPr>
            </w:pPr>
            <w:r w:rsidRPr="0063119B">
              <w:rPr>
                <w:szCs w:val="22"/>
                <w:lang w:val="pt-PT"/>
              </w:rPr>
              <w:t>EM</w:t>
            </w:r>
          </w:p>
        </w:tc>
        <w:tc>
          <w:tcPr>
            <w:tcW w:w="3827" w:type="dxa"/>
          </w:tcPr>
          <w:p w14:paraId="7DEC67EA" w14:textId="77777777" w:rsidR="001B7699" w:rsidRPr="0063119B" w:rsidRDefault="001B7699" w:rsidP="003311FD">
            <w:pPr>
              <w:pStyle w:val="BayerTableStyleCentered"/>
              <w:keepNext/>
              <w:keepLines/>
              <w:widowControl/>
              <w:spacing w:after="0"/>
              <w:jc w:val="left"/>
              <w:rPr>
                <w:szCs w:val="22"/>
                <w:lang w:val="pt-PT"/>
              </w:rPr>
            </w:pPr>
            <w:r w:rsidRPr="0063119B">
              <w:rPr>
                <w:szCs w:val="22"/>
                <w:lang w:val="pt-PT"/>
              </w:rPr>
              <w:t>205 (4,0%)</w:t>
            </w:r>
          </w:p>
          <w:p w14:paraId="715B73D1" w14:textId="77777777" w:rsidR="001B7699" w:rsidRPr="0063119B" w:rsidRDefault="001B7699" w:rsidP="003311FD">
            <w:pPr>
              <w:pStyle w:val="BayerTableStyleCentered"/>
              <w:keepNext/>
              <w:keepLines/>
              <w:widowControl/>
              <w:spacing w:before="0"/>
              <w:jc w:val="left"/>
              <w:rPr>
                <w:szCs w:val="22"/>
                <w:lang w:val="pt-PT"/>
              </w:rPr>
            </w:pPr>
            <w:r w:rsidRPr="0063119B">
              <w:rPr>
                <w:szCs w:val="22"/>
                <w:lang w:val="pt-PT"/>
              </w:rPr>
              <w:t>0,90 (0,75; 1,09) p = 0,270</w:t>
            </w:r>
          </w:p>
        </w:tc>
        <w:tc>
          <w:tcPr>
            <w:tcW w:w="1701" w:type="dxa"/>
          </w:tcPr>
          <w:p w14:paraId="5C7703D9" w14:textId="77777777" w:rsidR="001B7699" w:rsidRPr="0063119B" w:rsidRDefault="001B7699" w:rsidP="003311FD">
            <w:pPr>
              <w:pStyle w:val="BayerTableStyleCentered"/>
              <w:keepNext/>
              <w:keepLines/>
              <w:widowControl/>
              <w:jc w:val="left"/>
              <w:rPr>
                <w:szCs w:val="22"/>
                <w:lang w:val="pt-PT"/>
              </w:rPr>
            </w:pPr>
            <w:r w:rsidRPr="0063119B">
              <w:rPr>
                <w:szCs w:val="22"/>
                <w:lang w:val="pt-PT"/>
              </w:rPr>
              <w:t>229 (4,5%)</w:t>
            </w:r>
          </w:p>
        </w:tc>
      </w:tr>
      <w:tr w:rsidR="001B7699" w:rsidRPr="0063119B" w14:paraId="7DABCD65"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6B690BB4" w14:textId="77777777" w:rsidR="001B7699" w:rsidRPr="0063119B" w:rsidRDefault="001B7699" w:rsidP="003345A8">
            <w:pPr>
              <w:pStyle w:val="BayerTableRowHeadings"/>
              <w:keepLines/>
              <w:widowControl/>
              <w:rPr>
                <w:szCs w:val="22"/>
                <w:lang w:val="pt-PT"/>
              </w:rPr>
            </w:pPr>
            <w:r w:rsidRPr="0063119B">
              <w:rPr>
                <w:szCs w:val="22"/>
                <w:lang w:val="pt-PT"/>
              </w:rPr>
              <w:t>Acidente vascular cerebral</w:t>
            </w:r>
          </w:p>
        </w:tc>
        <w:tc>
          <w:tcPr>
            <w:tcW w:w="3827" w:type="dxa"/>
          </w:tcPr>
          <w:p w14:paraId="37F2F18D" w14:textId="77777777" w:rsidR="001B7699" w:rsidRPr="0063119B" w:rsidRDefault="001B7699" w:rsidP="003311FD">
            <w:pPr>
              <w:pStyle w:val="BayerTableStyleCentered"/>
              <w:keepNext/>
              <w:keepLines/>
              <w:widowControl/>
              <w:spacing w:after="0"/>
              <w:jc w:val="left"/>
              <w:rPr>
                <w:szCs w:val="22"/>
                <w:lang w:val="pt-PT"/>
              </w:rPr>
            </w:pPr>
            <w:r w:rsidRPr="0063119B">
              <w:rPr>
                <w:szCs w:val="22"/>
                <w:lang w:val="pt-PT"/>
              </w:rPr>
              <w:t>46 (0,9%)</w:t>
            </w:r>
          </w:p>
          <w:p w14:paraId="7E297D1E" w14:textId="77777777" w:rsidR="001B7699" w:rsidRPr="0063119B" w:rsidRDefault="001B7699" w:rsidP="003311FD">
            <w:pPr>
              <w:pStyle w:val="BayerTableStyleCentered"/>
              <w:keepNext/>
              <w:keepLines/>
              <w:widowControl/>
              <w:spacing w:before="0"/>
              <w:jc w:val="left"/>
              <w:rPr>
                <w:szCs w:val="22"/>
                <w:lang w:val="pt-PT"/>
              </w:rPr>
            </w:pPr>
            <w:r w:rsidRPr="0063119B">
              <w:rPr>
                <w:szCs w:val="22"/>
                <w:lang w:val="pt-PT"/>
              </w:rPr>
              <w:t>1,13 (0,74; 1,73) p = 0,562</w:t>
            </w:r>
          </w:p>
        </w:tc>
        <w:tc>
          <w:tcPr>
            <w:tcW w:w="1701" w:type="dxa"/>
          </w:tcPr>
          <w:p w14:paraId="18B1F25E" w14:textId="77777777" w:rsidR="001B7699" w:rsidRPr="0063119B" w:rsidRDefault="001B7699" w:rsidP="003311FD">
            <w:pPr>
              <w:pStyle w:val="BayerTableStyleCentered"/>
              <w:keepNext/>
              <w:keepLines/>
              <w:widowControl/>
              <w:jc w:val="left"/>
              <w:rPr>
                <w:szCs w:val="22"/>
                <w:lang w:val="pt-PT"/>
              </w:rPr>
            </w:pPr>
            <w:r w:rsidRPr="0063119B">
              <w:rPr>
                <w:szCs w:val="22"/>
                <w:lang w:val="pt-PT"/>
              </w:rPr>
              <w:t>41 (0,8%)</w:t>
            </w:r>
          </w:p>
        </w:tc>
      </w:tr>
      <w:tr w:rsidR="001B7699" w:rsidRPr="0063119B" w14:paraId="53FD485A"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42F3A64F" w14:textId="77777777" w:rsidR="001B7699" w:rsidRPr="0063119B" w:rsidRDefault="001B7699" w:rsidP="003345A8">
            <w:pPr>
              <w:pStyle w:val="BayerTableRowHeadings"/>
              <w:keepLines/>
              <w:widowControl/>
              <w:rPr>
                <w:szCs w:val="22"/>
                <w:lang w:val="pt-PT"/>
              </w:rPr>
            </w:pPr>
            <w:r w:rsidRPr="0063119B">
              <w:rPr>
                <w:szCs w:val="22"/>
                <w:lang w:val="pt-PT"/>
              </w:rPr>
              <w:t xml:space="preserve">Trombose do </w:t>
            </w:r>
            <w:r w:rsidRPr="0063119B">
              <w:rPr>
                <w:i/>
                <w:iCs/>
                <w:szCs w:val="22"/>
                <w:lang w:val="pt-PT"/>
              </w:rPr>
              <w:t>stent</w:t>
            </w:r>
          </w:p>
        </w:tc>
        <w:tc>
          <w:tcPr>
            <w:tcW w:w="3827" w:type="dxa"/>
          </w:tcPr>
          <w:p w14:paraId="1840000A" w14:textId="77777777" w:rsidR="001B7699" w:rsidRPr="0063119B" w:rsidRDefault="001B7699" w:rsidP="003311FD">
            <w:pPr>
              <w:pStyle w:val="BayerTableStyleCentered"/>
              <w:keepNext/>
              <w:keepLines/>
              <w:spacing w:after="0"/>
              <w:jc w:val="left"/>
              <w:rPr>
                <w:szCs w:val="22"/>
                <w:lang w:val="pt-PT"/>
              </w:rPr>
            </w:pPr>
            <w:r w:rsidRPr="0063119B">
              <w:rPr>
                <w:szCs w:val="22"/>
                <w:lang w:val="pt-PT"/>
              </w:rPr>
              <w:t>61 (1,2%)</w:t>
            </w:r>
          </w:p>
          <w:p w14:paraId="6A4E4337" w14:textId="77777777" w:rsidR="001B7699" w:rsidRPr="0063119B" w:rsidRDefault="001B7699" w:rsidP="003311FD">
            <w:pPr>
              <w:pStyle w:val="BayerTableStyleCentered"/>
              <w:keepNext/>
              <w:keepLines/>
              <w:spacing w:before="0"/>
              <w:jc w:val="left"/>
              <w:rPr>
                <w:szCs w:val="22"/>
                <w:lang w:val="pt-PT"/>
              </w:rPr>
            </w:pPr>
            <w:r w:rsidRPr="0063119B">
              <w:rPr>
                <w:szCs w:val="22"/>
                <w:lang w:val="pt-PT"/>
              </w:rPr>
              <w:t>0,70 (0,51; 0,97) p = 0,033**</w:t>
            </w:r>
          </w:p>
        </w:tc>
        <w:tc>
          <w:tcPr>
            <w:tcW w:w="1701" w:type="dxa"/>
          </w:tcPr>
          <w:p w14:paraId="57758F0A" w14:textId="77777777" w:rsidR="001B7699" w:rsidRPr="0063119B" w:rsidRDefault="001B7699" w:rsidP="003311FD">
            <w:pPr>
              <w:pStyle w:val="BayerTableStyleCentered"/>
              <w:keepNext/>
              <w:keepLines/>
              <w:jc w:val="left"/>
              <w:rPr>
                <w:szCs w:val="22"/>
                <w:lang w:val="pt-PT"/>
              </w:rPr>
            </w:pPr>
            <w:r w:rsidRPr="0063119B">
              <w:rPr>
                <w:szCs w:val="22"/>
                <w:lang w:val="pt-PT"/>
              </w:rPr>
              <w:t>87 (1,7%)</w:t>
            </w:r>
          </w:p>
        </w:tc>
      </w:tr>
      <w:tr w:rsidR="001B7699" w:rsidRPr="0063119B" w14:paraId="484A542C" w14:textId="77777777" w:rsidTr="001B7699">
        <w:trPr>
          <w:gridAfter w:val="1"/>
          <w:wAfter w:w="192" w:type="dxa"/>
        </w:trPr>
        <w:tc>
          <w:tcPr>
            <w:tcW w:w="9360" w:type="dxa"/>
            <w:gridSpan w:val="4"/>
          </w:tcPr>
          <w:p w14:paraId="36CD76BE" w14:textId="77777777" w:rsidR="001B7699" w:rsidRPr="0063119B" w:rsidRDefault="001B7699" w:rsidP="001B7699">
            <w:pPr>
              <w:pStyle w:val="BayerTableFootnote"/>
              <w:spacing w:after="0" w:line="276" w:lineRule="auto"/>
              <w:ind w:left="357" w:hanging="357"/>
              <w:rPr>
                <w:szCs w:val="22"/>
                <w:lang w:val="pt-PT"/>
              </w:rPr>
            </w:pPr>
            <w:r w:rsidRPr="0063119B">
              <w:rPr>
                <w:szCs w:val="22"/>
                <w:lang w:val="pt-PT"/>
              </w:rPr>
              <w:t>a)</w:t>
            </w:r>
            <w:r w:rsidRPr="0063119B">
              <w:rPr>
                <w:szCs w:val="22"/>
                <w:lang w:val="pt-PT"/>
              </w:rPr>
              <w:tab/>
              <w:t xml:space="preserve">conjunto de análise de intenção de tratar modificada (conjunto de análise total de intenção de tratar para trombose do </w:t>
            </w:r>
            <w:r w:rsidRPr="0063119B">
              <w:rPr>
                <w:i/>
                <w:szCs w:val="22"/>
                <w:lang w:val="pt-PT"/>
              </w:rPr>
              <w:t>stent</w:t>
            </w:r>
            <w:r w:rsidR="00786AD9" w:rsidRPr="0063119B">
              <w:rPr>
                <w:szCs w:val="22"/>
                <w:lang w:val="pt-PT"/>
              </w:rPr>
              <w:t>)</w:t>
            </w:r>
          </w:p>
          <w:p w14:paraId="03512CE5" w14:textId="77777777" w:rsidR="001B7699" w:rsidRPr="0063119B" w:rsidRDefault="001B7699" w:rsidP="001B7699">
            <w:pPr>
              <w:pStyle w:val="BayerTableFootnote"/>
              <w:spacing w:after="0" w:line="276" w:lineRule="auto"/>
              <w:ind w:left="357" w:hanging="357"/>
              <w:rPr>
                <w:szCs w:val="22"/>
                <w:lang w:val="pt-PT"/>
              </w:rPr>
            </w:pPr>
            <w:r w:rsidRPr="0063119B">
              <w:rPr>
                <w:szCs w:val="22"/>
                <w:lang w:val="pt-PT"/>
              </w:rPr>
              <w:t>b)</w:t>
            </w:r>
            <w:r w:rsidRPr="0063119B">
              <w:rPr>
                <w:szCs w:val="22"/>
                <w:lang w:val="pt-PT"/>
              </w:rPr>
              <w:tab/>
            </w:r>
            <w:r w:rsidRPr="0063119B">
              <w:rPr>
                <w:i/>
                <w:iCs/>
                <w:szCs w:val="22"/>
                <w:lang w:val="pt-PT"/>
              </w:rPr>
              <w:t>vs.</w:t>
            </w:r>
            <w:r w:rsidRPr="0063119B">
              <w:rPr>
                <w:szCs w:val="22"/>
                <w:lang w:val="pt-PT"/>
              </w:rPr>
              <w:t xml:space="preserve"> placebo; valor p de </w:t>
            </w:r>
            <w:r w:rsidRPr="0063119B">
              <w:rPr>
                <w:i/>
                <w:szCs w:val="22"/>
                <w:lang w:val="pt-PT"/>
              </w:rPr>
              <w:t>log-rank</w:t>
            </w:r>
          </w:p>
          <w:p w14:paraId="5C3406CF" w14:textId="77777777" w:rsidR="001B7699" w:rsidRPr="0063119B" w:rsidRDefault="001B7699" w:rsidP="001B7699">
            <w:pPr>
              <w:pStyle w:val="BayerTableFootnote"/>
              <w:spacing w:after="0" w:line="276" w:lineRule="auto"/>
              <w:ind w:left="357" w:hanging="357"/>
              <w:rPr>
                <w:szCs w:val="22"/>
                <w:lang w:val="pt-PT"/>
              </w:rPr>
            </w:pPr>
            <w:r w:rsidRPr="0063119B">
              <w:rPr>
                <w:szCs w:val="22"/>
                <w:lang w:val="pt-PT"/>
              </w:rPr>
              <w:t>*</w:t>
            </w:r>
            <w:r w:rsidRPr="0063119B">
              <w:rPr>
                <w:szCs w:val="22"/>
                <w:lang w:val="pt-PT"/>
              </w:rPr>
              <w:tab/>
              <w:t xml:space="preserve">estatisticamente superior </w:t>
            </w:r>
          </w:p>
          <w:p w14:paraId="52F62731" w14:textId="77777777" w:rsidR="001B7699" w:rsidRPr="0063119B" w:rsidRDefault="001B7699" w:rsidP="001B7699">
            <w:pPr>
              <w:pStyle w:val="BayerTableColumnHeadings"/>
              <w:keepNext/>
              <w:widowControl w:val="0"/>
              <w:spacing w:line="276" w:lineRule="auto"/>
              <w:ind w:left="357" w:hanging="357"/>
              <w:jc w:val="left"/>
              <w:rPr>
                <w:b w:val="0"/>
                <w:szCs w:val="22"/>
                <w:lang w:val="pt-PT"/>
              </w:rPr>
            </w:pPr>
            <w:r w:rsidRPr="0063119B">
              <w:rPr>
                <w:b w:val="0"/>
                <w:szCs w:val="22"/>
                <w:lang w:val="pt-PT"/>
              </w:rPr>
              <w:t>**</w:t>
            </w:r>
            <w:r w:rsidRPr="0063119B">
              <w:rPr>
                <w:b w:val="0"/>
                <w:szCs w:val="22"/>
                <w:lang w:val="pt-PT"/>
              </w:rPr>
              <w:tab/>
              <w:t>nominalmente significativo</w:t>
            </w:r>
          </w:p>
        </w:tc>
      </w:tr>
    </w:tbl>
    <w:p w14:paraId="668BFFDD" w14:textId="77777777" w:rsidR="001B7699" w:rsidRPr="0063119B" w:rsidRDefault="001B7699" w:rsidP="001B7699">
      <w:pPr>
        <w:pStyle w:val="BayerBodyTextFull"/>
        <w:rPr>
          <w:sz w:val="22"/>
          <w:szCs w:val="22"/>
          <w:lang w:val="pt-PT"/>
        </w:rPr>
      </w:pPr>
    </w:p>
    <w:tbl>
      <w:tblPr>
        <w:tblW w:w="9360" w:type="dxa"/>
        <w:tblInd w:w="108" w:type="dxa"/>
        <w:tblLook w:val="01E0" w:firstRow="1" w:lastRow="1" w:firstColumn="1" w:lastColumn="1" w:noHBand="0" w:noVBand="0"/>
      </w:tblPr>
      <w:tblGrid>
        <w:gridCol w:w="3544"/>
        <w:gridCol w:w="3544"/>
        <w:gridCol w:w="1984"/>
        <w:gridCol w:w="288"/>
      </w:tblGrid>
      <w:tr w:rsidR="001B7699" w:rsidRPr="0063119B" w14:paraId="6E7DC3E3" w14:textId="77777777" w:rsidTr="001B7699">
        <w:tc>
          <w:tcPr>
            <w:tcW w:w="9360" w:type="dxa"/>
            <w:gridSpan w:val="4"/>
          </w:tcPr>
          <w:p w14:paraId="23E39FFF" w14:textId="77777777" w:rsidR="001B7699" w:rsidRPr="0063119B" w:rsidRDefault="001B7699" w:rsidP="0051410B">
            <w:pPr>
              <w:pStyle w:val="BayerTableColumnHeadings"/>
              <w:keepNext/>
              <w:spacing w:before="120" w:after="120" w:line="260" w:lineRule="exact"/>
              <w:jc w:val="left"/>
              <w:rPr>
                <w:szCs w:val="22"/>
                <w:lang w:val="pt-PT"/>
              </w:rPr>
            </w:pPr>
            <w:r w:rsidRPr="0063119B">
              <w:rPr>
                <w:szCs w:val="22"/>
                <w:lang w:val="pt-PT"/>
              </w:rPr>
              <w:lastRenderedPageBreak/>
              <w:t>Quadro </w:t>
            </w:r>
            <w:r w:rsidR="0051410B" w:rsidRPr="0063119B">
              <w:rPr>
                <w:szCs w:val="22"/>
                <w:lang w:val="pt-PT"/>
              </w:rPr>
              <w:t>5</w:t>
            </w:r>
            <w:r w:rsidRPr="0063119B">
              <w:rPr>
                <w:szCs w:val="22"/>
                <w:lang w:val="pt-PT"/>
              </w:rPr>
              <w:t>: Resultados de eficácia de fase III ATLAS ACS 2 TIMI 51 em doentes submetidos a ICP</w:t>
            </w:r>
          </w:p>
        </w:tc>
      </w:tr>
      <w:tr w:rsidR="001B7699" w:rsidRPr="0063119B" w14:paraId="236C428D"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544" w:type="dxa"/>
          </w:tcPr>
          <w:p w14:paraId="69D0DBE4" w14:textId="77777777" w:rsidR="001B7699" w:rsidRPr="0063119B" w:rsidRDefault="001B7699" w:rsidP="001B7699">
            <w:pPr>
              <w:pStyle w:val="BayerTableRowHeadings"/>
              <w:widowControl/>
              <w:rPr>
                <w:b/>
                <w:szCs w:val="22"/>
                <w:lang w:val="pt-PT"/>
              </w:rPr>
            </w:pPr>
            <w:r w:rsidRPr="0063119B">
              <w:rPr>
                <w:b/>
                <w:szCs w:val="22"/>
                <w:lang w:val="pt-PT"/>
              </w:rPr>
              <w:t>População do estudo</w:t>
            </w:r>
          </w:p>
        </w:tc>
        <w:tc>
          <w:tcPr>
            <w:tcW w:w="5528" w:type="dxa"/>
            <w:gridSpan w:val="2"/>
            <w:vAlign w:val="center"/>
          </w:tcPr>
          <w:p w14:paraId="0C90A08F" w14:textId="77777777" w:rsidR="001B7699" w:rsidRPr="0063119B" w:rsidRDefault="001B7699" w:rsidP="001B7699">
            <w:pPr>
              <w:pStyle w:val="BayerTableColumnHeadings"/>
              <w:jc w:val="left"/>
              <w:rPr>
                <w:b w:val="0"/>
                <w:szCs w:val="22"/>
                <w:lang w:val="pt-PT"/>
              </w:rPr>
            </w:pPr>
            <w:r w:rsidRPr="0063119B">
              <w:rPr>
                <w:szCs w:val="22"/>
                <w:lang w:val="pt-PT"/>
              </w:rPr>
              <w:t>Doentes com síndrome coronária aguda recente submetidos a ICP </w:t>
            </w:r>
            <w:r w:rsidRPr="0063119B">
              <w:rPr>
                <w:szCs w:val="22"/>
                <w:vertAlign w:val="superscript"/>
                <w:lang w:val="pt-PT"/>
              </w:rPr>
              <w:t>a)</w:t>
            </w:r>
          </w:p>
        </w:tc>
      </w:tr>
      <w:tr w:rsidR="001B7699" w:rsidRPr="0063119B" w14:paraId="49893CF0"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544" w:type="dxa"/>
          </w:tcPr>
          <w:p w14:paraId="0B41E255" w14:textId="77777777" w:rsidR="001B7699" w:rsidRPr="0063119B" w:rsidRDefault="001B7699" w:rsidP="001B7699">
            <w:pPr>
              <w:pStyle w:val="BayerTableRowHeadings"/>
              <w:widowControl/>
              <w:rPr>
                <w:b/>
                <w:szCs w:val="22"/>
                <w:lang w:val="pt-PT"/>
              </w:rPr>
            </w:pPr>
            <w:r w:rsidRPr="0063119B">
              <w:rPr>
                <w:b/>
                <w:szCs w:val="22"/>
                <w:lang w:val="pt-PT"/>
              </w:rPr>
              <w:t>Dose de tratamento</w:t>
            </w:r>
          </w:p>
          <w:p w14:paraId="799498D0" w14:textId="77777777" w:rsidR="001B7699" w:rsidRPr="0063119B" w:rsidRDefault="001B7699" w:rsidP="001B7699">
            <w:pPr>
              <w:pStyle w:val="BayerTableRowHeadings"/>
              <w:widowControl/>
              <w:rPr>
                <w:b/>
                <w:szCs w:val="22"/>
                <w:lang w:val="pt-PT"/>
              </w:rPr>
            </w:pPr>
          </w:p>
        </w:tc>
        <w:tc>
          <w:tcPr>
            <w:tcW w:w="3544" w:type="dxa"/>
            <w:vAlign w:val="center"/>
          </w:tcPr>
          <w:p w14:paraId="54B75DC5" w14:textId="77777777" w:rsidR="001B7699" w:rsidRPr="0063119B" w:rsidRDefault="00E9034F" w:rsidP="001B7699">
            <w:pPr>
              <w:pStyle w:val="BayerTableColumnHeadings"/>
              <w:rPr>
                <w:szCs w:val="22"/>
                <w:lang w:val="pt-PT"/>
              </w:rPr>
            </w:pPr>
            <w:r w:rsidRPr="0063119B">
              <w:rPr>
                <w:szCs w:val="22"/>
                <w:lang w:val="pt-PT"/>
              </w:rPr>
              <w:t xml:space="preserve">Rivaroxabano </w:t>
            </w:r>
            <w:r w:rsidR="001B7699" w:rsidRPr="0063119B">
              <w:rPr>
                <w:szCs w:val="22"/>
                <w:lang w:val="pt-PT"/>
              </w:rPr>
              <w:t>2,5 mg, duas vezes ao dia, N=3.114</w:t>
            </w:r>
          </w:p>
          <w:p w14:paraId="1995324C" w14:textId="77777777" w:rsidR="001B7699" w:rsidRPr="0063119B" w:rsidRDefault="001B7699" w:rsidP="001B7699">
            <w:pPr>
              <w:pStyle w:val="BayerTableColumnHeadings"/>
              <w:rPr>
                <w:szCs w:val="22"/>
                <w:lang w:val="pt-PT"/>
              </w:rPr>
            </w:pPr>
            <w:r w:rsidRPr="0063119B">
              <w:rPr>
                <w:szCs w:val="22"/>
                <w:lang w:val="pt-PT"/>
              </w:rPr>
              <w:t>n (%)</w:t>
            </w:r>
          </w:p>
          <w:p w14:paraId="0BB75E63" w14:textId="77777777" w:rsidR="001B7699" w:rsidRPr="0063119B" w:rsidRDefault="001A0F83" w:rsidP="00AA4546">
            <w:pPr>
              <w:pStyle w:val="BayerTableColumnHeadings"/>
              <w:rPr>
                <w:szCs w:val="22"/>
                <w:lang w:val="pt-PT"/>
              </w:rPr>
            </w:pPr>
            <w:r w:rsidRPr="0063119B">
              <w:rPr>
                <w:szCs w:val="22"/>
                <w:lang w:val="pt-PT"/>
              </w:rPr>
              <w:t>RR</w:t>
            </w:r>
            <w:r w:rsidR="001B7699" w:rsidRPr="0063119B">
              <w:rPr>
                <w:szCs w:val="22"/>
                <w:lang w:val="pt-PT"/>
              </w:rPr>
              <w:t xml:space="preserve"> (IC 95%) valor-p </w:t>
            </w:r>
            <w:r w:rsidR="001B7699" w:rsidRPr="0063119B">
              <w:rPr>
                <w:szCs w:val="22"/>
                <w:vertAlign w:val="superscript"/>
                <w:lang w:val="pt-PT"/>
              </w:rPr>
              <w:t>b)</w:t>
            </w:r>
          </w:p>
        </w:tc>
        <w:tc>
          <w:tcPr>
            <w:tcW w:w="1984" w:type="dxa"/>
            <w:vAlign w:val="center"/>
          </w:tcPr>
          <w:p w14:paraId="14ACA81A" w14:textId="77777777" w:rsidR="001B7699" w:rsidRPr="0063119B" w:rsidRDefault="001B7699" w:rsidP="001B7699">
            <w:pPr>
              <w:pStyle w:val="BayerTableColumnHeadings"/>
              <w:rPr>
                <w:szCs w:val="22"/>
                <w:lang w:val="pt-PT"/>
              </w:rPr>
            </w:pPr>
            <w:r w:rsidRPr="0063119B">
              <w:rPr>
                <w:szCs w:val="22"/>
                <w:lang w:val="pt-PT"/>
              </w:rPr>
              <w:t>Placebo</w:t>
            </w:r>
          </w:p>
          <w:p w14:paraId="3EB9A066" w14:textId="77777777" w:rsidR="001B7699" w:rsidRPr="0063119B" w:rsidRDefault="001B7699" w:rsidP="001B7699">
            <w:pPr>
              <w:pStyle w:val="BayerTableColumnHeadings"/>
              <w:rPr>
                <w:szCs w:val="22"/>
                <w:lang w:val="pt-PT"/>
              </w:rPr>
            </w:pPr>
            <w:r w:rsidRPr="0063119B">
              <w:rPr>
                <w:szCs w:val="22"/>
                <w:lang w:val="pt-PT"/>
              </w:rPr>
              <w:t>N=3.096</w:t>
            </w:r>
          </w:p>
          <w:p w14:paraId="724B304F" w14:textId="77777777" w:rsidR="001B7699" w:rsidRPr="0063119B" w:rsidRDefault="001B7699" w:rsidP="001B7699">
            <w:pPr>
              <w:pStyle w:val="BayerTableColumnHeadings"/>
              <w:rPr>
                <w:szCs w:val="22"/>
                <w:lang w:val="pt-PT"/>
              </w:rPr>
            </w:pPr>
            <w:r w:rsidRPr="0063119B">
              <w:rPr>
                <w:szCs w:val="22"/>
                <w:lang w:val="pt-PT"/>
              </w:rPr>
              <w:t>n (%)</w:t>
            </w:r>
          </w:p>
        </w:tc>
      </w:tr>
      <w:tr w:rsidR="001B7699" w:rsidRPr="0063119B" w14:paraId="09A7290C"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30F38EF1" w14:textId="77777777" w:rsidR="001B7699" w:rsidRPr="0063119B" w:rsidRDefault="001B7699" w:rsidP="001B7699">
            <w:pPr>
              <w:pStyle w:val="BayerTableRowHeadings"/>
              <w:widowControl/>
              <w:rPr>
                <w:szCs w:val="22"/>
                <w:lang w:val="pt-PT"/>
              </w:rPr>
            </w:pPr>
            <w:r w:rsidRPr="0063119B">
              <w:rPr>
                <w:szCs w:val="22"/>
                <w:lang w:val="pt-PT"/>
              </w:rPr>
              <w:t>Morte cardiovascular, EM ou acidente vascular cerebral</w:t>
            </w:r>
          </w:p>
        </w:tc>
        <w:tc>
          <w:tcPr>
            <w:tcW w:w="3544" w:type="dxa"/>
          </w:tcPr>
          <w:p w14:paraId="0ABF7F88" w14:textId="77777777" w:rsidR="001B7699" w:rsidRPr="0063119B" w:rsidRDefault="001B7699" w:rsidP="003311FD">
            <w:pPr>
              <w:pStyle w:val="BayerTableStyleCentered"/>
              <w:widowControl/>
              <w:spacing w:after="0"/>
              <w:jc w:val="left"/>
              <w:rPr>
                <w:szCs w:val="22"/>
                <w:lang w:val="pt-PT"/>
              </w:rPr>
            </w:pPr>
            <w:r w:rsidRPr="0063119B">
              <w:rPr>
                <w:szCs w:val="22"/>
                <w:lang w:val="pt-PT"/>
              </w:rPr>
              <w:t>153 (4,9%)</w:t>
            </w:r>
          </w:p>
          <w:p w14:paraId="6F8C3EEC" w14:textId="77777777" w:rsidR="001B7699" w:rsidRPr="0063119B" w:rsidRDefault="001B7699" w:rsidP="003311FD">
            <w:pPr>
              <w:pStyle w:val="BayerTableStyleCentered"/>
              <w:widowControl/>
              <w:spacing w:before="0"/>
              <w:jc w:val="left"/>
              <w:rPr>
                <w:szCs w:val="22"/>
                <w:lang w:val="pt-PT"/>
              </w:rPr>
            </w:pPr>
            <w:r w:rsidRPr="0063119B">
              <w:rPr>
                <w:szCs w:val="22"/>
                <w:lang w:val="pt-PT"/>
              </w:rPr>
              <w:t>0,94 (0,75; 1,17) p = 0,572</w:t>
            </w:r>
          </w:p>
        </w:tc>
        <w:tc>
          <w:tcPr>
            <w:tcW w:w="1984" w:type="dxa"/>
          </w:tcPr>
          <w:p w14:paraId="7256DE9D" w14:textId="77777777" w:rsidR="001B7699" w:rsidRPr="0063119B" w:rsidRDefault="001B7699" w:rsidP="003311FD">
            <w:pPr>
              <w:pStyle w:val="BayerTableStyleCentered"/>
              <w:widowControl/>
              <w:jc w:val="left"/>
              <w:rPr>
                <w:szCs w:val="22"/>
                <w:lang w:val="pt-PT"/>
              </w:rPr>
            </w:pPr>
            <w:r w:rsidRPr="0063119B">
              <w:rPr>
                <w:szCs w:val="22"/>
                <w:lang w:val="pt-PT"/>
              </w:rPr>
              <w:t>165 (5,3%)</w:t>
            </w:r>
          </w:p>
        </w:tc>
      </w:tr>
      <w:tr w:rsidR="001B7699" w:rsidRPr="0063119B" w14:paraId="5B9EAB04"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6CDE5626" w14:textId="77777777" w:rsidR="001B7699" w:rsidRPr="0063119B" w:rsidRDefault="001B7699" w:rsidP="001B7699">
            <w:pPr>
              <w:pStyle w:val="BayerTableRowHeadings"/>
              <w:widowControl/>
              <w:rPr>
                <w:szCs w:val="22"/>
                <w:lang w:val="pt-PT"/>
              </w:rPr>
            </w:pPr>
            <w:r w:rsidRPr="0063119B">
              <w:rPr>
                <w:szCs w:val="22"/>
                <w:lang w:val="pt-PT"/>
              </w:rPr>
              <w:t>Morte cardiovascular</w:t>
            </w:r>
          </w:p>
        </w:tc>
        <w:tc>
          <w:tcPr>
            <w:tcW w:w="3544" w:type="dxa"/>
          </w:tcPr>
          <w:p w14:paraId="289BD0C3" w14:textId="77777777" w:rsidR="001B7699" w:rsidRPr="0063119B" w:rsidRDefault="001B7699" w:rsidP="003311FD">
            <w:pPr>
              <w:pStyle w:val="BayerTableStyleCentered"/>
              <w:spacing w:after="0"/>
              <w:jc w:val="left"/>
              <w:rPr>
                <w:szCs w:val="22"/>
                <w:lang w:val="pt-PT"/>
              </w:rPr>
            </w:pPr>
            <w:r w:rsidRPr="0063119B">
              <w:rPr>
                <w:szCs w:val="22"/>
                <w:lang w:val="pt-PT"/>
              </w:rPr>
              <w:t>24 (0,8%)</w:t>
            </w:r>
          </w:p>
          <w:p w14:paraId="7CA4A479" w14:textId="77777777" w:rsidR="001B7699" w:rsidRPr="0063119B" w:rsidRDefault="001B7699" w:rsidP="003311FD">
            <w:pPr>
              <w:pStyle w:val="BayerTableStyleCentered"/>
              <w:spacing w:before="0"/>
              <w:jc w:val="left"/>
              <w:rPr>
                <w:szCs w:val="22"/>
                <w:lang w:val="pt-PT"/>
              </w:rPr>
            </w:pPr>
            <w:r w:rsidRPr="0063119B">
              <w:rPr>
                <w:szCs w:val="22"/>
                <w:lang w:val="pt-PT"/>
              </w:rPr>
              <w:t>0,54 (0,33; 0,89) p = 0,013**</w:t>
            </w:r>
          </w:p>
        </w:tc>
        <w:tc>
          <w:tcPr>
            <w:tcW w:w="1984" w:type="dxa"/>
          </w:tcPr>
          <w:p w14:paraId="5346BBC7" w14:textId="77777777" w:rsidR="001B7699" w:rsidRPr="0063119B" w:rsidRDefault="001B7699" w:rsidP="003311FD">
            <w:pPr>
              <w:pStyle w:val="BayerTableStyleCentered"/>
              <w:widowControl/>
              <w:jc w:val="left"/>
              <w:rPr>
                <w:szCs w:val="22"/>
                <w:lang w:val="pt-PT"/>
              </w:rPr>
            </w:pPr>
            <w:r w:rsidRPr="0063119B">
              <w:rPr>
                <w:szCs w:val="22"/>
                <w:lang w:val="pt-PT"/>
              </w:rPr>
              <w:t>45 (1,5%)</w:t>
            </w:r>
          </w:p>
        </w:tc>
      </w:tr>
      <w:tr w:rsidR="001B7699" w:rsidRPr="0063119B" w14:paraId="1F305D8A"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71139D9B" w14:textId="77777777" w:rsidR="001B7699" w:rsidRPr="0063119B" w:rsidRDefault="001B7699" w:rsidP="001B7699">
            <w:pPr>
              <w:pStyle w:val="BayerTableRowHeadings"/>
              <w:widowControl/>
              <w:rPr>
                <w:szCs w:val="22"/>
                <w:lang w:val="pt-PT"/>
              </w:rPr>
            </w:pPr>
            <w:r w:rsidRPr="0063119B">
              <w:rPr>
                <w:szCs w:val="22"/>
                <w:lang w:val="pt-PT"/>
              </w:rPr>
              <w:t>Morte por todas as causas</w:t>
            </w:r>
          </w:p>
        </w:tc>
        <w:tc>
          <w:tcPr>
            <w:tcW w:w="3544" w:type="dxa"/>
          </w:tcPr>
          <w:p w14:paraId="18922564" w14:textId="77777777" w:rsidR="001B7699" w:rsidRPr="0063119B" w:rsidRDefault="001B7699" w:rsidP="003311FD">
            <w:pPr>
              <w:pStyle w:val="BayerTableStyleCentered"/>
              <w:spacing w:after="0"/>
              <w:jc w:val="left"/>
              <w:rPr>
                <w:szCs w:val="22"/>
                <w:lang w:val="pt-PT"/>
              </w:rPr>
            </w:pPr>
            <w:r w:rsidRPr="0063119B">
              <w:rPr>
                <w:szCs w:val="22"/>
                <w:lang w:val="pt-PT"/>
              </w:rPr>
              <w:t>31 (1,0%)</w:t>
            </w:r>
          </w:p>
          <w:p w14:paraId="39B13E54" w14:textId="77777777" w:rsidR="001B7699" w:rsidRPr="0063119B" w:rsidRDefault="001B7699" w:rsidP="003311FD">
            <w:pPr>
              <w:pStyle w:val="BayerTableStyleCentered"/>
              <w:spacing w:before="0"/>
              <w:jc w:val="left"/>
              <w:rPr>
                <w:szCs w:val="22"/>
                <w:lang w:val="pt-PT"/>
              </w:rPr>
            </w:pPr>
            <w:r w:rsidRPr="0063119B">
              <w:rPr>
                <w:szCs w:val="22"/>
                <w:lang w:val="pt-PT"/>
              </w:rPr>
              <w:t>0,64 (0,41; 1,01) p = 0,053</w:t>
            </w:r>
          </w:p>
        </w:tc>
        <w:tc>
          <w:tcPr>
            <w:tcW w:w="1984" w:type="dxa"/>
          </w:tcPr>
          <w:p w14:paraId="5FB0DD8D" w14:textId="77777777" w:rsidR="001B7699" w:rsidRPr="0063119B" w:rsidRDefault="001B7699" w:rsidP="003311FD">
            <w:pPr>
              <w:pStyle w:val="BayerTableStyleCentered"/>
              <w:widowControl/>
              <w:jc w:val="left"/>
              <w:rPr>
                <w:szCs w:val="22"/>
                <w:lang w:val="pt-PT"/>
              </w:rPr>
            </w:pPr>
            <w:r w:rsidRPr="0063119B">
              <w:rPr>
                <w:szCs w:val="22"/>
                <w:lang w:val="pt-PT"/>
              </w:rPr>
              <w:t>49 (1,6%)</w:t>
            </w:r>
          </w:p>
        </w:tc>
      </w:tr>
      <w:tr w:rsidR="001B7699" w:rsidRPr="0063119B" w14:paraId="59BC5938"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1D813F84" w14:textId="77777777" w:rsidR="001B7699" w:rsidRPr="0063119B" w:rsidRDefault="001B7699" w:rsidP="001B7699">
            <w:pPr>
              <w:pStyle w:val="BayerTableRowHeadings"/>
              <w:widowControl/>
              <w:rPr>
                <w:szCs w:val="22"/>
                <w:lang w:val="pt-PT"/>
              </w:rPr>
            </w:pPr>
            <w:r w:rsidRPr="0063119B">
              <w:rPr>
                <w:szCs w:val="22"/>
                <w:lang w:val="pt-PT"/>
              </w:rPr>
              <w:t>EM</w:t>
            </w:r>
          </w:p>
        </w:tc>
        <w:tc>
          <w:tcPr>
            <w:tcW w:w="3544" w:type="dxa"/>
          </w:tcPr>
          <w:p w14:paraId="026E7044" w14:textId="77777777" w:rsidR="001B7699" w:rsidRPr="0063119B" w:rsidRDefault="001B7699" w:rsidP="003311FD">
            <w:pPr>
              <w:pStyle w:val="BayerTableStyleCentered"/>
              <w:widowControl/>
              <w:jc w:val="left"/>
              <w:rPr>
                <w:szCs w:val="22"/>
                <w:lang w:val="pt-PT"/>
              </w:rPr>
            </w:pPr>
            <w:r w:rsidRPr="0063119B">
              <w:rPr>
                <w:szCs w:val="22"/>
                <w:lang w:val="de-DE"/>
              </w:rPr>
              <w:t>115 (3,7%)</w:t>
            </w:r>
            <w:r w:rsidRPr="0063119B">
              <w:rPr>
                <w:szCs w:val="22"/>
                <w:lang w:val="de-DE"/>
              </w:rPr>
              <w:br/>
              <w:t>1,03 (0,79; 1,33) p = 0,829</w:t>
            </w:r>
          </w:p>
        </w:tc>
        <w:tc>
          <w:tcPr>
            <w:tcW w:w="1984" w:type="dxa"/>
          </w:tcPr>
          <w:p w14:paraId="61D594DA" w14:textId="77777777" w:rsidR="001B7699" w:rsidRPr="0063119B" w:rsidRDefault="001B7699" w:rsidP="003311FD">
            <w:pPr>
              <w:pStyle w:val="BayerTableStyleCentered"/>
              <w:widowControl/>
              <w:jc w:val="left"/>
              <w:rPr>
                <w:szCs w:val="22"/>
                <w:lang w:val="pt-PT"/>
              </w:rPr>
            </w:pPr>
            <w:r w:rsidRPr="0063119B">
              <w:rPr>
                <w:szCs w:val="22"/>
                <w:lang w:val="pt-PT"/>
              </w:rPr>
              <w:t>113 (3,6%)</w:t>
            </w:r>
          </w:p>
        </w:tc>
      </w:tr>
      <w:tr w:rsidR="001B7699" w:rsidRPr="0063119B" w14:paraId="2E487400"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29B7AB03" w14:textId="77777777" w:rsidR="001B7699" w:rsidRPr="0063119B" w:rsidRDefault="001B7699" w:rsidP="001B7699">
            <w:pPr>
              <w:pStyle w:val="BayerTableRowHeadings"/>
              <w:widowControl/>
              <w:rPr>
                <w:szCs w:val="22"/>
                <w:lang w:val="pt-PT"/>
              </w:rPr>
            </w:pPr>
            <w:r w:rsidRPr="0063119B">
              <w:rPr>
                <w:szCs w:val="22"/>
                <w:lang w:val="pt-PT"/>
              </w:rPr>
              <w:t>Acidente vascular cerebral</w:t>
            </w:r>
          </w:p>
        </w:tc>
        <w:tc>
          <w:tcPr>
            <w:tcW w:w="3544" w:type="dxa"/>
          </w:tcPr>
          <w:p w14:paraId="06285AA0" w14:textId="77777777" w:rsidR="001B7699" w:rsidRPr="0063119B" w:rsidRDefault="001B7699" w:rsidP="003311FD">
            <w:pPr>
              <w:pStyle w:val="BayerTableStyleCentered"/>
              <w:widowControl/>
              <w:jc w:val="left"/>
              <w:rPr>
                <w:szCs w:val="22"/>
                <w:lang w:val="pt-PT"/>
              </w:rPr>
            </w:pPr>
            <w:r w:rsidRPr="0063119B">
              <w:rPr>
                <w:szCs w:val="22"/>
                <w:lang w:val="de-DE"/>
              </w:rPr>
              <w:t>27 (0,9%)</w:t>
            </w:r>
            <w:r w:rsidRPr="0063119B">
              <w:rPr>
                <w:szCs w:val="22"/>
                <w:lang w:val="de-DE"/>
              </w:rPr>
              <w:br/>
              <w:t>1,30 (0,74; 2,31) p = 0,360</w:t>
            </w:r>
          </w:p>
        </w:tc>
        <w:tc>
          <w:tcPr>
            <w:tcW w:w="1984" w:type="dxa"/>
          </w:tcPr>
          <w:p w14:paraId="55295902" w14:textId="77777777" w:rsidR="001B7699" w:rsidRPr="0063119B" w:rsidRDefault="001B7699" w:rsidP="003311FD">
            <w:pPr>
              <w:pStyle w:val="BayerTableStyleCentered"/>
              <w:widowControl/>
              <w:jc w:val="left"/>
              <w:rPr>
                <w:szCs w:val="22"/>
                <w:lang w:val="pt-PT"/>
              </w:rPr>
            </w:pPr>
            <w:r w:rsidRPr="0063119B">
              <w:rPr>
                <w:szCs w:val="22"/>
                <w:lang w:val="pt-PT"/>
              </w:rPr>
              <w:t>21 (0,7%)</w:t>
            </w:r>
          </w:p>
        </w:tc>
      </w:tr>
      <w:tr w:rsidR="001B7699" w:rsidRPr="0063119B" w14:paraId="48638ECF"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2C96E869" w14:textId="77777777" w:rsidR="001B7699" w:rsidRPr="0063119B" w:rsidRDefault="001B7699" w:rsidP="001B7699">
            <w:pPr>
              <w:pStyle w:val="BayerTableRowHeadings"/>
              <w:widowControl/>
              <w:rPr>
                <w:szCs w:val="22"/>
                <w:lang w:val="pt-PT"/>
              </w:rPr>
            </w:pPr>
            <w:r w:rsidRPr="0063119B">
              <w:rPr>
                <w:szCs w:val="22"/>
                <w:lang w:val="pt-PT"/>
              </w:rPr>
              <w:t xml:space="preserve">Trombose do </w:t>
            </w:r>
            <w:r w:rsidRPr="0063119B">
              <w:rPr>
                <w:i/>
                <w:iCs/>
                <w:szCs w:val="22"/>
                <w:lang w:val="pt-PT"/>
              </w:rPr>
              <w:t>stent</w:t>
            </w:r>
          </w:p>
        </w:tc>
        <w:tc>
          <w:tcPr>
            <w:tcW w:w="3544" w:type="dxa"/>
          </w:tcPr>
          <w:p w14:paraId="345ED7C4" w14:textId="77777777" w:rsidR="001B7699" w:rsidRPr="0063119B" w:rsidRDefault="001B7699" w:rsidP="003311FD">
            <w:pPr>
              <w:pStyle w:val="BayerTableStyleCentered"/>
              <w:widowControl/>
              <w:jc w:val="left"/>
              <w:rPr>
                <w:szCs w:val="22"/>
                <w:lang w:val="pt-PT"/>
              </w:rPr>
            </w:pPr>
            <w:r w:rsidRPr="0063119B">
              <w:rPr>
                <w:szCs w:val="22"/>
                <w:lang w:val="de-DE"/>
              </w:rPr>
              <w:t>47 (1,5%)</w:t>
            </w:r>
            <w:r w:rsidRPr="0063119B">
              <w:rPr>
                <w:szCs w:val="22"/>
                <w:lang w:val="de-DE"/>
              </w:rPr>
              <w:br/>
              <w:t>0,66 (0,46; 0,95) p = 0,026**</w:t>
            </w:r>
          </w:p>
        </w:tc>
        <w:tc>
          <w:tcPr>
            <w:tcW w:w="1984" w:type="dxa"/>
          </w:tcPr>
          <w:p w14:paraId="358848F4" w14:textId="77777777" w:rsidR="001B7699" w:rsidRPr="0063119B" w:rsidRDefault="001B7699" w:rsidP="003311FD">
            <w:pPr>
              <w:pStyle w:val="BayerTableStyleCentered"/>
              <w:widowControl/>
              <w:jc w:val="left"/>
              <w:rPr>
                <w:szCs w:val="22"/>
                <w:lang w:val="pt-PT"/>
              </w:rPr>
            </w:pPr>
            <w:r w:rsidRPr="0063119B">
              <w:rPr>
                <w:szCs w:val="22"/>
                <w:lang w:val="pt-PT"/>
              </w:rPr>
              <w:t>71 (2,3%)</w:t>
            </w:r>
          </w:p>
        </w:tc>
      </w:tr>
    </w:tbl>
    <w:p w14:paraId="2E6A70B2" w14:textId="77777777" w:rsidR="001B7699" w:rsidRPr="0063119B" w:rsidRDefault="001B7699" w:rsidP="001B7699">
      <w:pPr>
        <w:pStyle w:val="BayerTableFootnote"/>
        <w:spacing w:line="260" w:lineRule="exact"/>
        <w:ind w:left="426" w:hanging="426"/>
        <w:rPr>
          <w:szCs w:val="22"/>
          <w:lang w:val="pt-PT"/>
        </w:rPr>
      </w:pPr>
      <w:r w:rsidRPr="0063119B">
        <w:rPr>
          <w:szCs w:val="22"/>
          <w:lang w:val="pt-PT"/>
        </w:rPr>
        <w:t>a)</w:t>
      </w:r>
      <w:r w:rsidRPr="0063119B">
        <w:rPr>
          <w:szCs w:val="22"/>
          <w:lang w:val="pt-PT"/>
        </w:rPr>
        <w:tab/>
        <w:t xml:space="preserve">conjunto de análise de intenção de tratar modificada (conjunto de análise total de intenção de tratar para trombose do </w:t>
      </w:r>
      <w:r w:rsidRPr="0063119B">
        <w:rPr>
          <w:i/>
          <w:szCs w:val="22"/>
          <w:lang w:val="pt-PT"/>
        </w:rPr>
        <w:t>stent</w:t>
      </w:r>
      <w:r w:rsidR="00786AD9" w:rsidRPr="0063119B">
        <w:rPr>
          <w:szCs w:val="22"/>
          <w:lang w:val="pt-PT"/>
        </w:rPr>
        <w:t>)</w:t>
      </w:r>
    </w:p>
    <w:p w14:paraId="447219CE" w14:textId="77777777" w:rsidR="001B7699" w:rsidRPr="0063119B" w:rsidRDefault="001B7699" w:rsidP="001B7699">
      <w:pPr>
        <w:pStyle w:val="BayerTableFootnote"/>
        <w:spacing w:line="260" w:lineRule="exact"/>
        <w:ind w:left="426" w:hanging="426"/>
        <w:rPr>
          <w:szCs w:val="22"/>
          <w:lang w:val="pt-PT"/>
        </w:rPr>
      </w:pPr>
      <w:r w:rsidRPr="0063119B">
        <w:rPr>
          <w:szCs w:val="22"/>
          <w:lang w:val="pt-PT"/>
        </w:rPr>
        <w:t>b)</w:t>
      </w:r>
      <w:r w:rsidRPr="0063119B">
        <w:rPr>
          <w:szCs w:val="22"/>
          <w:lang w:val="pt-PT"/>
        </w:rPr>
        <w:tab/>
      </w:r>
      <w:r w:rsidRPr="0063119B">
        <w:rPr>
          <w:i/>
          <w:iCs/>
          <w:szCs w:val="22"/>
          <w:lang w:val="pt-PT"/>
        </w:rPr>
        <w:t>vs.</w:t>
      </w:r>
      <w:r w:rsidRPr="0063119B">
        <w:rPr>
          <w:szCs w:val="22"/>
          <w:lang w:val="pt-PT"/>
        </w:rPr>
        <w:t xml:space="preserve"> placebo; valor p de </w:t>
      </w:r>
      <w:r w:rsidRPr="0063119B">
        <w:rPr>
          <w:i/>
          <w:szCs w:val="22"/>
          <w:lang w:val="pt-PT"/>
        </w:rPr>
        <w:t>log-rank</w:t>
      </w:r>
    </w:p>
    <w:p w14:paraId="6854D611" w14:textId="77777777" w:rsidR="001B7699" w:rsidRPr="0063119B" w:rsidRDefault="001B7699" w:rsidP="001B7699">
      <w:pPr>
        <w:suppressAutoHyphens/>
        <w:ind w:left="426" w:hanging="426"/>
        <w:rPr>
          <w:noProof/>
          <w:szCs w:val="22"/>
        </w:rPr>
      </w:pPr>
      <w:r w:rsidRPr="0063119B">
        <w:rPr>
          <w:szCs w:val="22"/>
        </w:rPr>
        <w:t>**</w:t>
      </w:r>
      <w:r w:rsidRPr="0063119B">
        <w:rPr>
          <w:szCs w:val="22"/>
        </w:rPr>
        <w:tab/>
        <w:t>nominalmente significativo</w:t>
      </w:r>
    </w:p>
    <w:p w14:paraId="19A5290A" w14:textId="77777777" w:rsidR="001B7699" w:rsidRPr="0063119B" w:rsidRDefault="001B7699" w:rsidP="001B7699">
      <w:pPr>
        <w:suppressAutoHyphens/>
        <w:rPr>
          <w:noProof/>
          <w:szCs w:val="22"/>
          <w:u w:val="single"/>
        </w:rPr>
      </w:pPr>
    </w:p>
    <w:tbl>
      <w:tblPr>
        <w:tblW w:w="9360" w:type="dxa"/>
        <w:tblInd w:w="108" w:type="dxa"/>
        <w:tblLook w:val="01E0" w:firstRow="1" w:lastRow="1" w:firstColumn="1" w:lastColumn="1" w:noHBand="0" w:noVBand="0"/>
      </w:tblPr>
      <w:tblGrid>
        <w:gridCol w:w="3544"/>
        <w:gridCol w:w="3544"/>
        <w:gridCol w:w="1984"/>
        <w:gridCol w:w="288"/>
      </w:tblGrid>
      <w:tr w:rsidR="001B7699" w:rsidRPr="0063119B" w14:paraId="337E7EB1" w14:textId="77777777" w:rsidTr="001B7699">
        <w:tc>
          <w:tcPr>
            <w:tcW w:w="9360" w:type="dxa"/>
            <w:gridSpan w:val="4"/>
          </w:tcPr>
          <w:p w14:paraId="70241675" w14:textId="77777777" w:rsidR="001B7699" w:rsidRPr="0063119B" w:rsidRDefault="001B7699" w:rsidP="001B7699">
            <w:pPr>
              <w:pStyle w:val="BayerTableColumnHeadings"/>
              <w:keepNext/>
              <w:spacing w:before="120" w:after="120" w:line="260" w:lineRule="exact"/>
              <w:jc w:val="left"/>
              <w:rPr>
                <w:szCs w:val="22"/>
                <w:lang w:val="pt-PT"/>
              </w:rPr>
            </w:pPr>
            <w:r w:rsidRPr="0063119B">
              <w:rPr>
                <w:szCs w:val="22"/>
                <w:lang w:val="pt-PT"/>
              </w:rPr>
              <w:lastRenderedPageBreak/>
              <w:t>Quadro </w:t>
            </w:r>
            <w:r w:rsidR="0051410B" w:rsidRPr="0063119B">
              <w:rPr>
                <w:szCs w:val="22"/>
                <w:lang w:val="pt-PT"/>
              </w:rPr>
              <w:t>6</w:t>
            </w:r>
            <w:r w:rsidRPr="0063119B">
              <w:rPr>
                <w:szCs w:val="22"/>
                <w:lang w:val="pt-PT"/>
              </w:rPr>
              <w:t>: Resultados de segurança de fase III ATLAS ACS 2 TIMI 51</w:t>
            </w:r>
          </w:p>
        </w:tc>
      </w:tr>
      <w:tr w:rsidR="001B7699" w:rsidRPr="0063119B" w14:paraId="532CBF70"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544" w:type="dxa"/>
          </w:tcPr>
          <w:p w14:paraId="16CF0D44" w14:textId="77777777" w:rsidR="001B7699" w:rsidRPr="0063119B" w:rsidRDefault="001B7699" w:rsidP="001B7699">
            <w:pPr>
              <w:pStyle w:val="BayerTableRowHeadings"/>
              <w:widowControl/>
              <w:rPr>
                <w:b/>
                <w:szCs w:val="22"/>
                <w:lang w:val="pt-PT"/>
              </w:rPr>
            </w:pPr>
            <w:r w:rsidRPr="0063119B">
              <w:rPr>
                <w:b/>
                <w:szCs w:val="22"/>
                <w:lang w:val="pt-PT"/>
              </w:rPr>
              <w:t>População do estudo</w:t>
            </w:r>
          </w:p>
        </w:tc>
        <w:tc>
          <w:tcPr>
            <w:tcW w:w="5528" w:type="dxa"/>
            <w:gridSpan w:val="2"/>
            <w:vAlign w:val="center"/>
          </w:tcPr>
          <w:p w14:paraId="203CAFB0" w14:textId="77777777" w:rsidR="001B7699" w:rsidRPr="0063119B" w:rsidRDefault="001B7699" w:rsidP="001B7699">
            <w:pPr>
              <w:pStyle w:val="BayerTableColumnHeadings"/>
              <w:jc w:val="left"/>
              <w:rPr>
                <w:b w:val="0"/>
                <w:szCs w:val="22"/>
                <w:lang w:val="pt-PT"/>
              </w:rPr>
            </w:pPr>
            <w:r w:rsidRPr="0063119B">
              <w:rPr>
                <w:szCs w:val="22"/>
                <w:lang w:val="pt-PT"/>
              </w:rPr>
              <w:t>Doentes com síndrome coronária aguda recente </w:t>
            </w:r>
            <w:r w:rsidRPr="0063119B">
              <w:rPr>
                <w:szCs w:val="22"/>
                <w:vertAlign w:val="superscript"/>
                <w:lang w:val="pt-PT"/>
              </w:rPr>
              <w:t>a)</w:t>
            </w:r>
          </w:p>
        </w:tc>
      </w:tr>
      <w:tr w:rsidR="001B7699" w:rsidRPr="0063119B" w14:paraId="21A20D61"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544" w:type="dxa"/>
          </w:tcPr>
          <w:p w14:paraId="76B916FB" w14:textId="77777777" w:rsidR="001B7699" w:rsidRPr="0063119B" w:rsidRDefault="001B7699" w:rsidP="001B7699">
            <w:pPr>
              <w:pStyle w:val="BayerTableRowHeadings"/>
              <w:widowControl/>
              <w:rPr>
                <w:b/>
                <w:szCs w:val="22"/>
                <w:lang w:val="pt-PT"/>
              </w:rPr>
            </w:pPr>
            <w:r w:rsidRPr="0063119B">
              <w:rPr>
                <w:b/>
                <w:szCs w:val="22"/>
                <w:lang w:val="pt-PT"/>
              </w:rPr>
              <w:t>Dose de tratamento</w:t>
            </w:r>
          </w:p>
          <w:p w14:paraId="35B39F95" w14:textId="77777777" w:rsidR="001B7699" w:rsidRPr="0063119B" w:rsidRDefault="001B7699" w:rsidP="001B7699">
            <w:pPr>
              <w:pStyle w:val="BayerTableRowHeadings"/>
              <w:widowControl/>
              <w:rPr>
                <w:b/>
                <w:szCs w:val="22"/>
                <w:lang w:val="pt-PT"/>
              </w:rPr>
            </w:pPr>
          </w:p>
        </w:tc>
        <w:tc>
          <w:tcPr>
            <w:tcW w:w="3544" w:type="dxa"/>
            <w:vAlign w:val="center"/>
          </w:tcPr>
          <w:p w14:paraId="46FDEF78" w14:textId="77777777" w:rsidR="001B7699" w:rsidRPr="0063119B" w:rsidRDefault="00E9034F" w:rsidP="001B7699">
            <w:pPr>
              <w:pStyle w:val="BayerTableColumnHeadings"/>
              <w:rPr>
                <w:szCs w:val="22"/>
                <w:lang w:val="pt-PT"/>
              </w:rPr>
            </w:pPr>
            <w:r w:rsidRPr="0063119B">
              <w:rPr>
                <w:szCs w:val="22"/>
                <w:lang w:val="pt-PT"/>
              </w:rPr>
              <w:t xml:space="preserve">Rivaroxabano </w:t>
            </w:r>
            <w:r w:rsidR="001B7699" w:rsidRPr="0063119B">
              <w:rPr>
                <w:szCs w:val="22"/>
                <w:lang w:val="pt-PT"/>
              </w:rPr>
              <w:t>2,5 mg, duas vezes ao dia, N=5.115</w:t>
            </w:r>
          </w:p>
          <w:p w14:paraId="16D8AE5B" w14:textId="77777777" w:rsidR="001B7699" w:rsidRPr="0063119B" w:rsidRDefault="001B7699" w:rsidP="001B7699">
            <w:pPr>
              <w:pStyle w:val="BayerTableColumnHeadings"/>
              <w:rPr>
                <w:szCs w:val="22"/>
                <w:lang w:val="pt-PT"/>
              </w:rPr>
            </w:pPr>
            <w:r w:rsidRPr="0063119B">
              <w:rPr>
                <w:szCs w:val="22"/>
                <w:lang w:val="pt-PT"/>
              </w:rPr>
              <w:t>n (%)</w:t>
            </w:r>
          </w:p>
          <w:p w14:paraId="11A591C8" w14:textId="77777777" w:rsidR="001B7699" w:rsidRPr="0063119B" w:rsidRDefault="001A0F83" w:rsidP="00AA4546">
            <w:pPr>
              <w:pStyle w:val="BayerTableColumnHeadings"/>
              <w:rPr>
                <w:szCs w:val="22"/>
                <w:lang w:val="pt-PT"/>
              </w:rPr>
            </w:pPr>
            <w:r w:rsidRPr="0063119B">
              <w:rPr>
                <w:szCs w:val="22"/>
                <w:lang w:val="pt-PT"/>
              </w:rPr>
              <w:t>RR</w:t>
            </w:r>
            <w:r w:rsidR="001B7699" w:rsidRPr="0063119B">
              <w:rPr>
                <w:szCs w:val="22"/>
                <w:lang w:val="pt-PT"/>
              </w:rPr>
              <w:t xml:space="preserve"> (IC 95%) valor-p </w:t>
            </w:r>
            <w:r w:rsidR="001B7699" w:rsidRPr="0063119B">
              <w:rPr>
                <w:szCs w:val="22"/>
                <w:vertAlign w:val="superscript"/>
                <w:lang w:val="pt-PT"/>
              </w:rPr>
              <w:t>b)</w:t>
            </w:r>
          </w:p>
        </w:tc>
        <w:tc>
          <w:tcPr>
            <w:tcW w:w="1984" w:type="dxa"/>
            <w:vAlign w:val="center"/>
          </w:tcPr>
          <w:p w14:paraId="17D66C64" w14:textId="77777777" w:rsidR="001B7699" w:rsidRPr="0063119B" w:rsidRDefault="001B7699" w:rsidP="001B7699">
            <w:pPr>
              <w:pStyle w:val="BayerTableColumnHeadings"/>
              <w:rPr>
                <w:szCs w:val="22"/>
                <w:lang w:val="pt-PT"/>
              </w:rPr>
            </w:pPr>
            <w:r w:rsidRPr="0063119B">
              <w:rPr>
                <w:szCs w:val="22"/>
                <w:lang w:val="pt-PT"/>
              </w:rPr>
              <w:t>Placebo</w:t>
            </w:r>
          </w:p>
          <w:p w14:paraId="1808FDCA" w14:textId="77777777" w:rsidR="001B7699" w:rsidRPr="0063119B" w:rsidRDefault="001B7699" w:rsidP="001B7699">
            <w:pPr>
              <w:pStyle w:val="BayerTableColumnHeadings"/>
              <w:rPr>
                <w:szCs w:val="22"/>
                <w:lang w:val="pt-PT"/>
              </w:rPr>
            </w:pPr>
            <w:r w:rsidRPr="0063119B">
              <w:rPr>
                <w:szCs w:val="22"/>
                <w:lang w:val="pt-PT"/>
              </w:rPr>
              <w:t>N=5.125</w:t>
            </w:r>
          </w:p>
          <w:p w14:paraId="2BFCF079" w14:textId="77777777" w:rsidR="001B7699" w:rsidRPr="0063119B" w:rsidRDefault="001B7699" w:rsidP="001B7699">
            <w:pPr>
              <w:pStyle w:val="BayerTableColumnHeadings"/>
              <w:rPr>
                <w:szCs w:val="22"/>
                <w:lang w:val="pt-PT"/>
              </w:rPr>
            </w:pPr>
            <w:r w:rsidRPr="0063119B">
              <w:rPr>
                <w:szCs w:val="22"/>
                <w:lang w:val="pt-PT"/>
              </w:rPr>
              <w:t>n (%)</w:t>
            </w:r>
          </w:p>
        </w:tc>
      </w:tr>
      <w:tr w:rsidR="001B7699" w:rsidRPr="0063119B" w14:paraId="572234D9"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60E7F749" w14:textId="77777777" w:rsidR="001B7699" w:rsidRPr="0063119B" w:rsidRDefault="001B7699" w:rsidP="001B7699">
            <w:pPr>
              <w:pStyle w:val="BayerTableRowHeadings"/>
              <w:widowControl/>
              <w:rPr>
                <w:szCs w:val="22"/>
                <w:lang w:val="pt-PT"/>
              </w:rPr>
            </w:pPr>
            <w:r w:rsidRPr="0063119B">
              <w:rPr>
                <w:szCs w:val="22"/>
                <w:lang w:val="pt-PT"/>
              </w:rPr>
              <w:t xml:space="preserve">Acontecimento hemorrágico </w:t>
            </w:r>
            <w:r w:rsidR="00417496" w:rsidRPr="0063119B">
              <w:rPr>
                <w:szCs w:val="22"/>
                <w:lang w:val="pt-PT"/>
              </w:rPr>
              <w:t>principal</w:t>
            </w:r>
            <w:r w:rsidRPr="0063119B">
              <w:rPr>
                <w:szCs w:val="22"/>
                <w:lang w:val="pt-PT"/>
              </w:rPr>
              <w:t xml:space="preserve"> não CABG TIMI</w:t>
            </w:r>
          </w:p>
        </w:tc>
        <w:tc>
          <w:tcPr>
            <w:tcW w:w="3544" w:type="dxa"/>
          </w:tcPr>
          <w:p w14:paraId="3E069C70" w14:textId="77777777" w:rsidR="001B7699" w:rsidRPr="0063119B" w:rsidRDefault="001B7699" w:rsidP="003311FD">
            <w:pPr>
              <w:pStyle w:val="BayerTableStyleCentered"/>
              <w:widowControl/>
              <w:spacing w:after="0"/>
              <w:jc w:val="left"/>
              <w:rPr>
                <w:szCs w:val="22"/>
                <w:lang w:val="pt-PT"/>
              </w:rPr>
            </w:pPr>
            <w:r w:rsidRPr="0063119B">
              <w:rPr>
                <w:szCs w:val="22"/>
                <w:lang w:val="pt-PT"/>
              </w:rPr>
              <w:t>65 (1,3%)</w:t>
            </w:r>
          </w:p>
          <w:p w14:paraId="1EAC4444" w14:textId="77777777" w:rsidR="001B7699" w:rsidRPr="0063119B" w:rsidRDefault="001B7699" w:rsidP="003311FD">
            <w:pPr>
              <w:pStyle w:val="BayerTableStyleCentered"/>
              <w:widowControl/>
              <w:spacing w:before="0"/>
              <w:jc w:val="left"/>
              <w:rPr>
                <w:szCs w:val="22"/>
                <w:lang w:val="pt-PT"/>
              </w:rPr>
            </w:pPr>
            <w:r w:rsidRPr="0063119B">
              <w:rPr>
                <w:szCs w:val="22"/>
                <w:lang w:val="pt-PT"/>
              </w:rPr>
              <w:t>3,46 (2,08; 5,77) p = &lt; 0,001*</w:t>
            </w:r>
          </w:p>
        </w:tc>
        <w:tc>
          <w:tcPr>
            <w:tcW w:w="1984" w:type="dxa"/>
          </w:tcPr>
          <w:p w14:paraId="51C3946F" w14:textId="77777777" w:rsidR="001B7699" w:rsidRPr="0063119B" w:rsidRDefault="001B7699" w:rsidP="003311FD">
            <w:pPr>
              <w:pStyle w:val="BayerTableStyleCentered"/>
              <w:widowControl/>
              <w:jc w:val="left"/>
              <w:rPr>
                <w:szCs w:val="22"/>
                <w:lang w:val="pt-PT"/>
              </w:rPr>
            </w:pPr>
            <w:r w:rsidRPr="0063119B">
              <w:rPr>
                <w:szCs w:val="22"/>
                <w:lang w:val="pt-PT"/>
              </w:rPr>
              <w:t>19 (0,4%)</w:t>
            </w:r>
          </w:p>
        </w:tc>
      </w:tr>
      <w:tr w:rsidR="001B7699" w:rsidRPr="0063119B" w14:paraId="416ABD04"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56525075" w14:textId="77777777" w:rsidR="001B7699" w:rsidRPr="0063119B" w:rsidRDefault="001B7699" w:rsidP="001B7699">
            <w:pPr>
              <w:pStyle w:val="BayerTableRowHeadings"/>
              <w:widowControl/>
              <w:rPr>
                <w:szCs w:val="22"/>
                <w:lang w:val="pt-PT"/>
              </w:rPr>
            </w:pPr>
            <w:r w:rsidRPr="0063119B">
              <w:rPr>
                <w:szCs w:val="22"/>
                <w:lang w:val="pt-PT"/>
              </w:rPr>
              <w:t>Acontecimento hemorrágico fatal</w:t>
            </w:r>
          </w:p>
        </w:tc>
        <w:tc>
          <w:tcPr>
            <w:tcW w:w="3544" w:type="dxa"/>
          </w:tcPr>
          <w:p w14:paraId="2EE57A5D" w14:textId="77777777" w:rsidR="001B7699" w:rsidRPr="0063119B" w:rsidRDefault="001B7699" w:rsidP="003311FD">
            <w:pPr>
              <w:pStyle w:val="BayerTableStyleCentered"/>
              <w:spacing w:after="0"/>
              <w:jc w:val="left"/>
              <w:rPr>
                <w:szCs w:val="22"/>
                <w:lang w:val="pt-PT"/>
              </w:rPr>
            </w:pPr>
            <w:r w:rsidRPr="0063119B">
              <w:rPr>
                <w:szCs w:val="22"/>
                <w:lang w:val="pt-PT"/>
              </w:rPr>
              <w:t>6 (0,1%)</w:t>
            </w:r>
          </w:p>
          <w:p w14:paraId="3493FDCE" w14:textId="77777777" w:rsidR="001B7699" w:rsidRPr="0063119B" w:rsidRDefault="001B7699" w:rsidP="003311FD">
            <w:pPr>
              <w:pStyle w:val="BayerTableStyleCentered"/>
              <w:spacing w:before="0"/>
              <w:jc w:val="left"/>
              <w:rPr>
                <w:szCs w:val="22"/>
                <w:lang w:val="pt-PT"/>
              </w:rPr>
            </w:pPr>
            <w:r w:rsidRPr="0063119B">
              <w:rPr>
                <w:szCs w:val="22"/>
                <w:lang w:val="pt-PT"/>
              </w:rPr>
              <w:t>0,67 (0,24; 1,89) p = 0,450</w:t>
            </w:r>
          </w:p>
        </w:tc>
        <w:tc>
          <w:tcPr>
            <w:tcW w:w="1984" w:type="dxa"/>
          </w:tcPr>
          <w:p w14:paraId="2C7C8E45" w14:textId="77777777" w:rsidR="001B7699" w:rsidRPr="0063119B" w:rsidRDefault="001B7699" w:rsidP="003311FD">
            <w:pPr>
              <w:pStyle w:val="BayerTableStyleCentered"/>
              <w:widowControl/>
              <w:jc w:val="left"/>
              <w:rPr>
                <w:szCs w:val="22"/>
                <w:lang w:val="pt-PT"/>
              </w:rPr>
            </w:pPr>
            <w:r w:rsidRPr="0063119B">
              <w:rPr>
                <w:szCs w:val="22"/>
                <w:lang w:val="pt-PT"/>
              </w:rPr>
              <w:t>9 (0,2%)</w:t>
            </w:r>
          </w:p>
        </w:tc>
      </w:tr>
      <w:tr w:rsidR="001B7699" w:rsidRPr="0063119B" w14:paraId="1C3DFA23"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36E21506" w14:textId="77777777" w:rsidR="001B7699" w:rsidRPr="0063119B" w:rsidRDefault="001B7699" w:rsidP="001B7699">
            <w:pPr>
              <w:pStyle w:val="BayerTableRowHeadings"/>
              <w:widowControl/>
              <w:rPr>
                <w:szCs w:val="22"/>
                <w:lang w:val="pt-PT"/>
              </w:rPr>
            </w:pPr>
            <w:r w:rsidRPr="0063119B">
              <w:rPr>
                <w:szCs w:val="22"/>
                <w:lang w:val="pt-PT"/>
              </w:rPr>
              <w:t>Hemorragia intracraniana sintomática</w:t>
            </w:r>
          </w:p>
        </w:tc>
        <w:tc>
          <w:tcPr>
            <w:tcW w:w="3544" w:type="dxa"/>
          </w:tcPr>
          <w:p w14:paraId="1A4D6777" w14:textId="77777777" w:rsidR="001B7699" w:rsidRPr="0063119B" w:rsidRDefault="001B7699" w:rsidP="003311FD">
            <w:pPr>
              <w:pStyle w:val="BayerTableStyleCentered"/>
              <w:spacing w:after="0"/>
              <w:jc w:val="left"/>
              <w:rPr>
                <w:szCs w:val="22"/>
                <w:lang w:val="pt-PT"/>
              </w:rPr>
            </w:pPr>
            <w:r w:rsidRPr="0063119B">
              <w:rPr>
                <w:szCs w:val="22"/>
                <w:lang w:val="pt-PT"/>
              </w:rPr>
              <w:t>14 (0,3%)</w:t>
            </w:r>
          </w:p>
          <w:p w14:paraId="2687035E" w14:textId="77777777" w:rsidR="001B7699" w:rsidRPr="0063119B" w:rsidRDefault="001B7699" w:rsidP="003311FD">
            <w:pPr>
              <w:pStyle w:val="BayerTableStyleCentered"/>
              <w:spacing w:before="0"/>
              <w:jc w:val="left"/>
              <w:rPr>
                <w:szCs w:val="22"/>
                <w:lang w:val="pt-PT"/>
              </w:rPr>
            </w:pPr>
            <w:r w:rsidRPr="0063119B">
              <w:rPr>
                <w:szCs w:val="22"/>
                <w:lang w:val="pt-PT"/>
              </w:rPr>
              <w:t>2,83 (1,02; 7,86) p = 0,037</w:t>
            </w:r>
          </w:p>
        </w:tc>
        <w:tc>
          <w:tcPr>
            <w:tcW w:w="1984" w:type="dxa"/>
          </w:tcPr>
          <w:p w14:paraId="2498FD66" w14:textId="77777777" w:rsidR="001B7699" w:rsidRPr="0063119B" w:rsidRDefault="001B7699" w:rsidP="003311FD">
            <w:pPr>
              <w:pStyle w:val="BayerTableStyleCentered"/>
              <w:widowControl/>
              <w:jc w:val="left"/>
              <w:rPr>
                <w:szCs w:val="22"/>
                <w:lang w:val="pt-PT"/>
              </w:rPr>
            </w:pPr>
            <w:r w:rsidRPr="0063119B">
              <w:rPr>
                <w:szCs w:val="22"/>
                <w:lang w:val="pt-PT"/>
              </w:rPr>
              <w:t>5 (0,1%)</w:t>
            </w:r>
          </w:p>
        </w:tc>
      </w:tr>
      <w:tr w:rsidR="001B7699" w:rsidRPr="0063119B" w14:paraId="69FDC533"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10B1E084" w14:textId="77777777" w:rsidR="001B7699" w:rsidRPr="0063119B" w:rsidRDefault="001B7699" w:rsidP="001B7699">
            <w:pPr>
              <w:pStyle w:val="BayerTableRowHeadings"/>
              <w:widowControl/>
              <w:rPr>
                <w:szCs w:val="22"/>
                <w:lang w:val="pt-PT"/>
              </w:rPr>
            </w:pPr>
            <w:r w:rsidRPr="0063119B">
              <w:rPr>
                <w:szCs w:val="22"/>
                <w:lang w:val="pt-PT"/>
              </w:rPr>
              <w:t>Hipotensão com necessidade de tratamento com agentes inotrópicos intravenosos</w:t>
            </w:r>
          </w:p>
        </w:tc>
        <w:tc>
          <w:tcPr>
            <w:tcW w:w="3544" w:type="dxa"/>
          </w:tcPr>
          <w:p w14:paraId="12FEEC97" w14:textId="77777777" w:rsidR="001B7699" w:rsidRPr="0063119B" w:rsidRDefault="001B7699" w:rsidP="003311FD">
            <w:pPr>
              <w:pStyle w:val="BayerTableStyleCentered"/>
              <w:widowControl/>
              <w:jc w:val="left"/>
              <w:rPr>
                <w:szCs w:val="22"/>
                <w:lang w:val="pt-PT"/>
              </w:rPr>
            </w:pPr>
            <w:r w:rsidRPr="0063119B">
              <w:rPr>
                <w:szCs w:val="22"/>
                <w:lang w:val="pt-PT"/>
              </w:rPr>
              <w:t>3 (0,1%)</w:t>
            </w:r>
          </w:p>
        </w:tc>
        <w:tc>
          <w:tcPr>
            <w:tcW w:w="1984" w:type="dxa"/>
          </w:tcPr>
          <w:p w14:paraId="58C71F04" w14:textId="77777777" w:rsidR="001B7699" w:rsidRPr="0063119B" w:rsidRDefault="001B7699" w:rsidP="003311FD">
            <w:pPr>
              <w:pStyle w:val="BayerTableStyleCentered"/>
              <w:widowControl/>
              <w:jc w:val="left"/>
              <w:rPr>
                <w:szCs w:val="22"/>
                <w:lang w:val="pt-PT"/>
              </w:rPr>
            </w:pPr>
            <w:r w:rsidRPr="0063119B">
              <w:rPr>
                <w:szCs w:val="22"/>
                <w:lang w:val="pt-PT"/>
              </w:rPr>
              <w:t>3 (0,1%)</w:t>
            </w:r>
          </w:p>
        </w:tc>
      </w:tr>
      <w:tr w:rsidR="001B7699" w:rsidRPr="0063119B" w14:paraId="5AB5B95B"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4783332F" w14:textId="77777777" w:rsidR="001B7699" w:rsidRPr="0063119B" w:rsidRDefault="001B7699" w:rsidP="001B7699">
            <w:pPr>
              <w:pStyle w:val="BayerTableRowHeadings"/>
              <w:widowControl/>
              <w:rPr>
                <w:szCs w:val="22"/>
                <w:lang w:val="pt-PT"/>
              </w:rPr>
            </w:pPr>
            <w:r w:rsidRPr="0063119B">
              <w:rPr>
                <w:szCs w:val="22"/>
                <w:lang w:val="pt-PT"/>
              </w:rPr>
              <w:t>Intervenção cirúrgica para hemorragia em curso</w:t>
            </w:r>
          </w:p>
        </w:tc>
        <w:tc>
          <w:tcPr>
            <w:tcW w:w="3544" w:type="dxa"/>
          </w:tcPr>
          <w:p w14:paraId="0F4F5D01" w14:textId="77777777" w:rsidR="001B7699" w:rsidRPr="0063119B" w:rsidRDefault="001B7699" w:rsidP="003311FD">
            <w:pPr>
              <w:pStyle w:val="BayerTableStyleCentered"/>
              <w:widowControl/>
              <w:jc w:val="left"/>
              <w:rPr>
                <w:szCs w:val="22"/>
                <w:lang w:val="pt-PT"/>
              </w:rPr>
            </w:pPr>
            <w:r w:rsidRPr="0063119B">
              <w:rPr>
                <w:szCs w:val="22"/>
                <w:lang w:val="pt-PT"/>
              </w:rPr>
              <w:t>7 (0,1%)</w:t>
            </w:r>
          </w:p>
        </w:tc>
        <w:tc>
          <w:tcPr>
            <w:tcW w:w="1984" w:type="dxa"/>
          </w:tcPr>
          <w:p w14:paraId="72AFBB6A" w14:textId="77777777" w:rsidR="001B7699" w:rsidRPr="0063119B" w:rsidRDefault="001B7699" w:rsidP="003311FD">
            <w:pPr>
              <w:pStyle w:val="BayerTableStyleCentered"/>
              <w:widowControl/>
              <w:jc w:val="left"/>
              <w:rPr>
                <w:szCs w:val="22"/>
                <w:lang w:val="pt-PT"/>
              </w:rPr>
            </w:pPr>
            <w:r w:rsidRPr="0063119B">
              <w:rPr>
                <w:szCs w:val="22"/>
                <w:lang w:val="pt-PT"/>
              </w:rPr>
              <w:t>9 (0,2%)</w:t>
            </w:r>
          </w:p>
        </w:tc>
      </w:tr>
      <w:tr w:rsidR="001B7699" w:rsidRPr="0063119B" w14:paraId="144BF3C5" w14:textId="77777777" w:rsidTr="001B7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0894CEF9" w14:textId="77777777" w:rsidR="001B7699" w:rsidRPr="0063119B" w:rsidRDefault="001B7699" w:rsidP="001B7699">
            <w:pPr>
              <w:pStyle w:val="BayerTableRowHeadings"/>
              <w:widowControl/>
              <w:rPr>
                <w:szCs w:val="22"/>
                <w:lang w:val="pt-PT"/>
              </w:rPr>
            </w:pPr>
            <w:r w:rsidRPr="0063119B">
              <w:rPr>
                <w:szCs w:val="22"/>
                <w:lang w:val="pt-PT"/>
              </w:rPr>
              <w:t>Transfusão de 4 ou mais unidades de sangue ao longo de um período de 48 horas</w:t>
            </w:r>
          </w:p>
        </w:tc>
        <w:tc>
          <w:tcPr>
            <w:tcW w:w="3544" w:type="dxa"/>
          </w:tcPr>
          <w:p w14:paraId="4FD4E40C" w14:textId="77777777" w:rsidR="001B7699" w:rsidRPr="0063119B" w:rsidRDefault="001B7699" w:rsidP="003311FD">
            <w:pPr>
              <w:pStyle w:val="BayerTableStyleCentered"/>
              <w:widowControl/>
              <w:jc w:val="left"/>
              <w:rPr>
                <w:szCs w:val="22"/>
                <w:lang w:val="pt-PT"/>
              </w:rPr>
            </w:pPr>
            <w:r w:rsidRPr="0063119B">
              <w:rPr>
                <w:szCs w:val="22"/>
                <w:lang w:val="pt-PT"/>
              </w:rPr>
              <w:t>19 (0,4%)</w:t>
            </w:r>
          </w:p>
        </w:tc>
        <w:tc>
          <w:tcPr>
            <w:tcW w:w="1984" w:type="dxa"/>
          </w:tcPr>
          <w:p w14:paraId="353D860A" w14:textId="77777777" w:rsidR="001B7699" w:rsidRPr="0063119B" w:rsidRDefault="001B7699" w:rsidP="003311FD">
            <w:pPr>
              <w:pStyle w:val="BayerTableStyleCentered"/>
              <w:widowControl/>
              <w:jc w:val="left"/>
              <w:rPr>
                <w:szCs w:val="22"/>
                <w:lang w:val="pt-PT"/>
              </w:rPr>
            </w:pPr>
            <w:r w:rsidRPr="0063119B">
              <w:rPr>
                <w:szCs w:val="22"/>
                <w:lang w:val="pt-PT"/>
              </w:rPr>
              <w:t>6 (0,1%)</w:t>
            </w:r>
          </w:p>
        </w:tc>
      </w:tr>
    </w:tbl>
    <w:p w14:paraId="40D380A4" w14:textId="77777777" w:rsidR="001B7699" w:rsidRPr="0063119B" w:rsidRDefault="001B7699" w:rsidP="001B7699">
      <w:pPr>
        <w:pStyle w:val="BayerTableFootnote"/>
        <w:spacing w:line="260" w:lineRule="exact"/>
        <w:ind w:left="426" w:hanging="426"/>
        <w:rPr>
          <w:szCs w:val="22"/>
          <w:lang w:val="pt-PT"/>
        </w:rPr>
      </w:pPr>
      <w:r w:rsidRPr="0063119B">
        <w:rPr>
          <w:szCs w:val="22"/>
          <w:lang w:val="pt-PT"/>
        </w:rPr>
        <w:t>a)</w:t>
      </w:r>
      <w:r w:rsidRPr="0063119B">
        <w:rPr>
          <w:szCs w:val="22"/>
          <w:lang w:val="pt-PT"/>
        </w:rPr>
        <w:tab/>
      </w:r>
      <w:r w:rsidR="00A96A3C" w:rsidRPr="0063119B">
        <w:rPr>
          <w:szCs w:val="22"/>
          <w:lang w:val="pt-PT"/>
        </w:rPr>
        <w:t>população de segurança, em tratamento</w:t>
      </w:r>
      <w:r w:rsidR="004F58A1" w:rsidRPr="0063119B">
        <w:rPr>
          <w:szCs w:val="22"/>
          <w:lang w:val="pt-PT"/>
        </w:rPr>
        <w:t xml:space="preserve"> </w:t>
      </w:r>
      <w:r w:rsidRPr="0063119B">
        <w:rPr>
          <w:szCs w:val="22"/>
          <w:lang w:val="pt-PT"/>
        </w:rPr>
        <w:t>b)</w:t>
      </w:r>
      <w:r w:rsidRPr="0063119B">
        <w:rPr>
          <w:szCs w:val="22"/>
          <w:lang w:val="pt-PT"/>
        </w:rPr>
        <w:tab/>
      </w:r>
      <w:r w:rsidRPr="0063119B">
        <w:rPr>
          <w:i/>
          <w:iCs/>
          <w:szCs w:val="22"/>
          <w:lang w:val="pt-PT"/>
        </w:rPr>
        <w:t>vs.</w:t>
      </w:r>
      <w:r w:rsidRPr="0063119B">
        <w:rPr>
          <w:szCs w:val="22"/>
          <w:lang w:val="pt-PT"/>
        </w:rPr>
        <w:t xml:space="preserve"> placebo; valor-p de </w:t>
      </w:r>
      <w:r w:rsidRPr="0063119B">
        <w:rPr>
          <w:i/>
          <w:szCs w:val="22"/>
          <w:lang w:val="pt-PT"/>
        </w:rPr>
        <w:t>log-rank</w:t>
      </w:r>
    </w:p>
    <w:p w14:paraId="0CFAF6A3" w14:textId="77777777" w:rsidR="001B7699" w:rsidRPr="0063119B" w:rsidRDefault="001B7699" w:rsidP="001B7699">
      <w:pPr>
        <w:suppressAutoHyphens/>
        <w:ind w:left="426" w:hanging="426"/>
        <w:rPr>
          <w:noProof/>
          <w:szCs w:val="22"/>
        </w:rPr>
      </w:pPr>
      <w:r w:rsidRPr="0063119B">
        <w:rPr>
          <w:szCs w:val="22"/>
        </w:rPr>
        <w:t>*</w:t>
      </w:r>
      <w:r w:rsidRPr="0063119B">
        <w:rPr>
          <w:szCs w:val="22"/>
        </w:rPr>
        <w:tab/>
        <w:t>estatisticamente significativo</w:t>
      </w:r>
    </w:p>
    <w:p w14:paraId="12D483A4" w14:textId="77777777" w:rsidR="001B7699" w:rsidRPr="0063119B" w:rsidRDefault="001B7699" w:rsidP="001B7699">
      <w:pPr>
        <w:suppressAutoHyphens/>
        <w:rPr>
          <w:noProof/>
          <w:szCs w:val="22"/>
          <w:u w:val="single"/>
        </w:rPr>
      </w:pPr>
    </w:p>
    <w:p w14:paraId="7DCAD56F" w14:textId="77777777" w:rsidR="001B7699" w:rsidRPr="0063119B" w:rsidRDefault="000A57E2" w:rsidP="001B7699">
      <w:pPr>
        <w:suppressAutoHyphens/>
        <w:rPr>
          <w:b/>
          <w:szCs w:val="22"/>
        </w:rPr>
      </w:pPr>
      <w:r w:rsidRPr="0063119B">
        <w:rPr>
          <w:b/>
          <w:noProof/>
          <w:szCs w:val="22"/>
          <w:lang w:val="en-IN" w:eastAsia="en-IN"/>
        </w:rPr>
        <mc:AlternateContent>
          <mc:Choice Requires="wps">
            <w:drawing>
              <wp:anchor distT="0" distB="0" distL="114300" distR="114300" simplePos="0" relativeHeight="251650048" behindDoc="0" locked="0" layoutInCell="1" allowOverlap="1" wp14:anchorId="3320ACFD" wp14:editId="0799460C">
                <wp:simplePos x="0" y="0"/>
                <wp:positionH relativeFrom="column">
                  <wp:posOffset>1059815</wp:posOffset>
                </wp:positionH>
                <wp:positionV relativeFrom="paragraph">
                  <wp:posOffset>601980</wp:posOffset>
                </wp:positionV>
                <wp:extent cx="1634490" cy="123825"/>
                <wp:effectExtent l="2540" t="1905" r="127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5525B" w14:textId="77777777" w:rsidR="00F03D43" w:rsidRPr="00C25303" w:rsidRDefault="00F03D43" w:rsidP="00145B36">
                            <w:pPr>
                              <w:rPr>
                                <w:sz w:val="14"/>
                                <w:szCs w:val="14"/>
                                <w:lang w:val="de-DE"/>
                              </w:rPr>
                            </w:pPr>
                            <w:r>
                              <w:rPr>
                                <w:sz w:val="14"/>
                                <w:szCs w:val="14"/>
                                <w:lang w:val="de-DE"/>
                              </w:rPr>
                              <w:t>Rivaroxabano</w:t>
                            </w:r>
                            <w:r w:rsidRPr="00C25303">
                              <w:rPr>
                                <w:sz w:val="14"/>
                                <w:szCs w:val="14"/>
                                <w:lang w:val="de-DE"/>
                              </w:rPr>
                              <w:t xml:space="preserve"> 2,5 mg duas vezes por dia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20ACFD" id="_x0000_t202" coordsize="21600,21600" o:spt="202" path="m,l,21600r21600,l21600,xe">
                <v:stroke joinstyle="miter"/>
                <v:path gradientshapeok="t" o:connecttype="rect"/>
              </v:shapetype>
              <v:shape id="Textfeld 2" o:spid="_x0000_s1026" type="#_x0000_t202" style="position:absolute;margin-left:83.45pt;margin-top:47.4pt;width:128.7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" stroked="f">
                <v:textbox inset="0,0,0,0">
                  <w:txbxContent>
                    <w:p w14:paraId="7125525B" w14:textId="77777777" w:rsidR="00F03D43" w:rsidRPr="00C25303" w:rsidRDefault="00F03D43" w:rsidP="00145B36">
                      <w:pPr>
                        <w:rPr>
                          <w:sz w:val="14"/>
                          <w:szCs w:val="14"/>
                          <w:lang w:val="de-DE"/>
                        </w:rPr>
                      </w:pPr>
                      <w:r>
                        <w:rPr>
                          <w:sz w:val="14"/>
                          <w:szCs w:val="14"/>
                          <w:lang w:val="de-DE"/>
                        </w:rPr>
                        <w:t>Rivaroxabano</w:t>
                      </w:r>
                      <w:r w:rsidRPr="00C25303">
                        <w:rPr>
                          <w:sz w:val="14"/>
                          <w:szCs w:val="14"/>
                          <w:lang w:val="de-DE"/>
                        </w:rPr>
                        <w:t xml:space="preserve"> 2,5 mg duas vezes por dia</w:t>
                      </w:r>
                    </w:p>
                  </w:txbxContent>
                </v:textbox>
              </v:shape>
            </w:pict>
          </mc:Fallback>
        </mc:AlternateContent>
      </w:r>
      <w:r w:rsidRPr="0063119B">
        <w:rPr>
          <w:b/>
          <w:noProof/>
          <w:szCs w:val="22"/>
          <w:lang w:val="en-IN" w:eastAsia="en-IN"/>
        </w:rPr>
        <mc:AlternateContent>
          <mc:Choice Requires="wps">
            <w:drawing>
              <wp:anchor distT="0" distB="0" distL="114300" distR="114300" simplePos="0" relativeHeight="251655168" behindDoc="0" locked="0" layoutInCell="1" allowOverlap="1" wp14:anchorId="1E20EF90" wp14:editId="70931970">
                <wp:simplePos x="0" y="0"/>
                <wp:positionH relativeFrom="column">
                  <wp:posOffset>386080</wp:posOffset>
                </wp:positionH>
                <wp:positionV relativeFrom="paragraph">
                  <wp:posOffset>3941445</wp:posOffset>
                </wp:positionV>
                <wp:extent cx="457835" cy="129540"/>
                <wp:effectExtent l="0" t="0" r="381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2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37B4B" w14:textId="77777777" w:rsidR="00F03D43" w:rsidRPr="00C25303" w:rsidRDefault="00F03D43" w:rsidP="00C25303">
                            <w:pPr>
                              <w:rPr>
                                <w:sz w:val="14"/>
                                <w:szCs w:val="14"/>
                                <w:lang w:val="fr-FR"/>
                              </w:rPr>
                            </w:pPr>
                            <w:r>
                              <w:rPr>
                                <w:sz w:val="14"/>
                                <w:szCs w:val="14"/>
                                <w:lang w:val="fr-FR"/>
                              </w:rPr>
                              <w:t>Placebo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0EF90" id="_x0000_s1027" type="#_x0000_t202" style="position:absolute;margin-left:30.4pt;margin-top:310.35pt;width:36.05pt;height:1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" stroked="f">
                <v:textbox inset="0,0,0,0">
                  <w:txbxContent>
                    <w:p w14:paraId="79437B4B" w14:textId="77777777" w:rsidR="00F03D43" w:rsidRPr="00C25303" w:rsidRDefault="00F03D43" w:rsidP="00C25303">
                      <w:pPr>
                        <w:rPr>
                          <w:sz w:val="14"/>
                          <w:szCs w:val="14"/>
                          <w:lang w:val="fr-FR"/>
                        </w:rPr>
                      </w:pPr>
                      <w:r>
                        <w:rPr>
                          <w:sz w:val="14"/>
                          <w:szCs w:val="14"/>
                          <w:lang w:val="fr-FR"/>
                        </w:rPr>
                        <w:t>Placebo</w:t>
                      </w:r>
                    </w:p>
                  </w:txbxContent>
                </v:textbox>
              </v:shape>
            </w:pict>
          </mc:Fallback>
        </mc:AlternateContent>
      </w:r>
      <w:r w:rsidRPr="0063119B">
        <w:rPr>
          <w:b/>
          <w:noProof/>
          <w:szCs w:val="22"/>
          <w:lang w:val="en-IN" w:eastAsia="en-IN"/>
        </w:rPr>
        <mc:AlternateContent>
          <mc:Choice Requires="wps">
            <w:drawing>
              <wp:anchor distT="0" distB="0" distL="114300" distR="114300" simplePos="0" relativeHeight="251654144" behindDoc="0" locked="0" layoutInCell="1" allowOverlap="1" wp14:anchorId="5643CB62" wp14:editId="01DE4573">
                <wp:simplePos x="0" y="0"/>
                <wp:positionH relativeFrom="column">
                  <wp:posOffset>167005</wp:posOffset>
                </wp:positionH>
                <wp:positionV relativeFrom="paragraph">
                  <wp:posOffset>3827145</wp:posOffset>
                </wp:positionV>
                <wp:extent cx="648335" cy="262890"/>
                <wp:effectExtent l="0" t="0" r="381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51637" w14:textId="77777777" w:rsidR="00F03D43" w:rsidRPr="00016132" w:rsidRDefault="00F03D43" w:rsidP="00C25303">
                            <w:pPr>
                              <w:rPr>
                                <w:sz w:val="14"/>
                                <w:szCs w:val="14"/>
                                <w:lang w:val="fr-FR"/>
                              </w:rPr>
                            </w:pPr>
                            <w:r w:rsidRPr="001B6FEC">
                              <w:rPr>
                                <w:sz w:val="14"/>
                                <w:szCs w:val="14"/>
                              </w:rPr>
                              <w:t>Rivaroxabano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3CB62" id="_x0000_s1028" type="#_x0000_t202" style="position:absolute;margin-left:13.15pt;margin-top:301.35pt;width:51.05pt;height:2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" stroked="f">
                <v:textbox inset="0,0,0,0">
                  <w:txbxContent>
                    <w:p w14:paraId="54E51637" w14:textId="77777777" w:rsidR="00F03D43" w:rsidRPr="00016132" w:rsidRDefault="00F03D43" w:rsidP="00C25303">
                      <w:pPr>
                        <w:rPr>
                          <w:sz w:val="14"/>
                          <w:szCs w:val="14"/>
                          <w:lang w:val="fr-FR"/>
                        </w:rPr>
                      </w:pPr>
                      <w:r w:rsidRPr="001B6FEC">
                        <w:rPr>
                          <w:sz w:val="14"/>
                          <w:szCs w:val="14"/>
                        </w:rPr>
                        <w:t>Rivaroxabano</w:t>
                      </w:r>
                    </w:p>
                  </w:txbxContent>
                </v:textbox>
              </v:shape>
            </w:pict>
          </mc:Fallback>
        </mc:AlternateContent>
      </w:r>
      <w:r w:rsidRPr="0063119B">
        <w:rPr>
          <w:b/>
          <w:noProof/>
          <w:szCs w:val="22"/>
          <w:lang w:val="en-IN" w:eastAsia="en-IN"/>
        </w:rPr>
        <mc:AlternateContent>
          <mc:Choice Requires="wps">
            <w:drawing>
              <wp:anchor distT="0" distB="0" distL="114300" distR="114300" simplePos="0" relativeHeight="251651072" behindDoc="0" locked="0" layoutInCell="1" allowOverlap="1" wp14:anchorId="471AEDE5" wp14:editId="6F254EF8">
                <wp:simplePos x="0" y="0"/>
                <wp:positionH relativeFrom="column">
                  <wp:posOffset>1059815</wp:posOffset>
                </wp:positionH>
                <wp:positionV relativeFrom="paragraph">
                  <wp:posOffset>739775</wp:posOffset>
                </wp:positionV>
                <wp:extent cx="889000" cy="100330"/>
                <wp:effectExtent l="2540" t="0" r="381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0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A6FAC" w14:textId="77777777" w:rsidR="00F03D43" w:rsidRPr="00CC0C2B" w:rsidRDefault="00F03D43" w:rsidP="00CC0C2B">
                            <w:pPr>
                              <w:rPr>
                                <w:sz w:val="15"/>
                                <w:szCs w:val="15"/>
                                <w:lang w:val="en-US"/>
                              </w:rPr>
                            </w:pPr>
                            <w:r w:rsidRPr="00CC0C2B">
                              <w:rPr>
                                <w:sz w:val="15"/>
                                <w:szCs w:val="15"/>
                                <w:lang w:val="en-US"/>
                              </w:rPr>
                              <w:t>Placebo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1AEDE5" id="_x0000_s1029" type="#_x0000_t202" style="position:absolute;margin-left:83.45pt;margin-top:58.25pt;width:70pt;height: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" stroked="f">
                <v:textbox inset="0,0,0,0">
                  <w:txbxContent>
                    <w:p w14:paraId="48BA6FAC" w14:textId="77777777" w:rsidR="00F03D43" w:rsidRPr="00CC0C2B" w:rsidRDefault="00F03D43" w:rsidP="00CC0C2B">
                      <w:pPr>
                        <w:rPr>
                          <w:sz w:val="15"/>
                          <w:szCs w:val="15"/>
                          <w:lang w:val="en-US"/>
                        </w:rPr>
                      </w:pPr>
                      <w:r w:rsidRPr="00CC0C2B">
                        <w:rPr>
                          <w:sz w:val="15"/>
                          <w:szCs w:val="15"/>
                          <w:lang w:val="en-US"/>
                        </w:rPr>
                        <w:t>Placebo</w:t>
                      </w:r>
                    </w:p>
                  </w:txbxContent>
                </v:textbox>
              </v:shape>
            </w:pict>
          </mc:Fallback>
        </mc:AlternateContent>
      </w:r>
      <w:r w:rsidRPr="0063119B">
        <w:rPr>
          <w:b/>
          <w:noProof/>
          <w:szCs w:val="22"/>
          <w:lang w:val="en-IN" w:eastAsia="en-IN"/>
        </w:rPr>
        <mc:AlternateContent>
          <mc:Choice Requires="wps">
            <w:drawing>
              <wp:anchor distT="0" distB="0" distL="114300" distR="114300" simplePos="0" relativeHeight="251653120" behindDoc="0" locked="0" layoutInCell="1" allowOverlap="1" wp14:anchorId="05537CB4" wp14:editId="6EE3BB90">
                <wp:simplePos x="0" y="0"/>
                <wp:positionH relativeFrom="column">
                  <wp:posOffset>357505</wp:posOffset>
                </wp:positionH>
                <wp:positionV relativeFrom="paragraph">
                  <wp:posOffset>3716655</wp:posOffset>
                </wp:positionV>
                <wp:extent cx="1008380" cy="129540"/>
                <wp:effectExtent l="0" t="1905" r="0" b="1905"/>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2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2B35B" w14:textId="77777777" w:rsidR="00F03D43" w:rsidRPr="00C25303" w:rsidRDefault="00F03D43" w:rsidP="00C25303">
                            <w:pPr>
                              <w:rPr>
                                <w:sz w:val="14"/>
                                <w:szCs w:val="14"/>
                                <w:lang w:val="fr-FR"/>
                              </w:rPr>
                            </w:pPr>
                            <w:r w:rsidRPr="00C25303">
                              <w:rPr>
                                <w:sz w:val="14"/>
                                <w:szCs w:val="14"/>
                                <w:lang w:val="fr-FR"/>
                              </w:rPr>
                              <w:t>N.º de Doentes em Risco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537CB4" id="_x0000_s1030" type="#_x0000_t202" style="position:absolute;margin-left:28.15pt;margin-top:292.65pt;width:79.4pt;height:1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" stroked="f">
                <v:textbox inset="0,0,0,0">
                  <w:txbxContent>
                    <w:p w14:paraId="4512B35B" w14:textId="77777777" w:rsidR="00F03D43" w:rsidRPr="00C25303" w:rsidRDefault="00F03D43" w:rsidP="00C25303">
                      <w:pPr>
                        <w:rPr>
                          <w:sz w:val="14"/>
                          <w:szCs w:val="14"/>
                          <w:lang w:val="fr-FR"/>
                        </w:rPr>
                      </w:pPr>
                      <w:r w:rsidRPr="00C25303">
                        <w:rPr>
                          <w:sz w:val="14"/>
                          <w:szCs w:val="14"/>
                          <w:lang w:val="fr-FR"/>
                        </w:rPr>
                        <w:t>N.º de Doentes em Risco</w:t>
                      </w:r>
                    </w:p>
                  </w:txbxContent>
                </v:textbox>
              </v:shape>
            </w:pict>
          </mc:Fallback>
        </mc:AlternateContent>
      </w:r>
      <w:r w:rsidRPr="0063119B">
        <w:rPr>
          <w:b/>
          <w:noProof/>
          <w:szCs w:val="22"/>
          <w:lang w:val="en-IN" w:eastAsia="en-IN"/>
        </w:rPr>
        <mc:AlternateContent>
          <mc:Choice Requires="wps">
            <w:drawing>
              <wp:anchor distT="0" distB="0" distL="114300" distR="114300" simplePos="0" relativeHeight="251652096" behindDoc="0" locked="0" layoutInCell="1" allowOverlap="1" wp14:anchorId="319F69AA" wp14:editId="4BA57D64">
                <wp:simplePos x="0" y="0"/>
                <wp:positionH relativeFrom="column">
                  <wp:posOffset>4348480</wp:posOffset>
                </wp:positionH>
                <wp:positionV relativeFrom="paragraph">
                  <wp:posOffset>2985135</wp:posOffset>
                </wp:positionV>
                <wp:extent cx="865505" cy="352425"/>
                <wp:effectExtent l="0" t="381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1D5E1" w14:textId="77777777" w:rsidR="00F03D43" w:rsidRPr="00C25303" w:rsidRDefault="00F03D43" w:rsidP="00C25303">
                            <w:pPr>
                              <w:rPr>
                                <w:sz w:val="15"/>
                                <w:szCs w:val="15"/>
                                <w:lang w:val="fr-FR"/>
                              </w:rPr>
                            </w:pPr>
                            <w:r w:rsidRPr="00C25303">
                              <w:rPr>
                                <w:sz w:val="15"/>
                                <w:szCs w:val="15"/>
                                <w:lang w:val="fr-FR"/>
                              </w:rPr>
                              <w:t>Taxa de Risco: 0,84</w:t>
                            </w:r>
                          </w:p>
                          <w:p w14:paraId="4DA701DD" w14:textId="77777777" w:rsidR="00F03D43" w:rsidRPr="00C25303" w:rsidRDefault="00F03D43" w:rsidP="00C25303">
                            <w:pPr>
                              <w:rPr>
                                <w:sz w:val="15"/>
                                <w:szCs w:val="15"/>
                                <w:lang w:val="fr-FR"/>
                              </w:rPr>
                            </w:pPr>
                            <w:r w:rsidRPr="00C25303">
                              <w:rPr>
                                <w:sz w:val="15"/>
                                <w:szCs w:val="15"/>
                                <w:lang w:val="fr-FR"/>
                              </w:rPr>
                              <w:t>IC 95%: (0,72; 0,97)</w:t>
                            </w:r>
                          </w:p>
                          <w:p w14:paraId="1AFF4F22" w14:textId="77777777" w:rsidR="00F03D43" w:rsidRPr="00C25303" w:rsidRDefault="00F03D43" w:rsidP="00C25303">
                            <w:pPr>
                              <w:rPr>
                                <w:sz w:val="15"/>
                                <w:szCs w:val="15"/>
                                <w:lang w:val="fr-FR"/>
                              </w:rPr>
                            </w:pPr>
                            <w:r w:rsidRPr="00C25303">
                              <w:rPr>
                                <w:sz w:val="15"/>
                                <w:szCs w:val="15"/>
                                <w:lang w:val="fr-FR"/>
                              </w:rPr>
                              <w:t>Valor p=0,020*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9F69AA" id="_x0000_s1031" type="#_x0000_t202" style="position:absolute;margin-left:342.4pt;margin-top:235.05pt;width:68.15pt;height:2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" stroked="f">
                <v:textbox inset="0,0,0,0">
                  <w:txbxContent>
                    <w:p w14:paraId="79F1D5E1" w14:textId="77777777" w:rsidR="00F03D43" w:rsidRPr="00C25303" w:rsidRDefault="00F03D43" w:rsidP="00C25303">
                      <w:pPr>
                        <w:rPr>
                          <w:sz w:val="15"/>
                          <w:szCs w:val="15"/>
                          <w:lang w:val="fr-FR"/>
                        </w:rPr>
                      </w:pPr>
                      <w:r w:rsidRPr="00C25303">
                        <w:rPr>
                          <w:sz w:val="15"/>
                          <w:szCs w:val="15"/>
                          <w:lang w:val="fr-FR"/>
                        </w:rPr>
                        <w:t>Taxa de Risco: 0,84</w:t>
                      </w:r>
                    </w:p>
                    <w:p w14:paraId="4DA701DD" w14:textId="77777777" w:rsidR="00F03D43" w:rsidRPr="00C25303" w:rsidRDefault="00F03D43" w:rsidP="00C25303">
                      <w:pPr>
                        <w:rPr>
                          <w:sz w:val="15"/>
                          <w:szCs w:val="15"/>
                          <w:lang w:val="fr-FR"/>
                        </w:rPr>
                      </w:pPr>
                      <w:r w:rsidRPr="00C25303">
                        <w:rPr>
                          <w:sz w:val="15"/>
                          <w:szCs w:val="15"/>
                          <w:lang w:val="fr-FR"/>
                        </w:rPr>
                        <w:t>IC 95%: (0,72; 0,97)</w:t>
                      </w:r>
                    </w:p>
                    <w:p w14:paraId="1AFF4F22" w14:textId="77777777" w:rsidR="00F03D43" w:rsidRPr="00C25303" w:rsidRDefault="00F03D43" w:rsidP="00C25303">
                      <w:pPr>
                        <w:rPr>
                          <w:sz w:val="15"/>
                          <w:szCs w:val="15"/>
                          <w:lang w:val="fr-FR"/>
                        </w:rPr>
                      </w:pPr>
                      <w:r w:rsidRPr="00C25303">
                        <w:rPr>
                          <w:sz w:val="15"/>
                          <w:szCs w:val="15"/>
                          <w:lang w:val="fr-FR"/>
                        </w:rPr>
                        <w:t>Valor p=0,020*</w:t>
                      </w:r>
                    </w:p>
                  </w:txbxContent>
                </v:textbox>
              </v:shape>
            </w:pict>
          </mc:Fallback>
        </mc:AlternateContent>
      </w:r>
      <w:r w:rsidRPr="0063119B">
        <w:rPr>
          <w:b/>
          <w:noProof/>
          <w:szCs w:val="22"/>
          <w:lang w:val="en-IN" w:eastAsia="en-IN"/>
        </w:rPr>
        <w:drawing>
          <wp:anchor distT="0" distB="0" distL="114300" distR="114300" simplePos="0" relativeHeight="251649024" behindDoc="1" locked="0" layoutInCell="1" allowOverlap="1" wp14:anchorId="26C84EFB" wp14:editId="6D8AAB01">
            <wp:simplePos x="0" y="0"/>
            <wp:positionH relativeFrom="column">
              <wp:align>center</wp:align>
            </wp:positionH>
            <wp:positionV relativeFrom="paragraph">
              <wp:posOffset>323850</wp:posOffset>
            </wp:positionV>
            <wp:extent cx="5335905" cy="3926205"/>
            <wp:effectExtent l="0" t="0" r="0" b="0"/>
            <wp:wrapTight wrapText="bothSides">
              <wp:wrapPolygon edited="0">
                <wp:start x="0" y="0"/>
                <wp:lineTo x="0" y="21485"/>
                <wp:lineTo x="21515" y="21485"/>
                <wp:lineTo x="21515" y="0"/>
                <wp:lineTo x="0" y="0"/>
              </wp:wrapPolygon>
            </wp:wrapTight>
            <wp:docPr id="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5905" cy="392620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699" w:rsidRPr="0063119B">
        <w:rPr>
          <w:b/>
          <w:szCs w:val="22"/>
        </w:rPr>
        <w:t xml:space="preserve">Figura 1: Tempo para a </w:t>
      </w:r>
      <w:r w:rsidR="00932EC8" w:rsidRPr="0063119B">
        <w:rPr>
          <w:b/>
          <w:szCs w:val="22"/>
        </w:rPr>
        <w:t>p</w:t>
      </w:r>
      <w:r w:rsidR="001B7699" w:rsidRPr="0063119B">
        <w:rPr>
          <w:b/>
          <w:szCs w:val="22"/>
        </w:rPr>
        <w:t xml:space="preserve">rimeira </w:t>
      </w:r>
      <w:r w:rsidR="00932EC8" w:rsidRPr="0063119B">
        <w:rPr>
          <w:b/>
          <w:szCs w:val="22"/>
        </w:rPr>
        <w:t>o</w:t>
      </w:r>
      <w:r w:rsidR="001B7699" w:rsidRPr="0063119B">
        <w:rPr>
          <w:b/>
          <w:szCs w:val="22"/>
        </w:rPr>
        <w:t xml:space="preserve">corrência de </w:t>
      </w:r>
      <w:r w:rsidR="00932EC8" w:rsidRPr="0063119B">
        <w:rPr>
          <w:b/>
          <w:i/>
          <w:szCs w:val="22"/>
        </w:rPr>
        <w:t>e</w:t>
      </w:r>
      <w:r w:rsidR="001B7699" w:rsidRPr="0063119B">
        <w:rPr>
          <w:b/>
          <w:i/>
          <w:szCs w:val="22"/>
        </w:rPr>
        <w:t>ndpoint</w:t>
      </w:r>
      <w:r w:rsidR="001B7699" w:rsidRPr="0063119B">
        <w:rPr>
          <w:b/>
          <w:szCs w:val="22"/>
        </w:rPr>
        <w:t xml:space="preserve"> de </w:t>
      </w:r>
      <w:r w:rsidR="00932EC8" w:rsidRPr="0063119B">
        <w:rPr>
          <w:b/>
          <w:szCs w:val="22"/>
        </w:rPr>
        <w:t>e</w:t>
      </w:r>
      <w:r w:rsidR="001B7699" w:rsidRPr="0063119B">
        <w:rPr>
          <w:b/>
          <w:szCs w:val="22"/>
        </w:rPr>
        <w:t xml:space="preserve">ficácia </w:t>
      </w:r>
      <w:r w:rsidR="00932EC8" w:rsidRPr="0063119B">
        <w:rPr>
          <w:b/>
          <w:szCs w:val="22"/>
        </w:rPr>
        <w:t>p</w:t>
      </w:r>
      <w:r w:rsidR="001B7699" w:rsidRPr="0063119B">
        <w:rPr>
          <w:b/>
          <w:szCs w:val="22"/>
        </w:rPr>
        <w:t>rimário (morte CV, EM ou acidente vascular cerebral)</w:t>
      </w:r>
    </w:p>
    <w:p w14:paraId="696AFFA1" w14:textId="77777777" w:rsidR="00A73707" w:rsidRPr="0063119B" w:rsidRDefault="000A57E2" w:rsidP="00A73707">
      <w:pPr>
        <w:pStyle w:val="BayerBodyTextFull"/>
        <w:spacing w:before="0" w:after="0"/>
        <w:ind w:left="34"/>
        <w:rPr>
          <w:sz w:val="22"/>
          <w:szCs w:val="22"/>
          <w:lang w:val="pt-PT"/>
        </w:rPr>
      </w:pPr>
      <w:r w:rsidRPr="0063119B">
        <w:rPr>
          <w:b/>
          <w:noProof/>
          <w:sz w:val="22"/>
          <w:szCs w:val="22"/>
          <w:lang w:val="en-IN" w:eastAsia="en-IN"/>
        </w:rPr>
        <mc:AlternateContent>
          <mc:Choice Requires="wps">
            <w:drawing>
              <wp:anchor distT="0" distB="0" distL="114300" distR="114300" simplePos="0" relativeHeight="251656192" behindDoc="0" locked="0" layoutInCell="1" allowOverlap="1" wp14:anchorId="7BCF2B90" wp14:editId="55C72A39">
                <wp:simplePos x="0" y="0"/>
                <wp:positionH relativeFrom="column">
                  <wp:posOffset>2039620</wp:posOffset>
                </wp:positionH>
                <wp:positionV relativeFrom="paragraph">
                  <wp:posOffset>-671195</wp:posOffset>
                </wp:positionV>
                <wp:extent cx="2308860" cy="180340"/>
                <wp:effectExtent l="1270" t="0" r="4445"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5EBBF" w14:textId="77777777" w:rsidR="00F03D43" w:rsidRPr="00C25303" w:rsidRDefault="00F03D43" w:rsidP="003942A2">
                            <w:pPr>
                              <w:rPr>
                                <w:b/>
                                <w:sz w:val="18"/>
                                <w:szCs w:val="18"/>
                                <w:lang w:val="en-US"/>
                              </w:rPr>
                            </w:pPr>
                            <w:r>
                              <w:rPr>
                                <w:b/>
                                <w:sz w:val="18"/>
                                <w:szCs w:val="18"/>
                                <w:lang w:val="en-US"/>
                              </w:rPr>
                              <w:t>Dias Relativos desde a  Aleatorização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CF2B90" id="_x0000_s1032" type="#_x0000_t202" style="position:absolute;left:0;text-align:left;margin-left:160.6pt;margin-top:-52.85pt;width:181.8pt;height:1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" stroked="f">
                <v:textbox inset="0,0,0,0">
                  <w:txbxContent>
                    <w:p w14:paraId="3705EBBF" w14:textId="77777777" w:rsidR="00F03D43" w:rsidRPr="00C25303" w:rsidRDefault="00F03D43" w:rsidP="003942A2">
                      <w:pPr>
                        <w:rPr>
                          <w:b/>
                          <w:sz w:val="18"/>
                          <w:szCs w:val="18"/>
                          <w:lang w:val="en-US"/>
                        </w:rPr>
                      </w:pPr>
                      <w:r>
                        <w:rPr>
                          <w:b/>
                          <w:sz w:val="18"/>
                          <w:szCs w:val="18"/>
                          <w:lang w:val="en-US"/>
                        </w:rPr>
                        <w:t>Dias Relativos desde a  Aleatorização</w:t>
                      </w:r>
                    </w:p>
                  </w:txbxContent>
                </v:textbox>
              </v:shape>
            </w:pict>
          </mc:Fallback>
        </mc:AlternateContent>
      </w:r>
    </w:p>
    <w:p w14:paraId="48DDAA84" w14:textId="77777777" w:rsidR="00A73707" w:rsidRDefault="00A73707" w:rsidP="00A73707">
      <w:pPr>
        <w:rPr>
          <w:i/>
          <w:iCs/>
          <w:szCs w:val="22"/>
          <w:u w:val="single"/>
        </w:rPr>
      </w:pPr>
      <w:r w:rsidRPr="0063119B">
        <w:rPr>
          <w:i/>
          <w:iCs/>
          <w:szCs w:val="22"/>
          <w:u w:val="single"/>
        </w:rPr>
        <w:lastRenderedPageBreak/>
        <w:t>DAC</w:t>
      </w:r>
      <w:r w:rsidR="004F75E6" w:rsidRPr="0063119B">
        <w:rPr>
          <w:i/>
          <w:iCs/>
          <w:szCs w:val="22"/>
          <w:u w:val="single"/>
        </w:rPr>
        <w:t>/</w:t>
      </w:r>
      <w:r w:rsidRPr="0063119B">
        <w:rPr>
          <w:i/>
          <w:iCs/>
          <w:szCs w:val="22"/>
          <w:u w:val="single"/>
        </w:rPr>
        <w:t>DAP</w:t>
      </w:r>
    </w:p>
    <w:p w14:paraId="7AE35A6C" w14:textId="77777777" w:rsidR="00016132" w:rsidRPr="0063119B" w:rsidRDefault="00016132" w:rsidP="00A73707">
      <w:pPr>
        <w:rPr>
          <w:i/>
          <w:szCs w:val="22"/>
          <w:u w:val="single"/>
        </w:rPr>
      </w:pPr>
    </w:p>
    <w:p w14:paraId="7F10E495" w14:textId="77777777" w:rsidR="00A73707" w:rsidRPr="0063119B" w:rsidRDefault="00A73707" w:rsidP="00A73707">
      <w:pPr>
        <w:autoSpaceDE w:val="0"/>
        <w:autoSpaceDN w:val="0"/>
        <w:rPr>
          <w:b/>
          <w:bCs/>
          <w:iCs/>
          <w:szCs w:val="22"/>
        </w:rPr>
      </w:pPr>
      <w:r w:rsidRPr="0063119B">
        <w:rPr>
          <w:szCs w:val="22"/>
        </w:rPr>
        <w:t>O estudo COMPASS de fase</w:t>
      </w:r>
      <w:r w:rsidR="0044179F" w:rsidRPr="0063119B">
        <w:rPr>
          <w:szCs w:val="22"/>
        </w:rPr>
        <w:t> </w:t>
      </w:r>
      <w:r w:rsidRPr="0063119B">
        <w:rPr>
          <w:szCs w:val="22"/>
        </w:rPr>
        <w:t xml:space="preserve">III (27.395 doentes, 78,0% do sexo masculino, 22,0% do sexo feminino) demonstrou a eficácia e segurança de </w:t>
      </w:r>
      <w:r w:rsidR="00E9034F" w:rsidRPr="0063119B">
        <w:rPr>
          <w:szCs w:val="22"/>
        </w:rPr>
        <w:t>rivaroxabano</w:t>
      </w:r>
      <w:r w:rsidRPr="0063119B">
        <w:rPr>
          <w:szCs w:val="22"/>
        </w:rPr>
        <w:t xml:space="preserve"> para a prevenção de um</w:t>
      </w:r>
      <w:r w:rsidR="00173CF2" w:rsidRPr="0063119B">
        <w:rPr>
          <w:szCs w:val="22"/>
        </w:rPr>
        <w:t xml:space="preserve"> critério</w:t>
      </w:r>
      <w:r w:rsidRPr="0063119B">
        <w:rPr>
          <w:szCs w:val="22"/>
        </w:rPr>
        <w:t xml:space="preserve"> composto de morte CV, EM, acidente vascul</w:t>
      </w:r>
      <w:r w:rsidR="00354214" w:rsidRPr="0063119B">
        <w:rPr>
          <w:szCs w:val="22"/>
        </w:rPr>
        <w:t xml:space="preserve">ar cerebral em doentes com DAC </w:t>
      </w:r>
      <w:r w:rsidRPr="0063119B">
        <w:rPr>
          <w:szCs w:val="22"/>
        </w:rPr>
        <w:t xml:space="preserve">ou DAP </w:t>
      </w:r>
      <w:r w:rsidR="004F75E6" w:rsidRPr="0063119B">
        <w:rPr>
          <w:szCs w:val="22"/>
        </w:rPr>
        <w:t>sintomática</w:t>
      </w:r>
      <w:r w:rsidR="001D5BDD" w:rsidRPr="0063119B">
        <w:rPr>
          <w:szCs w:val="22"/>
        </w:rPr>
        <w:t xml:space="preserve"> com </w:t>
      </w:r>
      <w:r w:rsidR="00BA146C" w:rsidRPr="0063119B">
        <w:rPr>
          <w:szCs w:val="22"/>
        </w:rPr>
        <w:t xml:space="preserve">alto </w:t>
      </w:r>
      <w:r w:rsidR="001D5BDD" w:rsidRPr="0063119B">
        <w:rPr>
          <w:szCs w:val="22"/>
        </w:rPr>
        <w:t xml:space="preserve"> risco de </w:t>
      </w:r>
      <w:r w:rsidR="00B82B0A" w:rsidRPr="0063119B">
        <w:rPr>
          <w:szCs w:val="22"/>
        </w:rPr>
        <w:t>acontecimentos isquémicos</w:t>
      </w:r>
      <w:r w:rsidRPr="0063119B">
        <w:rPr>
          <w:szCs w:val="22"/>
        </w:rPr>
        <w:t>. Os doentes foram seguidos durante uma mediana de 23</w:t>
      </w:r>
      <w:r w:rsidR="0044179F" w:rsidRPr="0063119B">
        <w:rPr>
          <w:szCs w:val="22"/>
        </w:rPr>
        <w:t> meses e um máximo de 3,9 anos.</w:t>
      </w:r>
    </w:p>
    <w:p w14:paraId="461E1201" w14:textId="77777777" w:rsidR="00A73707" w:rsidRPr="0063119B" w:rsidRDefault="00A73707" w:rsidP="00A73707">
      <w:pPr>
        <w:pStyle w:val="BayerBodyTextFull"/>
        <w:spacing w:before="0" w:after="0"/>
        <w:rPr>
          <w:sz w:val="22"/>
          <w:szCs w:val="22"/>
          <w:lang w:val="pt-PT"/>
        </w:rPr>
      </w:pPr>
    </w:p>
    <w:p w14:paraId="0AA57D2B" w14:textId="77777777" w:rsidR="00A73707" w:rsidRPr="0063119B" w:rsidRDefault="00A73707" w:rsidP="00A73707">
      <w:pPr>
        <w:pStyle w:val="BayerBodyTextFull"/>
        <w:spacing w:before="0" w:after="0"/>
        <w:rPr>
          <w:sz w:val="22"/>
          <w:szCs w:val="22"/>
          <w:lang w:val="pt-PT"/>
        </w:rPr>
      </w:pPr>
      <w:r w:rsidRPr="0063119B">
        <w:rPr>
          <w:sz w:val="22"/>
          <w:szCs w:val="22"/>
          <w:lang w:val="pt-PT"/>
        </w:rPr>
        <w:t xml:space="preserve">Os indivíduos que não necessitavam de tratamento contínuo com um inibidor da bomba de protões foram aleatorizados para </w:t>
      </w:r>
      <w:r w:rsidR="00354214" w:rsidRPr="0063119B">
        <w:rPr>
          <w:sz w:val="22"/>
          <w:szCs w:val="22"/>
          <w:lang w:val="pt-PT"/>
        </w:rPr>
        <w:t>pantoprazol ou</w:t>
      </w:r>
      <w:r w:rsidRPr="0063119B">
        <w:rPr>
          <w:sz w:val="22"/>
          <w:szCs w:val="22"/>
          <w:lang w:val="pt-PT"/>
        </w:rPr>
        <w:t xml:space="preserve"> placebo. Todos os doentes foram </w:t>
      </w:r>
      <w:r w:rsidR="00354214" w:rsidRPr="0063119B">
        <w:rPr>
          <w:sz w:val="22"/>
          <w:szCs w:val="22"/>
          <w:lang w:val="pt-PT"/>
        </w:rPr>
        <w:t xml:space="preserve">depois aleatorizados 1:1:1 para </w:t>
      </w:r>
      <w:r w:rsidRPr="0063119B">
        <w:rPr>
          <w:sz w:val="22"/>
          <w:szCs w:val="22"/>
          <w:lang w:val="pt-PT"/>
        </w:rPr>
        <w:t>rivaroxabano 2,5 mg duas vezes por dia/AAS 100 mg uma vez por dia, para rivaroxabano 5 mg duas vezes por dia, ou AAS 100 mg uma vez por dia isoladamente, e pa</w:t>
      </w:r>
      <w:r w:rsidR="0044179F" w:rsidRPr="0063119B">
        <w:rPr>
          <w:sz w:val="22"/>
          <w:szCs w:val="22"/>
          <w:lang w:val="pt-PT"/>
        </w:rPr>
        <w:t>ra os placebos correspondentes.</w:t>
      </w:r>
    </w:p>
    <w:p w14:paraId="09BF9512" w14:textId="77777777" w:rsidR="00A73707" w:rsidRPr="0063119B" w:rsidRDefault="00A73707" w:rsidP="00A73707">
      <w:pPr>
        <w:autoSpaceDE w:val="0"/>
        <w:autoSpaceDN w:val="0"/>
        <w:rPr>
          <w:szCs w:val="22"/>
        </w:rPr>
      </w:pPr>
    </w:p>
    <w:p w14:paraId="15C67ABB" w14:textId="77777777" w:rsidR="00A73707" w:rsidRPr="0063119B" w:rsidRDefault="00A73707" w:rsidP="00A73707">
      <w:pPr>
        <w:autoSpaceDE w:val="0"/>
        <w:autoSpaceDN w:val="0"/>
        <w:rPr>
          <w:szCs w:val="22"/>
        </w:rPr>
      </w:pPr>
      <w:r w:rsidRPr="0063119B">
        <w:rPr>
          <w:szCs w:val="22"/>
        </w:rPr>
        <w:t>Os doentes com DAC tinham DAC multivaso e/ou EM anterior. Em doentes com &lt; 65 anos de idade, era exigida aterosclerose que envolvesse pelo menos dois leitos vasculares ou pelo menos dois fatores adic</w:t>
      </w:r>
      <w:r w:rsidR="0044179F" w:rsidRPr="0063119B">
        <w:rPr>
          <w:szCs w:val="22"/>
        </w:rPr>
        <w:t>ionais de risco cardiovascular.</w:t>
      </w:r>
    </w:p>
    <w:p w14:paraId="7A5F0B55" w14:textId="77777777" w:rsidR="00A73707" w:rsidRPr="0063119B" w:rsidRDefault="00A73707" w:rsidP="00A73707">
      <w:pPr>
        <w:autoSpaceDE w:val="0"/>
        <w:autoSpaceDN w:val="0"/>
        <w:rPr>
          <w:szCs w:val="22"/>
        </w:rPr>
      </w:pPr>
    </w:p>
    <w:p w14:paraId="2B42ACF3" w14:textId="77777777" w:rsidR="00A73707" w:rsidRPr="0063119B" w:rsidRDefault="00A73707" w:rsidP="00A73707">
      <w:pPr>
        <w:autoSpaceDE w:val="0"/>
        <w:autoSpaceDN w:val="0"/>
        <w:rPr>
          <w:szCs w:val="22"/>
        </w:rPr>
      </w:pPr>
      <w:r w:rsidRPr="0063119B">
        <w:rPr>
          <w:szCs w:val="22"/>
        </w:rPr>
        <w:t>Os doentes com DAP tinham sido submetidos a intervenções anteriores como cirurgia por bypass ou angioplastia transluminal percutânea, ou a amputação de um membro ou pé devido a doença vascular arterial ou a claudicação intermitente</w:t>
      </w:r>
      <w:r w:rsidR="00354214" w:rsidRPr="0063119B">
        <w:rPr>
          <w:szCs w:val="22"/>
        </w:rPr>
        <w:t>,</w:t>
      </w:r>
      <w:r w:rsidRPr="0063119B">
        <w:rPr>
          <w:szCs w:val="22"/>
        </w:rPr>
        <w:t xml:space="preserve"> com uma razão da pressão sanguínea tornozelo/braço &lt; 0,90 e/ou com estenose arterial periférica significativa, </w:t>
      </w:r>
      <w:r w:rsidR="00BA146C" w:rsidRPr="0063119B">
        <w:rPr>
          <w:szCs w:val="22"/>
        </w:rPr>
        <w:t xml:space="preserve">ou </w:t>
      </w:r>
      <w:r w:rsidRPr="0063119B">
        <w:rPr>
          <w:szCs w:val="22"/>
        </w:rPr>
        <w:t xml:space="preserve">com revascularização </w:t>
      </w:r>
      <w:r w:rsidR="004F75E6" w:rsidRPr="0063119B">
        <w:rPr>
          <w:szCs w:val="22"/>
        </w:rPr>
        <w:t xml:space="preserve">carotídea </w:t>
      </w:r>
      <w:r w:rsidRPr="0063119B">
        <w:rPr>
          <w:szCs w:val="22"/>
        </w:rPr>
        <w:t>anterior ou com estenose arterial</w:t>
      </w:r>
      <w:r w:rsidR="0044179F" w:rsidRPr="0063119B">
        <w:rPr>
          <w:szCs w:val="22"/>
        </w:rPr>
        <w:t xml:space="preserve"> carotídea assintomática ≥ 50%.</w:t>
      </w:r>
    </w:p>
    <w:p w14:paraId="37F19D80" w14:textId="77777777" w:rsidR="00A73707" w:rsidRPr="0063119B" w:rsidRDefault="00A73707" w:rsidP="00A73707">
      <w:pPr>
        <w:autoSpaceDE w:val="0"/>
        <w:autoSpaceDN w:val="0"/>
        <w:rPr>
          <w:szCs w:val="22"/>
        </w:rPr>
      </w:pPr>
    </w:p>
    <w:p w14:paraId="4B340C52" w14:textId="77777777" w:rsidR="00A73707" w:rsidRPr="0063119B" w:rsidRDefault="00A73707" w:rsidP="00A73707">
      <w:pPr>
        <w:autoSpaceDE w:val="0"/>
        <w:autoSpaceDN w:val="0"/>
        <w:rPr>
          <w:szCs w:val="22"/>
        </w:rPr>
      </w:pPr>
      <w:r w:rsidRPr="0063119B">
        <w:rPr>
          <w:szCs w:val="22"/>
        </w:rPr>
        <w:t xml:space="preserve">Os critérios de exclusão incluíram a necessidade de terapêutica antiplaquetária dupla ou outra terapêutica antiplaquetária sem AAS ou de terapêutica anticoagulante </w:t>
      </w:r>
      <w:r w:rsidR="00BA146C" w:rsidRPr="0063119B">
        <w:rPr>
          <w:szCs w:val="22"/>
        </w:rPr>
        <w:t xml:space="preserve">oral </w:t>
      </w:r>
      <w:r w:rsidRPr="0063119B">
        <w:rPr>
          <w:szCs w:val="22"/>
        </w:rPr>
        <w:t xml:space="preserve">e doentes com alto risco de hemorragias, ou com insuficiência cardíaca com uma fração de ejeção &lt; 30% ou com classe III ou IV da </w:t>
      </w:r>
      <w:r w:rsidRPr="0063119B">
        <w:rPr>
          <w:i/>
          <w:iCs/>
          <w:szCs w:val="22"/>
        </w:rPr>
        <w:t>New York Heart Association</w:t>
      </w:r>
      <w:r w:rsidRPr="0063119B">
        <w:rPr>
          <w:szCs w:val="22"/>
        </w:rPr>
        <w:t xml:space="preserve"> ou com qualquer acidente vascular isquémico não lacunar </w:t>
      </w:r>
      <w:r w:rsidR="002F1674" w:rsidRPr="0063119B">
        <w:rPr>
          <w:szCs w:val="22"/>
        </w:rPr>
        <w:t>no mês precedente</w:t>
      </w:r>
      <w:r w:rsidRPr="0063119B">
        <w:rPr>
          <w:szCs w:val="22"/>
        </w:rPr>
        <w:t xml:space="preserve"> ou quaisquer antecedentes de acidentes vascul</w:t>
      </w:r>
      <w:r w:rsidR="0044179F" w:rsidRPr="0063119B">
        <w:rPr>
          <w:szCs w:val="22"/>
        </w:rPr>
        <w:t>ares hemorrágicos ou lacunares.</w:t>
      </w:r>
    </w:p>
    <w:p w14:paraId="26C970F2" w14:textId="77777777" w:rsidR="00A73707" w:rsidRPr="0063119B" w:rsidRDefault="00A73707" w:rsidP="00A73707">
      <w:pPr>
        <w:pStyle w:val="BayerBodyTextFull"/>
        <w:spacing w:before="0" w:after="0"/>
        <w:rPr>
          <w:sz w:val="22"/>
          <w:szCs w:val="22"/>
          <w:lang w:val="pt-PT"/>
        </w:rPr>
      </w:pPr>
    </w:p>
    <w:p w14:paraId="18FEAE83" w14:textId="77777777" w:rsidR="00A73707" w:rsidRPr="0063119B" w:rsidRDefault="00E9034F" w:rsidP="00A73707">
      <w:pPr>
        <w:pStyle w:val="BayerBodyTextFull"/>
        <w:spacing w:before="0" w:after="0"/>
        <w:rPr>
          <w:sz w:val="22"/>
          <w:szCs w:val="22"/>
          <w:lang w:val="pt-PT"/>
        </w:rPr>
      </w:pPr>
      <w:r w:rsidRPr="0063119B">
        <w:rPr>
          <w:sz w:val="22"/>
          <w:szCs w:val="22"/>
          <w:lang w:val="pt-PT"/>
        </w:rPr>
        <w:t xml:space="preserve">O rivaroxabano na dose de </w:t>
      </w:r>
      <w:r w:rsidR="00A73707" w:rsidRPr="0063119B">
        <w:rPr>
          <w:sz w:val="22"/>
          <w:szCs w:val="22"/>
          <w:lang w:val="pt-PT"/>
        </w:rPr>
        <w:t>2,5 mg duas vezes por dia em associação com AAS 100 mg uma vez por dia foi superior a AAS 100 mg na redução do critério de avaliação primário composto de morte CV, EM, acidente vascular cerebral</w:t>
      </w:r>
      <w:r w:rsidR="004F75E6" w:rsidRPr="0063119B">
        <w:rPr>
          <w:sz w:val="22"/>
          <w:szCs w:val="22"/>
          <w:lang w:val="pt-PT"/>
        </w:rPr>
        <w:t xml:space="preserve"> (ver Quadro 7 e Figura 2)</w:t>
      </w:r>
      <w:r w:rsidR="00A73707" w:rsidRPr="0063119B">
        <w:rPr>
          <w:sz w:val="22"/>
          <w:szCs w:val="22"/>
          <w:lang w:val="pt-PT"/>
        </w:rPr>
        <w:t xml:space="preserve">. </w:t>
      </w:r>
    </w:p>
    <w:p w14:paraId="7D798CB6" w14:textId="77777777" w:rsidR="00BA146C" w:rsidRPr="0063119B" w:rsidRDefault="00BA146C" w:rsidP="00A73707">
      <w:pPr>
        <w:pStyle w:val="BayerBodyTextFull"/>
        <w:spacing w:before="0" w:after="0"/>
        <w:rPr>
          <w:sz w:val="22"/>
          <w:szCs w:val="22"/>
          <w:lang w:val="pt-PT"/>
        </w:rPr>
      </w:pPr>
    </w:p>
    <w:p w14:paraId="3B181A01" w14:textId="77777777" w:rsidR="00A73707" w:rsidRPr="0063119B" w:rsidRDefault="00A73707" w:rsidP="00A73707">
      <w:pPr>
        <w:pStyle w:val="BayerBodyTextFull"/>
        <w:spacing w:before="0" w:after="0"/>
        <w:rPr>
          <w:sz w:val="22"/>
          <w:szCs w:val="22"/>
          <w:lang w:val="pt-PT"/>
        </w:rPr>
      </w:pPr>
      <w:r w:rsidRPr="0063119B">
        <w:rPr>
          <w:sz w:val="22"/>
          <w:szCs w:val="22"/>
          <w:lang w:val="pt-PT"/>
        </w:rPr>
        <w:t xml:space="preserve">Observou-se um aumento significativo do critério de </w:t>
      </w:r>
      <w:r w:rsidR="004F75E6" w:rsidRPr="0063119B">
        <w:rPr>
          <w:sz w:val="22"/>
          <w:szCs w:val="22"/>
          <w:lang w:val="pt-PT"/>
        </w:rPr>
        <w:t>segurança</w:t>
      </w:r>
      <w:r w:rsidRPr="0063119B">
        <w:rPr>
          <w:sz w:val="22"/>
          <w:szCs w:val="22"/>
          <w:lang w:val="pt-PT"/>
        </w:rPr>
        <w:t xml:space="preserve"> primário (acontecimentos hemorrágicos </w:t>
      </w:r>
      <w:r w:rsidR="002F7E84" w:rsidRPr="0063119B">
        <w:rPr>
          <w:sz w:val="22"/>
          <w:szCs w:val="22"/>
          <w:lang w:val="pt-PT"/>
        </w:rPr>
        <w:t>principais</w:t>
      </w:r>
      <w:r w:rsidRPr="0063119B">
        <w:rPr>
          <w:sz w:val="22"/>
          <w:szCs w:val="22"/>
          <w:lang w:val="pt-PT"/>
        </w:rPr>
        <w:t>, modificado</w:t>
      </w:r>
      <w:r w:rsidR="00E1023B" w:rsidRPr="0063119B">
        <w:rPr>
          <w:sz w:val="22"/>
          <w:szCs w:val="22"/>
          <w:lang w:val="pt-PT"/>
        </w:rPr>
        <w:t>s</w:t>
      </w:r>
      <w:r w:rsidRPr="0063119B">
        <w:rPr>
          <w:sz w:val="22"/>
          <w:szCs w:val="22"/>
          <w:lang w:val="pt-PT"/>
        </w:rPr>
        <w:t xml:space="preserve"> segundo a ISTH) em doentes tratados com 2,5 mg</w:t>
      </w:r>
      <w:r w:rsidR="00E9034F" w:rsidRPr="0063119B">
        <w:rPr>
          <w:sz w:val="22"/>
          <w:szCs w:val="22"/>
          <w:lang w:val="pt-PT"/>
        </w:rPr>
        <w:t xml:space="preserve"> de rivaroxabano</w:t>
      </w:r>
      <w:r w:rsidRPr="0063119B">
        <w:rPr>
          <w:sz w:val="22"/>
          <w:szCs w:val="22"/>
          <w:lang w:val="pt-PT"/>
        </w:rPr>
        <w:t xml:space="preserve"> duas vezes por dia em associação com AAS 100 mg uma vez por dia em comparação com os doentes tratados com AAS 100 mg (ver </w:t>
      </w:r>
      <w:r w:rsidR="00082508" w:rsidRPr="0063119B">
        <w:rPr>
          <w:sz w:val="22"/>
          <w:szCs w:val="22"/>
          <w:lang w:val="pt-PT"/>
        </w:rPr>
        <w:t>Quadro</w:t>
      </w:r>
      <w:r w:rsidR="0044179F" w:rsidRPr="0063119B">
        <w:rPr>
          <w:sz w:val="22"/>
          <w:szCs w:val="22"/>
          <w:lang w:val="pt-PT"/>
        </w:rPr>
        <w:t> </w:t>
      </w:r>
      <w:r w:rsidR="004F75E6" w:rsidRPr="0063119B">
        <w:rPr>
          <w:sz w:val="22"/>
          <w:szCs w:val="22"/>
          <w:lang w:val="pt-PT"/>
        </w:rPr>
        <w:t>8</w:t>
      </w:r>
      <w:r w:rsidR="0044179F" w:rsidRPr="0063119B">
        <w:rPr>
          <w:sz w:val="22"/>
          <w:szCs w:val="22"/>
          <w:lang w:val="pt-PT"/>
        </w:rPr>
        <w:t>).</w:t>
      </w:r>
    </w:p>
    <w:p w14:paraId="26AA63D1" w14:textId="77777777" w:rsidR="00A73707" w:rsidRPr="0063119B" w:rsidRDefault="004F75E6" w:rsidP="00A73707">
      <w:pPr>
        <w:autoSpaceDE w:val="0"/>
        <w:autoSpaceDN w:val="0"/>
        <w:rPr>
          <w:szCs w:val="22"/>
        </w:rPr>
      </w:pPr>
      <w:r w:rsidRPr="0063119B">
        <w:rPr>
          <w:szCs w:val="22"/>
        </w:rPr>
        <w:t xml:space="preserve">Para o </w:t>
      </w:r>
      <w:r w:rsidR="00A73707" w:rsidRPr="0063119B">
        <w:rPr>
          <w:szCs w:val="22"/>
        </w:rPr>
        <w:t xml:space="preserve"> critério de avaliação primário de eficácia, o benefício observado de 2,5 mg</w:t>
      </w:r>
      <w:r w:rsidR="00E9034F" w:rsidRPr="0063119B">
        <w:rPr>
          <w:szCs w:val="22"/>
        </w:rPr>
        <w:t xml:space="preserve"> de rivaroxabano</w:t>
      </w:r>
      <w:r w:rsidR="00A73707" w:rsidRPr="0063119B">
        <w:rPr>
          <w:szCs w:val="22"/>
        </w:rPr>
        <w:t xml:space="preserve"> duas vezes por dia mais ASA 100 mg uma vez por dia comparado com AA</w:t>
      </w:r>
      <w:r w:rsidR="00BA146C" w:rsidRPr="0063119B">
        <w:rPr>
          <w:szCs w:val="22"/>
        </w:rPr>
        <w:t>S</w:t>
      </w:r>
      <w:r w:rsidR="00A73707" w:rsidRPr="0063119B">
        <w:rPr>
          <w:szCs w:val="22"/>
        </w:rPr>
        <w:t xml:space="preserve"> 100 mg </w:t>
      </w:r>
      <w:r w:rsidR="00354214" w:rsidRPr="0063119B">
        <w:rPr>
          <w:szCs w:val="22"/>
        </w:rPr>
        <w:t xml:space="preserve">uma vez por dia </w:t>
      </w:r>
      <w:r w:rsidRPr="0063119B">
        <w:rPr>
          <w:szCs w:val="22"/>
        </w:rPr>
        <w:t xml:space="preserve">foi de </w:t>
      </w:r>
      <w:r w:rsidR="00354214" w:rsidRPr="0063119B">
        <w:rPr>
          <w:szCs w:val="22"/>
        </w:rPr>
        <w:t>R</w:t>
      </w:r>
      <w:r w:rsidR="0044179F" w:rsidRPr="0063119B">
        <w:rPr>
          <w:szCs w:val="22"/>
        </w:rPr>
        <w:t>R</w:t>
      </w:r>
      <w:r w:rsidR="00E1023B" w:rsidRPr="0063119B">
        <w:rPr>
          <w:szCs w:val="22"/>
        </w:rPr>
        <w:t>=0,89 (</w:t>
      </w:r>
      <w:r w:rsidR="0044179F" w:rsidRPr="0063119B">
        <w:rPr>
          <w:szCs w:val="22"/>
        </w:rPr>
        <w:t>IC 95%: 0,7</w:t>
      </w:r>
      <w:r w:rsidR="0044179F" w:rsidRPr="0063119B">
        <w:rPr>
          <w:szCs w:val="22"/>
        </w:rPr>
        <w:noBreakHyphen/>
      </w:r>
      <w:r w:rsidR="00A73707" w:rsidRPr="0063119B">
        <w:rPr>
          <w:szCs w:val="22"/>
        </w:rPr>
        <w:t>1,</w:t>
      </w:r>
      <w:r w:rsidR="00354214" w:rsidRPr="0063119B">
        <w:rPr>
          <w:szCs w:val="22"/>
        </w:rPr>
        <w:t>1) em doentes ≥75 anos</w:t>
      </w:r>
      <w:r w:rsidR="00E1023B" w:rsidRPr="0063119B">
        <w:rPr>
          <w:szCs w:val="22"/>
        </w:rPr>
        <w:t xml:space="preserve"> (incidência: 6,3%  vs 7,0%) </w:t>
      </w:r>
      <w:r w:rsidR="00354214" w:rsidRPr="0063119B">
        <w:rPr>
          <w:szCs w:val="22"/>
        </w:rPr>
        <w:t>e R</w:t>
      </w:r>
      <w:r w:rsidR="00A73707" w:rsidRPr="0063119B">
        <w:rPr>
          <w:szCs w:val="22"/>
        </w:rPr>
        <w:t>R=0,70 (IC 95%: 0,6</w:t>
      </w:r>
      <w:r w:rsidR="0044179F" w:rsidRPr="0063119B">
        <w:rPr>
          <w:szCs w:val="22"/>
        </w:rPr>
        <w:noBreakHyphen/>
      </w:r>
      <w:r w:rsidR="00A73707" w:rsidRPr="0063119B">
        <w:rPr>
          <w:szCs w:val="22"/>
        </w:rPr>
        <w:t>0,8) em doentes com &lt;75 anos</w:t>
      </w:r>
      <w:r w:rsidR="00E1023B" w:rsidRPr="0063119B">
        <w:rPr>
          <w:szCs w:val="22"/>
        </w:rPr>
        <w:t xml:space="preserve"> (3,6% vs 5,0%)</w:t>
      </w:r>
      <w:r w:rsidR="00A73707" w:rsidRPr="0063119B">
        <w:rPr>
          <w:szCs w:val="22"/>
        </w:rPr>
        <w:t>. No caso de</w:t>
      </w:r>
      <w:r w:rsidR="00E1023B" w:rsidRPr="0063119B">
        <w:rPr>
          <w:szCs w:val="22"/>
        </w:rPr>
        <w:t xml:space="preserve"> </w:t>
      </w:r>
      <w:r w:rsidR="00A73707" w:rsidRPr="0063119B">
        <w:rPr>
          <w:szCs w:val="22"/>
        </w:rPr>
        <w:t>hemorragia</w:t>
      </w:r>
      <w:r w:rsidR="002F7E84" w:rsidRPr="0063119B">
        <w:rPr>
          <w:szCs w:val="22"/>
        </w:rPr>
        <w:t xml:space="preserve"> principal</w:t>
      </w:r>
      <w:r w:rsidR="00A73707" w:rsidRPr="0063119B">
        <w:rPr>
          <w:szCs w:val="22"/>
        </w:rPr>
        <w:t xml:space="preserve">, modificada segundo a ISTH, o aumento do </w:t>
      </w:r>
      <w:r w:rsidR="00C45E28" w:rsidRPr="0063119B">
        <w:rPr>
          <w:szCs w:val="22"/>
        </w:rPr>
        <w:t>risco observado</w:t>
      </w:r>
      <w:r w:rsidR="00E1023B" w:rsidRPr="0063119B">
        <w:rPr>
          <w:szCs w:val="22"/>
        </w:rPr>
        <w:t xml:space="preserve"> foi de</w:t>
      </w:r>
      <w:r w:rsidR="00C45E28" w:rsidRPr="0063119B">
        <w:rPr>
          <w:szCs w:val="22"/>
        </w:rPr>
        <w:t xml:space="preserve"> R</w:t>
      </w:r>
      <w:r w:rsidR="0044179F" w:rsidRPr="0063119B">
        <w:rPr>
          <w:szCs w:val="22"/>
        </w:rPr>
        <w:t>R</w:t>
      </w:r>
      <w:r w:rsidR="00BA146C" w:rsidRPr="0063119B">
        <w:rPr>
          <w:szCs w:val="22"/>
        </w:rPr>
        <w:t>=</w:t>
      </w:r>
      <w:r w:rsidR="0044179F" w:rsidRPr="0063119B">
        <w:rPr>
          <w:szCs w:val="22"/>
        </w:rPr>
        <w:t> 2,12 (IC 95%: 1,5</w:t>
      </w:r>
      <w:r w:rsidR="0044179F" w:rsidRPr="0063119B">
        <w:rPr>
          <w:szCs w:val="22"/>
        </w:rPr>
        <w:noBreakHyphen/>
      </w:r>
      <w:r w:rsidR="00A73707" w:rsidRPr="0063119B">
        <w:rPr>
          <w:szCs w:val="22"/>
        </w:rPr>
        <w:t>3,0) em doent</w:t>
      </w:r>
      <w:r w:rsidR="00C45E28" w:rsidRPr="0063119B">
        <w:rPr>
          <w:szCs w:val="22"/>
        </w:rPr>
        <w:t>es com ≥75 ano</w:t>
      </w:r>
      <w:r w:rsidR="00E1023B" w:rsidRPr="0063119B">
        <w:rPr>
          <w:szCs w:val="22"/>
        </w:rPr>
        <w:t>s (5,2% vs 2,5%)</w:t>
      </w:r>
      <w:r w:rsidR="00C45E28" w:rsidRPr="0063119B">
        <w:rPr>
          <w:szCs w:val="22"/>
        </w:rPr>
        <w:t xml:space="preserve"> e </w:t>
      </w:r>
      <w:r w:rsidR="00E1023B" w:rsidRPr="0063119B">
        <w:rPr>
          <w:szCs w:val="22"/>
        </w:rPr>
        <w:t>de</w:t>
      </w:r>
      <w:r w:rsidR="00C45E28" w:rsidRPr="0063119B">
        <w:rPr>
          <w:szCs w:val="22"/>
        </w:rPr>
        <w:t xml:space="preserve"> R</w:t>
      </w:r>
      <w:r w:rsidR="00A73707" w:rsidRPr="0063119B">
        <w:rPr>
          <w:szCs w:val="22"/>
        </w:rPr>
        <w:t>R=1,53 (IC 95%: 1,2</w:t>
      </w:r>
      <w:r w:rsidR="0044179F" w:rsidRPr="0063119B">
        <w:rPr>
          <w:szCs w:val="22"/>
        </w:rPr>
        <w:noBreakHyphen/>
        <w:t>1,9) em doentes com &lt; 75 anos</w:t>
      </w:r>
      <w:r w:rsidR="00E1023B" w:rsidRPr="0063119B">
        <w:rPr>
          <w:szCs w:val="22"/>
        </w:rPr>
        <w:t xml:space="preserve"> (2,6% vs 1,7%)</w:t>
      </w:r>
      <w:r w:rsidR="0044179F" w:rsidRPr="0063119B">
        <w:rPr>
          <w:szCs w:val="22"/>
        </w:rPr>
        <w:t>.</w:t>
      </w:r>
    </w:p>
    <w:p w14:paraId="71C41F64" w14:textId="77777777" w:rsidR="0064462F" w:rsidRPr="0063119B" w:rsidRDefault="0064462F" w:rsidP="00A73707">
      <w:pPr>
        <w:autoSpaceDE w:val="0"/>
        <w:autoSpaceDN w:val="0"/>
        <w:rPr>
          <w:szCs w:val="22"/>
        </w:rPr>
      </w:pPr>
    </w:p>
    <w:p w14:paraId="0BF530B3" w14:textId="77777777" w:rsidR="0064462F" w:rsidRPr="0063119B" w:rsidRDefault="0064462F" w:rsidP="00A73707">
      <w:pPr>
        <w:autoSpaceDE w:val="0"/>
        <w:autoSpaceDN w:val="0"/>
        <w:rPr>
          <w:szCs w:val="22"/>
        </w:rPr>
      </w:pPr>
      <w:r w:rsidRPr="0063119B">
        <w:rPr>
          <w:szCs w:val="22"/>
        </w:rPr>
        <w:t>O uso de pantoprazol 40 mg uma vez ao dia</w:t>
      </w:r>
      <w:r w:rsidR="00024AAC" w:rsidRPr="0063119B">
        <w:rPr>
          <w:szCs w:val="22"/>
        </w:rPr>
        <w:t xml:space="preserve"> em adição à</w:t>
      </w:r>
      <w:r w:rsidR="00671311" w:rsidRPr="0063119B">
        <w:rPr>
          <w:szCs w:val="22"/>
        </w:rPr>
        <w:t xml:space="preserve"> </w:t>
      </w:r>
      <w:r w:rsidRPr="0063119B">
        <w:rPr>
          <w:szCs w:val="22"/>
        </w:rPr>
        <w:t xml:space="preserve">medicação </w:t>
      </w:r>
      <w:r w:rsidR="00D46E21" w:rsidRPr="0063119B">
        <w:rPr>
          <w:szCs w:val="22"/>
        </w:rPr>
        <w:t>do</w:t>
      </w:r>
      <w:r w:rsidRPr="0063119B">
        <w:rPr>
          <w:szCs w:val="22"/>
        </w:rPr>
        <w:t xml:space="preserve"> estudo antitrombótico em doentes </w:t>
      </w:r>
      <w:r w:rsidR="00671311" w:rsidRPr="0063119B">
        <w:rPr>
          <w:szCs w:val="22"/>
        </w:rPr>
        <w:t>sem</w:t>
      </w:r>
      <w:r w:rsidRPr="0063119B">
        <w:rPr>
          <w:szCs w:val="22"/>
        </w:rPr>
        <w:t xml:space="preserve"> n</w:t>
      </w:r>
      <w:r w:rsidR="00CF5448" w:rsidRPr="0063119B">
        <w:rPr>
          <w:szCs w:val="22"/>
        </w:rPr>
        <w:t>e</w:t>
      </w:r>
      <w:r w:rsidRPr="0063119B">
        <w:rPr>
          <w:szCs w:val="22"/>
        </w:rPr>
        <w:t xml:space="preserve">cessidade clínica </w:t>
      </w:r>
      <w:r w:rsidR="00D46E21" w:rsidRPr="0063119B">
        <w:rPr>
          <w:szCs w:val="22"/>
        </w:rPr>
        <w:t>de um</w:t>
      </w:r>
      <w:r w:rsidRPr="0063119B">
        <w:rPr>
          <w:szCs w:val="22"/>
        </w:rPr>
        <w:t xml:space="preserve"> inibido</w:t>
      </w:r>
      <w:r w:rsidR="00CF5448" w:rsidRPr="0063119B">
        <w:rPr>
          <w:szCs w:val="22"/>
        </w:rPr>
        <w:t>r</w:t>
      </w:r>
      <w:r w:rsidRPr="0063119B">
        <w:rPr>
          <w:szCs w:val="22"/>
        </w:rPr>
        <w:t xml:space="preserve"> da bomba de protões não demonstrou benefício na prevenção de acontecimentos gastrointestina</w:t>
      </w:r>
      <w:r w:rsidR="00671311" w:rsidRPr="0063119B">
        <w:rPr>
          <w:szCs w:val="22"/>
        </w:rPr>
        <w:t>is superiores (</w:t>
      </w:r>
      <w:r w:rsidR="00A45848" w:rsidRPr="0063119B">
        <w:rPr>
          <w:szCs w:val="22"/>
        </w:rPr>
        <w:t xml:space="preserve">ou seja, </w:t>
      </w:r>
      <w:r w:rsidR="00671311" w:rsidRPr="0063119B">
        <w:rPr>
          <w:szCs w:val="22"/>
        </w:rPr>
        <w:t>comp</w:t>
      </w:r>
      <w:r w:rsidR="00A45848" w:rsidRPr="0063119B">
        <w:rPr>
          <w:szCs w:val="22"/>
        </w:rPr>
        <w:t xml:space="preserve">osto </w:t>
      </w:r>
      <w:r w:rsidR="00671311" w:rsidRPr="0063119B">
        <w:rPr>
          <w:szCs w:val="22"/>
        </w:rPr>
        <w:t xml:space="preserve">de hemorragia gastrointestinal superior, ulceração gastrointestinal superior, </w:t>
      </w:r>
      <w:r w:rsidR="00562FA5" w:rsidRPr="0063119B">
        <w:rPr>
          <w:szCs w:val="22"/>
        </w:rPr>
        <w:t xml:space="preserve">ou </w:t>
      </w:r>
      <w:r w:rsidR="00671311" w:rsidRPr="0063119B">
        <w:rPr>
          <w:szCs w:val="22"/>
        </w:rPr>
        <w:t>obstrução gastrointestinal superior ou perf</w:t>
      </w:r>
      <w:r w:rsidR="00D46E21" w:rsidRPr="0063119B">
        <w:rPr>
          <w:szCs w:val="22"/>
        </w:rPr>
        <w:t>u</w:t>
      </w:r>
      <w:r w:rsidR="00671311" w:rsidRPr="0063119B">
        <w:rPr>
          <w:szCs w:val="22"/>
        </w:rPr>
        <w:t>ração); a taxa de incidência de acontecimentos gastrointestinais superiores foi de 0,39/100 doente-anos no grupo do pant</w:t>
      </w:r>
      <w:r w:rsidR="00D46E21" w:rsidRPr="0063119B">
        <w:rPr>
          <w:szCs w:val="22"/>
        </w:rPr>
        <w:t>o</w:t>
      </w:r>
      <w:r w:rsidR="00671311" w:rsidRPr="0063119B">
        <w:rPr>
          <w:szCs w:val="22"/>
        </w:rPr>
        <w:t>prazol 40 mg uma vez ao dia e 0,4</w:t>
      </w:r>
      <w:r w:rsidR="001C772A" w:rsidRPr="0063119B">
        <w:rPr>
          <w:szCs w:val="22"/>
        </w:rPr>
        <w:t>4</w:t>
      </w:r>
      <w:r w:rsidR="00671311" w:rsidRPr="0063119B">
        <w:rPr>
          <w:szCs w:val="22"/>
        </w:rPr>
        <w:t>/100 doente-anos no grupo placebo uma vez ao dia.</w:t>
      </w:r>
      <w:r w:rsidRPr="0063119B">
        <w:rPr>
          <w:szCs w:val="22"/>
        </w:rPr>
        <w:t xml:space="preserve"> </w:t>
      </w:r>
    </w:p>
    <w:p w14:paraId="5859EFC2" w14:textId="77777777" w:rsidR="00A73707" w:rsidRPr="0063119B" w:rsidRDefault="00A73707" w:rsidP="00A73707">
      <w:pPr>
        <w:rPr>
          <w:szCs w:val="22"/>
        </w:rPr>
      </w:pPr>
    </w:p>
    <w:p w14:paraId="0D4FD02E" w14:textId="77777777" w:rsidR="00A73707" w:rsidRPr="0063119B" w:rsidRDefault="00082508" w:rsidP="00A73707">
      <w:pPr>
        <w:keepNext/>
        <w:rPr>
          <w:b/>
          <w:szCs w:val="22"/>
        </w:rPr>
      </w:pPr>
      <w:r w:rsidRPr="0063119B">
        <w:rPr>
          <w:b/>
          <w:bCs/>
          <w:szCs w:val="22"/>
        </w:rPr>
        <w:lastRenderedPageBreak/>
        <w:t>Quadro</w:t>
      </w:r>
      <w:r w:rsidR="00A73707" w:rsidRPr="0063119B">
        <w:rPr>
          <w:b/>
          <w:bCs/>
          <w:szCs w:val="22"/>
        </w:rPr>
        <w:t> 7: Resultados de eficácia do estudo COMPASS de fase III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850"/>
        <w:gridCol w:w="1560"/>
        <w:gridCol w:w="850"/>
        <w:gridCol w:w="1276"/>
        <w:gridCol w:w="1417"/>
      </w:tblGrid>
      <w:tr w:rsidR="00A73707" w:rsidRPr="0063119B" w14:paraId="4808BDCE" w14:textId="77777777" w:rsidTr="009677D7">
        <w:trPr>
          <w:tblHeader/>
        </w:trPr>
        <w:tc>
          <w:tcPr>
            <w:tcW w:w="1668" w:type="dxa"/>
            <w:tcBorders>
              <w:top w:val="single" w:sz="4" w:space="0" w:color="auto"/>
              <w:left w:val="single" w:sz="4" w:space="0" w:color="auto"/>
              <w:bottom w:val="single" w:sz="4" w:space="0" w:color="auto"/>
              <w:right w:val="single" w:sz="4" w:space="0" w:color="auto"/>
            </w:tcBorders>
          </w:tcPr>
          <w:p w14:paraId="49F21B00" w14:textId="77777777" w:rsidR="00A73707" w:rsidRPr="0063119B" w:rsidRDefault="00A73707" w:rsidP="00D713B4">
            <w:pPr>
              <w:keepNext/>
              <w:rPr>
                <w:b/>
                <w:szCs w:val="22"/>
              </w:rPr>
            </w:pPr>
            <w:r w:rsidRPr="0063119B">
              <w:rPr>
                <w:b/>
                <w:bCs/>
                <w:szCs w:val="22"/>
              </w:rPr>
              <w:t>População do estudo</w:t>
            </w:r>
          </w:p>
        </w:tc>
        <w:tc>
          <w:tcPr>
            <w:tcW w:w="7512" w:type="dxa"/>
            <w:gridSpan w:val="6"/>
            <w:tcBorders>
              <w:top w:val="single" w:sz="4" w:space="0" w:color="auto"/>
              <w:left w:val="single" w:sz="4" w:space="0" w:color="auto"/>
              <w:bottom w:val="single" w:sz="4" w:space="0" w:color="auto"/>
              <w:right w:val="single" w:sz="4" w:space="0" w:color="auto"/>
            </w:tcBorders>
          </w:tcPr>
          <w:p w14:paraId="6802A1DE" w14:textId="77777777" w:rsidR="00A73707" w:rsidRPr="0063119B" w:rsidRDefault="00A73707" w:rsidP="00216E4B">
            <w:pPr>
              <w:keepNext/>
              <w:rPr>
                <w:b/>
                <w:szCs w:val="22"/>
              </w:rPr>
            </w:pPr>
            <w:r w:rsidRPr="0063119B">
              <w:rPr>
                <w:b/>
                <w:bCs/>
                <w:szCs w:val="22"/>
              </w:rPr>
              <w:t>Doentes com DAC/DAP </w:t>
            </w:r>
            <w:r w:rsidRPr="0063119B">
              <w:rPr>
                <w:b/>
                <w:bCs/>
                <w:szCs w:val="22"/>
                <w:vertAlign w:val="superscript"/>
              </w:rPr>
              <w:t>a)</w:t>
            </w:r>
          </w:p>
        </w:tc>
      </w:tr>
      <w:tr w:rsidR="00A73707" w:rsidRPr="0063119B" w14:paraId="59045519" w14:textId="77777777" w:rsidTr="009677D7">
        <w:trPr>
          <w:trHeight w:val="727"/>
          <w:tblHeader/>
        </w:trPr>
        <w:tc>
          <w:tcPr>
            <w:tcW w:w="1668" w:type="dxa"/>
            <w:tcBorders>
              <w:top w:val="single" w:sz="4" w:space="0" w:color="auto"/>
              <w:left w:val="single" w:sz="4" w:space="0" w:color="auto"/>
              <w:bottom w:val="single" w:sz="4" w:space="0" w:color="auto"/>
              <w:right w:val="single" w:sz="4" w:space="0" w:color="auto"/>
            </w:tcBorders>
          </w:tcPr>
          <w:p w14:paraId="126660DB" w14:textId="77777777" w:rsidR="00A73707" w:rsidRPr="0063119B" w:rsidRDefault="00A73707" w:rsidP="00D713B4">
            <w:pPr>
              <w:keepNext/>
              <w:rPr>
                <w:b/>
                <w:szCs w:val="22"/>
              </w:rPr>
            </w:pPr>
            <w:r w:rsidRPr="0063119B">
              <w:rPr>
                <w:b/>
                <w:bCs/>
                <w:szCs w:val="22"/>
              </w:rPr>
              <w:t>Dose de tratamento</w:t>
            </w:r>
          </w:p>
        </w:tc>
        <w:tc>
          <w:tcPr>
            <w:tcW w:w="2409" w:type="dxa"/>
            <w:gridSpan w:val="2"/>
            <w:tcBorders>
              <w:top w:val="single" w:sz="4" w:space="0" w:color="auto"/>
              <w:left w:val="single" w:sz="4" w:space="0" w:color="auto"/>
              <w:bottom w:val="single" w:sz="4" w:space="0" w:color="auto"/>
              <w:right w:val="single" w:sz="4" w:space="0" w:color="auto"/>
            </w:tcBorders>
          </w:tcPr>
          <w:p w14:paraId="7C9E5CF0" w14:textId="77777777" w:rsidR="00A73707" w:rsidRPr="0063119B" w:rsidRDefault="00E9034F" w:rsidP="00D713B4">
            <w:pPr>
              <w:keepNext/>
              <w:rPr>
                <w:b/>
                <w:szCs w:val="22"/>
              </w:rPr>
            </w:pPr>
            <w:r w:rsidRPr="0063119B">
              <w:rPr>
                <w:b/>
                <w:bCs/>
                <w:szCs w:val="22"/>
              </w:rPr>
              <w:t xml:space="preserve">Rivaroxabano </w:t>
            </w:r>
            <w:r w:rsidR="00A73707" w:rsidRPr="0063119B">
              <w:rPr>
                <w:b/>
                <w:bCs/>
                <w:szCs w:val="22"/>
              </w:rPr>
              <w:t xml:space="preserve">2,5 mg </w:t>
            </w:r>
            <w:r w:rsidR="005C2B61" w:rsidRPr="0063119B">
              <w:rPr>
                <w:b/>
                <w:bCs/>
                <w:szCs w:val="22"/>
              </w:rPr>
              <w:t>duas vezes por</w:t>
            </w:r>
            <w:r w:rsidR="00F03A07" w:rsidRPr="0063119B">
              <w:rPr>
                <w:b/>
                <w:bCs/>
                <w:szCs w:val="22"/>
              </w:rPr>
              <w:t xml:space="preserve"> dia</w:t>
            </w:r>
            <w:r w:rsidR="00A73707" w:rsidRPr="0063119B">
              <w:rPr>
                <w:b/>
                <w:bCs/>
                <w:szCs w:val="22"/>
              </w:rPr>
              <w:t xml:space="preserve"> </w:t>
            </w:r>
            <w:r w:rsidR="005C2B61" w:rsidRPr="0063119B">
              <w:rPr>
                <w:b/>
                <w:bCs/>
                <w:szCs w:val="22"/>
              </w:rPr>
              <w:t xml:space="preserve">(bid) </w:t>
            </w:r>
            <w:r w:rsidR="00A73707" w:rsidRPr="0063119B">
              <w:rPr>
                <w:b/>
                <w:bCs/>
                <w:szCs w:val="22"/>
              </w:rPr>
              <w:t>em associação com A</w:t>
            </w:r>
            <w:r w:rsidR="00F03A07" w:rsidRPr="0063119B">
              <w:rPr>
                <w:b/>
                <w:bCs/>
                <w:szCs w:val="22"/>
              </w:rPr>
              <w:t>AS</w:t>
            </w:r>
            <w:r w:rsidR="00A73707" w:rsidRPr="0063119B">
              <w:rPr>
                <w:b/>
                <w:bCs/>
                <w:szCs w:val="22"/>
              </w:rPr>
              <w:t xml:space="preserve"> 100 mg </w:t>
            </w:r>
            <w:r w:rsidR="005C2B61" w:rsidRPr="0063119B">
              <w:rPr>
                <w:b/>
                <w:bCs/>
                <w:szCs w:val="22"/>
              </w:rPr>
              <w:t>uma vez por</w:t>
            </w:r>
            <w:r w:rsidR="00F03A07" w:rsidRPr="0063119B">
              <w:rPr>
                <w:b/>
                <w:bCs/>
                <w:szCs w:val="22"/>
              </w:rPr>
              <w:t xml:space="preserve"> dia</w:t>
            </w:r>
            <w:r w:rsidR="005C2B61" w:rsidRPr="0063119B">
              <w:rPr>
                <w:b/>
                <w:bCs/>
                <w:szCs w:val="22"/>
              </w:rPr>
              <w:t xml:space="preserve"> (od)</w:t>
            </w:r>
          </w:p>
          <w:p w14:paraId="626069E8" w14:textId="77777777" w:rsidR="00A73707" w:rsidRPr="0063119B" w:rsidRDefault="00A73707" w:rsidP="00D713B4">
            <w:pPr>
              <w:keepNext/>
              <w:rPr>
                <w:b/>
                <w:szCs w:val="22"/>
              </w:rPr>
            </w:pPr>
            <w:r w:rsidRPr="0063119B">
              <w:rPr>
                <w:b/>
                <w:bCs/>
                <w:szCs w:val="22"/>
              </w:rPr>
              <w:t>N=9152</w:t>
            </w:r>
          </w:p>
        </w:tc>
        <w:tc>
          <w:tcPr>
            <w:tcW w:w="2410" w:type="dxa"/>
            <w:gridSpan w:val="2"/>
            <w:tcBorders>
              <w:top w:val="single" w:sz="4" w:space="0" w:color="auto"/>
              <w:left w:val="single" w:sz="4" w:space="0" w:color="auto"/>
              <w:bottom w:val="single" w:sz="4" w:space="0" w:color="auto"/>
              <w:right w:val="single" w:sz="4" w:space="0" w:color="auto"/>
            </w:tcBorders>
          </w:tcPr>
          <w:p w14:paraId="27CBD9E6" w14:textId="77777777" w:rsidR="00A73707" w:rsidRPr="0063119B" w:rsidRDefault="00A73707" w:rsidP="00D713B4">
            <w:pPr>
              <w:keepNext/>
              <w:rPr>
                <w:b/>
                <w:szCs w:val="22"/>
              </w:rPr>
            </w:pPr>
            <w:r w:rsidRPr="0063119B">
              <w:rPr>
                <w:b/>
                <w:bCs/>
                <w:szCs w:val="22"/>
              </w:rPr>
              <w:t xml:space="preserve">AAS 100 mg </w:t>
            </w:r>
            <w:r w:rsidR="005C2B61" w:rsidRPr="0063119B">
              <w:rPr>
                <w:b/>
                <w:bCs/>
                <w:szCs w:val="22"/>
              </w:rPr>
              <w:t>uma vez por dia (od)</w:t>
            </w:r>
          </w:p>
          <w:p w14:paraId="5273269E" w14:textId="77777777" w:rsidR="0044179F" w:rsidRPr="0063119B" w:rsidRDefault="0044179F" w:rsidP="00D713B4">
            <w:pPr>
              <w:keepNext/>
              <w:rPr>
                <w:b/>
                <w:szCs w:val="22"/>
              </w:rPr>
            </w:pPr>
          </w:p>
          <w:p w14:paraId="269D61FA" w14:textId="77777777" w:rsidR="00BA146C" w:rsidRPr="0063119B" w:rsidRDefault="00BA146C" w:rsidP="00D713B4">
            <w:pPr>
              <w:keepNext/>
              <w:rPr>
                <w:b/>
                <w:szCs w:val="22"/>
              </w:rPr>
            </w:pPr>
          </w:p>
          <w:p w14:paraId="7EC480D8" w14:textId="77777777" w:rsidR="0044179F" w:rsidRPr="0063119B" w:rsidRDefault="0044179F" w:rsidP="00D713B4">
            <w:pPr>
              <w:keepNext/>
              <w:rPr>
                <w:szCs w:val="22"/>
              </w:rPr>
            </w:pPr>
          </w:p>
          <w:p w14:paraId="538FD42E" w14:textId="77777777" w:rsidR="00A73707" w:rsidRPr="0063119B" w:rsidRDefault="00A73707" w:rsidP="00D713B4">
            <w:pPr>
              <w:keepNext/>
              <w:rPr>
                <w:b/>
                <w:szCs w:val="22"/>
              </w:rPr>
            </w:pPr>
            <w:r w:rsidRPr="0063119B">
              <w:rPr>
                <w:b/>
                <w:bCs/>
                <w:szCs w:val="22"/>
              </w:rPr>
              <w:t>N=9126</w:t>
            </w:r>
          </w:p>
        </w:tc>
        <w:tc>
          <w:tcPr>
            <w:tcW w:w="2693" w:type="dxa"/>
            <w:gridSpan w:val="2"/>
            <w:tcBorders>
              <w:top w:val="single" w:sz="4" w:space="0" w:color="auto"/>
              <w:left w:val="single" w:sz="4" w:space="0" w:color="auto"/>
              <w:bottom w:val="single" w:sz="4" w:space="0" w:color="auto"/>
              <w:right w:val="single" w:sz="4" w:space="0" w:color="auto"/>
            </w:tcBorders>
          </w:tcPr>
          <w:p w14:paraId="4FCBD056" w14:textId="77777777" w:rsidR="00A73707" w:rsidRPr="0063119B" w:rsidRDefault="00A73707" w:rsidP="00D713B4">
            <w:pPr>
              <w:keepNext/>
              <w:rPr>
                <w:b/>
                <w:szCs w:val="22"/>
              </w:rPr>
            </w:pPr>
          </w:p>
        </w:tc>
      </w:tr>
      <w:tr w:rsidR="00A73707" w:rsidRPr="0063119B" w14:paraId="7F334CC2" w14:textId="77777777" w:rsidTr="009677D7">
        <w:trPr>
          <w:trHeight w:val="712"/>
          <w:tblHeader/>
        </w:trPr>
        <w:tc>
          <w:tcPr>
            <w:tcW w:w="1668" w:type="dxa"/>
            <w:tcBorders>
              <w:top w:val="single" w:sz="4" w:space="0" w:color="auto"/>
              <w:left w:val="single" w:sz="4" w:space="0" w:color="auto"/>
              <w:bottom w:val="single" w:sz="4" w:space="0" w:color="auto"/>
              <w:right w:val="single" w:sz="4" w:space="0" w:color="auto"/>
            </w:tcBorders>
          </w:tcPr>
          <w:p w14:paraId="16418277" w14:textId="77777777" w:rsidR="00A73707" w:rsidRPr="0063119B" w:rsidRDefault="00A73707" w:rsidP="00D713B4">
            <w:pPr>
              <w:keepNext/>
              <w:rPr>
                <w:b/>
                <w:szCs w:val="22"/>
              </w:rPr>
            </w:pPr>
          </w:p>
        </w:tc>
        <w:tc>
          <w:tcPr>
            <w:tcW w:w="1559" w:type="dxa"/>
            <w:tcBorders>
              <w:top w:val="single" w:sz="4" w:space="0" w:color="auto"/>
              <w:left w:val="single" w:sz="4" w:space="0" w:color="auto"/>
              <w:bottom w:val="single" w:sz="4" w:space="0" w:color="auto"/>
              <w:right w:val="single" w:sz="4" w:space="0" w:color="auto"/>
            </w:tcBorders>
          </w:tcPr>
          <w:p w14:paraId="6A36D5A9" w14:textId="77777777" w:rsidR="00A73707" w:rsidRPr="0063119B" w:rsidRDefault="00A73707" w:rsidP="00D713B4">
            <w:pPr>
              <w:keepNext/>
              <w:rPr>
                <w:b/>
                <w:szCs w:val="22"/>
              </w:rPr>
            </w:pPr>
            <w:r w:rsidRPr="0063119B">
              <w:rPr>
                <w:b/>
                <w:bCs/>
                <w:szCs w:val="22"/>
              </w:rPr>
              <w:t>Doentes com acontecimentos</w:t>
            </w:r>
          </w:p>
        </w:tc>
        <w:tc>
          <w:tcPr>
            <w:tcW w:w="850" w:type="dxa"/>
            <w:tcBorders>
              <w:top w:val="single" w:sz="4" w:space="0" w:color="auto"/>
              <w:left w:val="single" w:sz="4" w:space="0" w:color="auto"/>
              <w:bottom w:val="single" w:sz="4" w:space="0" w:color="auto"/>
              <w:right w:val="single" w:sz="4" w:space="0" w:color="auto"/>
            </w:tcBorders>
          </w:tcPr>
          <w:p w14:paraId="54AFAAB5" w14:textId="77777777" w:rsidR="00A73707" w:rsidRPr="0063119B" w:rsidRDefault="00A73707" w:rsidP="00D713B4">
            <w:pPr>
              <w:keepNext/>
              <w:rPr>
                <w:b/>
                <w:szCs w:val="22"/>
              </w:rPr>
            </w:pPr>
            <w:r w:rsidRPr="0063119B">
              <w:rPr>
                <w:b/>
                <w:bCs/>
                <w:szCs w:val="22"/>
              </w:rPr>
              <w:t>KM %</w:t>
            </w:r>
          </w:p>
        </w:tc>
        <w:tc>
          <w:tcPr>
            <w:tcW w:w="1560" w:type="dxa"/>
            <w:tcBorders>
              <w:top w:val="single" w:sz="4" w:space="0" w:color="auto"/>
              <w:left w:val="single" w:sz="4" w:space="0" w:color="auto"/>
              <w:bottom w:val="single" w:sz="4" w:space="0" w:color="auto"/>
              <w:right w:val="single" w:sz="4" w:space="0" w:color="auto"/>
            </w:tcBorders>
          </w:tcPr>
          <w:p w14:paraId="7234B452" w14:textId="77777777" w:rsidR="00A73707" w:rsidRPr="0063119B" w:rsidRDefault="00A73707" w:rsidP="00D713B4">
            <w:pPr>
              <w:keepNext/>
              <w:rPr>
                <w:b/>
                <w:szCs w:val="22"/>
              </w:rPr>
            </w:pPr>
            <w:r w:rsidRPr="0063119B">
              <w:rPr>
                <w:b/>
                <w:bCs/>
                <w:szCs w:val="22"/>
              </w:rPr>
              <w:t>Doentes com acontecimentos</w:t>
            </w:r>
          </w:p>
        </w:tc>
        <w:tc>
          <w:tcPr>
            <w:tcW w:w="850" w:type="dxa"/>
            <w:tcBorders>
              <w:top w:val="single" w:sz="4" w:space="0" w:color="auto"/>
              <w:left w:val="single" w:sz="4" w:space="0" w:color="auto"/>
              <w:bottom w:val="single" w:sz="4" w:space="0" w:color="auto"/>
              <w:right w:val="single" w:sz="4" w:space="0" w:color="auto"/>
            </w:tcBorders>
          </w:tcPr>
          <w:p w14:paraId="6AF6B46F" w14:textId="77777777" w:rsidR="00A73707" w:rsidRPr="0063119B" w:rsidRDefault="00A73707" w:rsidP="00D713B4">
            <w:pPr>
              <w:keepNext/>
              <w:rPr>
                <w:b/>
                <w:szCs w:val="22"/>
              </w:rPr>
            </w:pPr>
            <w:r w:rsidRPr="0063119B">
              <w:rPr>
                <w:b/>
                <w:bCs/>
                <w:szCs w:val="22"/>
              </w:rPr>
              <w:t>KM %</w:t>
            </w:r>
          </w:p>
        </w:tc>
        <w:tc>
          <w:tcPr>
            <w:tcW w:w="1276" w:type="dxa"/>
            <w:tcBorders>
              <w:top w:val="single" w:sz="4" w:space="0" w:color="auto"/>
              <w:left w:val="single" w:sz="4" w:space="0" w:color="auto"/>
              <w:bottom w:val="single" w:sz="4" w:space="0" w:color="auto"/>
              <w:right w:val="single" w:sz="4" w:space="0" w:color="auto"/>
            </w:tcBorders>
          </w:tcPr>
          <w:p w14:paraId="1574EFE7" w14:textId="77777777" w:rsidR="00A73707" w:rsidRPr="0063119B" w:rsidRDefault="00C45E28" w:rsidP="00D713B4">
            <w:pPr>
              <w:keepNext/>
              <w:rPr>
                <w:b/>
                <w:szCs w:val="22"/>
              </w:rPr>
            </w:pPr>
            <w:r w:rsidRPr="0063119B">
              <w:rPr>
                <w:b/>
                <w:bCs/>
                <w:szCs w:val="22"/>
              </w:rPr>
              <w:t>R</w:t>
            </w:r>
            <w:r w:rsidR="00A73707" w:rsidRPr="0063119B">
              <w:rPr>
                <w:b/>
                <w:bCs/>
                <w:szCs w:val="22"/>
              </w:rPr>
              <w:t xml:space="preserve">R </w:t>
            </w:r>
            <w:r w:rsidR="00A73707" w:rsidRPr="0063119B">
              <w:rPr>
                <w:szCs w:val="22"/>
              </w:rPr>
              <w:br/>
            </w:r>
            <w:r w:rsidR="00A73707" w:rsidRPr="0063119B">
              <w:rPr>
                <w:b/>
                <w:bCs/>
                <w:szCs w:val="22"/>
              </w:rPr>
              <w:t>(IC 95%)</w:t>
            </w:r>
          </w:p>
        </w:tc>
        <w:tc>
          <w:tcPr>
            <w:tcW w:w="1417" w:type="dxa"/>
            <w:tcBorders>
              <w:top w:val="single" w:sz="4" w:space="0" w:color="auto"/>
              <w:left w:val="single" w:sz="4" w:space="0" w:color="auto"/>
              <w:bottom w:val="single" w:sz="4" w:space="0" w:color="auto"/>
              <w:right w:val="single" w:sz="4" w:space="0" w:color="auto"/>
            </w:tcBorders>
          </w:tcPr>
          <w:p w14:paraId="422421D9" w14:textId="77777777" w:rsidR="00A73707" w:rsidRPr="0063119B" w:rsidRDefault="00A73707" w:rsidP="00C45E28">
            <w:pPr>
              <w:keepNext/>
              <w:rPr>
                <w:b/>
                <w:szCs w:val="22"/>
              </w:rPr>
            </w:pPr>
            <w:r w:rsidRPr="0063119B">
              <w:rPr>
                <w:b/>
                <w:bCs/>
                <w:szCs w:val="22"/>
              </w:rPr>
              <w:t>valor </w:t>
            </w:r>
            <w:r w:rsidR="00C45E28" w:rsidRPr="0063119B">
              <w:rPr>
                <w:b/>
                <w:bCs/>
                <w:szCs w:val="22"/>
              </w:rPr>
              <w:t>de p</w:t>
            </w:r>
            <w:r w:rsidRPr="0063119B">
              <w:rPr>
                <w:b/>
                <w:bCs/>
                <w:szCs w:val="22"/>
              </w:rPr>
              <w:t> </w:t>
            </w:r>
            <w:r w:rsidRPr="0063119B">
              <w:rPr>
                <w:b/>
                <w:bCs/>
                <w:szCs w:val="22"/>
                <w:vertAlign w:val="superscript"/>
              </w:rPr>
              <w:t>b)</w:t>
            </w:r>
          </w:p>
        </w:tc>
      </w:tr>
      <w:tr w:rsidR="00A73707" w:rsidRPr="0063119B" w14:paraId="286D32C1" w14:textId="77777777" w:rsidTr="00D713B4">
        <w:tc>
          <w:tcPr>
            <w:tcW w:w="9180" w:type="dxa"/>
            <w:gridSpan w:val="7"/>
            <w:tcBorders>
              <w:top w:val="single" w:sz="4" w:space="0" w:color="auto"/>
              <w:left w:val="single" w:sz="4" w:space="0" w:color="auto"/>
              <w:bottom w:val="single" w:sz="4" w:space="0" w:color="auto"/>
              <w:right w:val="single" w:sz="4" w:space="0" w:color="auto"/>
            </w:tcBorders>
            <w:vAlign w:val="center"/>
          </w:tcPr>
          <w:p w14:paraId="6E14A0E4" w14:textId="77777777" w:rsidR="00A73707" w:rsidRPr="0063119B" w:rsidRDefault="00A73707" w:rsidP="00D713B4">
            <w:pPr>
              <w:keepNext/>
              <w:rPr>
                <w:b/>
                <w:szCs w:val="22"/>
              </w:rPr>
            </w:pPr>
          </w:p>
        </w:tc>
      </w:tr>
      <w:tr w:rsidR="00A73707" w:rsidRPr="0063119B" w14:paraId="0E01D18D" w14:textId="77777777" w:rsidTr="009677D7">
        <w:tc>
          <w:tcPr>
            <w:tcW w:w="1668" w:type="dxa"/>
            <w:tcBorders>
              <w:top w:val="single" w:sz="4" w:space="0" w:color="auto"/>
              <w:left w:val="single" w:sz="4" w:space="0" w:color="auto"/>
              <w:bottom w:val="single" w:sz="4" w:space="0" w:color="auto"/>
              <w:right w:val="single" w:sz="4" w:space="0" w:color="auto"/>
            </w:tcBorders>
            <w:vAlign w:val="center"/>
          </w:tcPr>
          <w:p w14:paraId="0040ED8F" w14:textId="77777777" w:rsidR="00A73707" w:rsidRPr="0063119B" w:rsidRDefault="00A73707" w:rsidP="00D713B4">
            <w:pPr>
              <w:keepNext/>
              <w:rPr>
                <w:szCs w:val="22"/>
              </w:rPr>
            </w:pPr>
            <w:r w:rsidRPr="0063119B">
              <w:rPr>
                <w:szCs w:val="22"/>
              </w:rPr>
              <w:t>Acidente vascular cerebral, EM ou morte CV</w:t>
            </w:r>
          </w:p>
        </w:tc>
        <w:tc>
          <w:tcPr>
            <w:tcW w:w="1559" w:type="dxa"/>
            <w:tcBorders>
              <w:top w:val="single" w:sz="4" w:space="0" w:color="auto"/>
              <w:left w:val="single" w:sz="4" w:space="0" w:color="auto"/>
              <w:bottom w:val="single" w:sz="4" w:space="0" w:color="auto"/>
              <w:right w:val="single" w:sz="4" w:space="0" w:color="auto"/>
            </w:tcBorders>
            <w:vAlign w:val="center"/>
          </w:tcPr>
          <w:p w14:paraId="55E63973" w14:textId="77777777" w:rsidR="00A73707" w:rsidRPr="0063119B" w:rsidRDefault="00A73707" w:rsidP="00D713B4">
            <w:pPr>
              <w:keepNext/>
              <w:rPr>
                <w:szCs w:val="22"/>
              </w:rPr>
            </w:pPr>
            <w:r w:rsidRPr="0063119B">
              <w:rPr>
                <w:szCs w:val="22"/>
              </w:rPr>
              <w:t>379 (4,1%)</w:t>
            </w:r>
          </w:p>
        </w:tc>
        <w:tc>
          <w:tcPr>
            <w:tcW w:w="850" w:type="dxa"/>
            <w:tcBorders>
              <w:top w:val="single" w:sz="4" w:space="0" w:color="auto"/>
              <w:left w:val="single" w:sz="4" w:space="0" w:color="auto"/>
              <w:bottom w:val="single" w:sz="4" w:space="0" w:color="auto"/>
              <w:right w:val="single" w:sz="4" w:space="0" w:color="auto"/>
            </w:tcBorders>
            <w:vAlign w:val="center"/>
          </w:tcPr>
          <w:p w14:paraId="7C36DAF3" w14:textId="77777777" w:rsidR="00A73707" w:rsidRPr="0063119B" w:rsidRDefault="00A73707" w:rsidP="00D713B4">
            <w:pPr>
              <w:keepNext/>
              <w:rPr>
                <w:szCs w:val="22"/>
              </w:rPr>
            </w:pPr>
            <w:r w:rsidRPr="0063119B">
              <w:rPr>
                <w:szCs w:val="22"/>
              </w:rPr>
              <w:t>5,20%</w:t>
            </w:r>
          </w:p>
        </w:tc>
        <w:tc>
          <w:tcPr>
            <w:tcW w:w="1560" w:type="dxa"/>
            <w:tcBorders>
              <w:top w:val="single" w:sz="4" w:space="0" w:color="auto"/>
              <w:left w:val="single" w:sz="4" w:space="0" w:color="auto"/>
              <w:bottom w:val="single" w:sz="4" w:space="0" w:color="auto"/>
              <w:right w:val="single" w:sz="4" w:space="0" w:color="auto"/>
            </w:tcBorders>
            <w:vAlign w:val="center"/>
          </w:tcPr>
          <w:p w14:paraId="5F7A9343" w14:textId="77777777" w:rsidR="00A73707" w:rsidRPr="0063119B" w:rsidRDefault="00A73707" w:rsidP="00D713B4">
            <w:pPr>
              <w:keepNext/>
              <w:rPr>
                <w:szCs w:val="22"/>
              </w:rPr>
            </w:pPr>
            <w:r w:rsidRPr="0063119B">
              <w:rPr>
                <w:szCs w:val="22"/>
              </w:rPr>
              <w:t>496 (5,4%)</w:t>
            </w:r>
          </w:p>
        </w:tc>
        <w:tc>
          <w:tcPr>
            <w:tcW w:w="850" w:type="dxa"/>
            <w:tcBorders>
              <w:top w:val="single" w:sz="4" w:space="0" w:color="auto"/>
              <w:left w:val="single" w:sz="4" w:space="0" w:color="auto"/>
              <w:bottom w:val="single" w:sz="4" w:space="0" w:color="auto"/>
              <w:right w:val="single" w:sz="4" w:space="0" w:color="auto"/>
            </w:tcBorders>
            <w:vAlign w:val="center"/>
          </w:tcPr>
          <w:p w14:paraId="7C705C42" w14:textId="77777777" w:rsidR="00A73707" w:rsidRPr="0063119B" w:rsidRDefault="00A73707" w:rsidP="00D713B4">
            <w:pPr>
              <w:keepNext/>
              <w:rPr>
                <w:szCs w:val="22"/>
              </w:rPr>
            </w:pPr>
            <w:r w:rsidRPr="0063119B">
              <w:rPr>
                <w:szCs w:val="22"/>
              </w:rPr>
              <w:t>7,17%</w:t>
            </w:r>
          </w:p>
        </w:tc>
        <w:tc>
          <w:tcPr>
            <w:tcW w:w="1276" w:type="dxa"/>
            <w:tcBorders>
              <w:top w:val="single" w:sz="4" w:space="0" w:color="auto"/>
              <w:left w:val="single" w:sz="4" w:space="0" w:color="auto"/>
              <w:bottom w:val="single" w:sz="4" w:space="0" w:color="auto"/>
              <w:right w:val="single" w:sz="4" w:space="0" w:color="auto"/>
            </w:tcBorders>
            <w:vAlign w:val="center"/>
          </w:tcPr>
          <w:p w14:paraId="7D9057E5" w14:textId="77777777" w:rsidR="00A73707" w:rsidRPr="0063119B" w:rsidRDefault="00A73707" w:rsidP="00D713B4">
            <w:pPr>
              <w:keepNext/>
              <w:rPr>
                <w:szCs w:val="22"/>
              </w:rPr>
            </w:pPr>
            <w:r w:rsidRPr="0063119B">
              <w:rPr>
                <w:szCs w:val="22"/>
              </w:rPr>
              <w:t xml:space="preserve">0,76 </w:t>
            </w:r>
            <w:r w:rsidRPr="0063119B">
              <w:rPr>
                <w:szCs w:val="22"/>
              </w:rPr>
              <w:br/>
              <w:t>(0,66; 0,86)</w:t>
            </w:r>
          </w:p>
        </w:tc>
        <w:tc>
          <w:tcPr>
            <w:tcW w:w="1417" w:type="dxa"/>
            <w:tcBorders>
              <w:top w:val="single" w:sz="4" w:space="0" w:color="auto"/>
              <w:left w:val="single" w:sz="4" w:space="0" w:color="auto"/>
              <w:bottom w:val="single" w:sz="4" w:space="0" w:color="auto"/>
              <w:right w:val="single" w:sz="4" w:space="0" w:color="auto"/>
            </w:tcBorders>
            <w:vAlign w:val="center"/>
          </w:tcPr>
          <w:p w14:paraId="2588D937" w14:textId="77777777" w:rsidR="00A73707" w:rsidRPr="0063119B" w:rsidRDefault="00A73707" w:rsidP="00D713B4">
            <w:pPr>
              <w:keepNext/>
              <w:rPr>
                <w:szCs w:val="22"/>
              </w:rPr>
            </w:pPr>
            <w:r w:rsidRPr="0063119B">
              <w:rPr>
                <w:szCs w:val="22"/>
              </w:rPr>
              <w:t>p = 0,00004*</w:t>
            </w:r>
          </w:p>
        </w:tc>
      </w:tr>
      <w:tr w:rsidR="00A73707" w:rsidRPr="0063119B" w14:paraId="44636911" w14:textId="77777777" w:rsidTr="009677D7">
        <w:tc>
          <w:tcPr>
            <w:tcW w:w="1668" w:type="dxa"/>
            <w:tcBorders>
              <w:top w:val="single" w:sz="4" w:space="0" w:color="auto"/>
              <w:left w:val="single" w:sz="4" w:space="0" w:color="auto"/>
              <w:bottom w:val="single" w:sz="4" w:space="0" w:color="auto"/>
              <w:right w:val="single" w:sz="4" w:space="0" w:color="auto"/>
            </w:tcBorders>
            <w:vAlign w:val="center"/>
          </w:tcPr>
          <w:p w14:paraId="76D0B508" w14:textId="77777777" w:rsidR="00A73707" w:rsidRPr="0063119B" w:rsidRDefault="00A73707" w:rsidP="009677D7">
            <w:pPr>
              <w:keepNext/>
              <w:numPr>
                <w:ilvl w:val="0"/>
                <w:numId w:val="47"/>
              </w:numPr>
              <w:ind w:left="284" w:hanging="284"/>
              <w:rPr>
                <w:szCs w:val="22"/>
              </w:rPr>
            </w:pPr>
            <w:r w:rsidRPr="0063119B">
              <w:rPr>
                <w:szCs w:val="22"/>
              </w:rPr>
              <w:t>Acidente vascular cerebral</w:t>
            </w:r>
          </w:p>
        </w:tc>
        <w:tc>
          <w:tcPr>
            <w:tcW w:w="1559" w:type="dxa"/>
            <w:tcBorders>
              <w:top w:val="single" w:sz="4" w:space="0" w:color="auto"/>
              <w:left w:val="single" w:sz="4" w:space="0" w:color="auto"/>
              <w:bottom w:val="single" w:sz="4" w:space="0" w:color="auto"/>
              <w:right w:val="single" w:sz="4" w:space="0" w:color="auto"/>
            </w:tcBorders>
            <w:vAlign w:val="center"/>
          </w:tcPr>
          <w:p w14:paraId="3FBDF78E" w14:textId="77777777" w:rsidR="00A73707" w:rsidRPr="0063119B" w:rsidRDefault="00A73707" w:rsidP="00D713B4">
            <w:pPr>
              <w:keepNext/>
              <w:rPr>
                <w:szCs w:val="22"/>
              </w:rPr>
            </w:pPr>
            <w:r w:rsidRPr="0063119B">
              <w:rPr>
                <w:szCs w:val="22"/>
              </w:rPr>
              <w:t>83 (0,9%)</w:t>
            </w:r>
          </w:p>
        </w:tc>
        <w:tc>
          <w:tcPr>
            <w:tcW w:w="850" w:type="dxa"/>
            <w:tcBorders>
              <w:top w:val="single" w:sz="4" w:space="0" w:color="auto"/>
              <w:left w:val="single" w:sz="4" w:space="0" w:color="auto"/>
              <w:bottom w:val="single" w:sz="4" w:space="0" w:color="auto"/>
              <w:right w:val="single" w:sz="4" w:space="0" w:color="auto"/>
            </w:tcBorders>
            <w:vAlign w:val="center"/>
          </w:tcPr>
          <w:p w14:paraId="75CEE1F7" w14:textId="77777777" w:rsidR="00A73707" w:rsidRPr="0063119B" w:rsidRDefault="00A73707" w:rsidP="00D713B4">
            <w:pPr>
              <w:keepNext/>
              <w:rPr>
                <w:szCs w:val="22"/>
              </w:rPr>
            </w:pPr>
            <w:r w:rsidRPr="0063119B">
              <w:rPr>
                <w:szCs w:val="22"/>
              </w:rPr>
              <w:t>1,17%</w:t>
            </w:r>
          </w:p>
        </w:tc>
        <w:tc>
          <w:tcPr>
            <w:tcW w:w="1560" w:type="dxa"/>
            <w:tcBorders>
              <w:top w:val="single" w:sz="4" w:space="0" w:color="auto"/>
              <w:left w:val="single" w:sz="4" w:space="0" w:color="auto"/>
              <w:bottom w:val="single" w:sz="4" w:space="0" w:color="auto"/>
              <w:right w:val="single" w:sz="4" w:space="0" w:color="auto"/>
            </w:tcBorders>
            <w:vAlign w:val="center"/>
          </w:tcPr>
          <w:p w14:paraId="1CBFC9B4" w14:textId="77777777" w:rsidR="00A73707" w:rsidRPr="0063119B" w:rsidRDefault="00A73707" w:rsidP="00D713B4">
            <w:pPr>
              <w:keepNext/>
              <w:rPr>
                <w:szCs w:val="22"/>
              </w:rPr>
            </w:pPr>
            <w:r w:rsidRPr="0063119B">
              <w:rPr>
                <w:szCs w:val="22"/>
              </w:rPr>
              <w:t>142 (1,6%)</w:t>
            </w:r>
          </w:p>
        </w:tc>
        <w:tc>
          <w:tcPr>
            <w:tcW w:w="850" w:type="dxa"/>
            <w:tcBorders>
              <w:top w:val="single" w:sz="4" w:space="0" w:color="auto"/>
              <w:left w:val="single" w:sz="4" w:space="0" w:color="auto"/>
              <w:bottom w:val="single" w:sz="4" w:space="0" w:color="auto"/>
              <w:right w:val="single" w:sz="4" w:space="0" w:color="auto"/>
            </w:tcBorders>
            <w:vAlign w:val="center"/>
          </w:tcPr>
          <w:p w14:paraId="04A9B35E" w14:textId="77777777" w:rsidR="00A73707" w:rsidRPr="0063119B" w:rsidRDefault="00A73707" w:rsidP="00D713B4">
            <w:pPr>
              <w:keepNext/>
              <w:rPr>
                <w:szCs w:val="22"/>
              </w:rPr>
            </w:pPr>
            <w:r w:rsidRPr="0063119B">
              <w:rPr>
                <w:szCs w:val="22"/>
              </w:rPr>
              <w:t>2,23%</w:t>
            </w:r>
          </w:p>
        </w:tc>
        <w:tc>
          <w:tcPr>
            <w:tcW w:w="1276" w:type="dxa"/>
            <w:tcBorders>
              <w:top w:val="single" w:sz="4" w:space="0" w:color="auto"/>
              <w:left w:val="single" w:sz="4" w:space="0" w:color="auto"/>
              <w:bottom w:val="single" w:sz="4" w:space="0" w:color="auto"/>
              <w:right w:val="single" w:sz="4" w:space="0" w:color="auto"/>
            </w:tcBorders>
            <w:vAlign w:val="center"/>
          </w:tcPr>
          <w:p w14:paraId="7D52E0BB" w14:textId="77777777" w:rsidR="00A73707" w:rsidRPr="0063119B" w:rsidRDefault="00A73707" w:rsidP="00D713B4">
            <w:pPr>
              <w:keepNext/>
              <w:rPr>
                <w:szCs w:val="22"/>
              </w:rPr>
            </w:pPr>
            <w:r w:rsidRPr="0063119B">
              <w:rPr>
                <w:szCs w:val="22"/>
              </w:rPr>
              <w:t xml:space="preserve">0,58 </w:t>
            </w:r>
            <w:r w:rsidRPr="0063119B">
              <w:rPr>
                <w:szCs w:val="22"/>
              </w:rPr>
              <w:br/>
              <w:t>(0,44; 0,76)</w:t>
            </w:r>
          </w:p>
        </w:tc>
        <w:tc>
          <w:tcPr>
            <w:tcW w:w="1417" w:type="dxa"/>
            <w:tcBorders>
              <w:top w:val="single" w:sz="4" w:space="0" w:color="auto"/>
              <w:left w:val="single" w:sz="4" w:space="0" w:color="auto"/>
              <w:bottom w:val="single" w:sz="4" w:space="0" w:color="auto"/>
              <w:right w:val="single" w:sz="4" w:space="0" w:color="auto"/>
            </w:tcBorders>
            <w:vAlign w:val="center"/>
          </w:tcPr>
          <w:p w14:paraId="6F845FFD" w14:textId="77777777" w:rsidR="00A73707" w:rsidRPr="0063119B" w:rsidRDefault="00A73707" w:rsidP="00D713B4">
            <w:pPr>
              <w:keepNext/>
              <w:rPr>
                <w:szCs w:val="22"/>
              </w:rPr>
            </w:pPr>
            <w:r w:rsidRPr="0063119B">
              <w:rPr>
                <w:szCs w:val="22"/>
              </w:rPr>
              <w:t>p = 0,00006</w:t>
            </w:r>
          </w:p>
        </w:tc>
      </w:tr>
      <w:tr w:rsidR="00A73707" w:rsidRPr="0063119B" w14:paraId="5C785943" w14:textId="77777777" w:rsidTr="009677D7">
        <w:tc>
          <w:tcPr>
            <w:tcW w:w="1668" w:type="dxa"/>
            <w:tcBorders>
              <w:top w:val="single" w:sz="4" w:space="0" w:color="auto"/>
              <w:left w:val="single" w:sz="4" w:space="0" w:color="auto"/>
              <w:bottom w:val="single" w:sz="4" w:space="0" w:color="auto"/>
              <w:right w:val="single" w:sz="4" w:space="0" w:color="auto"/>
            </w:tcBorders>
            <w:vAlign w:val="center"/>
          </w:tcPr>
          <w:p w14:paraId="34C28A44" w14:textId="77777777" w:rsidR="00A73707" w:rsidRPr="0063119B" w:rsidRDefault="00A73707" w:rsidP="009677D7">
            <w:pPr>
              <w:keepNext/>
              <w:numPr>
                <w:ilvl w:val="0"/>
                <w:numId w:val="47"/>
              </w:numPr>
              <w:ind w:left="284" w:hanging="284"/>
              <w:rPr>
                <w:szCs w:val="22"/>
              </w:rPr>
            </w:pPr>
            <w:r w:rsidRPr="0063119B">
              <w:rPr>
                <w:szCs w:val="22"/>
              </w:rPr>
              <w:t>EM</w:t>
            </w:r>
          </w:p>
        </w:tc>
        <w:tc>
          <w:tcPr>
            <w:tcW w:w="1559" w:type="dxa"/>
            <w:tcBorders>
              <w:top w:val="single" w:sz="4" w:space="0" w:color="auto"/>
              <w:left w:val="single" w:sz="4" w:space="0" w:color="auto"/>
              <w:bottom w:val="single" w:sz="4" w:space="0" w:color="auto"/>
              <w:right w:val="single" w:sz="4" w:space="0" w:color="auto"/>
            </w:tcBorders>
            <w:vAlign w:val="center"/>
          </w:tcPr>
          <w:p w14:paraId="263F2B6C" w14:textId="77777777" w:rsidR="00A73707" w:rsidRPr="0063119B" w:rsidRDefault="00A73707" w:rsidP="00D713B4">
            <w:pPr>
              <w:keepNext/>
              <w:rPr>
                <w:szCs w:val="22"/>
              </w:rPr>
            </w:pPr>
            <w:r w:rsidRPr="0063119B">
              <w:rPr>
                <w:szCs w:val="22"/>
              </w:rPr>
              <w:t>178 (1,9%)</w:t>
            </w:r>
          </w:p>
        </w:tc>
        <w:tc>
          <w:tcPr>
            <w:tcW w:w="850" w:type="dxa"/>
            <w:tcBorders>
              <w:top w:val="single" w:sz="4" w:space="0" w:color="auto"/>
              <w:left w:val="single" w:sz="4" w:space="0" w:color="auto"/>
              <w:bottom w:val="single" w:sz="4" w:space="0" w:color="auto"/>
              <w:right w:val="single" w:sz="4" w:space="0" w:color="auto"/>
            </w:tcBorders>
            <w:vAlign w:val="center"/>
          </w:tcPr>
          <w:p w14:paraId="6071841B" w14:textId="77777777" w:rsidR="00A73707" w:rsidRPr="0063119B" w:rsidRDefault="00A73707" w:rsidP="00D713B4">
            <w:pPr>
              <w:keepNext/>
              <w:rPr>
                <w:szCs w:val="22"/>
              </w:rPr>
            </w:pPr>
            <w:r w:rsidRPr="0063119B">
              <w:rPr>
                <w:szCs w:val="22"/>
              </w:rPr>
              <w:t>2,46%</w:t>
            </w:r>
          </w:p>
        </w:tc>
        <w:tc>
          <w:tcPr>
            <w:tcW w:w="1560" w:type="dxa"/>
            <w:tcBorders>
              <w:top w:val="single" w:sz="4" w:space="0" w:color="auto"/>
              <w:left w:val="single" w:sz="4" w:space="0" w:color="auto"/>
              <w:bottom w:val="single" w:sz="4" w:space="0" w:color="auto"/>
              <w:right w:val="single" w:sz="4" w:space="0" w:color="auto"/>
            </w:tcBorders>
            <w:vAlign w:val="center"/>
          </w:tcPr>
          <w:p w14:paraId="7DE5F0A6" w14:textId="77777777" w:rsidR="00A73707" w:rsidRPr="0063119B" w:rsidRDefault="00A73707" w:rsidP="00D713B4">
            <w:pPr>
              <w:keepNext/>
              <w:rPr>
                <w:szCs w:val="22"/>
              </w:rPr>
            </w:pPr>
            <w:r w:rsidRPr="0063119B">
              <w:rPr>
                <w:szCs w:val="22"/>
              </w:rPr>
              <w:t>205 (2,2)</w:t>
            </w:r>
          </w:p>
        </w:tc>
        <w:tc>
          <w:tcPr>
            <w:tcW w:w="850" w:type="dxa"/>
            <w:tcBorders>
              <w:top w:val="single" w:sz="4" w:space="0" w:color="auto"/>
              <w:left w:val="single" w:sz="4" w:space="0" w:color="auto"/>
              <w:bottom w:val="single" w:sz="4" w:space="0" w:color="auto"/>
              <w:right w:val="single" w:sz="4" w:space="0" w:color="auto"/>
            </w:tcBorders>
            <w:vAlign w:val="center"/>
          </w:tcPr>
          <w:p w14:paraId="794DFF45" w14:textId="77777777" w:rsidR="00A73707" w:rsidRPr="0063119B" w:rsidRDefault="00A73707" w:rsidP="00D713B4">
            <w:pPr>
              <w:keepNext/>
              <w:rPr>
                <w:szCs w:val="22"/>
              </w:rPr>
            </w:pPr>
            <w:r w:rsidRPr="0063119B">
              <w:rPr>
                <w:szCs w:val="22"/>
              </w:rPr>
              <w:t>2,94%</w:t>
            </w:r>
          </w:p>
        </w:tc>
        <w:tc>
          <w:tcPr>
            <w:tcW w:w="1276" w:type="dxa"/>
            <w:tcBorders>
              <w:top w:val="single" w:sz="4" w:space="0" w:color="auto"/>
              <w:left w:val="single" w:sz="4" w:space="0" w:color="auto"/>
              <w:bottom w:val="single" w:sz="4" w:space="0" w:color="auto"/>
              <w:right w:val="single" w:sz="4" w:space="0" w:color="auto"/>
            </w:tcBorders>
            <w:vAlign w:val="center"/>
          </w:tcPr>
          <w:p w14:paraId="4046FAB8" w14:textId="77777777" w:rsidR="00A73707" w:rsidRPr="0063119B" w:rsidRDefault="00A73707" w:rsidP="00D713B4">
            <w:pPr>
              <w:keepNext/>
              <w:rPr>
                <w:szCs w:val="22"/>
              </w:rPr>
            </w:pPr>
            <w:r w:rsidRPr="0063119B">
              <w:rPr>
                <w:szCs w:val="22"/>
              </w:rPr>
              <w:t xml:space="preserve">0,86 </w:t>
            </w:r>
            <w:r w:rsidRPr="0063119B">
              <w:rPr>
                <w:szCs w:val="22"/>
              </w:rPr>
              <w:br/>
              <w:t>(0,70; 1,05)</w:t>
            </w:r>
          </w:p>
        </w:tc>
        <w:tc>
          <w:tcPr>
            <w:tcW w:w="1417" w:type="dxa"/>
            <w:tcBorders>
              <w:top w:val="single" w:sz="4" w:space="0" w:color="auto"/>
              <w:left w:val="single" w:sz="4" w:space="0" w:color="auto"/>
              <w:bottom w:val="single" w:sz="4" w:space="0" w:color="auto"/>
              <w:right w:val="single" w:sz="4" w:space="0" w:color="auto"/>
            </w:tcBorders>
            <w:vAlign w:val="center"/>
          </w:tcPr>
          <w:p w14:paraId="7E0D3A09" w14:textId="77777777" w:rsidR="00A73707" w:rsidRPr="0063119B" w:rsidRDefault="00A73707" w:rsidP="00D713B4">
            <w:pPr>
              <w:keepNext/>
              <w:rPr>
                <w:szCs w:val="22"/>
              </w:rPr>
            </w:pPr>
            <w:r w:rsidRPr="0063119B">
              <w:rPr>
                <w:szCs w:val="22"/>
              </w:rPr>
              <w:t>p = 0,14458</w:t>
            </w:r>
          </w:p>
        </w:tc>
      </w:tr>
      <w:tr w:rsidR="00A73707" w:rsidRPr="0063119B" w14:paraId="145D1278" w14:textId="77777777" w:rsidTr="009677D7">
        <w:tc>
          <w:tcPr>
            <w:tcW w:w="1668" w:type="dxa"/>
            <w:tcBorders>
              <w:top w:val="single" w:sz="4" w:space="0" w:color="auto"/>
              <w:left w:val="single" w:sz="4" w:space="0" w:color="auto"/>
              <w:bottom w:val="single" w:sz="4" w:space="0" w:color="auto"/>
              <w:right w:val="single" w:sz="4" w:space="0" w:color="auto"/>
            </w:tcBorders>
            <w:vAlign w:val="center"/>
          </w:tcPr>
          <w:p w14:paraId="1005520F" w14:textId="77777777" w:rsidR="00A73707" w:rsidRPr="0063119B" w:rsidRDefault="00A73707" w:rsidP="009677D7">
            <w:pPr>
              <w:keepNext/>
              <w:numPr>
                <w:ilvl w:val="0"/>
                <w:numId w:val="47"/>
              </w:numPr>
              <w:ind w:left="284" w:hanging="284"/>
              <w:rPr>
                <w:szCs w:val="22"/>
              </w:rPr>
            </w:pPr>
            <w:r w:rsidRPr="0063119B">
              <w:rPr>
                <w:szCs w:val="22"/>
              </w:rPr>
              <w:t>Morte CV</w:t>
            </w:r>
          </w:p>
        </w:tc>
        <w:tc>
          <w:tcPr>
            <w:tcW w:w="1559" w:type="dxa"/>
            <w:tcBorders>
              <w:top w:val="single" w:sz="4" w:space="0" w:color="auto"/>
              <w:left w:val="single" w:sz="4" w:space="0" w:color="auto"/>
              <w:bottom w:val="single" w:sz="4" w:space="0" w:color="auto"/>
              <w:right w:val="single" w:sz="4" w:space="0" w:color="auto"/>
            </w:tcBorders>
            <w:vAlign w:val="center"/>
          </w:tcPr>
          <w:p w14:paraId="3729C073" w14:textId="77777777" w:rsidR="00A73707" w:rsidRPr="0063119B" w:rsidRDefault="00A73707" w:rsidP="00D713B4">
            <w:pPr>
              <w:keepNext/>
              <w:rPr>
                <w:szCs w:val="22"/>
              </w:rPr>
            </w:pPr>
            <w:r w:rsidRPr="0063119B">
              <w:rPr>
                <w:szCs w:val="22"/>
              </w:rPr>
              <w:t>160 (1,7%)</w:t>
            </w:r>
          </w:p>
        </w:tc>
        <w:tc>
          <w:tcPr>
            <w:tcW w:w="850" w:type="dxa"/>
            <w:tcBorders>
              <w:top w:val="single" w:sz="4" w:space="0" w:color="auto"/>
              <w:left w:val="single" w:sz="4" w:space="0" w:color="auto"/>
              <w:bottom w:val="single" w:sz="4" w:space="0" w:color="auto"/>
              <w:right w:val="single" w:sz="4" w:space="0" w:color="auto"/>
            </w:tcBorders>
            <w:vAlign w:val="center"/>
          </w:tcPr>
          <w:p w14:paraId="57C8BBB1" w14:textId="77777777" w:rsidR="00A73707" w:rsidRPr="0063119B" w:rsidRDefault="00A73707" w:rsidP="00D713B4">
            <w:pPr>
              <w:keepNext/>
              <w:rPr>
                <w:szCs w:val="22"/>
              </w:rPr>
            </w:pPr>
            <w:r w:rsidRPr="0063119B">
              <w:rPr>
                <w:szCs w:val="22"/>
              </w:rPr>
              <w:t>2,19%</w:t>
            </w:r>
          </w:p>
        </w:tc>
        <w:tc>
          <w:tcPr>
            <w:tcW w:w="1560" w:type="dxa"/>
            <w:tcBorders>
              <w:top w:val="single" w:sz="4" w:space="0" w:color="auto"/>
              <w:left w:val="single" w:sz="4" w:space="0" w:color="auto"/>
              <w:bottom w:val="single" w:sz="4" w:space="0" w:color="auto"/>
              <w:right w:val="single" w:sz="4" w:space="0" w:color="auto"/>
            </w:tcBorders>
            <w:vAlign w:val="center"/>
          </w:tcPr>
          <w:p w14:paraId="4AD54CD1" w14:textId="77777777" w:rsidR="00A73707" w:rsidRPr="0063119B" w:rsidRDefault="00A73707" w:rsidP="00D713B4">
            <w:pPr>
              <w:keepNext/>
              <w:rPr>
                <w:szCs w:val="22"/>
              </w:rPr>
            </w:pPr>
            <w:r w:rsidRPr="0063119B">
              <w:rPr>
                <w:szCs w:val="22"/>
              </w:rPr>
              <w:t>203 (2,2%)</w:t>
            </w:r>
          </w:p>
        </w:tc>
        <w:tc>
          <w:tcPr>
            <w:tcW w:w="850" w:type="dxa"/>
            <w:tcBorders>
              <w:top w:val="single" w:sz="4" w:space="0" w:color="auto"/>
              <w:left w:val="single" w:sz="4" w:space="0" w:color="auto"/>
              <w:bottom w:val="single" w:sz="4" w:space="0" w:color="auto"/>
              <w:right w:val="single" w:sz="4" w:space="0" w:color="auto"/>
            </w:tcBorders>
            <w:vAlign w:val="center"/>
          </w:tcPr>
          <w:p w14:paraId="73F0CDC2" w14:textId="77777777" w:rsidR="00A73707" w:rsidRPr="0063119B" w:rsidRDefault="00A73707" w:rsidP="00D713B4">
            <w:pPr>
              <w:keepNext/>
              <w:rPr>
                <w:szCs w:val="22"/>
              </w:rPr>
            </w:pPr>
            <w:r w:rsidRPr="0063119B">
              <w:rPr>
                <w:szCs w:val="22"/>
              </w:rPr>
              <w:t>2,88%</w:t>
            </w:r>
          </w:p>
        </w:tc>
        <w:tc>
          <w:tcPr>
            <w:tcW w:w="1276" w:type="dxa"/>
            <w:tcBorders>
              <w:top w:val="single" w:sz="4" w:space="0" w:color="auto"/>
              <w:left w:val="single" w:sz="4" w:space="0" w:color="auto"/>
              <w:bottom w:val="single" w:sz="4" w:space="0" w:color="auto"/>
              <w:right w:val="single" w:sz="4" w:space="0" w:color="auto"/>
            </w:tcBorders>
            <w:vAlign w:val="center"/>
          </w:tcPr>
          <w:p w14:paraId="78127187" w14:textId="77777777" w:rsidR="00A73707" w:rsidRPr="0063119B" w:rsidRDefault="00A73707" w:rsidP="00D713B4">
            <w:pPr>
              <w:keepNext/>
              <w:rPr>
                <w:szCs w:val="22"/>
              </w:rPr>
            </w:pPr>
            <w:r w:rsidRPr="0063119B">
              <w:rPr>
                <w:szCs w:val="22"/>
              </w:rPr>
              <w:t xml:space="preserve">0,78 </w:t>
            </w:r>
            <w:r w:rsidRPr="0063119B">
              <w:rPr>
                <w:szCs w:val="22"/>
              </w:rPr>
              <w:br/>
              <w:t>(0,64; 0,96)</w:t>
            </w:r>
          </w:p>
        </w:tc>
        <w:tc>
          <w:tcPr>
            <w:tcW w:w="1417" w:type="dxa"/>
            <w:tcBorders>
              <w:top w:val="single" w:sz="4" w:space="0" w:color="auto"/>
              <w:left w:val="single" w:sz="4" w:space="0" w:color="auto"/>
              <w:bottom w:val="single" w:sz="4" w:space="0" w:color="auto"/>
              <w:right w:val="single" w:sz="4" w:space="0" w:color="auto"/>
            </w:tcBorders>
            <w:vAlign w:val="center"/>
          </w:tcPr>
          <w:p w14:paraId="769A312A" w14:textId="77777777" w:rsidR="00A73707" w:rsidRPr="0063119B" w:rsidRDefault="00A73707" w:rsidP="00D713B4">
            <w:pPr>
              <w:keepNext/>
              <w:rPr>
                <w:szCs w:val="22"/>
              </w:rPr>
            </w:pPr>
            <w:r w:rsidRPr="0063119B">
              <w:rPr>
                <w:szCs w:val="22"/>
              </w:rPr>
              <w:t>p = 0,02053</w:t>
            </w:r>
          </w:p>
        </w:tc>
      </w:tr>
      <w:tr w:rsidR="00A73707" w:rsidRPr="0063119B" w14:paraId="2607A824" w14:textId="77777777" w:rsidTr="00D713B4">
        <w:tc>
          <w:tcPr>
            <w:tcW w:w="9180" w:type="dxa"/>
            <w:gridSpan w:val="7"/>
            <w:tcBorders>
              <w:top w:val="single" w:sz="4" w:space="0" w:color="auto"/>
              <w:left w:val="single" w:sz="4" w:space="0" w:color="auto"/>
              <w:bottom w:val="single" w:sz="4" w:space="0" w:color="auto"/>
              <w:right w:val="single" w:sz="4" w:space="0" w:color="auto"/>
            </w:tcBorders>
            <w:vAlign w:val="center"/>
          </w:tcPr>
          <w:p w14:paraId="519A42F6" w14:textId="77777777" w:rsidR="00A73707" w:rsidRPr="0063119B" w:rsidRDefault="00A73707" w:rsidP="00D713B4">
            <w:pPr>
              <w:keepNext/>
              <w:rPr>
                <w:b/>
                <w:szCs w:val="22"/>
              </w:rPr>
            </w:pPr>
          </w:p>
        </w:tc>
      </w:tr>
      <w:tr w:rsidR="00A73707" w:rsidRPr="0063119B" w14:paraId="5F8B2896" w14:textId="77777777" w:rsidTr="009677D7">
        <w:tc>
          <w:tcPr>
            <w:tcW w:w="1668" w:type="dxa"/>
            <w:tcBorders>
              <w:top w:val="single" w:sz="4" w:space="0" w:color="auto"/>
              <w:left w:val="single" w:sz="4" w:space="0" w:color="auto"/>
              <w:bottom w:val="single" w:sz="4" w:space="0" w:color="auto"/>
              <w:right w:val="single" w:sz="4" w:space="0" w:color="auto"/>
            </w:tcBorders>
            <w:vAlign w:val="center"/>
          </w:tcPr>
          <w:p w14:paraId="0ECA3F94" w14:textId="77777777" w:rsidR="00A73707" w:rsidRPr="0063119B" w:rsidRDefault="00A73707" w:rsidP="00D713B4">
            <w:pPr>
              <w:keepNext/>
              <w:rPr>
                <w:szCs w:val="22"/>
              </w:rPr>
            </w:pPr>
            <w:r w:rsidRPr="0063119B">
              <w:rPr>
                <w:szCs w:val="22"/>
              </w:rPr>
              <w:t>Mortalidade por todas as causas</w:t>
            </w:r>
          </w:p>
        </w:tc>
        <w:tc>
          <w:tcPr>
            <w:tcW w:w="1559" w:type="dxa"/>
            <w:tcBorders>
              <w:top w:val="single" w:sz="4" w:space="0" w:color="auto"/>
              <w:left w:val="single" w:sz="4" w:space="0" w:color="auto"/>
              <w:bottom w:val="single" w:sz="4" w:space="0" w:color="auto"/>
              <w:right w:val="single" w:sz="4" w:space="0" w:color="auto"/>
            </w:tcBorders>
            <w:vAlign w:val="center"/>
          </w:tcPr>
          <w:p w14:paraId="7FF5C3B7" w14:textId="77777777" w:rsidR="00A73707" w:rsidRPr="0063119B" w:rsidRDefault="00A73707" w:rsidP="00D713B4">
            <w:pPr>
              <w:keepNext/>
              <w:rPr>
                <w:szCs w:val="22"/>
              </w:rPr>
            </w:pPr>
            <w:r w:rsidRPr="0063119B">
              <w:rPr>
                <w:szCs w:val="22"/>
              </w:rPr>
              <w:t>313 (3,4%)</w:t>
            </w:r>
          </w:p>
        </w:tc>
        <w:tc>
          <w:tcPr>
            <w:tcW w:w="850" w:type="dxa"/>
            <w:tcBorders>
              <w:top w:val="single" w:sz="4" w:space="0" w:color="auto"/>
              <w:left w:val="single" w:sz="4" w:space="0" w:color="auto"/>
              <w:bottom w:val="single" w:sz="4" w:space="0" w:color="auto"/>
              <w:right w:val="single" w:sz="4" w:space="0" w:color="auto"/>
            </w:tcBorders>
            <w:vAlign w:val="center"/>
          </w:tcPr>
          <w:p w14:paraId="1262311B" w14:textId="77777777" w:rsidR="00A73707" w:rsidRPr="0063119B" w:rsidRDefault="00A73707" w:rsidP="00D713B4">
            <w:pPr>
              <w:keepNext/>
              <w:rPr>
                <w:szCs w:val="22"/>
              </w:rPr>
            </w:pPr>
            <w:r w:rsidRPr="0063119B">
              <w:rPr>
                <w:szCs w:val="22"/>
              </w:rPr>
              <w:t>4,50%</w:t>
            </w:r>
          </w:p>
        </w:tc>
        <w:tc>
          <w:tcPr>
            <w:tcW w:w="1560" w:type="dxa"/>
            <w:tcBorders>
              <w:top w:val="single" w:sz="4" w:space="0" w:color="auto"/>
              <w:left w:val="single" w:sz="4" w:space="0" w:color="auto"/>
              <w:bottom w:val="single" w:sz="4" w:space="0" w:color="auto"/>
              <w:right w:val="single" w:sz="4" w:space="0" w:color="auto"/>
            </w:tcBorders>
            <w:vAlign w:val="center"/>
          </w:tcPr>
          <w:p w14:paraId="5C028264" w14:textId="77777777" w:rsidR="00A73707" w:rsidRPr="0063119B" w:rsidRDefault="00A73707" w:rsidP="00D713B4">
            <w:pPr>
              <w:keepNext/>
              <w:rPr>
                <w:szCs w:val="22"/>
              </w:rPr>
            </w:pPr>
            <w:r w:rsidRPr="0063119B">
              <w:rPr>
                <w:szCs w:val="22"/>
              </w:rPr>
              <w:t>378 (4,1%)</w:t>
            </w:r>
          </w:p>
        </w:tc>
        <w:tc>
          <w:tcPr>
            <w:tcW w:w="850" w:type="dxa"/>
            <w:tcBorders>
              <w:top w:val="single" w:sz="4" w:space="0" w:color="auto"/>
              <w:left w:val="single" w:sz="4" w:space="0" w:color="auto"/>
              <w:bottom w:val="single" w:sz="4" w:space="0" w:color="auto"/>
              <w:right w:val="single" w:sz="4" w:space="0" w:color="auto"/>
            </w:tcBorders>
            <w:vAlign w:val="center"/>
          </w:tcPr>
          <w:p w14:paraId="67512F43" w14:textId="77777777" w:rsidR="00A73707" w:rsidRPr="0063119B" w:rsidRDefault="00A73707" w:rsidP="00D713B4">
            <w:pPr>
              <w:keepNext/>
              <w:rPr>
                <w:szCs w:val="22"/>
              </w:rPr>
            </w:pPr>
            <w:r w:rsidRPr="0063119B">
              <w:rPr>
                <w:szCs w:val="22"/>
              </w:rPr>
              <w:t>5,57%</w:t>
            </w:r>
          </w:p>
        </w:tc>
        <w:tc>
          <w:tcPr>
            <w:tcW w:w="1276" w:type="dxa"/>
            <w:tcBorders>
              <w:top w:val="single" w:sz="4" w:space="0" w:color="auto"/>
              <w:left w:val="single" w:sz="4" w:space="0" w:color="auto"/>
              <w:bottom w:val="single" w:sz="4" w:space="0" w:color="auto"/>
              <w:right w:val="single" w:sz="4" w:space="0" w:color="auto"/>
            </w:tcBorders>
            <w:vAlign w:val="center"/>
          </w:tcPr>
          <w:p w14:paraId="308EFDA0" w14:textId="77777777" w:rsidR="00A73707" w:rsidRPr="0063119B" w:rsidRDefault="00A73707" w:rsidP="00D713B4">
            <w:pPr>
              <w:keepNext/>
              <w:rPr>
                <w:szCs w:val="22"/>
              </w:rPr>
            </w:pPr>
            <w:r w:rsidRPr="0063119B">
              <w:rPr>
                <w:szCs w:val="22"/>
              </w:rPr>
              <w:t xml:space="preserve">0,82 </w:t>
            </w:r>
            <w:r w:rsidRPr="0063119B">
              <w:rPr>
                <w:szCs w:val="22"/>
              </w:rPr>
              <w:br/>
              <w:t>(0,71; 0,96)</w:t>
            </w:r>
          </w:p>
        </w:tc>
        <w:tc>
          <w:tcPr>
            <w:tcW w:w="1417" w:type="dxa"/>
            <w:tcBorders>
              <w:top w:val="single" w:sz="4" w:space="0" w:color="auto"/>
              <w:left w:val="single" w:sz="4" w:space="0" w:color="auto"/>
              <w:bottom w:val="single" w:sz="4" w:space="0" w:color="auto"/>
              <w:right w:val="single" w:sz="4" w:space="0" w:color="auto"/>
            </w:tcBorders>
            <w:vAlign w:val="center"/>
          </w:tcPr>
          <w:p w14:paraId="78A4A642" w14:textId="77777777" w:rsidR="00A73707" w:rsidRPr="0063119B" w:rsidRDefault="00A73707" w:rsidP="00D713B4">
            <w:pPr>
              <w:keepNext/>
              <w:rPr>
                <w:szCs w:val="22"/>
              </w:rPr>
            </w:pPr>
          </w:p>
        </w:tc>
      </w:tr>
      <w:tr w:rsidR="005C2B61" w:rsidRPr="0063119B" w14:paraId="54A3D992" w14:textId="77777777" w:rsidTr="009677D7">
        <w:tc>
          <w:tcPr>
            <w:tcW w:w="1668" w:type="dxa"/>
            <w:tcBorders>
              <w:top w:val="single" w:sz="4" w:space="0" w:color="auto"/>
              <w:left w:val="single" w:sz="4" w:space="0" w:color="auto"/>
              <w:bottom w:val="single" w:sz="4" w:space="0" w:color="auto"/>
              <w:right w:val="single" w:sz="4" w:space="0" w:color="auto"/>
            </w:tcBorders>
            <w:vAlign w:val="center"/>
          </w:tcPr>
          <w:p w14:paraId="78A0F102" w14:textId="77777777" w:rsidR="005C2B61" w:rsidRPr="0063119B" w:rsidRDefault="005C2B61" w:rsidP="00216E4B">
            <w:pPr>
              <w:keepNext/>
              <w:rPr>
                <w:szCs w:val="22"/>
              </w:rPr>
            </w:pPr>
            <w:r w:rsidRPr="0063119B">
              <w:rPr>
                <w:szCs w:val="22"/>
              </w:rPr>
              <w:t>Isquémia aguda dos membros</w:t>
            </w:r>
          </w:p>
        </w:tc>
        <w:tc>
          <w:tcPr>
            <w:tcW w:w="1559" w:type="dxa"/>
            <w:tcBorders>
              <w:top w:val="single" w:sz="4" w:space="0" w:color="auto"/>
              <w:left w:val="single" w:sz="4" w:space="0" w:color="auto"/>
              <w:bottom w:val="single" w:sz="4" w:space="0" w:color="auto"/>
              <w:right w:val="single" w:sz="4" w:space="0" w:color="auto"/>
            </w:tcBorders>
            <w:vAlign w:val="center"/>
          </w:tcPr>
          <w:p w14:paraId="514AD6DB" w14:textId="77777777" w:rsidR="005C2B61" w:rsidRPr="0063119B" w:rsidRDefault="005C2B61" w:rsidP="00D713B4">
            <w:pPr>
              <w:keepNext/>
              <w:rPr>
                <w:szCs w:val="22"/>
              </w:rPr>
            </w:pPr>
            <w:r w:rsidRPr="0063119B">
              <w:rPr>
                <w:szCs w:val="22"/>
              </w:rPr>
              <w:t>22 (0,2%)</w:t>
            </w:r>
          </w:p>
        </w:tc>
        <w:tc>
          <w:tcPr>
            <w:tcW w:w="850" w:type="dxa"/>
            <w:tcBorders>
              <w:top w:val="single" w:sz="4" w:space="0" w:color="auto"/>
              <w:left w:val="single" w:sz="4" w:space="0" w:color="auto"/>
              <w:bottom w:val="single" w:sz="4" w:space="0" w:color="auto"/>
              <w:right w:val="single" w:sz="4" w:space="0" w:color="auto"/>
            </w:tcBorders>
            <w:vAlign w:val="center"/>
          </w:tcPr>
          <w:p w14:paraId="3F217696" w14:textId="77777777" w:rsidR="005C2B61" w:rsidRPr="0063119B" w:rsidRDefault="005C2B61" w:rsidP="00D713B4">
            <w:pPr>
              <w:keepNext/>
              <w:rPr>
                <w:szCs w:val="22"/>
              </w:rPr>
            </w:pPr>
            <w:r w:rsidRPr="0063119B">
              <w:rPr>
                <w:szCs w:val="22"/>
              </w:rPr>
              <w:t>0,27%</w:t>
            </w:r>
          </w:p>
        </w:tc>
        <w:tc>
          <w:tcPr>
            <w:tcW w:w="1560" w:type="dxa"/>
            <w:tcBorders>
              <w:top w:val="single" w:sz="4" w:space="0" w:color="auto"/>
              <w:left w:val="single" w:sz="4" w:space="0" w:color="auto"/>
              <w:bottom w:val="single" w:sz="4" w:space="0" w:color="auto"/>
              <w:right w:val="single" w:sz="4" w:space="0" w:color="auto"/>
            </w:tcBorders>
            <w:vAlign w:val="center"/>
          </w:tcPr>
          <w:p w14:paraId="01CF28F8" w14:textId="77777777" w:rsidR="005C2B61" w:rsidRPr="0063119B" w:rsidRDefault="005C2B61" w:rsidP="00D713B4">
            <w:pPr>
              <w:keepNext/>
              <w:rPr>
                <w:szCs w:val="22"/>
              </w:rPr>
            </w:pPr>
            <w:r w:rsidRPr="0063119B">
              <w:rPr>
                <w:szCs w:val="22"/>
              </w:rPr>
              <w:t>40 (0,4%)</w:t>
            </w:r>
          </w:p>
        </w:tc>
        <w:tc>
          <w:tcPr>
            <w:tcW w:w="850" w:type="dxa"/>
            <w:tcBorders>
              <w:top w:val="single" w:sz="4" w:space="0" w:color="auto"/>
              <w:left w:val="single" w:sz="4" w:space="0" w:color="auto"/>
              <w:bottom w:val="single" w:sz="4" w:space="0" w:color="auto"/>
              <w:right w:val="single" w:sz="4" w:space="0" w:color="auto"/>
            </w:tcBorders>
            <w:vAlign w:val="center"/>
          </w:tcPr>
          <w:p w14:paraId="036368B8" w14:textId="77777777" w:rsidR="005C2B61" w:rsidRPr="0063119B" w:rsidRDefault="005C2B61" w:rsidP="00D713B4">
            <w:pPr>
              <w:keepNext/>
              <w:rPr>
                <w:szCs w:val="22"/>
              </w:rPr>
            </w:pPr>
            <w:r w:rsidRPr="0063119B">
              <w:rPr>
                <w:szCs w:val="22"/>
              </w:rPr>
              <w:t>0,60%</w:t>
            </w:r>
          </w:p>
        </w:tc>
        <w:tc>
          <w:tcPr>
            <w:tcW w:w="1276" w:type="dxa"/>
            <w:tcBorders>
              <w:top w:val="single" w:sz="4" w:space="0" w:color="auto"/>
              <w:left w:val="single" w:sz="4" w:space="0" w:color="auto"/>
              <w:bottom w:val="single" w:sz="4" w:space="0" w:color="auto"/>
              <w:right w:val="single" w:sz="4" w:space="0" w:color="auto"/>
            </w:tcBorders>
            <w:vAlign w:val="center"/>
          </w:tcPr>
          <w:p w14:paraId="17B51E49" w14:textId="77777777" w:rsidR="005C2B61" w:rsidRPr="0063119B" w:rsidRDefault="005C2B61" w:rsidP="00D713B4">
            <w:pPr>
              <w:keepNext/>
              <w:rPr>
                <w:szCs w:val="22"/>
              </w:rPr>
            </w:pPr>
            <w:r w:rsidRPr="0063119B">
              <w:rPr>
                <w:szCs w:val="22"/>
              </w:rPr>
              <w:t>0,55</w:t>
            </w:r>
          </w:p>
          <w:p w14:paraId="1A578CE9" w14:textId="77777777" w:rsidR="005C2B61" w:rsidRPr="0063119B" w:rsidRDefault="005C2B61" w:rsidP="00D713B4">
            <w:pPr>
              <w:keepNext/>
              <w:rPr>
                <w:szCs w:val="22"/>
              </w:rPr>
            </w:pPr>
            <w:r w:rsidRPr="0063119B">
              <w:rPr>
                <w:szCs w:val="22"/>
              </w:rPr>
              <w:t>(0,32;0,92)</w:t>
            </w:r>
          </w:p>
        </w:tc>
        <w:tc>
          <w:tcPr>
            <w:tcW w:w="1417" w:type="dxa"/>
            <w:tcBorders>
              <w:top w:val="single" w:sz="4" w:space="0" w:color="auto"/>
              <w:left w:val="single" w:sz="4" w:space="0" w:color="auto"/>
              <w:bottom w:val="single" w:sz="4" w:space="0" w:color="auto"/>
              <w:right w:val="single" w:sz="4" w:space="0" w:color="auto"/>
            </w:tcBorders>
            <w:vAlign w:val="center"/>
          </w:tcPr>
          <w:p w14:paraId="2BC58C4B" w14:textId="77777777" w:rsidR="005C2B61" w:rsidRPr="0063119B" w:rsidRDefault="005C2B61" w:rsidP="00D713B4">
            <w:pPr>
              <w:keepNext/>
              <w:rPr>
                <w:szCs w:val="22"/>
              </w:rPr>
            </w:pPr>
          </w:p>
        </w:tc>
      </w:tr>
      <w:tr w:rsidR="00A73707" w:rsidRPr="0063119B" w14:paraId="60F4E27F" w14:textId="77777777" w:rsidTr="00D71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7"/>
          </w:tcPr>
          <w:p w14:paraId="2CDEA0B3" w14:textId="77777777" w:rsidR="00A73707" w:rsidRPr="0063119B" w:rsidRDefault="00A73707" w:rsidP="009677D7">
            <w:pPr>
              <w:keepNext/>
              <w:tabs>
                <w:tab w:val="left" w:pos="420"/>
              </w:tabs>
              <w:rPr>
                <w:szCs w:val="22"/>
              </w:rPr>
            </w:pPr>
            <w:r w:rsidRPr="0063119B">
              <w:rPr>
                <w:szCs w:val="22"/>
              </w:rPr>
              <w:t>a)</w:t>
            </w:r>
            <w:r w:rsidRPr="0063119B">
              <w:rPr>
                <w:szCs w:val="22"/>
              </w:rPr>
              <w:tab/>
              <w:t>Conjunto de análise de intenção de tratar, análises primárias</w:t>
            </w:r>
          </w:p>
          <w:p w14:paraId="73C7CF56" w14:textId="77777777" w:rsidR="00A73707" w:rsidRPr="0063119B" w:rsidRDefault="00A73707" w:rsidP="009677D7">
            <w:pPr>
              <w:keepNext/>
              <w:tabs>
                <w:tab w:val="left" w:pos="420"/>
              </w:tabs>
              <w:rPr>
                <w:szCs w:val="22"/>
                <w:lang w:val="es-ES"/>
              </w:rPr>
            </w:pPr>
            <w:r w:rsidRPr="0063119B">
              <w:rPr>
                <w:szCs w:val="22"/>
                <w:lang w:val="es-ES"/>
              </w:rPr>
              <w:t>b)</w:t>
            </w:r>
            <w:r w:rsidRPr="0063119B">
              <w:rPr>
                <w:szCs w:val="22"/>
                <w:lang w:val="es-ES"/>
              </w:rPr>
              <w:tab/>
              <w:t>vs. AA</w:t>
            </w:r>
            <w:r w:rsidR="005C2B61" w:rsidRPr="0063119B">
              <w:rPr>
                <w:szCs w:val="22"/>
                <w:lang w:val="es-ES"/>
              </w:rPr>
              <w:t>S</w:t>
            </w:r>
            <w:r w:rsidRPr="0063119B">
              <w:rPr>
                <w:szCs w:val="22"/>
                <w:lang w:val="es-ES"/>
              </w:rPr>
              <w:t xml:space="preserve"> 100 mg; valor</w:t>
            </w:r>
            <w:r w:rsidR="00674552" w:rsidRPr="0063119B">
              <w:rPr>
                <w:szCs w:val="22"/>
                <w:lang w:val="es-ES"/>
              </w:rPr>
              <w:t>-</w:t>
            </w:r>
            <w:r w:rsidRPr="0063119B">
              <w:rPr>
                <w:szCs w:val="22"/>
                <w:lang w:val="es-ES"/>
              </w:rPr>
              <w:t xml:space="preserve">p por </w:t>
            </w:r>
            <w:r w:rsidRPr="0063119B">
              <w:rPr>
                <w:i/>
                <w:iCs/>
                <w:szCs w:val="22"/>
                <w:lang w:val="es-ES"/>
              </w:rPr>
              <w:t>Log-Rank</w:t>
            </w:r>
          </w:p>
          <w:p w14:paraId="536A0E0D" w14:textId="77777777" w:rsidR="00A73707" w:rsidRPr="0063119B" w:rsidRDefault="00A73707" w:rsidP="009677D7">
            <w:pPr>
              <w:keepNext/>
              <w:tabs>
                <w:tab w:val="left" w:pos="420"/>
              </w:tabs>
              <w:rPr>
                <w:szCs w:val="22"/>
              </w:rPr>
            </w:pPr>
            <w:r w:rsidRPr="0063119B">
              <w:rPr>
                <w:szCs w:val="22"/>
              </w:rPr>
              <w:t>*</w:t>
            </w:r>
            <w:r w:rsidRPr="0063119B">
              <w:rPr>
                <w:szCs w:val="22"/>
              </w:rPr>
              <w:tab/>
              <w:t>A redução do critério de avaliação primário de eficácia foi estatisticamente superior.</w:t>
            </w:r>
          </w:p>
          <w:p w14:paraId="26A9F3A6" w14:textId="77777777" w:rsidR="00A73707" w:rsidRPr="0063119B" w:rsidRDefault="00A73707" w:rsidP="00D713B4">
            <w:pPr>
              <w:keepNext/>
              <w:rPr>
                <w:szCs w:val="22"/>
              </w:rPr>
            </w:pPr>
            <w:r w:rsidRPr="0063119B">
              <w:rPr>
                <w:szCs w:val="22"/>
              </w:rPr>
              <w:t>bid: duas vezes por dia; IC, intervalo de confiança; KM %: Estimativas de Kaplan-Meier do risco cumulativo de incidência calculado ao fim de 900 dias; CV: cardiovascular; EM: enfarte do miocárdio; od: uma vez por dia</w:t>
            </w:r>
          </w:p>
        </w:tc>
      </w:tr>
    </w:tbl>
    <w:p w14:paraId="2DA20F02" w14:textId="77777777" w:rsidR="00A73707" w:rsidRPr="0063119B" w:rsidRDefault="00A73707" w:rsidP="009677D7">
      <w:pPr>
        <w:widowControl w:val="0"/>
        <w:rPr>
          <w:b/>
          <w:szCs w:val="22"/>
        </w:rPr>
      </w:pPr>
    </w:p>
    <w:p w14:paraId="3D2696A5" w14:textId="77777777" w:rsidR="00A73707" w:rsidRPr="0063119B" w:rsidRDefault="00082508" w:rsidP="005E20A5">
      <w:pPr>
        <w:pStyle w:val="BayerBodyTextFull"/>
        <w:keepNext/>
        <w:keepLines/>
        <w:spacing w:before="0" w:after="0"/>
        <w:rPr>
          <w:b/>
          <w:sz w:val="22"/>
          <w:szCs w:val="22"/>
          <w:lang w:val="pt-PT"/>
        </w:rPr>
      </w:pPr>
      <w:r w:rsidRPr="0063119B">
        <w:rPr>
          <w:b/>
          <w:bCs/>
          <w:sz w:val="22"/>
          <w:szCs w:val="22"/>
          <w:lang w:val="pt-PT"/>
        </w:rPr>
        <w:lastRenderedPageBreak/>
        <w:t>Quadro</w:t>
      </w:r>
      <w:r w:rsidR="00A73707" w:rsidRPr="0063119B">
        <w:rPr>
          <w:b/>
          <w:bCs/>
          <w:sz w:val="22"/>
          <w:szCs w:val="22"/>
          <w:lang w:val="pt-PT"/>
        </w:rPr>
        <w:t> </w:t>
      </w:r>
      <w:r w:rsidR="00E91896" w:rsidRPr="0063119B">
        <w:rPr>
          <w:b/>
          <w:bCs/>
          <w:sz w:val="22"/>
          <w:szCs w:val="22"/>
          <w:lang w:val="pt-PT"/>
        </w:rPr>
        <w:t>8</w:t>
      </w:r>
      <w:r w:rsidR="00A73707" w:rsidRPr="0063119B">
        <w:rPr>
          <w:b/>
          <w:bCs/>
          <w:sz w:val="22"/>
          <w:szCs w:val="22"/>
          <w:lang w:val="pt-PT"/>
        </w:rPr>
        <w:t>: Resultados de segurança do estudo COMPASS de fase III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98"/>
        <w:gridCol w:w="1701"/>
        <w:gridCol w:w="283"/>
      </w:tblGrid>
      <w:tr w:rsidR="00A73707" w:rsidRPr="0063119B" w14:paraId="0DCA4B87" w14:textId="77777777" w:rsidTr="003311FD">
        <w:trPr>
          <w:trHeight w:val="176"/>
          <w:tblHeader/>
        </w:trPr>
        <w:tc>
          <w:tcPr>
            <w:tcW w:w="3286" w:type="dxa"/>
          </w:tcPr>
          <w:p w14:paraId="0C6E0665" w14:textId="77777777" w:rsidR="00A73707" w:rsidRPr="0063119B" w:rsidRDefault="00A73707" w:rsidP="005E20A5">
            <w:pPr>
              <w:pStyle w:val="BayerTableRowHeadings"/>
              <w:keepLines/>
              <w:widowControl/>
              <w:spacing w:after="0"/>
              <w:rPr>
                <w:b/>
                <w:szCs w:val="22"/>
              </w:rPr>
            </w:pPr>
            <w:r w:rsidRPr="0063119B">
              <w:rPr>
                <w:b/>
                <w:bCs/>
                <w:szCs w:val="22"/>
                <w:lang w:val="pt-PT"/>
              </w:rPr>
              <w:t>População do estudo</w:t>
            </w:r>
          </w:p>
        </w:tc>
        <w:tc>
          <w:tcPr>
            <w:tcW w:w="6036" w:type="dxa"/>
            <w:gridSpan w:val="4"/>
          </w:tcPr>
          <w:p w14:paraId="73F80AFC" w14:textId="77777777" w:rsidR="00A73707" w:rsidRPr="0063119B" w:rsidRDefault="00A73707" w:rsidP="005E20A5">
            <w:pPr>
              <w:pStyle w:val="BayerTableColumnHeadings"/>
              <w:keepNext/>
              <w:keepLines/>
              <w:autoSpaceDE w:val="0"/>
              <w:rPr>
                <w:b w:val="0"/>
                <w:szCs w:val="22"/>
                <w:lang w:val="pt-PT"/>
              </w:rPr>
            </w:pPr>
            <w:r w:rsidRPr="0063119B">
              <w:rPr>
                <w:bCs/>
                <w:szCs w:val="22"/>
                <w:lang w:val="pt-PT"/>
              </w:rPr>
              <w:t>Doentes com DAC/DAP </w:t>
            </w:r>
            <w:r w:rsidRPr="0063119B">
              <w:rPr>
                <w:bCs/>
                <w:szCs w:val="22"/>
                <w:vertAlign w:val="superscript"/>
                <w:lang w:val="pt-PT"/>
              </w:rPr>
              <w:t>a)</w:t>
            </w:r>
          </w:p>
        </w:tc>
      </w:tr>
      <w:tr w:rsidR="00A73707" w:rsidRPr="0063119B" w14:paraId="4450EEBC" w14:textId="77777777" w:rsidTr="003311FD">
        <w:trPr>
          <w:tblHeader/>
        </w:trPr>
        <w:tc>
          <w:tcPr>
            <w:tcW w:w="3286" w:type="dxa"/>
          </w:tcPr>
          <w:p w14:paraId="24C035C3" w14:textId="77777777" w:rsidR="00A73707" w:rsidRPr="0063119B" w:rsidRDefault="00A73707" w:rsidP="005E20A5">
            <w:pPr>
              <w:pStyle w:val="BayerTableRowHeadings"/>
              <w:keepLines/>
              <w:widowControl/>
              <w:spacing w:after="0"/>
              <w:rPr>
                <w:b/>
                <w:szCs w:val="22"/>
              </w:rPr>
            </w:pPr>
            <w:r w:rsidRPr="0063119B">
              <w:rPr>
                <w:b/>
                <w:bCs/>
                <w:szCs w:val="22"/>
                <w:lang w:val="pt-PT"/>
              </w:rPr>
              <w:t>Dose de tratamento</w:t>
            </w:r>
          </w:p>
          <w:p w14:paraId="7CDB4AC2" w14:textId="77777777" w:rsidR="00A73707" w:rsidRPr="0063119B" w:rsidRDefault="00A73707" w:rsidP="005E20A5">
            <w:pPr>
              <w:pStyle w:val="BayerTableRowHeadings"/>
              <w:keepLines/>
              <w:widowControl/>
              <w:spacing w:after="0"/>
              <w:rPr>
                <w:b/>
                <w:szCs w:val="22"/>
              </w:rPr>
            </w:pPr>
          </w:p>
        </w:tc>
        <w:tc>
          <w:tcPr>
            <w:tcW w:w="2154" w:type="dxa"/>
          </w:tcPr>
          <w:p w14:paraId="03CFFB47" w14:textId="77777777" w:rsidR="00A73707" w:rsidRPr="0063119B" w:rsidRDefault="00E9034F" w:rsidP="00216E4B">
            <w:pPr>
              <w:pStyle w:val="BayerTableColumnHeadings"/>
              <w:keepNext/>
              <w:keepLines/>
              <w:autoSpaceDE w:val="0"/>
              <w:rPr>
                <w:szCs w:val="22"/>
                <w:lang w:val="pt-PT"/>
              </w:rPr>
            </w:pPr>
            <w:r w:rsidRPr="0063119B">
              <w:rPr>
                <w:bCs/>
                <w:szCs w:val="22"/>
                <w:lang w:val="pt-PT"/>
              </w:rPr>
              <w:t xml:space="preserve">Ravaroxabano </w:t>
            </w:r>
            <w:r w:rsidR="00A73707" w:rsidRPr="0063119B">
              <w:rPr>
                <w:bCs/>
                <w:szCs w:val="22"/>
                <w:lang w:val="pt-PT"/>
              </w:rPr>
              <w:t xml:space="preserve">2,5 mg </w:t>
            </w:r>
            <w:r w:rsidR="004451DF" w:rsidRPr="0063119B">
              <w:rPr>
                <w:bCs/>
                <w:szCs w:val="22"/>
                <w:lang w:val="pt-PT"/>
              </w:rPr>
              <w:t>duas vezes por dia (</w:t>
            </w:r>
            <w:r w:rsidR="00A73707" w:rsidRPr="0063119B">
              <w:rPr>
                <w:bCs/>
                <w:szCs w:val="22"/>
                <w:lang w:val="pt-PT"/>
              </w:rPr>
              <w:t>bid</w:t>
            </w:r>
            <w:r w:rsidR="004451DF" w:rsidRPr="0063119B">
              <w:rPr>
                <w:bCs/>
                <w:szCs w:val="22"/>
                <w:lang w:val="pt-PT"/>
              </w:rPr>
              <w:t>)</w:t>
            </w:r>
            <w:r w:rsidR="00A73707" w:rsidRPr="0063119B">
              <w:rPr>
                <w:bCs/>
                <w:szCs w:val="22"/>
                <w:lang w:val="pt-PT"/>
              </w:rPr>
              <w:t xml:space="preserve"> em associação com A</w:t>
            </w:r>
            <w:r w:rsidR="004451DF" w:rsidRPr="0063119B">
              <w:rPr>
                <w:bCs/>
                <w:szCs w:val="22"/>
                <w:lang w:val="pt-PT"/>
              </w:rPr>
              <w:t>AS</w:t>
            </w:r>
            <w:r w:rsidR="00A73707" w:rsidRPr="0063119B">
              <w:rPr>
                <w:bCs/>
                <w:szCs w:val="22"/>
                <w:lang w:val="pt-PT"/>
              </w:rPr>
              <w:t xml:space="preserve"> 100 mg </w:t>
            </w:r>
            <w:r w:rsidR="004451DF" w:rsidRPr="0063119B">
              <w:rPr>
                <w:bCs/>
                <w:szCs w:val="22"/>
                <w:lang w:val="pt-PT"/>
              </w:rPr>
              <w:t>uma vez p</w:t>
            </w:r>
            <w:r w:rsidR="00A73707" w:rsidRPr="0063119B">
              <w:rPr>
                <w:bCs/>
                <w:szCs w:val="22"/>
                <w:lang w:val="pt-PT"/>
              </w:rPr>
              <w:t>o</w:t>
            </w:r>
            <w:r w:rsidR="004451DF" w:rsidRPr="0063119B">
              <w:rPr>
                <w:bCs/>
                <w:szCs w:val="22"/>
                <w:lang w:val="pt-PT"/>
              </w:rPr>
              <w:t>r dia (o</w:t>
            </w:r>
            <w:r w:rsidR="00A73707" w:rsidRPr="0063119B">
              <w:rPr>
                <w:bCs/>
                <w:szCs w:val="22"/>
                <w:lang w:val="pt-PT"/>
              </w:rPr>
              <w:t>d</w:t>
            </w:r>
            <w:r w:rsidR="004451DF" w:rsidRPr="0063119B">
              <w:rPr>
                <w:bCs/>
                <w:szCs w:val="22"/>
                <w:lang w:val="pt-PT"/>
              </w:rPr>
              <w:t>)</w:t>
            </w:r>
            <w:r w:rsidR="00A73707" w:rsidRPr="0063119B">
              <w:rPr>
                <w:bCs/>
                <w:szCs w:val="22"/>
                <w:lang w:val="pt-PT"/>
              </w:rPr>
              <w:t>, N=9152</w:t>
            </w:r>
            <w:r w:rsidR="00A73707" w:rsidRPr="0063119B">
              <w:rPr>
                <w:b w:val="0"/>
                <w:szCs w:val="22"/>
                <w:lang w:val="pt-PT"/>
              </w:rPr>
              <w:br/>
            </w:r>
            <w:r w:rsidR="00A73707" w:rsidRPr="0063119B">
              <w:rPr>
                <w:bCs/>
                <w:szCs w:val="22"/>
                <w:lang w:val="pt-PT"/>
              </w:rPr>
              <w:t>n (</w:t>
            </w:r>
            <w:r w:rsidR="004451DF" w:rsidRPr="0063119B">
              <w:rPr>
                <w:bCs/>
                <w:szCs w:val="22"/>
                <w:lang w:val="pt-PT"/>
              </w:rPr>
              <w:t>R</w:t>
            </w:r>
            <w:r w:rsidR="00A73707" w:rsidRPr="0063119B">
              <w:rPr>
                <w:bCs/>
                <w:szCs w:val="22"/>
                <w:lang w:val="pt-PT"/>
              </w:rPr>
              <w:t>isco cum. %)</w:t>
            </w:r>
          </w:p>
        </w:tc>
        <w:tc>
          <w:tcPr>
            <w:tcW w:w="1898" w:type="dxa"/>
          </w:tcPr>
          <w:p w14:paraId="5CE77D93" w14:textId="77777777" w:rsidR="00A73707" w:rsidRPr="0063119B" w:rsidRDefault="00A73707" w:rsidP="005E20A5">
            <w:pPr>
              <w:pStyle w:val="BayerTableColumnHeadings"/>
              <w:keepNext/>
              <w:keepLines/>
              <w:rPr>
                <w:szCs w:val="22"/>
                <w:lang w:val="pt-PT"/>
              </w:rPr>
            </w:pPr>
            <w:r w:rsidRPr="0063119B">
              <w:rPr>
                <w:bCs/>
                <w:szCs w:val="22"/>
                <w:lang w:val="pt-PT"/>
              </w:rPr>
              <w:t xml:space="preserve">AAS 100 mg </w:t>
            </w:r>
            <w:r w:rsidR="004451DF" w:rsidRPr="0063119B">
              <w:rPr>
                <w:bCs/>
                <w:szCs w:val="22"/>
                <w:lang w:val="pt-PT"/>
              </w:rPr>
              <w:t>uma vez por dia (</w:t>
            </w:r>
            <w:r w:rsidRPr="0063119B">
              <w:rPr>
                <w:bCs/>
                <w:szCs w:val="22"/>
                <w:lang w:val="pt-PT"/>
              </w:rPr>
              <w:t>od</w:t>
            </w:r>
            <w:r w:rsidR="004451DF" w:rsidRPr="0063119B">
              <w:rPr>
                <w:bCs/>
                <w:szCs w:val="22"/>
                <w:lang w:val="pt-PT"/>
              </w:rPr>
              <w:t>)</w:t>
            </w:r>
            <w:r w:rsidRPr="0063119B">
              <w:rPr>
                <w:b w:val="0"/>
                <w:szCs w:val="22"/>
                <w:lang w:val="pt-PT"/>
              </w:rPr>
              <w:br/>
            </w:r>
            <w:r w:rsidRPr="0063119B">
              <w:rPr>
                <w:b w:val="0"/>
                <w:szCs w:val="22"/>
                <w:lang w:val="pt-PT"/>
              </w:rPr>
              <w:br/>
            </w:r>
            <w:r w:rsidRPr="0063119B">
              <w:rPr>
                <w:b w:val="0"/>
                <w:szCs w:val="22"/>
                <w:lang w:val="pt-PT"/>
              </w:rPr>
              <w:br/>
            </w:r>
            <w:r w:rsidRPr="0063119B">
              <w:rPr>
                <w:bCs/>
                <w:szCs w:val="22"/>
                <w:lang w:val="pt-PT"/>
              </w:rPr>
              <w:t>N=9126</w:t>
            </w:r>
            <w:r w:rsidRPr="0063119B">
              <w:rPr>
                <w:b w:val="0"/>
                <w:szCs w:val="22"/>
                <w:lang w:val="pt-PT"/>
              </w:rPr>
              <w:br/>
            </w:r>
            <w:r w:rsidRPr="0063119B">
              <w:rPr>
                <w:bCs/>
                <w:szCs w:val="22"/>
                <w:lang w:val="pt-PT"/>
              </w:rPr>
              <w:t>n (</w:t>
            </w:r>
            <w:r w:rsidR="004451DF" w:rsidRPr="0063119B">
              <w:rPr>
                <w:bCs/>
                <w:szCs w:val="22"/>
                <w:lang w:val="pt-PT"/>
              </w:rPr>
              <w:t>R</w:t>
            </w:r>
            <w:r w:rsidRPr="0063119B">
              <w:rPr>
                <w:bCs/>
                <w:szCs w:val="22"/>
                <w:lang w:val="pt-PT"/>
              </w:rPr>
              <w:t>isco cum. %)</w:t>
            </w:r>
          </w:p>
        </w:tc>
        <w:tc>
          <w:tcPr>
            <w:tcW w:w="1984" w:type="dxa"/>
            <w:gridSpan w:val="2"/>
          </w:tcPr>
          <w:p w14:paraId="37C965BE" w14:textId="77777777" w:rsidR="00A73707" w:rsidRPr="0063119B" w:rsidRDefault="00A73707" w:rsidP="005E20A5">
            <w:pPr>
              <w:pStyle w:val="BayerTableColumnHeadings"/>
              <w:keepNext/>
              <w:keepLines/>
              <w:rPr>
                <w:szCs w:val="22"/>
                <w:lang w:val="pt-PT"/>
              </w:rPr>
            </w:pPr>
            <w:r w:rsidRPr="0063119B">
              <w:rPr>
                <w:bCs/>
                <w:szCs w:val="22"/>
                <w:lang w:val="pt-PT"/>
              </w:rPr>
              <w:t xml:space="preserve">Razão de </w:t>
            </w:r>
            <w:r w:rsidR="004451DF" w:rsidRPr="0063119B">
              <w:rPr>
                <w:bCs/>
                <w:szCs w:val="22"/>
                <w:lang w:val="pt-PT"/>
              </w:rPr>
              <w:t>R</w:t>
            </w:r>
            <w:r w:rsidRPr="0063119B">
              <w:rPr>
                <w:bCs/>
                <w:szCs w:val="22"/>
                <w:lang w:val="pt-PT"/>
              </w:rPr>
              <w:t>isco (IC 95%)</w:t>
            </w:r>
            <w:r w:rsidRPr="0063119B">
              <w:rPr>
                <w:b w:val="0"/>
                <w:szCs w:val="22"/>
                <w:lang w:val="pt-PT"/>
              </w:rPr>
              <w:br/>
            </w:r>
            <w:r w:rsidRPr="0063119B">
              <w:rPr>
                <w:b w:val="0"/>
                <w:szCs w:val="22"/>
                <w:lang w:val="pt-PT"/>
              </w:rPr>
              <w:br/>
            </w:r>
            <w:r w:rsidRPr="0063119B">
              <w:rPr>
                <w:bCs/>
                <w:szCs w:val="22"/>
                <w:lang w:val="pt-PT"/>
              </w:rPr>
              <w:t>valor </w:t>
            </w:r>
            <w:r w:rsidR="00C45E28" w:rsidRPr="0063119B">
              <w:rPr>
                <w:bCs/>
                <w:szCs w:val="22"/>
                <w:lang w:val="pt-PT"/>
              </w:rPr>
              <w:t>de p</w:t>
            </w:r>
            <w:r w:rsidRPr="0063119B">
              <w:rPr>
                <w:bCs/>
                <w:szCs w:val="22"/>
                <w:lang w:val="pt-PT"/>
              </w:rPr>
              <w:t> </w:t>
            </w:r>
            <w:r w:rsidRPr="0063119B">
              <w:rPr>
                <w:bCs/>
                <w:szCs w:val="22"/>
                <w:vertAlign w:val="superscript"/>
                <w:lang w:val="pt-PT"/>
              </w:rPr>
              <w:t>b)</w:t>
            </w:r>
          </w:p>
        </w:tc>
      </w:tr>
      <w:tr w:rsidR="00A73707" w:rsidRPr="0063119B" w14:paraId="0609A1E2" w14:textId="77777777" w:rsidTr="003311FD">
        <w:trPr>
          <w:cantSplit/>
        </w:trPr>
        <w:tc>
          <w:tcPr>
            <w:tcW w:w="3286" w:type="dxa"/>
          </w:tcPr>
          <w:p w14:paraId="6FE36B6D" w14:textId="77777777" w:rsidR="00A73707" w:rsidRPr="0063119B" w:rsidRDefault="002F7E84" w:rsidP="00216E4B">
            <w:pPr>
              <w:pStyle w:val="BayerTableRowHeadings"/>
              <w:keepLines/>
              <w:widowControl/>
              <w:spacing w:after="0"/>
              <w:rPr>
                <w:szCs w:val="22"/>
                <w:lang w:val="pt-PT"/>
              </w:rPr>
            </w:pPr>
            <w:r w:rsidRPr="0063119B">
              <w:rPr>
                <w:szCs w:val="22"/>
                <w:lang w:val="pt-PT"/>
              </w:rPr>
              <w:t>H</w:t>
            </w:r>
            <w:r w:rsidR="00A73707" w:rsidRPr="0063119B">
              <w:rPr>
                <w:szCs w:val="22"/>
                <w:lang w:val="pt-PT"/>
              </w:rPr>
              <w:t>emorragia</w:t>
            </w:r>
            <w:r w:rsidRPr="0063119B">
              <w:rPr>
                <w:szCs w:val="22"/>
                <w:lang w:val="pt-PT"/>
              </w:rPr>
              <w:t xml:space="preserve"> principal</w:t>
            </w:r>
            <w:r w:rsidR="00A73707" w:rsidRPr="0063119B">
              <w:rPr>
                <w:szCs w:val="22"/>
                <w:lang w:val="pt-PT"/>
              </w:rPr>
              <w:t xml:space="preserve"> modificada segundo ISTH</w:t>
            </w:r>
          </w:p>
        </w:tc>
        <w:tc>
          <w:tcPr>
            <w:tcW w:w="2154" w:type="dxa"/>
          </w:tcPr>
          <w:p w14:paraId="029D193B" w14:textId="77777777" w:rsidR="00A73707" w:rsidRPr="0063119B" w:rsidRDefault="00A73707" w:rsidP="005E20A5">
            <w:pPr>
              <w:pStyle w:val="BayerTableStyleCentered"/>
              <w:keepNext/>
              <w:keepLines/>
              <w:widowControl/>
              <w:spacing w:before="0" w:after="0"/>
              <w:rPr>
                <w:szCs w:val="22"/>
              </w:rPr>
            </w:pPr>
            <w:r w:rsidRPr="0063119B">
              <w:rPr>
                <w:szCs w:val="22"/>
                <w:lang w:val="pt-PT"/>
              </w:rPr>
              <w:t>288 (3,9%)</w:t>
            </w:r>
          </w:p>
        </w:tc>
        <w:tc>
          <w:tcPr>
            <w:tcW w:w="1898" w:type="dxa"/>
          </w:tcPr>
          <w:p w14:paraId="5FDD9DCF" w14:textId="77777777" w:rsidR="00A73707" w:rsidRPr="0063119B" w:rsidRDefault="00A73707" w:rsidP="005E20A5">
            <w:pPr>
              <w:pStyle w:val="BayerTableStyleCentered"/>
              <w:keepNext/>
              <w:keepLines/>
              <w:widowControl/>
              <w:spacing w:before="0" w:after="0"/>
              <w:rPr>
                <w:szCs w:val="22"/>
              </w:rPr>
            </w:pPr>
            <w:r w:rsidRPr="0063119B">
              <w:rPr>
                <w:szCs w:val="22"/>
                <w:lang w:val="pt-PT"/>
              </w:rPr>
              <w:t>170 (2,5%)</w:t>
            </w:r>
          </w:p>
        </w:tc>
        <w:tc>
          <w:tcPr>
            <w:tcW w:w="1984" w:type="dxa"/>
            <w:gridSpan w:val="2"/>
          </w:tcPr>
          <w:p w14:paraId="53FC02F0" w14:textId="77777777" w:rsidR="00A73707" w:rsidRPr="0063119B" w:rsidRDefault="00A73707" w:rsidP="005E20A5">
            <w:pPr>
              <w:pStyle w:val="BayerTableStyleCentered"/>
              <w:keepNext/>
              <w:keepLines/>
              <w:widowControl/>
              <w:spacing w:before="0" w:after="0"/>
              <w:rPr>
                <w:szCs w:val="22"/>
              </w:rPr>
            </w:pPr>
            <w:r w:rsidRPr="0063119B">
              <w:rPr>
                <w:szCs w:val="22"/>
                <w:lang w:val="pt-PT"/>
              </w:rPr>
              <w:t>1,70 (1,40; 2,05)</w:t>
            </w:r>
            <w:r w:rsidRPr="0063119B">
              <w:rPr>
                <w:szCs w:val="22"/>
                <w:lang w:val="pt-PT"/>
              </w:rPr>
              <w:br/>
              <w:t>p &lt; 0,00001</w:t>
            </w:r>
          </w:p>
        </w:tc>
      </w:tr>
      <w:tr w:rsidR="00A73707" w:rsidRPr="0063119B" w14:paraId="7DE284F2" w14:textId="77777777" w:rsidTr="003311FD">
        <w:trPr>
          <w:cantSplit/>
        </w:trPr>
        <w:tc>
          <w:tcPr>
            <w:tcW w:w="3286" w:type="dxa"/>
          </w:tcPr>
          <w:p w14:paraId="3A9415C5" w14:textId="77777777" w:rsidR="00A73707" w:rsidRPr="0063119B" w:rsidRDefault="00A73707" w:rsidP="005E20A5">
            <w:pPr>
              <w:pStyle w:val="BayerTableRowHeadings"/>
              <w:keepLines/>
              <w:widowControl/>
              <w:numPr>
                <w:ilvl w:val="0"/>
                <w:numId w:val="47"/>
              </w:numPr>
              <w:spacing w:after="0"/>
              <w:ind w:left="342" w:hanging="177"/>
              <w:rPr>
                <w:szCs w:val="22"/>
              </w:rPr>
            </w:pPr>
            <w:r w:rsidRPr="0063119B">
              <w:rPr>
                <w:szCs w:val="22"/>
                <w:lang w:val="pt-PT"/>
              </w:rPr>
              <w:t>Acontecimento hemorrágico fatal</w:t>
            </w:r>
          </w:p>
        </w:tc>
        <w:tc>
          <w:tcPr>
            <w:tcW w:w="2154" w:type="dxa"/>
          </w:tcPr>
          <w:p w14:paraId="5E140905" w14:textId="77777777" w:rsidR="00A73707" w:rsidRPr="0063119B" w:rsidRDefault="00A73707" w:rsidP="005E20A5">
            <w:pPr>
              <w:pStyle w:val="BayerTableStyleCentered"/>
              <w:keepNext/>
              <w:keepLines/>
              <w:widowControl/>
              <w:spacing w:before="0" w:after="0"/>
              <w:rPr>
                <w:szCs w:val="22"/>
              </w:rPr>
            </w:pPr>
            <w:r w:rsidRPr="0063119B">
              <w:rPr>
                <w:szCs w:val="22"/>
                <w:lang w:val="pt-PT"/>
              </w:rPr>
              <w:t>15 (0,2%)</w:t>
            </w:r>
          </w:p>
        </w:tc>
        <w:tc>
          <w:tcPr>
            <w:tcW w:w="1898" w:type="dxa"/>
          </w:tcPr>
          <w:p w14:paraId="41AAF895" w14:textId="77777777" w:rsidR="00A73707" w:rsidRPr="0063119B" w:rsidRDefault="00A73707" w:rsidP="005E20A5">
            <w:pPr>
              <w:pStyle w:val="BayerTableStyleCentered"/>
              <w:keepNext/>
              <w:keepLines/>
              <w:widowControl/>
              <w:spacing w:before="0" w:after="0"/>
              <w:rPr>
                <w:szCs w:val="22"/>
              </w:rPr>
            </w:pPr>
            <w:r w:rsidRPr="0063119B">
              <w:rPr>
                <w:szCs w:val="22"/>
                <w:lang w:val="pt-PT"/>
              </w:rPr>
              <w:t>10 (0,2%)</w:t>
            </w:r>
          </w:p>
        </w:tc>
        <w:tc>
          <w:tcPr>
            <w:tcW w:w="1984" w:type="dxa"/>
            <w:gridSpan w:val="2"/>
          </w:tcPr>
          <w:p w14:paraId="570F37F5" w14:textId="77777777" w:rsidR="00A73707" w:rsidRPr="0063119B" w:rsidRDefault="00A73707" w:rsidP="005E20A5">
            <w:pPr>
              <w:pStyle w:val="BayerTableStyleCentered"/>
              <w:keepNext/>
              <w:keepLines/>
              <w:widowControl/>
              <w:spacing w:before="0" w:after="0"/>
              <w:rPr>
                <w:szCs w:val="22"/>
              </w:rPr>
            </w:pPr>
            <w:r w:rsidRPr="0063119B">
              <w:rPr>
                <w:szCs w:val="22"/>
                <w:lang w:val="pt-PT"/>
              </w:rPr>
              <w:t>1,49 (0,67; 3,33)</w:t>
            </w:r>
            <w:r w:rsidRPr="0063119B">
              <w:rPr>
                <w:szCs w:val="22"/>
                <w:lang w:val="pt-PT"/>
              </w:rPr>
              <w:br/>
              <w:t>p = 0,32164</w:t>
            </w:r>
          </w:p>
        </w:tc>
      </w:tr>
      <w:tr w:rsidR="00A73707" w:rsidRPr="0063119B" w14:paraId="1BB90B08" w14:textId="77777777" w:rsidTr="003311FD">
        <w:trPr>
          <w:cantSplit/>
        </w:trPr>
        <w:tc>
          <w:tcPr>
            <w:tcW w:w="3286" w:type="dxa"/>
          </w:tcPr>
          <w:p w14:paraId="76133B09" w14:textId="77777777" w:rsidR="00A73707" w:rsidRPr="0063119B" w:rsidRDefault="00A73707" w:rsidP="005E20A5">
            <w:pPr>
              <w:pStyle w:val="BayerTableRowHeadings"/>
              <w:keepLines/>
              <w:widowControl/>
              <w:numPr>
                <w:ilvl w:val="0"/>
                <w:numId w:val="47"/>
              </w:numPr>
              <w:spacing w:after="0"/>
              <w:ind w:left="342" w:hanging="177"/>
              <w:rPr>
                <w:szCs w:val="22"/>
                <w:lang w:val="pt-PT"/>
              </w:rPr>
            </w:pPr>
            <w:r w:rsidRPr="0063119B">
              <w:rPr>
                <w:szCs w:val="22"/>
                <w:lang w:val="pt-PT"/>
              </w:rPr>
              <w:t>Hemorragia sintomática num órgão crítico (não fatal)</w:t>
            </w:r>
          </w:p>
        </w:tc>
        <w:tc>
          <w:tcPr>
            <w:tcW w:w="2154" w:type="dxa"/>
          </w:tcPr>
          <w:p w14:paraId="5ACCC3AD" w14:textId="77777777" w:rsidR="00A73707" w:rsidRPr="0063119B" w:rsidRDefault="00A73707" w:rsidP="005E20A5">
            <w:pPr>
              <w:pStyle w:val="BayerTableStyleCentered"/>
              <w:keepNext/>
              <w:keepLines/>
              <w:widowControl/>
              <w:spacing w:before="0" w:after="0"/>
              <w:rPr>
                <w:szCs w:val="22"/>
              </w:rPr>
            </w:pPr>
            <w:r w:rsidRPr="0063119B">
              <w:rPr>
                <w:szCs w:val="22"/>
                <w:lang w:val="pt-PT"/>
              </w:rPr>
              <w:t>63 (0,9%)</w:t>
            </w:r>
          </w:p>
        </w:tc>
        <w:tc>
          <w:tcPr>
            <w:tcW w:w="1898" w:type="dxa"/>
          </w:tcPr>
          <w:p w14:paraId="7C7BA3FA" w14:textId="77777777" w:rsidR="00A73707" w:rsidRPr="0063119B" w:rsidRDefault="00A73707" w:rsidP="005E20A5">
            <w:pPr>
              <w:pStyle w:val="BayerTableStyleCentered"/>
              <w:keepNext/>
              <w:keepLines/>
              <w:widowControl/>
              <w:spacing w:before="0" w:after="0"/>
              <w:rPr>
                <w:szCs w:val="22"/>
              </w:rPr>
            </w:pPr>
            <w:r w:rsidRPr="0063119B">
              <w:rPr>
                <w:szCs w:val="22"/>
                <w:lang w:val="pt-PT"/>
              </w:rPr>
              <w:t>49 (0,7%)</w:t>
            </w:r>
          </w:p>
        </w:tc>
        <w:tc>
          <w:tcPr>
            <w:tcW w:w="1984" w:type="dxa"/>
            <w:gridSpan w:val="2"/>
          </w:tcPr>
          <w:p w14:paraId="2E4EAFBF" w14:textId="77777777" w:rsidR="00A73707" w:rsidRPr="0063119B" w:rsidRDefault="00A73707" w:rsidP="005E20A5">
            <w:pPr>
              <w:pStyle w:val="BayerTableStyleCentered"/>
              <w:keepNext/>
              <w:keepLines/>
              <w:widowControl/>
              <w:spacing w:before="0" w:after="0"/>
              <w:rPr>
                <w:szCs w:val="22"/>
              </w:rPr>
            </w:pPr>
            <w:r w:rsidRPr="0063119B">
              <w:rPr>
                <w:szCs w:val="22"/>
                <w:lang w:val="pt-PT"/>
              </w:rPr>
              <w:t>1,28 (0,88; 1,86)</w:t>
            </w:r>
            <w:r w:rsidRPr="0063119B">
              <w:rPr>
                <w:szCs w:val="22"/>
                <w:lang w:val="pt-PT"/>
              </w:rPr>
              <w:br/>
              <w:t>p = 0,19679</w:t>
            </w:r>
          </w:p>
        </w:tc>
      </w:tr>
      <w:tr w:rsidR="00A73707" w:rsidRPr="0063119B" w14:paraId="6FAEB032" w14:textId="77777777" w:rsidTr="003311FD">
        <w:trPr>
          <w:cantSplit/>
        </w:trPr>
        <w:tc>
          <w:tcPr>
            <w:tcW w:w="3286" w:type="dxa"/>
          </w:tcPr>
          <w:p w14:paraId="24E8E0D0" w14:textId="77777777" w:rsidR="00A73707" w:rsidRPr="0063119B" w:rsidRDefault="00A73707" w:rsidP="005E20A5">
            <w:pPr>
              <w:pStyle w:val="BayerTableRowHeadings"/>
              <w:keepLines/>
              <w:widowControl/>
              <w:numPr>
                <w:ilvl w:val="0"/>
                <w:numId w:val="47"/>
              </w:numPr>
              <w:spacing w:after="0"/>
              <w:ind w:left="342" w:hanging="177"/>
              <w:rPr>
                <w:szCs w:val="22"/>
                <w:lang w:val="pt-PT"/>
              </w:rPr>
            </w:pPr>
            <w:r w:rsidRPr="0063119B">
              <w:rPr>
                <w:szCs w:val="22"/>
                <w:lang w:val="pt-PT"/>
              </w:rPr>
              <w:t>Hemorragia no local cirúrgico exigindo reoperação (não fatal, não num órgão crítico)</w:t>
            </w:r>
          </w:p>
        </w:tc>
        <w:tc>
          <w:tcPr>
            <w:tcW w:w="2154" w:type="dxa"/>
          </w:tcPr>
          <w:p w14:paraId="15055A2A" w14:textId="77777777" w:rsidR="00A73707" w:rsidRPr="0063119B" w:rsidRDefault="00A73707" w:rsidP="005E20A5">
            <w:pPr>
              <w:pStyle w:val="BayerTableStyleCentered"/>
              <w:keepNext/>
              <w:keepLines/>
              <w:widowControl/>
              <w:spacing w:before="0" w:after="0"/>
              <w:rPr>
                <w:szCs w:val="22"/>
              </w:rPr>
            </w:pPr>
            <w:r w:rsidRPr="0063119B">
              <w:rPr>
                <w:szCs w:val="22"/>
                <w:lang w:val="pt-PT"/>
              </w:rPr>
              <w:t>10 (0,1%)</w:t>
            </w:r>
          </w:p>
        </w:tc>
        <w:tc>
          <w:tcPr>
            <w:tcW w:w="1898" w:type="dxa"/>
          </w:tcPr>
          <w:p w14:paraId="0960C57E" w14:textId="77777777" w:rsidR="00A73707" w:rsidRPr="0063119B" w:rsidRDefault="00A73707" w:rsidP="005E20A5">
            <w:pPr>
              <w:pStyle w:val="BayerTableStyleCentered"/>
              <w:keepNext/>
              <w:keepLines/>
              <w:widowControl/>
              <w:spacing w:before="0" w:after="0"/>
              <w:rPr>
                <w:szCs w:val="22"/>
              </w:rPr>
            </w:pPr>
            <w:r w:rsidRPr="0063119B">
              <w:rPr>
                <w:szCs w:val="22"/>
                <w:lang w:val="pt-PT"/>
              </w:rPr>
              <w:t>8 (0,1%)</w:t>
            </w:r>
          </w:p>
        </w:tc>
        <w:tc>
          <w:tcPr>
            <w:tcW w:w="1984" w:type="dxa"/>
            <w:gridSpan w:val="2"/>
          </w:tcPr>
          <w:p w14:paraId="60852A25" w14:textId="77777777" w:rsidR="00A73707" w:rsidRPr="0063119B" w:rsidRDefault="00A73707" w:rsidP="005E20A5">
            <w:pPr>
              <w:pStyle w:val="BayerTableStyleCentered"/>
              <w:keepNext/>
              <w:keepLines/>
              <w:widowControl/>
              <w:spacing w:before="0" w:after="0"/>
              <w:rPr>
                <w:szCs w:val="22"/>
              </w:rPr>
            </w:pPr>
            <w:r w:rsidRPr="0063119B">
              <w:rPr>
                <w:szCs w:val="22"/>
                <w:lang w:val="pt-PT"/>
              </w:rPr>
              <w:t>1,24 (0,49; 3,14)</w:t>
            </w:r>
            <w:r w:rsidRPr="0063119B">
              <w:rPr>
                <w:szCs w:val="22"/>
                <w:lang w:val="pt-PT"/>
              </w:rPr>
              <w:br/>
              <w:t>p = 0,65119</w:t>
            </w:r>
          </w:p>
        </w:tc>
      </w:tr>
      <w:tr w:rsidR="00A73707" w:rsidRPr="0063119B" w14:paraId="2AAB1CBB" w14:textId="77777777" w:rsidTr="003311FD">
        <w:trPr>
          <w:cantSplit/>
        </w:trPr>
        <w:tc>
          <w:tcPr>
            <w:tcW w:w="3286" w:type="dxa"/>
          </w:tcPr>
          <w:p w14:paraId="1BAA5771" w14:textId="77777777" w:rsidR="00A73707" w:rsidRPr="0063119B" w:rsidRDefault="00A73707" w:rsidP="006978B3">
            <w:pPr>
              <w:pStyle w:val="BayerTableRowHeadings"/>
              <w:keepLines/>
              <w:widowControl/>
              <w:numPr>
                <w:ilvl w:val="0"/>
                <w:numId w:val="47"/>
              </w:numPr>
              <w:spacing w:after="0"/>
              <w:ind w:left="342" w:hanging="177"/>
              <w:rPr>
                <w:szCs w:val="22"/>
                <w:lang w:val="pt-PT"/>
              </w:rPr>
            </w:pPr>
            <w:r w:rsidRPr="0063119B">
              <w:rPr>
                <w:szCs w:val="22"/>
                <w:lang w:val="pt-PT"/>
              </w:rPr>
              <w:t>Hemorragia que conduz a hospitalização (não fatal, não n</w:t>
            </w:r>
            <w:r w:rsidR="006978B3" w:rsidRPr="0063119B">
              <w:rPr>
                <w:szCs w:val="22"/>
                <w:lang w:val="pt-PT"/>
              </w:rPr>
              <w:t>u</w:t>
            </w:r>
            <w:r w:rsidRPr="0063119B">
              <w:rPr>
                <w:szCs w:val="22"/>
                <w:lang w:val="pt-PT"/>
              </w:rPr>
              <w:t>m órgão crítico; não exige reop</w:t>
            </w:r>
            <w:r w:rsidR="00186506" w:rsidRPr="0063119B">
              <w:rPr>
                <w:szCs w:val="22"/>
                <w:lang w:val="pt-PT"/>
              </w:rPr>
              <w:t>e</w:t>
            </w:r>
            <w:r w:rsidRPr="0063119B">
              <w:rPr>
                <w:szCs w:val="22"/>
                <w:lang w:val="pt-PT"/>
              </w:rPr>
              <w:t>ração)</w:t>
            </w:r>
          </w:p>
        </w:tc>
        <w:tc>
          <w:tcPr>
            <w:tcW w:w="2154" w:type="dxa"/>
          </w:tcPr>
          <w:p w14:paraId="70E94577" w14:textId="77777777" w:rsidR="00A73707" w:rsidRPr="0063119B" w:rsidRDefault="00A73707" w:rsidP="005E20A5">
            <w:pPr>
              <w:pStyle w:val="BayerTableStyleCentered"/>
              <w:keepNext/>
              <w:keepLines/>
              <w:widowControl/>
              <w:spacing w:before="0" w:after="0"/>
              <w:rPr>
                <w:szCs w:val="22"/>
              </w:rPr>
            </w:pPr>
            <w:r w:rsidRPr="0063119B">
              <w:rPr>
                <w:szCs w:val="22"/>
                <w:lang w:val="pt-PT"/>
              </w:rPr>
              <w:t>208 (2,9%)</w:t>
            </w:r>
          </w:p>
        </w:tc>
        <w:tc>
          <w:tcPr>
            <w:tcW w:w="1898" w:type="dxa"/>
          </w:tcPr>
          <w:p w14:paraId="401AE802" w14:textId="77777777" w:rsidR="00A73707" w:rsidRPr="0063119B" w:rsidRDefault="00A73707" w:rsidP="005E20A5">
            <w:pPr>
              <w:pStyle w:val="BayerTableStyleCentered"/>
              <w:keepNext/>
              <w:keepLines/>
              <w:widowControl/>
              <w:spacing w:before="0" w:after="0"/>
              <w:rPr>
                <w:szCs w:val="22"/>
              </w:rPr>
            </w:pPr>
            <w:r w:rsidRPr="0063119B">
              <w:rPr>
                <w:szCs w:val="22"/>
                <w:lang w:val="pt-PT"/>
              </w:rPr>
              <w:t>109 (1,6%)</w:t>
            </w:r>
          </w:p>
        </w:tc>
        <w:tc>
          <w:tcPr>
            <w:tcW w:w="1984" w:type="dxa"/>
            <w:gridSpan w:val="2"/>
          </w:tcPr>
          <w:p w14:paraId="63435F47" w14:textId="77777777" w:rsidR="00A73707" w:rsidRPr="0063119B" w:rsidRDefault="00A73707" w:rsidP="005E20A5">
            <w:pPr>
              <w:pStyle w:val="BayerTableStyleCentered"/>
              <w:keepNext/>
              <w:keepLines/>
              <w:widowControl/>
              <w:spacing w:before="0" w:after="0"/>
              <w:rPr>
                <w:szCs w:val="22"/>
              </w:rPr>
            </w:pPr>
            <w:r w:rsidRPr="0063119B">
              <w:rPr>
                <w:szCs w:val="22"/>
                <w:lang w:val="pt-PT"/>
              </w:rPr>
              <w:t>1,91 (1,51; 2,41)</w:t>
            </w:r>
            <w:r w:rsidRPr="0063119B">
              <w:rPr>
                <w:szCs w:val="22"/>
                <w:lang w:val="pt-PT"/>
              </w:rPr>
              <w:br/>
              <w:t>p &lt; 0,00001</w:t>
            </w:r>
          </w:p>
        </w:tc>
      </w:tr>
      <w:tr w:rsidR="00A73707" w:rsidRPr="0063119B" w14:paraId="11C2511D" w14:textId="77777777" w:rsidTr="003311FD">
        <w:trPr>
          <w:cantSplit/>
        </w:trPr>
        <w:tc>
          <w:tcPr>
            <w:tcW w:w="3286" w:type="dxa"/>
          </w:tcPr>
          <w:p w14:paraId="017A0808" w14:textId="77777777" w:rsidR="00A73707" w:rsidRPr="0063119B" w:rsidRDefault="00A73707" w:rsidP="005E20A5">
            <w:pPr>
              <w:pStyle w:val="BayerTableRowHeadings"/>
              <w:keepLines/>
              <w:widowControl/>
              <w:numPr>
                <w:ilvl w:val="0"/>
                <w:numId w:val="48"/>
              </w:numPr>
              <w:spacing w:after="0"/>
              <w:ind w:hanging="198"/>
              <w:rPr>
                <w:szCs w:val="22"/>
                <w:lang w:val="pt-PT"/>
              </w:rPr>
            </w:pPr>
            <w:r w:rsidRPr="0063119B">
              <w:rPr>
                <w:szCs w:val="22"/>
                <w:lang w:val="pt-PT"/>
              </w:rPr>
              <w:t>Com estadia durante a noite</w:t>
            </w:r>
          </w:p>
        </w:tc>
        <w:tc>
          <w:tcPr>
            <w:tcW w:w="2154" w:type="dxa"/>
          </w:tcPr>
          <w:p w14:paraId="4192C311" w14:textId="77777777" w:rsidR="00A73707" w:rsidRPr="0063119B" w:rsidRDefault="00A73707" w:rsidP="005E20A5">
            <w:pPr>
              <w:pStyle w:val="BayerTableStyleCentered"/>
              <w:keepNext/>
              <w:keepLines/>
              <w:widowControl/>
              <w:spacing w:before="0" w:after="0"/>
              <w:rPr>
                <w:szCs w:val="22"/>
              </w:rPr>
            </w:pPr>
            <w:r w:rsidRPr="0063119B">
              <w:rPr>
                <w:szCs w:val="22"/>
                <w:lang w:val="pt-PT"/>
              </w:rPr>
              <w:t>172 (2,3%)</w:t>
            </w:r>
          </w:p>
        </w:tc>
        <w:tc>
          <w:tcPr>
            <w:tcW w:w="1898" w:type="dxa"/>
          </w:tcPr>
          <w:p w14:paraId="36524ACE" w14:textId="77777777" w:rsidR="00A73707" w:rsidRPr="0063119B" w:rsidRDefault="00A73707" w:rsidP="005E20A5">
            <w:pPr>
              <w:pStyle w:val="BayerTableStyleCentered"/>
              <w:keepNext/>
              <w:keepLines/>
              <w:widowControl/>
              <w:spacing w:before="0" w:after="0"/>
              <w:rPr>
                <w:szCs w:val="22"/>
              </w:rPr>
            </w:pPr>
            <w:r w:rsidRPr="0063119B">
              <w:rPr>
                <w:szCs w:val="22"/>
                <w:lang w:val="pt-PT"/>
              </w:rPr>
              <w:t>90 (1,3%)</w:t>
            </w:r>
          </w:p>
        </w:tc>
        <w:tc>
          <w:tcPr>
            <w:tcW w:w="1984" w:type="dxa"/>
            <w:gridSpan w:val="2"/>
          </w:tcPr>
          <w:p w14:paraId="0E0C87CC" w14:textId="77777777" w:rsidR="00A73707" w:rsidRPr="0063119B" w:rsidRDefault="00A73707" w:rsidP="005E20A5">
            <w:pPr>
              <w:pStyle w:val="BayerTableStyleCentered"/>
              <w:keepNext/>
              <w:keepLines/>
              <w:widowControl/>
              <w:spacing w:before="0" w:after="0"/>
              <w:rPr>
                <w:szCs w:val="22"/>
              </w:rPr>
            </w:pPr>
            <w:r w:rsidRPr="0063119B">
              <w:rPr>
                <w:szCs w:val="22"/>
                <w:lang w:val="pt-PT"/>
              </w:rPr>
              <w:t>1,91 (1,48; 2,46)</w:t>
            </w:r>
            <w:r w:rsidRPr="0063119B">
              <w:rPr>
                <w:szCs w:val="22"/>
                <w:lang w:val="pt-PT"/>
              </w:rPr>
              <w:br/>
              <w:t>p &lt; 0,00001</w:t>
            </w:r>
          </w:p>
        </w:tc>
      </w:tr>
      <w:tr w:rsidR="00A73707" w:rsidRPr="0063119B" w14:paraId="582E8C37" w14:textId="77777777" w:rsidTr="003311FD">
        <w:trPr>
          <w:cantSplit/>
        </w:trPr>
        <w:tc>
          <w:tcPr>
            <w:tcW w:w="3286" w:type="dxa"/>
          </w:tcPr>
          <w:p w14:paraId="66AE7B42" w14:textId="77777777" w:rsidR="00A73707" w:rsidRPr="0063119B" w:rsidRDefault="00A73707" w:rsidP="005E20A5">
            <w:pPr>
              <w:pStyle w:val="BayerTableRowHeadings"/>
              <w:keepLines/>
              <w:widowControl/>
              <w:numPr>
                <w:ilvl w:val="0"/>
                <w:numId w:val="48"/>
              </w:numPr>
              <w:spacing w:after="0"/>
              <w:ind w:hanging="198"/>
              <w:rPr>
                <w:szCs w:val="22"/>
                <w:lang w:val="pt-PT"/>
              </w:rPr>
            </w:pPr>
            <w:r w:rsidRPr="0063119B">
              <w:rPr>
                <w:szCs w:val="22"/>
                <w:lang w:val="pt-PT"/>
              </w:rPr>
              <w:t>Sem estadia durante a noite</w:t>
            </w:r>
          </w:p>
        </w:tc>
        <w:tc>
          <w:tcPr>
            <w:tcW w:w="2154" w:type="dxa"/>
          </w:tcPr>
          <w:p w14:paraId="4EBB75E2" w14:textId="77777777" w:rsidR="00A73707" w:rsidRPr="0063119B" w:rsidRDefault="00A73707" w:rsidP="005E20A5">
            <w:pPr>
              <w:pStyle w:val="BayerTableStyleCentered"/>
              <w:keepNext/>
              <w:keepLines/>
              <w:widowControl/>
              <w:spacing w:before="0" w:after="0"/>
              <w:rPr>
                <w:szCs w:val="22"/>
              </w:rPr>
            </w:pPr>
            <w:r w:rsidRPr="0063119B">
              <w:rPr>
                <w:szCs w:val="22"/>
                <w:lang w:val="pt-PT"/>
              </w:rPr>
              <w:t>36 (0,5%)</w:t>
            </w:r>
          </w:p>
        </w:tc>
        <w:tc>
          <w:tcPr>
            <w:tcW w:w="1898" w:type="dxa"/>
          </w:tcPr>
          <w:p w14:paraId="08A62FF4" w14:textId="77777777" w:rsidR="00A73707" w:rsidRPr="0063119B" w:rsidRDefault="00A73707" w:rsidP="005E20A5">
            <w:pPr>
              <w:pStyle w:val="BayerTableStyleCentered"/>
              <w:keepNext/>
              <w:keepLines/>
              <w:widowControl/>
              <w:spacing w:before="0" w:after="0"/>
              <w:rPr>
                <w:szCs w:val="22"/>
              </w:rPr>
            </w:pPr>
            <w:r w:rsidRPr="0063119B">
              <w:rPr>
                <w:szCs w:val="22"/>
                <w:lang w:val="pt-PT"/>
              </w:rPr>
              <w:t>21 (0,3%)</w:t>
            </w:r>
          </w:p>
        </w:tc>
        <w:tc>
          <w:tcPr>
            <w:tcW w:w="1984" w:type="dxa"/>
            <w:gridSpan w:val="2"/>
          </w:tcPr>
          <w:p w14:paraId="6A8A56BD" w14:textId="77777777" w:rsidR="00A73707" w:rsidRPr="0063119B" w:rsidRDefault="00A73707" w:rsidP="005E20A5">
            <w:pPr>
              <w:pStyle w:val="BayerTableStyleCentered"/>
              <w:keepNext/>
              <w:keepLines/>
              <w:widowControl/>
              <w:spacing w:before="0" w:after="0"/>
              <w:rPr>
                <w:szCs w:val="22"/>
              </w:rPr>
            </w:pPr>
            <w:r w:rsidRPr="0063119B">
              <w:rPr>
                <w:szCs w:val="22"/>
                <w:lang w:val="pt-PT"/>
              </w:rPr>
              <w:t>1,70 (0,99; 2,92)</w:t>
            </w:r>
            <w:r w:rsidRPr="0063119B">
              <w:rPr>
                <w:szCs w:val="22"/>
                <w:lang w:val="pt-PT"/>
              </w:rPr>
              <w:br/>
              <w:t>p = 0,04983</w:t>
            </w:r>
          </w:p>
        </w:tc>
      </w:tr>
      <w:tr w:rsidR="00A73707" w:rsidRPr="0063119B" w14:paraId="3D4C2967" w14:textId="77777777" w:rsidTr="003311FD">
        <w:trPr>
          <w:cantSplit/>
        </w:trPr>
        <w:tc>
          <w:tcPr>
            <w:tcW w:w="3286" w:type="dxa"/>
          </w:tcPr>
          <w:p w14:paraId="0CC607FB" w14:textId="77777777" w:rsidR="00A73707" w:rsidRPr="0063119B" w:rsidRDefault="002F7E84" w:rsidP="001B0380">
            <w:pPr>
              <w:pStyle w:val="BayerTableRowHeadings"/>
              <w:keepLines/>
              <w:widowControl/>
              <w:spacing w:after="0"/>
              <w:rPr>
                <w:szCs w:val="22"/>
                <w:lang w:val="pt-PT"/>
              </w:rPr>
            </w:pPr>
            <w:r w:rsidRPr="0063119B">
              <w:rPr>
                <w:szCs w:val="22"/>
                <w:lang w:val="pt-PT"/>
              </w:rPr>
              <w:t>H</w:t>
            </w:r>
            <w:r w:rsidR="00A73707" w:rsidRPr="0063119B">
              <w:rPr>
                <w:szCs w:val="22"/>
                <w:lang w:val="pt-PT"/>
              </w:rPr>
              <w:t>emorragia gastrointestinal</w:t>
            </w:r>
            <w:r w:rsidRPr="0063119B">
              <w:rPr>
                <w:szCs w:val="22"/>
                <w:lang w:val="pt-PT"/>
              </w:rPr>
              <w:t xml:space="preserve"> principal</w:t>
            </w:r>
            <w:r w:rsidR="00A73707" w:rsidRPr="0063119B">
              <w:rPr>
                <w:szCs w:val="22"/>
                <w:lang w:val="pt-PT"/>
              </w:rPr>
              <w:t xml:space="preserve"> </w:t>
            </w:r>
          </w:p>
        </w:tc>
        <w:tc>
          <w:tcPr>
            <w:tcW w:w="2154" w:type="dxa"/>
          </w:tcPr>
          <w:p w14:paraId="242CCE2D" w14:textId="77777777" w:rsidR="00A73707" w:rsidRPr="0063119B" w:rsidRDefault="00A73707" w:rsidP="005E20A5">
            <w:pPr>
              <w:pStyle w:val="BayerTableStyleCentered"/>
              <w:keepNext/>
              <w:keepLines/>
              <w:widowControl/>
              <w:spacing w:before="0" w:after="0"/>
              <w:rPr>
                <w:szCs w:val="22"/>
              </w:rPr>
            </w:pPr>
            <w:r w:rsidRPr="0063119B">
              <w:rPr>
                <w:szCs w:val="22"/>
                <w:lang w:val="pt-PT"/>
              </w:rPr>
              <w:t>140 (2,0%)</w:t>
            </w:r>
          </w:p>
        </w:tc>
        <w:tc>
          <w:tcPr>
            <w:tcW w:w="1898" w:type="dxa"/>
          </w:tcPr>
          <w:p w14:paraId="65EE4B58" w14:textId="77777777" w:rsidR="00A73707" w:rsidRPr="0063119B" w:rsidRDefault="00A73707" w:rsidP="005E20A5">
            <w:pPr>
              <w:pStyle w:val="BayerTableStyleCentered"/>
              <w:keepNext/>
              <w:keepLines/>
              <w:widowControl/>
              <w:spacing w:before="0" w:after="0"/>
              <w:rPr>
                <w:szCs w:val="22"/>
              </w:rPr>
            </w:pPr>
            <w:r w:rsidRPr="0063119B">
              <w:rPr>
                <w:szCs w:val="22"/>
                <w:lang w:val="pt-PT"/>
              </w:rPr>
              <w:t>65 (1,1%)</w:t>
            </w:r>
          </w:p>
        </w:tc>
        <w:tc>
          <w:tcPr>
            <w:tcW w:w="1984" w:type="dxa"/>
            <w:gridSpan w:val="2"/>
          </w:tcPr>
          <w:p w14:paraId="01CD5540" w14:textId="77777777" w:rsidR="00A73707" w:rsidRPr="0063119B" w:rsidRDefault="00A73707" w:rsidP="005E20A5">
            <w:pPr>
              <w:pStyle w:val="BayerTableStyleCentered"/>
              <w:keepNext/>
              <w:keepLines/>
              <w:widowControl/>
              <w:spacing w:before="0" w:after="0"/>
              <w:rPr>
                <w:szCs w:val="22"/>
              </w:rPr>
            </w:pPr>
            <w:r w:rsidRPr="0063119B">
              <w:rPr>
                <w:szCs w:val="22"/>
                <w:lang w:val="pt-PT"/>
              </w:rPr>
              <w:t>2,15 (1,60; 2,89)</w:t>
            </w:r>
            <w:r w:rsidRPr="0063119B">
              <w:rPr>
                <w:szCs w:val="22"/>
                <w:lang w:val="pt-PT"/>
              </w:rPr>
              <w:br/>
              <w:t>p &lt; 0,00001</w:t>
            </w:r>
          </w:p>
        </w:tc>
      </w:tr>
      <w:tr w:rsidR="00A73707" w:rsidRPr="0063119B" w14:paraId="2F8B1C5A" w14:textId="77777777" w:rsidTr="003311FD">
        <w:trPr>
          <w:cantSplit/>
        </w:trPr>
        <w:tc>
          <w:tcPr>
            <w:tcW w:w="3286" w:type="dxa"/>
          </w:tcPr>
          <w:p w14:paraId="2DDD3441" w14:textId="77777777" w:rsidR="00A73707" w:rsidRPr="0063119B" w:rsidRDefault="002F7E84" w:rsidP="00216E4B">
            <w:pPr>
              <w:pStyle w:val="BayerTableRowHeadings"/>
              <w:keepLines/>
              <w:spacing w:after="0"/>
              <w:rPr>
                <w:szCs w:val="22"/>
                <w:lang w:val="pt-PT"/>
              </w:rPr>
            </w:pPr>
            <w:r w:rsidRPr="0063119B">
              <w:rPr>
                <w:szCs w:val="22"/>
                <w:lang w:val="pt-PT"/>
              </w:rPr>
              <w:t>H</w:t>
            </w:r>
            <w:r w:rsidR="00A73707" w:rsidRPr="0063119B">
              <w:rPr>
                <w:szCs w:val="22"/>
                <w:lang w:val="pt-PT"/>
              </w:rPr>
              <w:t>emorragia intracraniana</w:t>
            </w:r>
            <w:r w:rsidRPr="0063119B">
              <w:rPr>
                <w:szCs w:val="22"/>
                <w:lang w:val="pt-PT"/>
              </w:rPr>
              <w:t xml:space="preserve"> principal</w:t>
            </w:r>
            <w:r w:rsidR="00A73707" w:rsidRPr="0063119B">
              <w:rPr>
                <w:szCs w:val="22"/>
                <w:lang w:val="pt-PT"/>
              </w:rPr>
              <w:t xml:space="preserve"> </w:t>
            </w:r>
          </w:p>
        </w:tc>
        <w:tc>
          <w:tcPr>
            <w:tcW w:w="2154" w:type="dxa"/>
          </w:tcPr>
          <w:p w14:paraId="1A2A784F" w14:textId="77777777" w:rsidR="00A73707" w:rsidRPr="0063119B" w:rsidRDefault="00A73707" w:rsidP="00D713B4">
            <w:pPr>
              <w:pStyle w:val="BayerTableStyleCentered"/>
              <w:keepNext/>
              <w:keepLines/>
              <w:widowControl/>
              <w:spacing w:before="0" w:after="0"/>
              <w:rPr>
                <w:szCs w:val="22"/>
              </w:rPr>
            </w:pPr>
            <w:r w:rsidRPr="0063119B">
              <w:rPr>
                <w:szCs w:val="22"/>
                <w:lang w:val="pt-PT"/>
              </w:rPr>
              <w:t>28 (0,4%)</w:t>
            </w:r>
          </w:p>
        </w:tc>
        <w:tc>
          <w:tcPr>
            <w:tcW w:w="1898" w:type="dxa"/>
          </w:tcPr>
          <w:p w14:paraId="6A56283E" w14:textId="77777777" w:rsidR="00A73707" w:rsidRPr="0063119B" w:rsidRDefault="00A73707" w:rsidP="00D713B4">
            <w:pPr>
              <w:pStyle w:val="BayerTableStyleCentered"/>
              <w:keepNext/>
              <w:keepLines/>
              <w:widowControl/>
              <w:spacing w:before="0" w:after="0"/>
              <w:rPr>
                <w:szCs w:val="22"/>
              </w:rPr>
            </w:pPr>
            <w:r w:rsidRPr="0063119B">
              <w:rPr>
                <w:szCs w:val="22"/>
                <w:lang w:val="pt-PT"/>
              </w:rPr>
              <w:t>24 (0,3%)</w:t>
            </w:r>
          </w:p>
        </w:tc>
        <w:tc>
          <w:tcPr>
            <w:tcW w:w="1984" w:type="dxa"/>
            <w:gridSpan w:val="2"/>
          </w:tcPr>
          <w:p w14:paraId="0652BF8C" w14:textId="77777777" w:rsidR="00A73707" w:rsidRPr="0063119B" w:rsidRDefault="00A73707" w:rsidP="00D713B4">
            <w:pPr>
              <w:pStyle w:val="BayerTableStyleCentered"/>
              <w:keepNext/>
              <w:keepLines/>
              <w:widowControl/>
              <w:spacing w:before="0" w:after="0"/>
              <w:rPr>
                <w:szCs w:val="22"/>
              </w:rPr>
            </w:pPr>
            <w:r w:rsidRPr="0063119B">
              <w:rPr>
                <w:szCs w:val="22"/>
                <w:lang w:val="pt-PT"/>
              </w:rPr>
              <w:t>1,16 (0,67; 2,00)</w:t>
            </w:r>
            <w:r w:rsidRPr="0063119B">
              <w:rPr>
                <w:szCs w:val="22"/>
                <w:lang w:val="pt-PT"/>
              </w:rPr>
              <w:br/>
              <w:t>p = 0,59858</w:t>
            </w:r>
          </w:p>
        </w:tc>
      </w:tr>
      <w:tr w:rsidR="00A73707" w:rsidRPr="0063119B" w14:paraId="18F2BB27" w14:textId="77777777" w:rsidTr="00331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rPr>
          <w:gridAfter w:val="1"/>
          <w:wAfter w:w="283" w:type="dxa"/>
        </w:trPr>
        <w:tc>
          <w:tcPr>
            <w:tcW w:w="9039" w:type="dxa"/>
            <w:gridSpan w:val="4"/>
          </w:tcPr>
          <w:p w14:paraId="06CB6EE8" w14:textId="77777777" w:rsidR="00A73707" w:rsidRPr="0063119B" w:rsidRDefault="00A73707" w:rsidP="00D713B4">
            <w:pPr>
              <w:pStyle w:val="BayerTableFootnote"/>
              <w:spacing w:after="0"/>
              <w:rPr>
                <w:szCs w:val="22"/>
                <w:lang w:val="pt-PT"/>
              </w:rPr>
            </w:pPr>
            <w:r w:rsidRPr="0063119B">
              <w:rPr>
                <w:szCs w:val="22"/>
                <w:lang w:val="pt-PT"/>
              </w:rPr>
              <w:t>a)</w:t>
            </w:r>
            <w:r w:rsidRPr="0063119B">
              <w:rPr>
                <w:szCs w:val="22"/>
                <w:lang w:val="pt-PT"/>
              </w:rPr>
              <w:tab/>
              <w:t>Conjunto de análise de intenção</w:t>
            </w:r>
            <w:r w:rsidR="006978B3" w:rsidRPr="0063119B">
              <w:rPr>
                <w:szCs w:val="22"/>
                <w:lang w:val="pt-PT"/>
              </w:rPr>
              <w:t xml:space="preserve"> de tratar, análises primárias</w:t>
            </w:r>
          </w:p>
          <w:p w14:paraId="456A7553" w14:textId="77777777" w:rsidR="00A73707" w:rsidRPr="0063119B" w:rsidRDefault="00A73707" w:rsidP="00D713B4">
            <w:pPr>
              <w:pStyle w:val="BayerTableFootnote"/>
              <w:spacing w:after="0"/>
              <w:rPr>
                <w:szCs w:val="22"/>
                <w:lang w:val="es-ES"/>
              </w:rPr>
            </w:pPr>
            <w:r w:rsidRPr="0063119B">
              <w:rPr>
                <w:szCs w:val="22"/>
                <w:lang w:val="es-ES"/>
              </w:rPr>
              <w:t>b)</w:t>
            </w:r>
            <w:r w:rsidRPr="0063119B">
              <w:rPr>
                <w:szCs w:val="22"/>
                <w:lang w:val="es-ES"/>
              </w:rPr>
              <w:tab/>
              <w:t>vs. A</w:t>
            </w:r>
            <w:r w:rsidR="004451DF" w:rsidRPr="0063119B">
              <w:rPr>
                <w:szCs w:val="22"/>
                <w:lang w:val="es-ES"/>
              </w:rPr>
              <w:t>AS</w:t>
            </w:r>
            <w:r w:rsidRPr="0063119B">
              <w:rPr>
                <w:szCs w:val="22"/>
                <w:lang w:val="es-ES"/>
              </w:rPr>
              <w:t xml:space="preserve"> 100 mg; valor</w:t>
            </w:r>
            <w:r w:rsidR="004451DF" w:rsidRPr="0063119B">
              <w:rPr>
                <w:szCs w:val="22"/>
                <w:lang w:val="es-ES"/>
              </w:rPr>
              <w:t>-</w:t>
            </w:r>
            <w:r w:rsidRPr="0063119B">
              <w:rPr>
                <w:szCs w:val="22"/>
                <w:lang w:val="es-ES"/>
              </w:rPr>
              <w:t xml:space="preserve">p por </w:t>
            </w:r>
            <w:r w:rsidRPr="0063119B">
              <w:rPr>
                <w:i/>
                <w:iCs/>
                <w:szCs w:val="22"/>
                <w:lang w:val="es-ES"/>
              </w:rPr>
              <w:t>Log-Rank</w:t>
            </w:r>
          </w:p>
          <w:p w14:paraId="2023D017" w14:textId="77777777" w:rsidR="00A73707" w:rsidRPr="0063119B" w:rsidRDefault="00A73707" w:rsidP="00D713B4">
            <w:pPr>
              <w:pStyle w:val="BayerTableFootnote"/>
              <w:spacing w:after="0"/>
              <w:ind w:left="0" w:firstLine="0"/>
              <w:rPr>
                <w:szCs w:val="22"/>
                <w:lang w:val="pt-PT"/>
              </w:rPr>
            </w:pPr>
            <w:r w:rsidRPr="0063119B">
              <w:rPr>
                <w:szCs w:val="22"/>
                <w:lang w:val="pt-PT"/>
              </w:rPr>
              <w:t xml:space="preserve">bid: duas vezes por dia; IC, intervalo de confiança; Risco cum.: Risco cumulativo de incidência (estimativas de Kaplan-Meier) ao fim de 30 meses; ISTH: </w:t>
            </w:r>
            <w:r w:rsidRPr="0063119B">
              <w:rPr>
                <w:rStyle w:val="BayerBodyTextFullChar"/>
                <w:i/>
                <w:iCs/>
                <w:sz w:val="22"/>
                <w:szCs w:val="22"/>
                <w:lang w:val="pt-PT"/>
              </w:rPr>
              <w:t>International Society on Thrombosis and Haemostasis</w:t>
            </w:r>
            <w:r w:rsidRPr="0063119B">
              <w:rPr>
                <w:rStyle w:val="BayerBodyTextFullChar"/>
                <w:sz w:val="22"/>
                <w:szCs w:val="22"/>
                <w:lang w:val="pt-PT"/>
              </w:rPr>
              <w:t xml:space="preserve">; </w:t>
            </w:r>
            <w:r w:rsidRPr="0063119B">
              <w:rPr>
                <w:szCs w:val="22"/>
                <w:lang w:val="pt-PT"/>
              </w:rPr>
              <w:t>od: uma vez por dia.</w:t>
            </w:r>
          </w:p>
        </w:tc>
      </w:tr>
    </w:tbl>
    <w:p w14:paraId="330294DF" w14:textId="77777777" w:rsidR="00A73707" w:rsidRPr="0063119B" w:rsidRDefault="00A73707" w:rsidP="00A73707">
      <w:pPr>
        <w:rPr>
          <w:b/>
          <w:szCs w:val="22"/>
        </w:rPr>
      </w:pPr>
    </w:p>
    <w:p w14:paraId="0515F05A" w14:textId="77777777" w:rsidR="001B7699" w:rsidRPr="0063119B" w:rsidRDefault="00A73707" w:rsidP="005E20A5">
      <w:pPr>
        <w:keepNext/>
        <w:rPr>
          <w:b/>
          <w:bCs/>
          <w:szCs w:val="22"/>
        </w:rPr>
      </w:pPr>
      <w:r w:rsidRPr="0063119B">
        <w:rPr>
          <w:b/>
          <w:bCs/>
          <w:szCs w:val="22"/>
        </w:rPr>
        <w:lastRenderedPageBreak/>
        <w:t xml:space="preserve">Figura 2: Período de tempo até à primeira ocorrência do critério de avaliação primário de eficácia (acidente vascular cerebral, enfarte do miocárdio, morte cardiovascular) </w:t>
      </w:r>
      <w:r w:rsidR="00674552" w:rsidRPr="0063119B">
        <w:rPr>
          <w:b/>
          <w:bCs/>
          <w:szCs w:val="22"/>
        </w:rPr>
        <w:t>no</w:t>
      </w:r>
      <w:r w:rsidRPr="0063119B">
        <w:rPr>
          <w:b/>
          <w:bCs/>
          <w:szCs w:val="22"/>
        </w:rPr>
        <w:t xml:space="preserve"> COMPASS</w:t>
      </w:r>
    </w:p>
    <w:p w14:paraId="35B26F28" w14:textId="77777777" w:rsidR="00674552" w:rsidRPr="0063119B" w:rsidRDefault="000A57E2" w:rsidP="005E20A5">
      <w:pPr>
        <w:keepNext/>
        <w:rPr>
          <w:b/>
          <w:bCs/>
          <w:szCs w:val="22"/>
        </w:rPr>
      </w:pPr>
      <w:r w:rsidRPr="0063119B">
        <w:rPr>
          <w:noProof/>
          <w:szCs w:val="22"/>
          <w:lang w:val="en-IN" w:eastAsia="en-IN"/>
        </w:rPr>
        <mc:AlternateContent>
          <mc:Choice Requires="wps">
            <w:drawing>
              <wp:anchor distT="0" distB="0" distL="114300" distR="114300" simplePos="0" relativeHeight="251664384" behindDoc="0" locked="0" layoutInCell="1" allowOverlap="1" wp14:anchorId="54ABB0BC" wp14:editId="59A808F1">
                <wp:simplePos x="0" y="0"/>
                <wp:positionH relativeFrom="column">
                  <wp:posOffset>-59055</wp:posOffset>
                </wp:positionH>
                <wp:positionV relativeFrom="paragraph">
                  <wp:posOffset>3416935</wp:posOffset>
                </wp:positionV>
                <wp:extent cx="1733550" cy="307340"/>
                <wp:effectExtent l="0" t="0" r="1905"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5604F" w14:textId="77777777" w:rsidR="00F03D43" w:rsidRDefault="00F03D43" w:rsidP="00B028BC">
                            <w:pPr>
                              <w:jc w:val="right"/>
                              <w:rPr>
                                <w:b/>
                                <w:bCs/>
                                <w:sz w:val="14"/>
                                <w:szCs w:val="14"/>
                                <w:lang w:val="en-US"/>
                              </w:rPr>
                            </w:pPr>
                            <w:r>
                              <w:rPr>
                                <w:b/>
                                <w:bCs/>
                                <w:sz w:val="14"/>
                                <w:szCs w:val="14"/>
                                <w:lang w:val="en-US"/>
                              </w:rPr>
                              <w:t>Rivaroxabano</w:t>
                            </w:r>
                            <w:r w:rsidRPr="00A478B7">
                              <w:rPr>
                                <w:b/>
                                <w:bCs/>
                                <w:sz w:val="14"/>
                                <w:szCs w:val="14"/>
                                <w:lang w:val="en-US"/>
                              </w:rPr>
                              <w:t xml:space="preserve"> 2</w:t>
                            </w:r>
                            <w:r>
                              <w:rPr>
                                <w:b/>
                                <w:bCs/>
                                <w:sz w:val="14"/>
                                <w:szCs w:val="14"/>
                                <w:lang w:val="en-US"/>
                              </w:rPr>
                              <w:t>,</w:t>
                            </w:r>
                            <w:r w:rsidRPr="00A478B7">
                              <w:rPr>
                                <w:b/>
                                <w:bCs/>
                                <w:sz w:val="14"/>
                                <w:szCs w:val="14"/>
                                <w:lang w:val="en-US"/>
                              </w:rPr>
                              <w:t>5 mg bid</w:t>
                            </w:r>
                            <w:r>
                              <w:rPr>
                                <w:b/>
                                <w:bCs/>
                                <w:sz w:val="14"/>
                                <w:szCs w:val="14"/>
                                <w:lang w:val="en-US"/>
                              </w:rPr>
                              <w:t xml:space="preserve"> +</w:t>
                            </w:r>
                            <w:r w:rsidRPr="00A478B7">
                              <w:rPr>
                                <w:b/>
                                <w:bCs/>
                                <w:sz w:val="14"/>
                                <w:szCs w:val="14"/>
                                <w:lang w:val="en-US"/>
                              </w:rPr>
                              <w:t>A</w:t>
                            </w:r>
                            <w:r>
                              <w:rPr>
                                <w:b/>
                                <w:bCs/>
                                <w:sz w:val="14"/>
                                <w:szCs w:val="14"/>
                                <w:lang w:val="en-US"/>
                              </w:rPr>
                              <w:t>A</w:t>
                            </w:r>
                            <w:r w:rsidRPr="00A478B7">
                              <w:rPr>
                                <w:b/>
                                <w:bCs/>
                                <w:sz w:val="14"/>
                                <w:szCs w:val="14"/>
                                <w:lang w:val="en-US"/>
                              </w:rPr>
                              <w:t>S 100 mg od</w:t>
                            </w:r>
                          </w:p>
                          <w:p w14:paraId="3A0C5B31" w14:textId="77777777" w:rsidR="00F03D43" w:rsidRPr="001B6FEC" w:rsidRDefault="00F03D43" w:rsidP="001B6FEC">
                            <w:pPr>
                              <w:jc w:val="center"/>
                              <w:rPr>
                                <w:b/>
                                <w:bCs/>
                                <w:sz w:val="6"/>
                                <w:szCs w:val="6"/>
                                <w:lang w:val="en-US"/>
                              </w:rPr>
                            </w:pPr>
                          </w:p>
                          <w:p w14:paraId="07132BE3" w14:textId="77777777" w:rsidR="00F03D43" w:rsidRPr="00A478B7" w:rsidRDefault="00F03D43" w:rsidP="00B028BC">
                            <w:pPr>
                              <w:jc w:val="right"/>
                              <w:rPr>
                                <w:b/>
                                <w:bCs/>
                                <w:sz w:val="14"/>
                                <w:szCs w:val="14"/>
                                <w:lang w:val="en-US"/>
                              </w:rPr>
                            </w:pPr>
                            <w:r w:rsidRPr="00A478B7">
                              <w:rPr>
                                <w:b/>
                                <w:bCs/>
                                <w:sz w:val="14"/>
                                <w:szCs w:val="14"/>
                                <w:lang w:val="en-US"/>
                              </w:rPr>
                              <w:t>A</w:t>
                            </w:r>
                            <w:r>
                              <w:rPr>
                                <w:b/>
                                <w:bCs/>
                                <w:sz w:val="14"/>
                                <w:szCs w:val="14"/>
                                <w:lang w:val="en-US"/>
                              </w:rPr>
                              <w:t>A</w:t>
                            </w:r>
                            <w:r w:rsidRPr="00A478B7">
                              <w:rPr>
                                <w:b/>
                                <w:bCs/>
                                <w:sz w:val="14"/>
                                <w:szCs w:val="14"/>
                                <w:lang w:val="en-US"/>
                              </w:rPr>
                              <w:t>S</w:t>
                            </w:r>
                            <w:r>
                              <w:rPr>
                                <w:b/>
                                <w:bCs/>
                                <w:sz w:val="14"/>
                                <w:szCs w:val="14"/>
                                <w:lang w:val="en-US"/>
                              </w:rPr>
                              <w:t xml:space="preserve"> 100 mg od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BB0BC" id="_x0000_s1033" type="#_x0000_t202" style="position:absolute;margin-left:-4.65pt;margin-top:269.05pt;width:136.5pt;height:2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" stroked="f">
                <v:textbox inset="0,0,0,0">
                  <w:txbxContent>
                    <w:p w14:paraId="07C5604F" w14:textId="77777777" w:rsidR="00F03D43" w:rsidRDefault="00F03D43" w:rsidP="00B028BC">
                      <w:pPr>
                        <w:jc w:val="right"/>
                        <w:rPr>
                          <w:b/>
                          <w:bCs/>
                          <w:sz w:val="14"/>
                          <w:szCs w:val="14"/>
                          <w:lang w:val="en-US"/>
                        </w:rPr>
                      </w:pPr>
                      <w:r>
                        <w:rPr>
                          <w:b/>
                          <w:bCs/>
                          <w:sz w:val="14"/>
                          <w:szCs w:val="14"/>
                          <w:lang w:val="en-US"/>
                        </w:rPr>
                        <w:t>Rivaroxabano</w:t>
                      </w:r>
                      <w:r w:rsidRPr="00A478B7">
                        <w:rPr>
                          <w:b/>
                          <w:bCs/>
                          <w:sz w:val="14"/>
                          <w:szCs w:val="14"/>
                          <w:lang w:val="en-US"/>
                        </w:rPr>
                        <w:t xml:space="preserve"> 2</w:t>
                      </w:r>
                      <w:r>
                        <w:rPr>
                          <w:b/>
                          <w:bCs/>
                          <w:sz w:val="14"/>
                          <w:szCs w:val="14"/>
                          <w:lang w:val="en-US"/>
                        </w:rPr>
                        <w:t>,</w:t>
                      </w:r>
                      <w:r w:rsidRPr="00A478B7">
                        <w:rPr>
                          <w:b/>
                          <w:bCs/>
                          <w:sz w:val="14"/>
                          <w:szCs w:val="14"/>
                          <w:lang w:val="en-US"/>
                        </w:rPr>
                        <w:t>5 mg bid</w:t>
                      </w:r>
                      <w:r>
                        <w:rPr>
                          <w:b/>
                          <w:bCs/>
                          <w:sz w:val="14"/>
                          <w:szCs w:val="14"/>
                          <w:lang w:val="en-US"/>
                        </w:rPr>
                        <w:t xml:space="preserve"> +</w:t>
                      </w:r>
                      <w:r w:rsidRPr="00A478B7">
                        <w:rPr>
                          <w:b/>
                          <w:bCs/>
                          <w:sz w:val="14"/>
                          <w:szCs w:val="14"/>
                          <w:lang w:val="en-US"/>
                        </w:rPr>
                        <w:t>A</w:t>
                      </w:r>
                      <w:r>
                        <w:rPr>
                          <w:b/>
                          <w:bCs/>
                          <w:sz w:val="14"/>
                          <w:szCs w:val="14"/>
                          <w:lang w:val="en-US"/>
                        </w:rPr>
                        <w:t>A</w:t>
                      </w:r>
                      <w:r w:rsidRPr="00A478B7">
                        <w:rPr>
                          <w:b/>
                          <w:bCs/>
                          <w:sz w:val="14"/>
                          <w:szCs w:val="14"/>
                          <w:lang w:val="en-US"/>
                        </w:rPr>
                        <w:t>S 100 mg od</w:t>
                      </w:r>
                    </w:p>
                    <w:p w14:paraId="3A0C5B31" w14:textId="77777777" w:rsidR="00F03D43" w:rsidRPr="001B6FEC" w:rsidRDefault="00F03D43" w:rsidP="001B6FEC">
                      <w:pPr>
                        <w:jc w:val="center"/>
                        <w:rPr>
                          <w:b/>
                          <w:bCs/>
                          <w:sz w:val="6"/>
                          <w:szCs w:val="6"/>
                          <w:lang w:val="en-US"/>
                        </w:rPr>
                      </w:pPr>
                    </w:p>
                    <w:p w14:paraId="07132BE3" w14:textId="77777777" w:rsidR="00F03D43" w:rsidRPr="00A478B7" w:rsidRDefault="00F03D43" w:rsidP="00B028BC">
                      <w:pPr>
                        <w:jc w:val="right"/>
                        <w:rPr>
                          <w:b/>
                          <w:bCs/>
                          <w:sz w:val="14"/>
                          <w:szCs w:val="14"/>
                          <w:lang w:val="en-US"/>
                        </w:rPr>
                      </w:pPr>
                      <w:r w:rsidRPr="00A478B7">
                        <w:rPr>
                          <w:b/>
                          <w:bCs/>
                          <w:sz w:val="14"/>
                          <w:szCs w:val="14"/>
                          <w:lang w:val="en-US"/>
                        </w:rPr>
                        <w:t>A</w:t>
                      </w:r>
                      <w:r>
                        <w:rPr>
                          <w:b/>
                          <w:bCs/>
                          <w:sz w:val="14"/>
                          <w:szCs w:val="14"/>
                          <w:lang w:val="en-US"/>
                        </w:rPr>
                        <w:t>A</w:t>
                      </w:r>
                      <w:r w:rsidRPr="00A478B7">
                        <w:rPr>
                          <w:b/>
                          <w:bCs/>
                          <w:sz w:val="14"/>
                          <w:szCs w:val="14"/>
                          <w:lang w:val="en-US"/>
                        </w:rPr>
                        <w:t>S</w:t>
                      </w:r>
                      <w:r>
                        <w:rPr>
                          <w:b/>
                          <w:bCs/>
                          <w:sz w:val="14"/>
                          <w:szCs w:val="14"/>
                          <w:lang w:val="en-US"/>
                        </w:rPr>
                        <w:t xml:space="preserve"> 100 mg od</w:t>
                      </w:r>
                    </w:p>
                  </w:txbxContent>
                </v:textbox>
              </v:shape>
            </w:pict>
          </mc:Fallback>
        </mc:AlternateContent>
      </w:r>
      <w:r w:rsidRPr="0063119B">
        <w:rPr>
          <w:noProof/>
          <w:szCs w:val="22"/>
          <w:lang w:val="en-IN" w:eastAsia="en-IN"/>
        </w:rPr>
        <mc:AlternateContent>
          <mc:Choice Requires="wps">
            <w:drawing>
              <wp:anchor distT="0" distB="0" distL="114300" distR="114300" simplePos="0" relativeHeight="251657216" behindDoc="0" locked="0" layoutInCell="1" allowOverlap="1" wp14:anchorId="1E6BEDEE" wp14:editId="2D9377EA">
                <wp:simplePos x="0" y="0"/>
                <wp:positionH relativeFrom="column">
                  <wp:posOffset>1768475</wp:posOffset>
                </wp:positionH>
                <wp:positionV relativeFrom="paragraph">
                  <wp:posOffset>536575</wp:posOffset>
                </wp:positionV>
                <wp:extent cx="2265045" cy="474980"/>
                <wp:effectExtent l="6350" t="12700" r="5080" b="762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749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6D6CDED" w14:textId="77777777" w:rsidR="00F03D43" w:rsidRPr="009F517E" w:rsidRDefault="00F03D43" w:rsidP="00B028BC">
                            <w:pPr>
                              <w:rPr>
                                <w:sz w:val="14"/>
                                <w:szCs w:val="14"/>
                              </w:rPr>
                            </w:pPr>
                            <w:r w:rsidRPr="003311FD">
                              <w:rPr>
                                <w:sz w:val="14"/>
                                <w:szCs w:val="14"/>
                              </w:rPr>
                              <w:t xml:space="preserve">Estimativas de </w:t>
                            </w:r>
                            <w:r w:rsidRPr="009F517E">
                              <w:rPr>
                                <w:sz w:val="14"/>
                                <w:szCs w:val="14"/>
                              </w:rPr>
                              <w:t xml:space="preserve">Kaplan-Meier </w:t>
                            </w:r>
                            <w:r>
                              <w:rPr>
                                <w:sz w:val="14"/>
                                <w:szCs w:val="14"/>
                              </w:rPr>
                              <w:t xml:space="preserve">(%) </w:t>
                            </w:r>
                            <w:r w:rsidRPr="009F517E">
                              <w:rPr>
                                <w:sz w:val="14"/>
                                <w:szCs w:val="14"/>
                              </w:rPr>
                              <w:t>aos 30 m</w:t>
                            </w:r>
                            <w:r w:rsidRPr="003311FD">
                              <w:rPr>
                                <w:sz w:val="14"/>
                                <w:szCs w:val="14"/>
                              </w:rPr>
                              <w:t>ese</w:t>
                            </w:r>
                            <w:r w:rsidRPr="009F517E">
                              <w:rPr>
                                <w:sz w:val="14"/>
                                <w:szCs w:val="14"/>
                              </w:rPr>
                              <w:t>s:</w:t>
                            </w:r>
                          </w:p>
                          <w:p w14:paraId="69A6D6A2" w14:textId="77777777" w:rsidR="00F03D43" w:rsidRPr="00E63212" w:rsidRDefault="00F03D43" w:rsidP="00B028BC">
                            <w:pPr>
                              <w:rPr>
                                <w:sz w:val="14"/>
                                <w:szCs w:val="14"/>
                              </w:rPr>
                            </w:pPr>
                            <w:r w:rsidRPr="00E63212">
                              <w:rPr>
                                <w:sz w:val="14"/>
                                <w:szCs w:val="14"/>
                              </w:rPr>
                              <w:t>Rivaroxabano 2,5 mg bid+ AAS 100 mg od: 5,2 (4,7- 5,8)</w:t>
                            </w:r>
                          </w:p>
                          <w:p w14:paraId="40850760" w14:textId="77777777" w:rsidR="00F03D43" w:rsidRPr="009F517E" w:rsidRDefault="00F03D43" w:rsidP="00986E19">
                            <w:pPr>
                              <w:rPr>
                                <w:sz w:val="14"/>
                                <w:szCs w:val="14"/>
                              </w:rPr>
                            </w:pPr>
                            <w:r w:rsidRPr="009F517E">
                              <w:rPr>
                                <w:sz w:val="14"/>
                                <w:szCs w:val="14"/>
                              </w:rPr>
                              <w:t>A</w:t>
                            </w:r>
                            <w:r w:rsidRPr="003311FD">
                              <w:rPr>
                                <w:sz w:val="14"/>
                                <w:szCs w:val="14"/>
                              </w:rPr>
                              <w:t>A</w:t>
                            </w:r>
                            <w:r w:rsidRPr="009F517E">
                              <w:rPr>
                                <w:sz w:val="14"/>
                                <w:szCs w:val="14"/>
                              </w:rPr>
                              <w:t>S 100 mg od: 7</w:t>
                            </w:r>
                            <w:r w:rsidRPr="003311FD">
                              <w:rPr>
                                <w:sz w:val="14"/>
                                <w:szCs w:val="14"/>
                              </w:rPr>
                              <w:t>,</w:t>
                            </w:r>
                            <w:r w:rsidRPr="009F517E">
                              <w:rPr>
                                <w:sz w:val="14"/>
                                <w:szCs w:val="14"/>
                              </w:rPr>
                              <w:t>2 (6</w:t>
                            </w:r>
                            <w:r w:rsidRPr="003311FD">
                              <w:rPr>
                                <w:sz w:val="14"/>
                                <w:szCs w:val="14"/>
                              </w:rPr>
                              <w:t>,</w:t>
                            </w:r>
                            <w:r w:rsidRPr="009F517E">
                              <w:rPr>
                                <w:sz w:val="14"/>
                                <w:szCs w:val="14"/>
                              </w:rPr>
                              <w:t>5- 7</w:t>
                            </w:r>
                            <w:r w:rsidRPr="003311FD">
                              <w:rPr>
                                <w:sz w:val="14"/>
                                <w:szCs w:val="14"/>
                              </w:rPr>
                              <w:t>,</w:t>
                            </w:r>
                            <w:r w:rsidRPr="009F517E">
                              <w:rPr>
                                <w:sz w:val="14"/>
                                <w:szCs w:val="1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BEDEE" id="Text Box 4" o:spid="_x0000_s1034" type="#_x0000_t202" style="position:absolute;margin-left:139.25pt;margin-top:42.25pt;width:178.35pt;height:3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" filled="f" strokecolor="white">
                <v:textbox inset="0,0,0,0">
                  <w:txbxContent>
                    <w:p w14:paraId="36D6CDED" w14:textId="77777777" w:rsidR="00F03D43" w:rsidRPr="009F517E" w:rsidRDefault="00F03D43" w:rsidP="00B028BC">
                      <w:pPr>
                        <w:rPr>
                          <w:sz w:val="14"/>
                          <w:szCs w:val="14"/>
                        </w:rPr>
                      </w:pPr>
                      <w:r w:rsidRPr="003311FD">
                        <w:rPr>
                          <w:sz w:val="14"/>
                          <w:szCs w:val="14"/>
                        </w:rPr>
                        <w:t xml:space="preserve">Estimativas de </w:t>
                      </w:r>
                      <w:r w:rsidRPr="009F517E">
                        <w:rPr>
                          <w:sz w:val="14"/>
                          <w:szCs w:val="14"/>
                        </w:rPr>
                        <w:t xml:space="preserve">Kaplan-Meier </w:t>
                      </w:r>
                      <w:r>
                        <w:rPr>
                          <w:sz w:val="14"/>
                          <w:szCs w:val="14"/>
                        </w:rPr>
                        <w:t xml:space="preserve">(%) </w:t>
                      </w:r>
                      <w:r w:rsidRPr="009F517E">
                        <w:rPr>
                          <w:sz w:val="14"/>
                          <w:szCs w:val="14"/>
                        </w:rPr>
                        <w:t>aos 30 m</w:t>
                      </w:r>
                      <w:r w:rsidRPr="003311FD">
                        <w:rPr>
                          <w:sz w:val="14"/>
                          <w:szCs w:val="14"/>
                        </w:rPr>
                        <w:t>ese</w:t>
                      </w:r>
                      <w:r w:rsidRPr="009F517E">
                        <w:rPr>
                          <w:sz w:val="14"/>
                          <w:szCs w:val="14"/>
                        </w:rPr>
                        <w:t>s:</w:t>
                      </w:r>
                    </w:p>
                    <w:p w14:paraId="69A6D6A2" w14:textId="77777777" w:rsidR="00F03D43" w:rsidRPr="00E63212" w:rsidRDefault="00F03D43" w:rsidP="00B028BC">
                      <w:pPr>
                        <w:rPr>
                          <w:sz w:val="14"/>
                          <w:szCs w:val="14"/>
                        </w:rPr>
                      </w:pPr>
                      <w:r w:rsidRPr="00E63212">
                        <w:rPr>
                          <w:sz w:val="14"/>
                          <w:szCs w:val="14"/>
                        </w:rPr>
                        <w:t>Rivaroxabano 2,5 mg bid+ AAS 100 mg od: 5,2 (4,7- 5,8)</w:t>
                      </w:r>
                    </w:p>
                    <w:p w14:paraId="40850760" w14:textId="77777777" w:rsidR="00F03D43" w:rsidRPr="009F517E" w:rsidRDefault="00F03D43" w:rsidP="00986E19">
                      <w:pPr>
                        <w:rPr>
                          <w:sz w:val="14"/>
                          <w:szCs w:val="14"/>
                        </w:rPr>
                      </w:pPr>
                      <w:r w:rsidRPr="009F517E">
                        <w:rPr>
                          <w:sz w:val="14"/>
                          <w:szCs w:val="14"/>
                        </w:rPr>
                        <w:t>A</w:t>
                      </w:r>
                      <w:r w:rsidRPr="003311FD">
                        <w:rPr>
                          <w:sz w:val="14"/>
                          <w:szCs w:val="14"/>
                        </w:rPr>
                        <w:t>A</w:t>
                      </w:r>
                      <w:r w:rsidRPr="009F517E">
                        <w:rPr>
                          <w:sz w:val="14"/>
                          <w:szCs w:val="14"/>
                        </w:rPr>
                        <w:t>S 100 mg od: 7</w:t>
                      </w:r>
                      <w:r w:rsidRPr="003311FD">
                        <w:rPr>
                          <w:sz w:val="14"/>
                          <w:szCs w:val="14"/>
                        </w:rPr>
                        <w:t>,</w:t>
                      </w:r>
                      <w:r w:rsidRPr="009F517E">
                        <w:rPr>
                          <w:sz w:val="14"/>
                          <w:szCs w:val="14"/>
                        </w:rPr>
                        <w:t>2 (6</w:t>
                      </w:r>
                      <w:r w:rsidRPr="003311FD">
                        <w:rPr>
                          <w:sz w:val="14"/>
                          <w:szCs w:val="14"/>
                        </w:rPr>
                        <w:t>,</w:t>
                      </w:r>
                      <w:r w:rsidRPr="009F517E">
                        <w:rPr>
                          <w:sz w:val="14"/>
                          <w:szCs w:val="14"/>
                        </w:rPr>
                        <w:t>5- 7</w:t>
                      </w:r>
                      <w:r w:rsidRPr="003311FD">
                        <w:rPr>
                          <w:sz w:val="14"/>
                          <w:szCs w:val="14"/>
                        </w:rPr>
                        <w:t>,</w:t>
                      </w:r>
                      <w:r w:rsidRPr="009F517E">
                        <w:rPr>
                          <w:sz w:val="14"/>
                          <w:szCs w:val="14"/>
                        </w:rPr>
                        <w:t>9)</w:t>
                      </w:r>
                    </w:p>
                  </w:txbxContent>
                </v:textbox>
              </v:shape>
            </w:pict>
          </mc:Fallback>
        </mc:AlternateContent>
      </w:r>
      <w:r w:rsidRPr="0063119B">
        <w:rPr>
          <w:noProof/>
          <w:szCs w:val="22"/>
          <w:lang w:val="en-IN" w:eastAsia="en-IN"/>
        </w:rPr>
        <mc:AlternateContent>
          <mc:Choice Requires="wps">
            <w:drawing>
              <wp:anchor distT="0" distB="0" distL="114300" distR="114300" simplePos="0" relativeHeight="251666432" behindDoc="0" locked="0" layoutInCell="1" allowOverlap="1" wp14:anchorId="0D6C052E" wp14:editId="040F7FE5">
                <wp:simplePos x="0" y="0"/>
                <wp:positionH relativeFrom="column">
                  <wp:posOffset>5003800</wp:posOffset>
                </wp:positionH>
                <wp:positionV relativeFrom="paragraph">
                  <wp:posOffset>2752090</wp:posOffset>
                </wp:positionV>
                <wp:extent cx="723900" cy="100965"/>
                <wp:effectExtent l="3175" t="0" r="0" b="4445"/>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0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F9AD7B" w14:textId="77777777" w:rsidR="00F03D43" w:rsidRPr="000B5275" w:rsidRDefault="00F03D43" w:rsidP="00986E19">
                            <w:pPr>
                              <w:jc w:val="right"/>
                              <w:rPr>
                                <w:b/>
                                <w:bCs/>
                                <w:sz w:val="12"/>
                                <w:szCs w:val="12"/>
                              </w:rPr>
                            </w:pPr>
                            <w:r w:rsidRPr="000B5275">
                              <w:rPr>
                                <w:b/>
                                <w:bCs/>
                                <w:sz w:val="12"/>
                                <w:szCs w:val="12"/>
                              </w:rPr>
                              <w:t>0</w:t>
                            </w:r>
                            <w:r>
                              <w:rPr>
                                <w:b/>
                                <w:bCs/>
                                <w:sz w:val="12"/>
                                <w:szCs w:val="12"/>
                              </w:rPr>
                              <w:t>,</w:t>
                            </w:r>
                            <w:r w:rsidRPr="000B5275">
                              <w:rPr>
                                <w:b/>
                                <w:bCs/>
                                <w:sz w:val="12"/>
                                <w:szCs w:val="12"/>
                              </w:rPr>
                              <w:t>76 (0</w:t>
                            </w:r>
                            <w:r>
                              <w:rPr>
                                <w:b/>
                                <w:bCs/>
                                <w:sz w:val="12"/>
                                <w:szCs w:val="12"/>
                              </w:rPr>
                              <w:t>,</w:t>
                            </w:r>
                            <w:r w:rsidRPr="000B5275">
                              <w:rPr>
                                <w:b/>
                                <w:bCs/>
                                <w:sz w:val="12"/>
                                <w:szCs w:val="12"/>
                              </w:rPr>
                              <w:t xml:space="preserve">66 </w:t>
                            </w:r>
                            <w:r>
                              <w:rPr>
                                <w:b/>
                                <w:bCs/>
                                <w:sz w:val="12"/>
                                <w:szCs w:val="12"/>
                              </w:rPr>
                              <w:t>a</w:t>
                            </w:r>
                            <w:r w:rsidRPr="000B5275">
                              <w:rPr>
                                <w:b/>
                                <w:bCs/>
                                <w:sz w:val="12"/>
                                <w:szCs w:val="12"/>
                              </w:rPr>
                              <w:t xml:space="preserve"> 0</w:t>
                            </w:r>
                            <w:r>
                              <w:rPr>
                                <w:b/>
                                <w:bCs/>
                                <w:sz w:val="12"/>
                                <w:szCs w:val="12"/>
                              </w:rPr>
                              <w:t>,</w:t>
                            </w:r>
                            <w:r w:rsidRPr="000B5275">
                              <w:rPr>
                                <w:b/>
                                <w:bCs/>
                                <w:sz w:val="12"/>
                                <w:szCs w:val="12"/>
                              </w:rPr>
                              <w:t>86</w:t>
                            </w:r>
                            <w:r>
                              <w:rPr>
                                <w:b/>
                                <w:bCs/>
                                <w:sz w:val="12"/>
                                <w:szCs w:val="1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6C052E" id="_x0000_s1035" type="#_x0000_t202" style="position:absolute;margin-left:394pt;margin-top:216.7pt;width:57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" stroked="f">
                <v:textbox inset="0,0,0,0">
                  <w:txbxContent>
                    <w:p w14:paraId="18F9AD7B" w14:textId="77777777" w:rsidR="00F03D43" w:rsidRPr="000B5275" w:rsidRDefault="00F03D43" w:rsidP="00986E19">
                      <w:pPr>
                        <w:jc w:val="right"/>
                        <w:rPr>
                          <w:b/>
                          <w:bCs/>
                          <w:sz w:val="12"/>
                          <w:szCs w:val="12"/>
                        </w:rPr>
                      </w:pPr>
                      <w:r w:rsidRPr="000B5275">
                        <w:rPr>
                          <w:b/>
                          <w:bCs/>
                          <w:sz w:val="12"/>
                          <w:szCs w:val="12"/>
                        </w:rPr>
                        <w:t>0</w:t>
                      </w:r>
                      <w:r>
                        <w:rPr>
                          <w:b/>
                          <w:bCs/>
                          <w:sz w:val="12"/>
                          <w:szCs w:val="12"/>
                        </w:rPr>
                        <w:t>,</w:t>
                      </w:r>
                      <w:r w:rsidRPr="000B5275">
                        <w:rPr>
                          <w:b/>
                          <w:bCs/>
                          <w:sz w:val="12"/>
                          <w:szCs w:val="12"/>
                        </w:rPr>
                        <w:t>76 (0</w:t>
                      </w:r>
                      <w:r>
                        <w:rPr>
                          <w:b/>
                          <w:bCs/>
                          <w:sz w:val="12"/>
                          <w:szCs w:val="12"/>
                        </w:rPr>
                        <w:t>,</w:t>
                      </w:r>
                      <w:r w:rsidRPr="000B5275">
                        <w:rPr>
                          <w:b/>
                          <w:bCs/>
                          <w:sz w:val="12"/>
                          <w:szCs w:val="12"/>
                        </w:rPr>
                        <w:t xml:space="preserve">66 </w:t>
                      </w:r>
                      <w:r>
                        <w:rPr>
                          <w:b/>
                          <w:bCs/>
                          <w:sz w:val="12"/>
                          <w:szCs w:val="12"/>
                        </w:rPr>
                        <w:t>a</w:t>
                      </w:r>
                      <w:r w:rsidRPr="000B5275">
                        <w:rPr>
                          <w:b/>
                          <w:bCs/>
                          <w:sz w:val="12"/>
                          <w:szCs w:val="12"/>
                        </w:rPr>
                        <w:t xml:space="preserve"> 0</w:t>
                      </w:r>
                      <w:r>
                        <w:rPr>
                          <w:b/>
                          <w:bCs/>
                          <w:sz w:val="12"/>
                          <w:szCs w:val="12"/>
                        </w:rPr>
                        <w:t>,</w:t>
                      </w:r>
                      <w:r w:rsidRPr="000B5275">
                        <w:rPr>
                          <w:b/>
                          <w:bCs/>
                          <w:sz w:val="12"/>
                          <w:szCs w:val="12"/>
                        </w:rPr>
                        <w:t>86</w:t>
                      </w:r>
                      <w:r>
                        <w:rPr>
                          <w:b/>
                          <w:bCs/>
                          <w:sz w:val="12"/>
                          <w:szCs w:val="12"/>
                        </w:rPr>
                        <w:t>)</w:t>
                      </w:r>
                    </w:p>
                  </w:txbxContent>
                </v:textbox>
              </v:shape>
            </w:pict>
          </mc:Fallback>
        </mc:AlternateContent>
      </w:r>
      <w:r w:rsidRPr="0063119B">
        <w:rPr>
          <w:noProof/>
          <w:szCs w:val="22"/>
          <w:lang w:val="en-IN" w:eastAsia="en-IN"/>
        </w:rPr>
        <mc:AlternateContent>
          <mc:Choice Requires="wps">
            <w:drawing>
              <wp:anchor distT="0" distB="0" distL="114300" distR="114300" simplePos="0" relativeHeight="251658240" behindDoc="0" locked="0" layoutInCell="1" allowOverlap="1" wp14:anchorId="61AA20EC" wp14:editId="56BDE86E">
                <wp:simplePos x="0" y="0"/>
                <wp:positionH relativeFrom="column">
                  <wp:posOffset>2131695</wp:posOffset>
                </wp:positionH>
                <wp:positionV relativeFrom="paragraph">
                  <wp:posOffset>142875</wp:posOffset>
                </wp:positionV>
                <wp:extent cx="2803525" cy="31750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02592" w14:textId="77777777" w:rsidR="00F03D43" w:rsidRDefault="00F03D43" w:rsidP="00453DA7">
                            <w:pPr>
                              <w:contextualSpacing/>
                              <w:rPr>
                                <w:b/>
                                <w:bCs/>
                                <w:sz w:val="14"/>
                                <w:szCs w:val="14"/>
                                <w:lang w:val="en-US"/>
                              </w:rPr>
                            </w:pPr>
                            <w:r>
                              <w:rPr>
                                <w:b/>
                                <w:bCs/>
                                <w:sz w:val="14"/>
                                <w:szCs w:val="14"/>
                                <w:lang w:val="en-US"/>
                              </w:rPr>
                              <w:t>Rivaroxabano 2,5 mg bid + AAS 100 mg od</w:t>
                            </w:r>
                          </w:p>
                          <w:p w14:paraId="0A1E0512" w14:textId="77777777" w:rsidR="00F03D43" w:rsidRPr="00A478B7" w:rsidRDefault="00F03D43" w:rsidP="00453DA7">
                            <w:pPr>
                              <w:contextualSpacing/>
                              <w:rPr>
                                <w:b/>
                                <w:bCs/>
                                <w:sz w:val="14"/>
                                <w:szCs w:val="14"/>
                                <w:lang w:val="en-US"/>
                              </w:rPr>
                            </w:pPr>
                            <w:r w:rsidRPr="00A478B7">
                              <w:rPr>
                                <w:b/>
                                <w:bCs/>
                                <w:sz w:val="14"/>
                                <w:szCs w:val="14"/>
                                <w:lang w:val="en-US"/>
                              </w:rPr>
                              <w:t>A</w:t>
                            </w:r>
                            <w:r>
                              <w:rPr>
                                <w:b/>
                                <w:bCs/>
                                <w:sz w:val="14"/>
                                <w:szCs w:val="14"/>
                                <w:lang w:val="en-US"/>
                              </w:rPr>
                              <w:t>AS 100 mg od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AA20EC" id="_x0000_s1036" type="#_x0000_t202" style="position:absolute;margin-left:167.85pt;margin-top:11.25pt;width:220.7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" stroked="f">
                <v:textbox inset="0,0,0,0">
                  <w:txbxContent>
                    <w:p w14:paraId="18302592" w14:textId="77777777" w:rsidR="00F03D43" w:rsidRDefault="00F03D43" w:rsidP="00453DA7">
                      <w:pPr>
                        <w:contextualSpacing/>
                        <w:rPr>
                          <w:b/>
                          <w:bCs/>
                          <w:sz w:val="14"/>
                          <w:szCs w:val="14"/>
                          <w:lang w:val="en-US"/>
                        </w:rPr>
                      </w:pPr>
                      <w:r>
                        <w:rPr>
                          <w:b/>
                          <w:bCs/>
                          <w:sz w:val="14"/>
                          <w:szCs w:val="14"/>
                          <w:lang w:val="en-US"/>
                        </w:rPr>
                        <w:t>Rivaroxabano 2,5 mg bid + AAS 100 mg od</w:t>
                      </w:r>
                    </w:p>
                    <w:p w14:paraId="0A1E0512" w14:textId="77777777" w:rsidR="00F03D43" w:rsidRPr="00A478B7" w:rsidRDefault="00F03D43" w:rsidP="00453DA7">
                      <w:pPr>
                        <w:contextualSpacing/>
                        <w:rPr>
                          <w:b/>
                          <w:bCs/>
                          <w:sz w:val="14"/>
                          <w:szCs w:val="14"/>
                          <w:lang w:val="en-US"/>
                        </w:rPr>
                      </w:pPr>
                      <w:r w:rsidRPr="00A478B7">
                        <w:rPr>
                          <w:b/>
                          <w:bCs/>
                          <w:sz w:val="14"/>
                          <w:szCs w:val="14"/>
                          <w:lang w:val="en-US"/>
                        </w:rPr>
                        <w:t>A</w:t>
                      </w:r>
                      <w:r>
                        <w:rPr>
                          <w:b/>
                          <w:bCs/>
                          <w:sz w:val="14"/>
                          <w:szCs w:val="14"/>
                          <w:lang w:val="en-US"/>
                        </w:rPr>
                        <w:t>AS 100 mg od</w:t>
                      </w:r>
                    </w:p>
                  </w:txbxContent>
                </v:textbox>
              </v:shape>
            </w:pict>
          </mc:Fallback>
        </mc:AlternateContent>
      </w:r>
      <w:r w:rsidRPr="0063119B">
        <w:rPr>
          <w:noProof/>
          <w:szCs w:val="22"/>
          <w:lang w:val="en-IN" w:eastAsia="en-IN"/>
        </w:rPr>
        <mc:AlternateContent>
          <mc:Choice Requires="wps">
            <w:drawing>
              <wp:anchor distT="0" distB="0" distL="114300" distR="114300" simplePos="0" relativeHeight="251665408" behindDoc="0" locked="0" layoutInCell="1" allowOverlap="1" wp14:anchorId="4E8AB6FA" wp14:editId="3A9A67B1">
                <wp:simplePos x="0" y="0"/>
                <wp:positionH relativeFrom="column">
                  <wp:posOffset>93345</wp:posOffset>
                </wp:positionH>
                <wp:positionV relativeFrom="paragraph">
                  <wp:posOffset>765810</wp:posOffset>
                </wp:positionV>
                <wp:extent cx="219710" cy="1330325"/>
                <wp:effectExtent l="0" t="3810" r="127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33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EDA2D" w14:textId="77777777" w:rsidR="00F03D43" w:rsidRPr="00056156" w:rsidRDefault="00F03D43" w:rsidP="00986E19">
                            <w:pPr>
                              <w:rPr>
                                <w:sz w:val="16"/>
                                <w:szCs w:val="16"/>
                              </w:rPr>
                            </w:pPr>
                            <w:r>
                              <w:rPr>
                                <w:sz w:val="16"/>
                                <w:szCs w:val="16"/>
                              </w:rPr>
                              <w:t xml:space="preserve">Probabilidade </w:t>
                            </w:r>
                            <w:r w:rsidRPr="00056156">
                              <w:rPr>
                                <w:sz w:val="16"/>
                                <w:szCs w:val="16"/>
                              </w:rPr>
                              <w:t>Cum</w:t>
                            </w:r>
                            <w:r>
                              <w:rPr>
                                <w:sz w:val="16"/>
                                <w:szCs w:val="16"/>
                              </w:rPr>
                              <w:t>ulativa</w:t>
                            </w:r>
                            <w:r w:rsidRPr="00056156">
                              <w:rPr>
                                <w:sz w:val="16"/>
                                <w:szCs w:val="16"/>
                              </w:rPr>
                              <w:t xml:space="preserve"> </w:t>
                            </w:r>
                            <w:r>
                              <w:rPr>
                                <w:sz w:val="16"/>
                                <w:szCs w:val="16"/>
                              </w:rPr>
                              <w:t>(%)</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AB6FA" id="_x0000_s1037" type="#_x0000_t202" style="position:absolute;margin-left:7.35pt;margin-top:60.3pt;width:17.3pt;height:10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" stroked="f">
                <v:textbox style="layout-flow:vertical;mso-layout-flow-alt:bottom-to-top" inset="0,0,0,0">
                  <w:txbxContent>
                    <w:p w14:paraId="0D4EDA2D" w14:textId="77777777" w:rsidR="00F03D43" w:rsidRPr="00056156" w:rsidRDefault="00F03D43" w:rsidP="00986E19">
                      <w:pPr>
                        <w:rPr>
                          <w:sz w:val="16"/>
                          <w:szCs w:val="16"/>
                        </w:rPr>
                      </w:pPr>
                      <w:r>
                        <w:rPr>
                          <w:sz w:val="16"/>
                          <w:szCs w:val="16"/>
                        </w:rPr>
                        <w:t xml:space="preserve">Probabilidade </w:t>
                      </w:r>
                      <w:r w:rsidRPr="00056156">
                        <w:rPr>
                          <w:sz w:val="16"/>
                          <w:szCs w:val="16"/>
                        </w:rPr>
                        <w:t>Cum</w:t>
                      </w:r>
                      <w:r>
                        <w:rPr>
                          <w:sz w:val="16"/>
                          <w:szCs w:val="16"/>
                        </w:rPr>
                        <w:t>ulativa</w:t>
                      </w:r>
                      <w:r w:rsidRPr="00056156">
                        <w:rPr>
                          <w:sz w:val="16"/>
                          <w:szCs w:val="16"/>
                        </w:rPr>
                        <w:t xml:space="preserve"> </w:t>
                      </w:r>
                      <w:r>
                        <w:rPr>
                          <w:sz w:val="16"/>
                          <w:szCs w:val="16"/>
                        </w:rPr>
                        <w:t>(%)</w:t>
                      </w:r>
                    </w:p>
                  </w:txbxContent>
                </v:textbox>
              </v:shape>
            </w:pict>
          </mc:Fallback>
        </mc:AlternateContent>
      </w:r>
      <w:r w:rsidRPr="0063119B">
        <w:rPr>
          <w:noProof/>
          <w:szCs w:val="22"/>
          <w:lang w:val="en-IN" w:eastAsia="en-IN"/>
        </w:rPr>
        <mc:AlternateContent>
          <mc:Choice Requires="wps">
            <w:drawing>
              <wp:anchor distT="0" distB="0" distL="114300" distR="114300" simplePos="0" relativeHeight="251662336" behindDoc="0" locked="0" layoutInCell="1" allowOverlap="1" wp14:anchorId="5088C718" wp14:editId="2A4ABCBC">
                <wp:simplePos x="0" y="0"/>
                <wp:positionH relativeFrom="column">
                  <wp:posOffset>3075305</wp:posOffset>
                </wp:positionH>
                <wp:positionV relativeFrom="paragraph">
                  <wp:posOffset>3141980</wp:posOffset>
                </wp:positionV>
                <wp:extent cx="1136015" cy="102870"/>
                <wp:effectExtent l="0" t="0" r="0" b="317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9DF40" w14:textId="77777777" w:rsidR="00F03D43" w:rsidRPr="00A478B7" w:rsidRDefault="00F03D43" w:rsidP="00986E19">
                            <w:pPr>
                              <w:rPr>
                                <w:b/>
                                <w:bCs/>
                                <w:sz w:val="14"/>
                                <w:szCs w:val="14"/>
                                <w:lang w:val="en-US"/>
                              </w:rPr>
                            </w:pPr>
                            <w:r>
                              <w:rPr>
                                <w:b/>
                                <w:bCs/>
                                <w:sz w:val="14"/>
                                <w:szCs w:val="14"/>
                                <w:lang w:val="en-US"/>
                              </w:rPr>
                              <w:t>Dias desde a aleatorização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88C718" id="_x0000_s1038" type="#_x0000_t202" style="position:absolute;margin-left:242.15pt;margin-top:247.4pt;width:89.4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" stroked="f">
                <v:textbox inset="0,0,0,0">
                  <w:txbxContent>
                    <w:p w14:paraId="21C9DF40" w14:textId="77777777" w:rsidR="00F03D43" w:rsidRPr="00A478B7" w:rsidRDefault="00F03D43" w:rsidP="00986E19">
                      <w:pPr>
                        <w:rPr>
                          <w:b/>
                          <w:bCs/>
                          <w:sz w:val="14"/>
                          <w:szCs w:val="14"/>
                          <w:lang w:val="en-US"/>
                        </w:rPr>
                      </w:pPr>
                      <w:r>
                        <w:rPr>
                          <w:b/>
                          <w:bCs/>
                          <w:sz w:val="14"/>
                          <w:szCs w:val="14"/>
                          <w:lang w:val="en-US"/>
                        </w:rPr>
                        <w:t>Dias desde a aleatorização</w:t>
                      </w:r>
                    </w:p>
                  </w:txbxContent>
                </v:textbox>
              </v:shape>
            </w:pict>
          </mc:Fallback>
        </mc:AlternateContent>
      </w:r>
      <w:r w:rsidRPr="0063119B">
        <w:rPr>
          <w:noProof/>
          <w:szCs w:val="22"/>
          <w:lang w:val="en-IN" w:eastAsia="en-IN"/>
        </w:rPr>
        <mc:AlternateContent>
          <mc:Choice Requires="wps">
            <w:drawing>
              <wp:anchor distT="0" distB="0" distL="114300" distR="114300" simplePos="0" relativeHeight="251663360" behindDoc="0" locked="0" layoutInCell="1" allowOverlap="1" wp14:anchorId="10374A0C" wp14:editId="3420685B">
                <wp:simplePos x="0" y="0"/>
                <wp:positionH relativeFrom="column">
                  <wp:posOffset>1487805</wp:posOffset>
                </wp:positionH>
                <wp:positionV relativeFrom="paragraph">
                  <wp:posOffset>3244850</wp:posOffset>
                </wp:positionV>
                <wp:extent cx="1322705" cy="102870"/>
                <wp:effectExtent l="1905"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45136" w14:textId="77777777" w:rsidR="00F03D43" w:rsidRPr="00A478B7" w:rsidRDefault="00F03D43" w:rsidP="00986E19">
                            <w:pPr>
                              <w:rPr>
                                <w:b/>
                                <w:bCs/>
                                <w:sz w:val="14"/>
                                <w:szCs w:val="14"/>
                                <w:lang w:val="en-US"/>
                              </w:rPr>
                            </w:pPr>
                            <w:r>
                              <w:rPr>
                                <w:b/>
                                <w:bCs/>
                                <w:sz w:val="14"/>
                                <w:szCs w:val="14"/>
                                <w:lang w:val="en-US"/>
                              </w:rPr>
                              <w:t>Número de indivíduos em risco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74A0C" id="_x0000_s1039" type="#_x0000_t202" style="position:absolute;margin-left:117.15pt;margin-top:255.5pt;width:104.1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" stroked="f">
                <v:textbox inset="0,0,0,0">
                  <w:txbxContent>
                    <w:p w14:paraId="38545136" w14:textId="77777777" w:rsidR="00F03D43" w:rsidRPr="00A478B7" w:rsidRDefault="00F03D43" w:rsidP="00986E19">
                      <w:pPr>
                        <w:rPr>
                          <w:b/>
                          <w:bCs/>
                          <w:sz w:val="14"/>
                          <w:szCs w:val="14"/>
                          <w:lang w:val="en-US"/>
                        </w:rPr>
                      </w:pPr>
                      <w:r>
                        <w:rPr>
                          <w:b/>
                          <w:bCs/>
                          <w:sz w:val="14"/>
                          <w:szCs w:val="14"/>
                          <w:lang w:val="en-US"/>
                        </w:rPr>
                        <w:t>Número de indivíduos em risco</w:t>
                      </w:r>
                    </w:p>
                  </w:txbxContent>
                </v:textbox>
              </v:shape>
            </w:pict>
          </mc:Fallback>
        </mc:AlternateContent>
      </w:r>
      <w:r w:rsidRPr="0063119B">
        <w:rPr>
          <w:noProof/>
          <w:szCs w:val="22"/>
          <w:lang w:val="en-IN" w:eastAsia="en-IN"/>
        </w:rPr>
        <mc:AlternateContent>
          <mc:Choice Requires="wps">
            <w:drawing>
              <wp:anchor distT="0" distB="0" distL="114300" distR="114300" simplePos="0" relativeHeight="251661312" behindDoc="0" locked="0" layoutInCell="1" allowOverlap="1" wp14:anchorId="5A503529" wp14:editId="52145862">
                <wp:simplePos x="0" y="0"/>
                <wp:positionH relativeFrom="column">
                  <wp:posOffset>2810510</wp:posOffset>
                </wp:positionH>
                <wp:positionV relativeFrom="paragraph">
                  <wp:posOffset>2746375</wp:posOffset>
                </wp:positionV>
                <wp:extent cx="2294890" cy="106680"/>
                <wp:effectExtent l="635" t="3175" r="0" b="444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106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A39A6" w14:textId="77777777" w:rsidR="00F03D43" w:rsidRPr="00A478B7" w:rsidRDefault="00F03D43" w:rsidP="00986E19">
                            <w:pPr>
                              <w:rPr>
                                <w:b/>
                                <w:bCs/>
                                <w:sz w:val="14"/>
                                <w:szCs w:val="14"/>
                                <w:lang w:val="en-US"/>
                              </w:rPr>
                            </w:pPr>
                            <w:r>
                              <w:rPr>
                                <w:b/>
                                <w:bCs/>
                                <w:sz w:val="14"/>
                                <w:szCs w:val="14"/>
                                <w:lang w:val="en-US"/>
                              </w:rPr>
                              <w:t xml:space="preserve">RIVAROXABANO </w:t>
                            </w:r>
                            <w:r w:rsidRPr="00A478B7">
                              <w:rPr>
                                <w:b/>
                                <w:bCs/>
                                <w:sz w:val="14"/>
                                <w:szCs w:val="14"/>
                                <w:lang w:val="en-US"/>
                              </w:rPr>
                              <w:t>2</w:t>
                            </w:r>
                            <w:r>
                              <w:rPr>
                                <w:b/>
                                <w:bCs/>
                                <w:sz w:val="14"/>
                                <w:szCs w:val="14"/>
                                <w:lang w:val="en-US"/>
                              </w:rPr>
                              <w:t>,</w:t>
                            </w:r>
                            <w:r w:rsidRPr="00A478B7">
                              <w:rPr>
                                <w:b/>
                                <w:bCs/>
                                <w:sz w:val="14"/>
                                <w:szCs w:val="14"/>
                                <w:lang w:val="en-US"/>
                              </w:rPr>
                              <w:t>5 mg bid,</w:t>
                            </w:r>
                            <w:r>
                              <w:rPr>
                                <w:b/>
                                <w:bCs/>
                                <w:sz w:val="14"/>
                                <w:szCs w:val="14"/>
                                <w:lang w:val="en-US"/>
                              </w:rPr>
                              <w:t xml:space="preserve">+ </w:t>
                            </w:r>
                            <w:r w:rsidRPr="00A478B7">
                              <w:rPr>
                                <w:b/>
                                <w:bCs/>
                                <w:sz w:val="14"/>
                                <w:szCs w:val="14"/>
                                <w:lang w:val="en-US"/>
                              </w:rPr>
                              <w:t>A</w:t>
                            </w:r>
                            <w:r>
                              <w:rPr>
                                <w:b/>
                                <w:bCs/>
                                <w:sz w:val="14"/>
                                <w:szCs w:val="14"/>
                                <w:lang w:val="en-US"/>
                              </w:rPr>
                              <w:t>A</w:t>
                            </w:r>
                            <w:r w:rsidRPr="00A478B7">
                              <w:rPr>
                                <w:b/>
                                <w:bCs/>
                                <w:sz w:val="14"/>
                                <w:szCs w:val="14"/>
                                <w:lang w:val="en-US"/>
                              </w:rPr>
                              <w:t>S 100 mg od vs A</w:t>
                            </w:r>
                            <w:r>
                              <w:rPr>
                                <w:b/>
                                <w:bCs/>
                                <w:sz w:val="14"/>
                                <w:szCs w:val="14"/>
                                <w:lang w:val="en-US"/>
                              </w:rPr>
                              <w:t>A</w:t>
                            </w:r>
                            <w:r w:rsidRPr="00A478B7">
                              <w:rPr>
                                <w:b/>
                                <w:bCs/>
                                <w:sz w:val="14"/>
                                <w:szCs w:val="14"/>
                                <w:lang w:val="en-US"/>
                              </w:rPr>
                              <w:t>S 100 mg od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03529" id="_x0000_s1040" type="#_x0000_t202" style="position:absolute;margin-left:221.3pt;margin-top:216.25pt;width:180.7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" stroked="f">
                <v:textbox inset="0,0,0,0">
                  <w:txbxContent>
                    <w:p w14:paraId="744A39A6" w14:textId="77777777" w:rsidR="00F03D43" w:rsidRPr="00A478B7" w:rsidRDefault="00F03D43" w:rsidP="00986E19">
                      <w:pPr>
                        <w:rPr>
                          <w:b/>
                          <w:bCs/>
                          <w:sz w:val="14"/>
                          <w:szCs w:val="14"/>
                          <w:lang w:val="en-US"/>
                        </w:rPr>
                      </w:pPr>
                      <w:r>
                        <w:rPr>
                          <w:b/>
                          <w:bCs/>
                          <w:sz w:val="14"/>
                          <w:szCs w:val="14"/>
                          <w:lang w:val="en-US"/>
                        </w:rPr>
                        <w:t xml:space="preserve">RIVAROXABANO </w:t>
                      </w:r>
                      <w:r w:rsidRPr="00A478B7">
                        <w:rPr>
                          <w:b/>
                          <w:bCs/>
                          <w:sz w:val="14"/>
                          <w:szCs w:val="14"/>
                          <w:lang w:val="en-US"/>
                        </w:rPr>
                        <w:t>2</w:t>
                      </w:r>
                      <w:r>
                        <w:rPr>
                          <w:b/>
                          <w:bCs/>
                          <w:sz w:val="14"/>
                          <w:szCs w:val="14"/>
                          <w:lang w:val="en-US"/>
                        </w:rPr>
                        <w:t>,</w:t>
                      </w:r>
                      <w:r w:rsidRPr="00A478B7">
                        <w:rPr>
                          <w:b/>
                          <w:bCs/>
                          <w:sz w:val="14"/>
                          <w:szCs w:val="14"/>
                          <w:lang w:val="en-US"/>
                        </w:rPr>
                        <w:t>5 mg bid,</w:t>
                      </w:r>
                      <w:r>
                        <w:rPr>
                          <w:b/>
                          <w:bCs/>
                          <w:sz w:val="14"/>
                          <w:szCs w:val="14"/>
                          <w:lang w:val="en-US"/>
                        </w:rPr>
                        <w:t xml:space="preserve">+ </w:t>
                      </w:r>
                      <w:r w:rsidRPr="00A478B7">
                        <w:rPr>
                          <w:b/>
                          <w:bCs/>
                          <w:sz w:val="14"/>
                          <w:szCs w:val="14"/>
                          <w:lang w:val="en-US"/>
                        </w:rPr>
                        <w:t>A</w:t>
                      </w:r>
                      <w:r>
                        <w:rPr>
                          <w:b/>
                          <w:bCs/>
                          <w:sz w:val="14"/>
                          <w:szCs w:val="14"/>
                          <w:lang w:val="en-US"/>
                        </w:rPr>
                        <w:t>A</w:t>
                      </w:r>
                      <w:r w:rsidRPr="00A478B7">
                        <w:rPr>
                          <w:b/>
                          <w:bCs/>
                          <w:sz w:val="14"/>
                          <w:szCs w:val="14"/>
                          <w:lang w:val="en-US"/>
                        </w:rPr>
                        <w:t>S 100 mg od vs A</w:t>
                      </w:r>
                      <w:r>
                        <w:rPr>
                          <w:b/>
                          <w:bCs/>
                          <w:sz w:val="14"/>
                          <w:szCs w:val="14"/>
                          <w:lang w:val="en-US"/>
                        </w:rPr>
                        <w:t>A</w:t>
                      </w:r>
                      <w:r w:rsidRPr="00A478B7">
                        <w:rPr>
                          <w:b/>
                          <w:bCs/>
                          <w:sz w:val="14"/>
                          <w:szCs w:val="14"/>
                          <w:lang w:val="en-US"/>
                        </w:rPr>
                        <w:t>S 100 mg od</w:t>
                      </w:r>
                    </w:p>
                  </w:txbxContent>
                </v:textbox>
              </v:shape>
            </w:pict>
          </mc:Fallback>
        </mc:AlternateContent>
      </w:r>
      <w:r w:rsidRPr="0063119B">
        <w:rPr>
          <w:noProof/>
          <w:szCs w:val="22"/>
          <w:lang w:val="en-IN" w:eastAsia="en-IN"/>
        </w:rPr>
        <mc:AlternateContent>
          <mc:Choice Requires="wps">
            <w:drawing>
              <wp:anchor distT="0" distB="0" distL="114300" distR="114300" simplePos="0" relativeHeight="251660288" behindDoc="0" locked="0" layoutInCell="1" allowOverlap="1" wp14:anchorId="718F966B" wp14:editId="2C8A7983">
                <wp:simplePos x="0" y="0"/>
                <wp:positionH relativeFrom="column">
                  <wp:posOffset>4620260</wp:posOffset>
                </wp:positionH>
                <wp:positionV relativeFrom="paragraph">
                  <wp:posOffset>2578100</wp:posOffset>
                </wp:positionV>
                <wp:extent cx="1094740" cy="114300"/>
                <wp:effectExtent l="635" t="0" r="0" b="317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BC3F1" w14:textId="77777777" w:rsidR="00F03D43" w:rsidRPr="00A478B7" w:rsidRDefault="00F03D43" w:rsidP="00986E19">
                            <w:pPr>
                              <w:jc w:val="right"/>
                              <w:rPr>
                                <w:b/>
                                <w:bCs/>
                                <w:sz w:val="14"/>
                                <w:szCs w:val="14"/>
                                <w:lang w:val="en-US"/>
                              </w:rPr>
                            </w:pPr>
                            <w:r>
                              <w:rPr>
                                <w:b/>
                                <w:bCs/>
                                <w:sz w:val="14"/>
                                <w:szCs w:val="14"/>
                                <w:lang w:val="en-US"/>
                              </w:rPr>
                              <w:t>Razão de risco (IC 95%)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8F966B" id="_x0000_s1041" type="#_x0000_t202" style="position:absolute;margin-left:363.8pt;margin-top:203pt;width:86.2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" stroked="f">
                <v:textbox inset="0,0,0,0">
                  <w:txbxContent>
                    <w:p w14:paraId="395BC3F1" w14:textId="77777777" w:rsidR="00F03D43" w:rsidRPr="00A478B7" w:rsidRDefault="00F03D43" w:rsidP="00986E19">
                      <w:pPr>
                        <w:jc w:val="right"/>
                        <w:rPr>
                          <w:b/>
                          <w:bCs/>
                          <w:sz w:val="14"/>
                          <w:szCs w:val="14"/>
                          <w:lang w:val="en-US"/>
                        </w:rPr>
                      </w:pPr>
                      <w:r>
                        <w:rPr>
                          <w:b/>
                          <w:bCs/>
                          <w:sz w:val="14"/>
                          <w:szCs w:val="14"/>
                          <w:lang w:val="en-US"/>
                        </w:rPr>
                        <w:t>Razão de risco (IC 95%)</w:t>
                      </w:r>
                    </w:p>
                  </w:txbxContent>
                </v:textbox>
              </v:shape>
            </w:pict>
          </mc:Fallback>
        </mc:AlternateContent>
      </w:r>
      <w:r w:rsidRPr="0063119B">
        <w:rPr>
          <w:noProof/>
          <w:szCs w:val="22"/>
          <w:lang w:val="en-IN" w:eastAsia="en-IN"/>
        </w:rPr>
        <mc:AlternateContent>
          <mc:Choice Requires="wps">
            <w:drawing>
              <wp:anchor distT="0" distB="0" distL="114300" distR="114300" simplePos="0" relativeHeight="251659264" behindDoc="0" locked="0" layoutInCell="1" allowOverlap="1" wp14:anchorId="57646D22" wp14:editId="42BB8353">
                <wp:simplePos x="0" y="0"/>
                <wp:positionH relativeFrom="column">
                  <wp:posOffset>2810510</wp:posOffset>
                </wp:positionH>
                <wp:positionV relativeFrom="paragraph">
                  <wp:posOffset>2578100</wp:posOffset>
                </wp:positionV>
                <wp:extent cx="611505" cy="102870"/>
                <wp:effectExtent l="635"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1D6C2" w14:textId="77777777" w:rsidR="00F03D43" w:rsidRPr="00A478B7" w:rsidRDefault="00F03D43" w:rsidP="00986E19">
                            <w:pPr>
                              <w:rPr>
                                <w:b/>
                                <w:bCs/>
                                <w:sz w:val="14"/>
                                <w:szCs w:val="14"/>
                                <w:lang w:val="en-US"/>
                              </w:rPr>
                            </w:pPr>
                            <w:r w:rsidRPr="00A478B7">
                              <w:rPr>
                                <w:b/>
                                <w:bCs/>
                                <w:sz w:val="14"/>
                                <w:szCs w:val="14"/>
                                <w:lang w:val="en-US"/>
                              </w:rPr>
                              <w:t>Compar</w:t>
                            </w:r>
                            <w:r>
                              <w:rPr>
                                <w:b/>
                                <w:bCs/>
                                <w:sz w:val="14"/>
                                <w:szCs w:val="14"/>
                                <w:lang w:val="en-US"/>
                              </w:rPr>
                              <w:t>ação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46D22" id="_x0000_s1042" type="#_x0000_t202" style="position:absolute;margin-left:221.3pt;margin-top:203pt;width:48.1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" stroked="f">
                <v:textbox inset="0,0,0,0">
                  <w:txbxContent>
                    <w:p w14:paraId="03F1D6C2" w14:textId="77777777" w:rsidR="00F03D43" w:rsidRPr="00A478B7" w:rsidRDefault="00F03D43" w:rsidP="00986E19">
                      <w:pPr>
                        <w:rPr>
                          <w:b/>
                          <w:bCs/>
                          <w:sz w:val="14"/>
                          <w:szCs w:val="14"/>
                          <w:lang w:val="en-US"/>
                        </w:rPr>
                      </w:pPr>
                      <w:r w:rsidRPr="00A478B7">
                        <w:rPr>
                          <w:b/>
                          <w:bCs/>
                          <w:sz w:val="14"/>
                          <w:szCs w:val="14"/>
                          <w:lang w:val="en-US"/>
                        </w:rPr>
                        <w:t>Compar</w:t>
                      </w:r>
                      <w:r>
                        <w:rPr>
                          <w:b/>
                          <w:bCs/>
                          <w:sz w:val="14"/>
                          <w:szCs w:val="14"/>
                          <w:lang w:val="en-US"/>
                        </w:rPr>
                        <w:t>ação</w:t>
                      </w:r>
                    </w:p>
                  </w:txbxContent>
                </v:textbox>
              </v:shape>
            </w:pict>
          </mc:Fallback>
        </mc:AlternateContent>
      </w:r>
      <w:r w:rsidRPr="0063119B">
        <w:rPr>
          <w:noProof/>
          <w:szCs w:val="22"/>
          <w:lang w:val="en-IN" w:eastAsia="en-IN"/>
        </w:rPr>
        <w:drawing>
          <wp:inline distT="0" distB="0" distL="0" distR="0" wp14:anchorId="2EA9D60E" wp14:editId="448594D4">
            <wp:extent cx="5759450" cy="3727450"/>
            <wp:effectExtent l="0" t="0" r="0" b="0"/>
            <wp:docPr id="1" name="Grafik 14" descr="f_ccds_prim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f_ccds_primeff"/>
                    <pic:cNvPicPr>
                      <a:picLocks noChangeAspect="1" noChangeArrowheads="1"/>
                    </pic:cNvPicPr>
                  </pic:nvPicPr>
                  <pic:blipFill>
                    <a:blip r:embed="rId14" cstate="print">
                      <a:extLst>
                        <a:ext uri="{28A0092B-C50C-407E-A947-70E740481C1C}">
                          <a14:useLocalDpi xmlns:a14="http://schemas.microsoft.com/office/drawing/2010/main" val="0"/>
                        </a:ext>
                      </a:extLst>
                    </a:blip>
                    <a:srcRect t="9161" b="4474"/>
                    <a:stretch>
                      <a:fillRect/>
                    </a:stretch>
                  </pic:blipFill>
                  <pic:spPr bwMode="auto">
                    <a:xfrm>
                      <a:off x="0" y="0"/>
                      <a:ext cx="5759450" cy="3727450"/>
                    </a:xfrm>
                    <a:prstGeom prst="rect">
                      <a:avLst/>
                    </a:prstGeom>
                    <a:noFill/>
                    <a:ln>
                      <a:noFill/>
                    </a:ln>
                  </pic:spPr>
                </pic:pic>
              </a:graphicData>
            </a:graphic>
          </wp:inline>
        </w:drawing>
      </w:r>
    </w:p>
    <w:p w14:paraId="195F2FCB" w14:textId="77777777" w:rsidR="00986E19" w:rsidRPr="0063119B" w:rsidRDefault="00986E19" w:rsidP="00A73707">
      <w:pPr>
        <w:pStyle w:val="BayerBodyTextFull"/>
        <w:spacing w:before="0" w:after="0"/>
        <w:ind w:left="34"/>
        <w:rPr>
          <w:sz w:val="22"/>
          <w:szCs w:val="22"/>
          <w:lang w:val="pt-PT"/>
        </w:rPr>
      </w:pPr>
    </w:p>
    <w:p w14:paraId="73B9458D" w14:textId="77777777" w:rsidR="00A73707" w:rsidRPr="0063119B" w:rsidRDefault="00A73707" w:rsidP="00A73707">
      <w:pPr>
        <w:pStyle w:val="BayerBodyTextFull"/>
        <w:spacing w:before="0" w:after="0"/>
        <w:ind w:left="34"/>
        <w:rPr>
          <w:sz w:val="22"/>
          <w:szCs w:val="22"/>
          <w:lang w:val="pt-PT"/>
        </w:rPr>
      </w:pPr>
      <w:r w:rsidRPr="0063119B">
        <w:rPr>
          <w:sz w:val="22"/>
          <w:szCs w:val="22"/>
          <w:lang w:val="pt-PT"/>
        </w:rPr>
        <w:t>bid: duas vezes por dia; od: uma vez por dia; IC</w:t>
      </w:r>
      <w:r w:rsidR="006978B3" w:rsidRPr="0063119B">
        <w:rPr>
          <w:sz w:val="22"/>
          <w:szCs w:val="22"/>
          <w:lang w:val="pt-PT"/>
        </w:rPr>
        <w:t>:</w:t>
      </w:r>
      <w:r w:rsidRPr="0063119B">
        <w:rPr>
          <w:sz w:val="22"/>
          <w:szCs w:val="22"/>
          <w:lang w:val="pt-PT"/>
        </w:rPr>
        <w:t xml:space="preserve"> intervalo de confiança</w:t>
      </w:r>
    </w:p>
    <w:p w14:paraId="25AE2504" w14:textId="77777777" w:rsidR="00A73707" w:rsidRDefault="00A73707" w:rsidP="00A73707">
      <w:pPr>
        <w:rPr>
          <w:szCs w:val="22"/>
        </w:rPr>
      </w:pPr>
    </w:p>
    <w:p w14:paraId="24CEC86C" w14:textId="77777777" w:rsidR="00263931" w:rsidRDefault="00263931" w:rsidP="00A73707">
      <w:r>
        <w:t xml:space="preserve">Doentes após um procedimento de revascularização recente do membro inferior devido a DAP sintomática No ensaio de referência de Fase III, em dupla ocultação, VOYAGER PAD, alocaram-se aleatoriamente 6.564 doentes após um procedimento de revascularização recente bem sucedido do membro inferior (cirúrgico ou endovascular, incluindo procedimentos híbridos) devido a DAP sintomática, a um de dois grupos de tratamento com antitrombóticos: rivaroxabano 2,5 mg duas vezes por dia em associação com AAS 100 mg uma vez por dia, ou AAS 100 mg uma vez por dia, segundo um rácio 1:1. Era permitido aos doentes receberem adicionalmente uma dose padrão de clopidogrel, uma vez por dia, durante um máximo de 6 meses. O objetivo do estudo consistia em demonstrar a eficácia e a segurança do rivaroxabano mais AAS na prevenção do enfarte do miocárdio, AVC isquémico, morte CV, isquemia aguda do membro ou amputação major de etiologia vascular em doentes após procedimentos de revascularização recentes, bem sucedidos, do membro inferior devido a DAP sintomática. Foram incluídos os doentes com ≥ 50 anos de idade com DAP aterosclerótica sintomática da extremidade inferior, moderada a grave, documentada, evidenciada por todos os seguintes: clinicamente (i.e., limitações funcionais), anatomicamente (i.e., evidências imagiológicas de DAP distal em relação à artéria ilíaca externa) e hemodinamicamente (índice tornozelo-braquial [ABI] ≤ 0,80 ou índice dedo do pé-braquial [TBI] ≤ 0,60 para doentes sem antecedentes de revascularização do membro ou ABI ≤ 0,85 ou TBI ≤ 0,65 para doentes com antecedentes de revascularização do membro). Foram excluídos os doentes que necessitavam de terapêutica antiplaquetária dupla durante &gt; 6 meses, ou qualquer outra terapêutica antiplaquetária adicional que não AAS e clopidogrel, ou de terapêutica anticoagulante oral, assim como doentes com antecedentes de hemorragia intracraniana, AVC ou AIT, ou doentes com uma TFGe &lt; 15 ml/min. A duração média do seguimento foi de 24 meses e o seguimento máximo foi de 4,1 anos. A idade média dos doentes incluídos era de 67 anos e 17% da população de doentes tinham &gt; 75 anos de idade. O tempo mediano desde o procedimento índex de revascularização até ao início do tratamento em estudo foi de 5 dias na população global (6 dias após os procedimentos cirúrgicos e 4 dias após revascularização endovascular, incluindo procedimentos híbridos). Globalmente, 53,0% dos doentes receberam terapêutica de fundo de curta duração com clopidogrel, com uma duração mediana de 31 dias. De acordo com o protocolo do estudo, o tratamento em estudo podia ser iniciado assim que possível mas não mais de 10 dias após um </w:t>
      </w:r>
      <w:r>
        <w:lastRenderedPageBreak/>
        <w:t xml:space="preserve">procedimento de revascularização de qualificação bem sucedido, e assim que a hemóstase estivesse assegurada. </w:t>
      </w:r>
    </w:p>
    <w:p w14:paraId="2BEB9307" w14:textId="77777777" w:rsidR="00263931" w:rsidRDefault="00263931" w:rsidP="00A73707">
      <w:r>
        <w:t xml:space="preserve">O rivaroxabano 2,5 mg duas vezes por dia em associação com AAS 100 mg uma vez por dia foi superior na redução do resultado primário composto do enfarte do miocárdio, AVC isquémico, morte CV, isquemia aguda do membro e amputação major de etiologia vascular em comparação com o AAS isolado (ver Quadro 9). O resultado primário de segurança de acontecimentos hemorrágicos major de TIMI aumentou nos doentes tratados com rivaroxabano e AAS, sem qualquer aumento nas hemorragias fatais ou intracranianas (ver Quadro 10). </w:t>
      </w:r>
    </w:p>
    <w:p w14:paraId="07744B70" w14:textId="77777777" w:rsidR="00263931" w:rsidRDefault="00263931" w:rsidP="00A73707">
      <w:r>
        <w:t>Os resultados secundários da eficácia foram testados de um modo hierárquico, pré-especificado (ver Quadro 9).</w:t>
      </w:r>
    </w:p>
    <w:p w14:paraId="137EBDA4" w14:textId="77777777" w:rsidR="00710189" w:rsidRDefault="00710189" w:rsidP="00A73707"/>
    <w:p w14:paraId="003DE7AB" w14:textId="77777777" w:rsidR="00710189" w:rsidRDefault="00710189" w:rsidP="00A73707">
      <w:r>
        <w:t>Quadro 9: Resultados de eficácia do estudo de Fase III VOYAGER PAD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272"/>
        <w:gridCol w:w="2250"/>
        <w:gridCol w:w="2259"/>
      </w:tblGrid>
      <w:tr w:rsidR="00710189" w:rsidRPr="009543DC" w14:paraId="4D14D38D" w14:textId="77777777" w:rsidTr="009543DC">
        <w:tc>
          <w:tcPr>
            <w:tcW w:w="2302" w:type="dxa"/>
          </w:tcPr>
          <w:p w14:paraId="61ED293E" w14:textId="77777777" w:rsidR="00710189" w:rsidRPr="007E1ED7" w:rsidRDefault="00710189" w:rsidP="00A73707">
            <w:pPr>
              <w:rPr>
                <w:b/>
                <w:bCs/>
                <w:szCs w:val="22"/>
              </w:rPr>
            </w:pPr>
            <w:r w:rsidRPr="007E1ED7">
              <w:rPr>
                <w:b/>
                <w:bCs/>
              </w:rPr>
              <w:t>População do estudo</w:t>
            </w:r>
          </w:p>
        </w:tc>
        <w:tc>
          <w:tcPr>
            <w:tcW w:w="6909" w:type="dxa"/>
            <w:gridSpan w:val="3"/>
          </w:tcPr>
          <w:p w14:paraId="62540A1D" w14:textId="77777777" w:rsidR="00710189" w:rsidRPr="007E1ED7" w:rsidRDefault="00710189" w:rsidP="00A73707">
            <w:pPr>
              <w:rPr>
                <w:b/>
                <w:bCs/>
                <w:szCs w:val="22"/>
              </w:rPr>
            </w:pPr>
            <w:r w:rsidRPr="007E1ED7">
              <w:rPr>
                <w:b/>
                <w:bCs/>
              </w:rPr>
              <w:t xml:space="preserve">Doentes após procedimentos de revascularização recentes do membro inferior devido a DAP sintomática </w:t>
            </w:r>
            <w:r w:rsidRPr="007E1ED7">
              <w:rPr>
                <w:b/>
                <w:bCs/>
                <w:vertAlign w:val="superscript"/>
              </w:rPr>
              <w:t>a)</w:t>
            </w:r>
          </w:p>
        </w:tc>
      </w:tr>
      <w:tr w:rsidR="00710189" w:rsidRPr="009543DC" w14:paraId="4F3566E3" w14:textId="77777777" w:rsidTr="009543DC">
        <w:tc>
          <w:tcPr>
            <w:tcW w:w="2302" w:type="dxa"/>
          </w:tcPr>
          <w:p w14:paraId="330499F8" w14:textId="77777777" w:rsidR="00710189" w:rsidRPr="007E1ED7" w:rsidRDefault="00710189" w:rsidP="00A73707">
            <w:pPr>
              <w:rPr>
                <w:b/>
                <w:bCs/>
                <w:szCs w:val="22"/>
              </w:rPr>
            </w:pPr>
            <w:r w:rsidRPr="007E1ED7">
              <w:rPr>
                <w:b/>
                <w:bCs/>
              </w:rPr>
              <w:t>Posologia do tratamento</w:t>
            </w:r>
          </w:p>
        </w:tc>
        <w:tc>
          <w:tcPr>
            <w:tcW w:w="2303" w:type="dxa"/>
          </w:tcPr>
          <w:p w14:paraId="52939F73" w14:textId="77777777" w:rsidR="001C2E19" w:rsidRPr="009543DC" w:rsidRDefault="00710189" w:rsidP="00A73707">
            <w:pPr>
              <w:rPr>
                <w:b/>
                <w:bCs/>
              </w:rPr>
            </w:pPr>
            <w:r w:rsidRPr="007E1ED7">
              <w:rPr>
                <w:b/>
                <w:bCs/>
              </w:rPr>
              <w:t>Rivaroxabano 2,5 mg duas vezes por dia (bid) em associação com AAS 100 mg uma vez por dia (od)</w:t>
            </w:r>
          </w:p>
          <w:p w14:paraId="0458EF40" w14:textId="77777777" w:rsidR="001C2E19" w:rsidRPr="009543DC" w:rsidRDefault="00710189" w:rsidP="00A73707">
            <w:pPr>
              <w:rPr>
                <w:b/>
                <w:bCs/>
              </w:rPr>
            </w:pPr>
            <w:r w:rsidRPr="007E1ED7">
              <w:rPr>
                <w:b/>
                <w:bCs/>
              </w:rPr>
              <w:t xml:space="preserve">N=3.286 </w:t>
            </w:r>
          </w:p>
          <w:p w14:paraId="62DF1003" w14:textId="77777777" w:rsidR="00710189" w:rsidRPr="007E1ED7" w:rsidRDefault="00710189" w:rsidP="00A73707">
            <w:pPr>
              <w:rPr>
                <w:b/>
                <w:bCs/>
                <w:szCs w:val="22"/>
              </w:rPr>
            </w:pPr>
            <w:r w:rsidRPr="007E1ED7">
              <w:rPr>
                <w:b/>
                <w:bCs/>
              </w:rPr>
              <w:t>n (Risco cum. %)</w:t>
            </w:r>
            <w:r w:rsidRPr="007E1ED7">
              <w:rPr>
                <w:b/>
                <w:bCs/>
                <w:vertAlign w:val="superscript"/>
              </w:rPr>
              <w:t>c)</w:t>
            </w:r>
          </w:p>
        </w:tc>
        <w:tc>
          <w:tcPr>
            <w:tcW w:w="2303" w:type="dxa"/>
          </w:tcPr>
          <w:p w14:paraId="227631E9" w14:textId="77777777" w:rsidR="00710189" w:rsidRPr="007E1ED7" w:rsidRDefault="00710189" w:rsidP="00A73707">
            <w:pPr>
              <w:rPr>
                <w:b/>
                <w:bCs/>
              </w:rPr>
            </w:pPr>
            <w:r w:rsidRPr="007E1ED7">
              <w:rPr>
                <w:b/>
                <w:bCs/>
              </w:rPr>
              <w:t xml:space="preserve">AAS 100 mg uma vez por dia (od) </w:t>
            </w:r>
          </w:p>
          <w:p w14:paraId="2B6583EC" w14:textId="77777777" w:rsidR="00710189" w:rsidRPr="007E1ED7" w:rsidRDefault="00710189" w:rsidP="00A73707">
            <w:pPr>
              <w:rPr>
                <w:b/>
                <w:bCs/>
              </w:rPr>
            </w:pPr>
          </w:p>
          <w:p w14:paraId="7082CB20" w14:textId="77777777" w:rsidR="001C2E19" w:rsidRPr="009543DC" w:rsidRDefault="00710189" w:rsidP="00A73707">
            <w:pPr>
              <w:rPr>
                <w:b/>
                <w:bCs/>
              </w:rPr>
            </w:pPr>
            <w:r w:rsidRPr="007E1ED7">
              <w:rPr>
                <w:b/>
                <w:bCs/>
              </w:rPr>
              <w:t xml:space="preserve">N=3.278 </w:t>
            </w:r>
          </w:p>
          <w:p w14:paraId="64B77505" w14:textId="77777777" w:rsidR="00710189" w:rsidRPr="007E1ED7" w:rsidRDefault="00710189" w:rsidP="00A73707">
            <w:pPr>
              <w:rPr>
                <w:b/>
                <w:bCs/>
                <w:szCs w:val="22"/>
              </w:rPr>
            </w:pPr>
            <w:r w:rsidRPr="007E1ED7">
              <w:rPr>
                <w:b/>
                <w:bCs/>
              </w:rPr>
              <w:t>n (Risco cum. %)</w:t>
            </w:r>
            <w:r w:rsidRPr="007E1ED7">
              <w:rPr>
                <w:b/>
                <w:bCs/>
                <w:vertAlign w:val="superscript"/>
              </w:rPr>
              <w:t>c)</w:t>
            </w:r>
          </w:p>
        </w:tc>
        <w:tc>
          <w:tcPr>
            <w:tcW w:w="2303" w:type="dxa"/>
          </w:tcPr>
          <w:p w14:paraId="6D113E52" w14:textId="77777777" w:rsidR="001C2E19" w:rsidRPr="009543DC" w:rsidRDefault="00710189" w:rsidP="00A73707">
            <w:pPr>
              <w:rPr>
                <w:b/>
                <w:bCs/>
              </w:rPr>
            </w:pPr>
            <w:r w:rsidRPr="007E1ED7">
              <w:rPr>
                <w:b/>
                <w:bCs/>
              </w:rPr>
              <w:t xml:space="preserve">Razão de Risco </w:t>
            </w:r>
          </w:p>
          <w:p w14:paraId="4990B325" w14:textId="77777777" w:rsidR="00710189" w:rsidRPr="007E1ED7" w:rsidRDefault="00710189" w:rsidP="00A73707">
            <w:pPr>
              <w:rPr>
                <w:b/>
                <w:bCs/>
                <w:szCs w:val="22"/>
              </w:rPr>
            </w:pPr>
            <w:r w:rsidRPr="007E1ED7">
              <w:rPr>
                <w:b/>
                <w:bCs/>
              </w:rPr>
              <w:t xml:space="preserve">(IC 95%) </w:t>
            </w:r>
            <w:r w:rsidRPr="007E1ED7">
              <w:rPr>
                <w:b/>
                <w:bCs/>
                <w:vertAlign w:val="superscript"/>
              </w:rPr>
              <w:t>d)</w:t>
            </w:r>
          </w:p>
        </w:tc>
      </w:tr>
      <w:tr w:rsidR="00710189" w:rsidRPr="009543DC" w14:paraId="71834265" w14:textId="77777777" w:rsidTr="009543DC">
        <w:tc>
          <w:tcPr>
            <w:tcW w:w="2302" w:type="dxa"/>
          </w:tcPr>
          <w:p w14:paraId="4EB8E124" w14:textId="77777777" w:rsidR="00710189" w:rsidRPr="007E1ED7" w:rsidRDefault="00F022B3" w:rsidP="00A73707">
            <w:pPr>
              <w:rPr>
                <w:b/>
                <w:bCs/>
                <w:szCs w:val="22"/>
              </w:rPr>
            </w:pPr>
            <w:r w:rsidRPr="007E1ED7">
              <w:rPr>
                <w:b/>
                <w:bCs/>
              </w:rPr>
              <w:t>Resultado primário da eficáciab)</w:t>
            </w:r>
          </w:p>
        </w:tc>
        <w:tc>
          <w:tcPr>
            <w:tcW w:w="2303" w:type="dxa"/>
          </w:tcPr>
          <w:p w14:paraId="25A1F147" w14:textId="77777777" w:rsidR="00710189" w:rsidRPr="007E1ED7" w:rsidRDefault="00F022B3" w:rsidP="00A73707">
            <w:pPr>
              <w:rPr>
                <w:b/>
                <w:bCs/>
                <w:szCs w:val="22"/>
              </w:rPr>
            </w:pPr>
            <w:r w:rsidRPr="007E1ED7">
              <w:rPr>
                <w:b/>
                <w:bCs/>
              </w:rPr>
              <w:t>508 (15,5%)</w:t>
            </w:r>
          </w:p>
        </w:tc>
        <w:tc>
          <w:tcPr>
            <w:tcW w:w="2303" w:type="dxa"/>
          </w:tcPr>
          <w:p w14:paraId="50B20A68" w14:textId="77777777" w:rsidR="00710189" w:rsidRPr="007E1ED7" w:rsidRDefault="00F022B3" w:rsidP="00A73707">
            <w:pPr>
              <w:rPr>
                <w:b/>
                <w:bCs/>
                <w:szCs w:val="22"/>
              </w:rPr>
            </w:pPr>
            <w:r w:rsidRPr="007E1ED7">
              <w:rPr>
                <w:b/>
                <w:bCs/>
              </w:rPr>
              <w:t>584 (17,8%)</w:t>
            </w:r>
          </w:p>
        </w:tc>
        <w:tc>
          <w:tcPr>
            <w:tcW w:w="2303" w:type="dxa"/>
          </w:tcPr>
          <w:p w14:paraId="59461AE9" w14:textId="77777777" w:rsidR="00710189" w:rsidRPr="007E1ED7" w:rsidRDefault="00F022B3" w:rsidP="00A73707">
            <w:pPr>
              <w:rPr>
                <w:b/>
                <w:bCs/>
                <w:szCs w:val="22"/>
              </w:rPr>
            </w:pPr>
            <w:r w:rsidRPr="007E1ED7">
              <w:rPr>
                <w:b/>
                <w:bCs/>
              </w:rPr>
              <w:t xml:space="preserve">0,85 (0,76;0,96) p = 0,0043 </w:t>
            </w:r>
            <w:r w:rsidRPr="007E1ED7">
              <w:rPr>
                <w:b/>
                <w:bCs/>
                <w:vertAlign w:val="superscript"/>
              </w:rPr>
              <w:t>e)</w:t>
            </w:r>
            <w:r w:rsidRPr="007E1ED7">
              <w:rPr>
                <w:b/>
                <w:bCs/>
              </w:rPr>
              <w:t>*</w:t>
            </w:r>
          </w:p>
        </w:tc>
      </w:tr>
      <w:tr w:rsidR="00710189" w:rsidRPr="009543DC" w14:paraId="4EF05421" w14:textId="77777777" w:rsidTr="009543DC">
        <w:tc>
          <w:tcPr>
            <w:tcW w:w="2302" w:type="dxa"/>
          </w:tcPr>
          <w:p w14:paraId="53971028" w14:textId="77777777" w:rsidR="00710189" w:rsidRPr="009543DC" w:rsidRDefault="00F022B3" w:rsidP="009543DC">
            <w:pPr>
              <w:ind w:left="142"/>
              <w:rPr>
                <w:szCs w:val="22"/>
              </w:rPr>
            </w:pPr>
            <w:r>
              <w:t>- EM</w:t>
            </w:r>
          </w:p>
        </w:tc>
        <w:tc>
          <w:tcPr>
            <w:tcW w:w="2303" w:type="dxa"/>
          </w:tcPr>
          <w:p w14:paraId="6553A4EC" w14:textId="77777777" w:rsidR="00710189" w:rsidRPr="009543DC" w:rsidRDefault="00F022B3" w:rsidP="00A73707">
            <w:pPr>
              <w:rPr>
                <w:szCs w:val="22"/>
              </w:rPr>
            </w:pPr>
            <w:r>
              <w:t>131 (4,0%)</w:t>
            </w:r>
          </w:p>
        </w:tc>
        <w:tc>
          <w:tcPr>
            <w:tcW w:w="2303" w:type="dxa"/>
          </w:tcPr>
          <w:p w14:paraId="54EADC22" w14:textId="77777777" w:rsidR="00710189" w:rsidRPr="009543DC" w:rsidRDefault="00F022B3" w:rsidP="00A73707">
            <w:pPr>
              <w:rPr>
                <w:szCs w:val="22"/>
              </w:rPr>
            </w:pPr>
            <w:r>
              <w:t>148 (4,5%)</w:t>
            </w:r>
          </w:p>
        </w:tc>
        <w:tc>
          <w:tcPr>
            <w:tcW w:w="2303" w:type="dxa"/>
          </w:tcPr>
          <w:p w14:paraId="510BDB7E" w14:textId="77777777" w:rsidR="00710189" w:rsidRPr="009543DC" w:rsidRDefault="00F022B3" w:rsidP="00A73707">
            <w:pPr>
              <w:rPr>
                <w:szCs w:val="22"/>
              </w:rPr>
            </w:pPr>
            <w:r>
              <w:t>0,88 (0,70; 1,12)</w:t>
            </w:r>
          </w:p>
        </w:tc>
      </w:tr>
      <w:tr w:rsidR="00710189" w:rsidRPr="009543DC" w14:paraId="670D8578" w14:textId="77777777" w:rsidTr="009543DC">
        <w:tc>
          <w:tcPr>
            <w:tcW w:w="2302" w:type="dxa"/>
          </w:tcPr>
          <w:p w14:paraId="74D84A48" w14:textId="77777777" w:rsidR="00710189" w:rsidRPr="009543DC" w:rsidRDefault="00F022B3" w:rsidP="009543DC">
            <w:pPr>
              <w:ind w:left="142"/>
              <w:rPr>
                <w:szCs w:val="22"/>
              </w:rPr>
            </w:pPr>
            <w:r w:rsidRPr="009543DC">
              <w:rPr>
                <w:szCs w:val="22"/>
              </w:rPr>
              <w:t>- AVC Isquémico</w:t>
            </w:r>
          </w:p>
        </w:tc>
        <w:tc>
          <w:tcPr>
            <w:tcW w:w="2303" w:type="dxa"/>
          </w:tcPr>
          <w:p w14:paraId="28A69342" w14:textId="77777777" w:rsidR="00710189" w:rsidRPr="009543DC" w:rsidRDefault="00F022B3" w:rsidP="00A73707">
            <w:pPr>
              <w:rPr>
                <w:szCs w:val="22"/>
              </w:rPr>
            </w:pPr>
            <w:r>
              <w:t>71 (2,2%)</w:t>
            </w:r>
          </w:p>
        </w:tc>
        <w:tc>
          <w:tcPr>
            <w:tcW w:w="2303" w:type="dxa"/>
          </w:tcPr>
          <w:p w14:paraId="196C226C" w14:textId="77777777" w:rsidR="00710189" w:rsidRPr="009543DC" w:rsidRDefault="00F022B3" w:rsidP="00A73707">
            <w:pPr>
              <w:rPr>
                <w:szCs w:val="22"/>
              </w:rPr>
            </w:pPr>
            <w:r>
              <w:t>82 (2,5%)</w:t>
            </w:r>
          </w:p>
        </w:tc>
        <w:tc>
          <w:tcPr>
            <w:tcW w:w="2303" w:type="dxa"/>
          </w:tcPr>
          <w:p w14:paraId="64713BBC" w14:textId="77777777" w:rsidR="00710189" w:rsidRPr="009543DC" w:rsidRDefault="00F022B3" w:rsidP="00A73707">
            <w:pPr>
              <w:rPr>
                <w:szCs w:val="22"/>
              </w:rPr>
            </w:pPr>
            <w:r>
              <w:t>0,87 (0,63; 1,19)</w:t>
            </w:r>
          </w:p>
        </w:tc>
      </w:tr>
      <w:tr w:rsidR="00710189" w:rsidRPr="009543DC" w14:paraId="4EB61403" w14:textId="77777777" w:rsidTr="009543DC">
        <w:tc>
          <w:tcPr>
            <w:tcW w:w="2302" w:type="dxa"/>
          </w:tcPr>
          <w:p w14:paraId="0CC63532" w14:textId="77777777" w:rsidR="00710189" w:rsidRPr="009543DC" w:rsidRDefault="00F022B3" w:rsidP="009543DC">
            <w:pPr>
              <w:ind w:left="142"/>
              <w:rPr>
                <w:szCs w:val="22"/>
              </w:rPr>
            </w:pPr>
            <w:r w:rsidRPr="009543DC">
              <w:rPr>
                <w:szCs w:val="22"/>
              </w:rPr>
              <w:t>- Morte CV</w:t>
            </w:r>
          </w:p>
        </w:tc>
        <w:tc>
          <w:tcPr>
            <w:tcW w:w="2303" w:type="dxa"/>
          </w:tcPr>
          <w:p w14:paraId="2AF38885" w14:textId="77777777" w:rsidR="00710189" w:rsidRPr="009543DC" w:rsidRDefault="00F022B3" w:rsidP="00A73707">
            <w:pPr>
              <w:rPr>
                <w:szCs w:val="22"/>
              </w:rPr>
            </w:pPr>
            <w:r>
              <w:t>199 (6,1%)</w:t>
            </w:r>
          </w:p>
        </w:tc>
        <w:tc>
          <w:tcPr>
            <w:tcW w:w="2303" w:type="dxa"/>
          </w:tcPr>
          <w:p w14:paraId="5BC9297C" w14:textId="77777777" w:rsidR="00710189" w:rsidRPr="009543DC" w:rsidRDefault="00F022B3" w:rsidP="00A73707">
            <w:pPr>
              <w:rPr>
                <w:szCs w:val="22"/>
              </w:rPr>
            </w:pPr>
            <w:r>
              <w:t>174 (5,3%)</w:t>
            </w:r>
          </w:p>
        </w:tc>
        <w:tc>
          <w:tcPr>
            <w:tcW w:w="2303" w:type="dxa"/>
          </w:tcPr>
          <w:p w14:paraId="4F496BB6" w14:textId="77777777" w:rsidR="00710189" w:rsidRPr="009543DC" w:rsidRDefault="00F022B3" w:rsidP="00A73707">
            <w:pPr>
              <w:rPr>
                <w:szCs w:val="22"/>
              </w:rPr>
            </w:pPr>
            <w:r>
              <w:t>1,14 (0,93; 1,40)</w:t>
            </w:r>
          </w:p>
        </w:tc>
      </w:tr>
      <w:tr w:rsidR="00710189" w:rsidRPr="009543DC" w14:paraId="5ADA5A88" w14:textId="77777777" w:rsidTr="009543DC">
        <w:tc>
          <w:tcPr>
            <w:tcW w:w="2302" w:type="dxa"/>
          </w:tcPr>
          <w:p w14:paraId="3A2A8A56" w14:textId="77777777" w:rsidR="00710189" w:rsidRPr="009543DC" w:rsidRDefault="00F022B3" w:rsidP="009543DC">
            <w:pPr>
              <w:ind w:left="142"/>
              <w:rPr>
                <w:szCs w:val="22"/>
              </w:rPr>
            </w:pPr>
            <w:r w:rsidRPr="009543DC">
              <w:rPr>
                <w:szCs w:val="22"/>
              </w:rPr>
              <w:t xml:space="preserve">- Isquemia aguda do membro </w:t>
            </w:r>
            <w:r w:rsidRPr="007E1ED7">
              <w:rPr>
                <w:szCs w:val="22"/>
                <w:vertAlign w:val="superscript"/>
              </w:rPr>
              <w:t>f)</w:t>
            </w:r>
          </w:p>
        </w:tc>
        <w:tc>
          <w:tcPr>
            <w:tcW w:w="2303" w:type="dxa"/>
          </w:tcPr>
          <w:p w14:paraId="0D09D784" w14:textId="77777777" w:rsidR="00710189" w:rsidRPr="009543DC" w:rsidRDefault="00F022B3" w:rsidP="00A73707">
            <w:pPr>
              <w:rPr>
                <w:szCs w:val="22"/>
              </w:rPr>
            </w:pPr>
            <w:r>
              <w:t>155 (4,7%)</w:t>
            </w:r>
          </w:p>
        </w:tc>
        <w:tc>
          <w:tcPr>
            <w:tcW w:w="2303" w:type="dxa"/>
          </w:tcPr>
          <w:p w14:paraId="4D9DA75D" w14:textId="77777777" w:rsidR="00710189" w:rsidRPr="009543DC" w:rsidRDefault="00F022B3" w:rsidP="00A73707">
            <w:pPr>
              <w:rPr>
                <w:szCs w:val="22"/>
              </w:rPr>
            </w:pPr>
            <w:r>
              <w:t>227 (6,9%)</w:t>
            </w:r>
          </w:p>
        </w:tc>
        <w:tc>
          <w:tcPr>
            <w:tcW w:w="2303" w:type="dxa"/>
          </w:tcPr>
          <w:p w14:paraId="342A6E68" w14:textId="77777777" w:rsidR="00710189" w:rsidRPr="009543DC" w:rsidRDefault="00F022B3" w:rsidP="00A73707">
            <w:pPr>
              <w:rPr>
                <w:szCs w:val="22"/>
              </w:rPr>
            </w:pPr>
            <w:r>
              <w:t>0,67 (0,55; 0,82)</w:t>
            </w:r>
          </w:p>
        </w:tc>
      </w:tr>
      <w:tr w:rsidR="00710189" w:rsidRPr="009543DC" w14:paraId="72201F0C" w14:textId="77777777" w:rsidTr="009543DC">
        <w:tc>
          <w:tcPr>
            <w:tcW w:w="2302" w:type="dxa"/>
          </w:tcPr>
          <w:p w14:paraId="05CFE994" w14:textId="77777777" w:rsidR="00710189" w:rsidRPr="009543DC" w:rsidRDefault="00F022B3" w:rsidP="009543DC">
            <w:pPr>
              <w:ind w:left="142"/>
              <w:rPr>
                <w:szCs w:val="22"/>
              </w:rPr>
            </w:pPr>
            <w:r w:rsidRPr="009543DC">
              <w:rPr>
                <w:szCs w:val="22"/>
              </w:rPr>
              <w:t xml:space="preserve">- Amputação </w:t>
            </w:r>
            <w:r w:rsidRPr="007E1ED7">
              <w:rPr>
                <w:i/>
                <w:iCs/>
                <w:szCs w:val="22"/>
              </w:rPr>
              <w:t>major</w:t>
            </w:r>
            <w:r w:rsidRPr="009543DC">
              <w:rPr>
                <w:szCs w:val="22"/>
              </w:rPr>
              <w:t xml:space="preserve"> de etiologia vascular</w:t>
            </w:r>
          </w:p>
        </w:tc>
        <w:tc>
          <w:tcPr>
            <w:tcW w:w="2303" w:type="dxa"/>
          </w:tcPr>
          <w:p w14:paraId="144081E6" w14:textId="77777777" w:rsidR="00710189" w:rsidRPr="009543DC" w:rsidRDefault="00F022B3" w:rsidP="00A73707">
            <w:pPr>
              <w:rPr>
                <w:szCs w:val="22"/>
              </w:rPr>
            </w:pPr>
            <w:r>
              <w:t>103 (3,1%)</w:t>
            </w:r>
          </w:p>
        </w:tc>
        <w:tc>
          <w:tcPr>
            <w:tcW w:w="2303" w:type="dxa"/>
          </w:tcPr>
          <w:p w14:paraId="09C411B3" w14:textId="77777777" w:rsidR="00710189" w:rsidRPr="009543DC" w:rsidRDefault="00F022B3" w:rsidP="00A73707">
            <w:pPr>
              <w:rPr>
                <w:szCs w:val="22"/>
              </w:rPr>
            </w:pPr>
            <w:r>
              <w:t>115 (3,5%)</w:t>
            </w:r>
          </w:p>
        </w:tc>
        <w:tc>
          <w:tcPr>
            <w:tcW w:w="2303" w:type="dxa"/>
          </w:tcPr>
          <w:p w14:paraId="41E7BBE5" w14:textId="77777777" w:rsidR="00710189" w:rsidRPr="009543DC" w:rsidRDefault="00F022B3" w:rsidP="00A73707">
            <w:pPr>
              <w:rPr>
                <w:szCs w:val="22"/>
              </w:rPr>
            </w:pPr>
            <w:r>
              <w:t>0,89 (0,68; 1,16)</w:t>
            </w:r>
          </w:p>
        </w:tc>
      </w:tr>
      <w:tr w:rsidR="00710189" w:rsidRPr="009543DC" w14:paraId="47B1C158" w14:textId="77777777" w:rsidTr="009543DC">
        <w:tc>
          <w:tcPr>
            <w:tcW w:w="2302" w:type="dxa"/>
          </w:tcPr>
          <w:p w14:paraId="55540DEA" w14:textId="77777777" w:rsidR="00710189" w:rsidRPr="007E1ED7" w:rsidRDefault="00F022B3" w:rsidP="00A73707">
            <w:pPr>
              <w:rPr>
                <w:b/>
                <w:bCs/>
                <w:szCs w:val="22"/>
              </w:rPr>
            </w:pPr>
            <w:r w:rsidRPr="007E1ED7">
              <w:rPr>
                <w:b/>
                <w:bCs/>
                <w:szCs w:val="22"/>
              </w:rPr>
              <w:t>Resultado secundário da eficácia</w:t>
            </w:r>
          </w:p>
        </w:tc>
        <w:tc>
          <w:tcPr>
            <w:tcW w:w="2303" w:type="dxa"/>
          </w:tcPr>
          <w:p w14:paraId="14A69BE8" w14:textId="77777777" w:rsidR="00710189" w:rsidRPr="009543DC" w:rsidRDefault="00710189" w:rsidP="00A73707">
            <w:pPr>
              <w:rPr>
                <w:szCs w:val="22"/>
              </w:rPr>
            </w:pPr>
          </w:p>
        </w:tc>
        <w:tc>
          <w:tcPr>
            <w:tcW w:w="2303" w:type="dxa"/>
          </w:tcPr>
          <w:p w14:paraId="56B7DB36" w14:textId="77777777" w:rsidR="00710189" w:rsidRPr="009543DC" w:rsidRDefault="00710189" w:rsidP="00A73707">
            <w:pPr>
              <w:rPr>
                <w:szCs w:val="22"/>
              </w:rPr>
            </w:pPr>
          </w:p>
        </w:tc>
        <w:tc>
          <w:tcPr>
            <w:tcW w:w="2303" w:type="dxa"/>
          </w:tcPr>
          <w:p w14:paraId="66618ED7" w14:textId="77777777" w:rsidR="00710189" w:rsidRPr="009543DC" w:rsidRDefault="00710189" w:rsidP="00A73707">
            <w:pPr>
              <w:rPr>
                <w:szCs w:val="22"/>
              </w:rPr>
            </w:pPr>
          </w:p>
        </w:tc>
      </w:tr>
      <w:tr w:rsidR="00710189" w:rsidRPr="009543DC" w14:paraId="2C10C154" w14:textId="77777777" w:rsidTr="009543DC">
        <w:tc>
          <w:tcPr>
            <w:tcW w:w="2302" w:type="dxa"/>
          </w:tcPr>
          <w:p w14:paraId="095334C0" w14:textId="77777777" w:rsidR="00710189" w:rsidRPr="009543DC" w:rsidRDefault="00F022B3" w:rsidP="00A73707">
            <w:pPr>
              <w:rPr>
                <w:szCs w:val="22"/>
              </w:rPr>
            </w:pPr>
            <w:r>
              <w:t>Revascularização index não planeada do membro devido a isquemia recorrente do membro</w:t>
            </w:r>
          </w:p>
        </w:tc>
        <w:tc>
          <w:tcPr>
            <w:tcW w:w="2303" w:type="dxa"/>
          </w:tcPr>
          <w:p w14:paraId="581B4CD1" w14:textId="77777777" w:rsidR="00710189" w:rsidRPr="009543DC" w:rsidRDefault="00F022B3" w:rsidP="00A73707">
            <w:pPr>
              <w:rPr>
                <w:szCs w:val="22"/>
              </w:rPr>
            </w:pPr>
            <w:r>
              <w:t>584 (17,8%)</w:t>
            </w:r>
          </w:p>
        </w:tc>
        <w:tc>
          <w:tcPr>
            <w:tcW w:w="2303" w:type="dxa"/>
          </w:tcPr>
          <w:p w14:paraId="2A5EC811" w14:textId="77777777" w:rsidR="00710189" w:rsidRPr="009543DC" w:rsidRDefault="00F022B3" w:rsidP="00A73707">
            <w:pPr>
              <w:rPr>
                <w:szCs w:val="22"/>
              </w:rPr>
            </w:pPr>
            <w:r>
              <w:t>655 (20,0%)</w:t>
            </w:r>
          </w:p>
        </w:tc>
        <w:tc>
          <w:tcPr>
            <w:tcW w:w="2303" w:type="dxa"/>
          </w:tcPr>
          <w:p w14:paraId="112DFB5C" w14:textId="77777777" w:rsidR="00710189" w:rsidRPr="009543DC" w:rsidRDefault="00F022B3" w:rsidP="00A73707">
            <w:pPr>
              <w:rPr>
                <w:szCs w:val="22"/>
              </w:rPr>
            </w:pPr>
            <w:r>
              <w:t xml:space="preserve">0,88 (0,79; 0,99) p = 0,0140 </w:t>
            </w:r>
            <w:r w:rsidRPr="007E1ED7">
              <w:rPr>
                <w:vertAlign w:val="superscript"/>
              </w:rPr>
              <w:t>e)</w:t>
            </w:r>
            <w:r>
              <w:t>*</w:t>
            </w:r>
          </w:p>
        </w:tc>
      </w:tr>
      <w:tr w:rsidR="00710189" w:rsidRPr="009543DC" w14:paraId="059AC02E" w14:textId="77777777" w:rsidTr="009543DC">
        <w:tc>
          <w:tcPr>
            <w:tcW w:w="2302" w:type="dxa"/>
          </w:tcPr>
          <w:p w14:paraId="19D5833E" w14:textId="77777777" w:rsidR="00710189" w:rsidRPr="009543DC" w:rsidRDefault="00F022B3" w:rsidP="00A73707">
            <w:pPr>
              <w:rPr>
                <w:szCs w:val="22"/>
              </w:rPr>
            </w:pPr>
            <w:r>
              <w:t>Hospitalização devido a causa coronária ou periférica (qualquer um dos membros inferiores) de natureza trombótica</w:t>
            </w:r>
          </w:p>
        </w:tc>
        <w:tc>
          <w:tcPr>
            <w:tcW w:w="2303" w:type="dxa"/>
          </w:tcPr>
          <w:p w14:paraId="2F189F31" w14:textId="77777777" w:rsidR="00710189" w:rsidRPr="009543DC" w:rsidRDefault="00F022B3" w:rsidP="00A73707">
            <w:pPr>
              <w:rPr>
                <w:szCs w:val="22"/>
              </w:rPr>
            </w:pPr>
            <w:r>
              <w:t>262 (8,0%)</w:t>
            </w:r>
          </w:p>
        </w:tc>
        <w:tc>
          <w:tcPr>
            <w:tcW w:w="2303" w:type="dxa"/>
          </w:tcPr>
          <w:p w14:paraId="5E9FE115" w14:textId="77777777" w:rsidR="00710189" w:rsidRPr="009543DC" w:rsidRDefault="00F022B3" w:rsidP="00A73707">
            <w:pPr>
              <w:rPr>
                <w:szCs w:val="22"/>
              </w:rPr>
            </w:pPr>
            <w:r>
              <w:t>356 (10,9%)</w:t>
            </w:r>
          </w:p>
        </w:tc>
        <w:tc>
          <w:tcPr>
            <w:tcW w:w="2303" w:type="dxa"/>
          </w:tcPr>
          <w:p w14:paraId="368ACB01" w14:textId="77777777" w:rsidR="00710189" w:rsidRPr="009543DC" w:rsidRDefault="001C2E19" w:rsidP="00A73707">
            <w:pPr>
              <w:rPr>
                <w:szCs w:val="22"/>
              </w:rPr>
            </w:pPr>
            <w:r>
              <w:t xml:space="preserve">0,72 (0,62; 0,85) p &lt; 0,0001 </w:t>
            </w:r>
            <w:r w:rsidRPr="007E1ED7">
              <w:rPr>
                <w:vertAlign w:val="superscript"/>
              </w:rPr>
              <w:t>e)</w:t>
            </w:r>
            <w:r>
              <w:t>*</w:t>
            </w:r>
          </w:p>
        </w:tc>
      </w:tr>
      <w:tr w:rsidR="00710189" w:rsidRPr="009543DC" w14:paraId="08928DEF" w14:textId="77777777" w:rsidTr="009543DC">
        <w:tc>
          <w:tcPr>
            <w:tcW w:w="2302" w:type="dxa"/>
          </w:tcPr>
          <w:p w14:paraId="1CCB5DE2" w14:textId="77777777" w:rsidR="00710189" w:rsidRPr="009543DC" w:rsidRDefault="00F022B3" w:rsidP="00A73707">
            <w:pPr>
              <w:rPr>
                <w:szCs w:val="22"/>
              </w:rPr>
            </w:pPr>
            <w:r>
              <w:t>Mortalidade por todas as causas</w:t>
            </w:r>
          </w:p>
        </w:tc>
        <w:tc>
          <w:tcPr>
            <w:tcW w:w="2303" w:type="dxa"/>
          </w:tcPr>
          <w:p w14:paraId="40DD7148" w14:textId="77777777" w:rsidR="00710189" w:rsidRPr="009543DC" w:rsidRDefault="00F022B3" w:rsidP="00A73707">
            <w:pPr>
              <w:rPr>
                <w:szCs w:val="22"/>
              </w:rPr>
            </w:pPr>
            <w:r>
              <w:t>321 (9,8%)</w:t>
            </w:r>
          </w:p>
        </w:tc>
        <w:tc>
          <w:tcPr>
            <w:tcW w:w="2303" w:type="dxa"/>
          </w:tcPr>
          <w:p w14:paraId="0A4FAA41" w14:textId="77777777" w:rsidR="00710189" w:rsidRPr="009543DC" w:rsidRDefault="00F022B3" w:rsidP="00A73707">
            <w:pPr>
              <w:rPr>
                <w:szCs w:val="22"/>
              </w:rPr>
            </w:pPr>
            <w:r>
              <w:t>297 (9,1%)</w:t>
            </w:r>
          </w:p>
        </w:tc>
        <w:tc>
          <w:tcPr>
            <w:tcW w:w="2303" w:type="dxa"/>
          </w:tcPr>
          <w:p w14:paraId="2D4343F3" w14:textId="77777777" w:rsidR="00710189" w:rsidRPr="009543DC" w:rsidRDefault="001C2E19" w:rsidP="00A73707">
            <w:pPr>
              <w:rPr>
                <w:szCs w:val="22"/>
              </w:rPr>
            </w:pPr>
            <w:r>
              <w:t>1,08 (0,92; 1,27)</w:t>
            </w:r>
          </w:p>
        </w:tc>
      </w:tr>
      <w:tr w:rsidR="00710189" w:rsidRPr="009543DC" w14:paraId="2B5C0223" w14:textId="77777777" w:rsidTr="009543DC">
        <w:tc>
          <w:tcPr>
            <w:tcW w:w="2302" w:type="dxa"/>
          </w:tcPr>
          <w:p w14:paraId="795BB654" w14:textId="77777777" w:rsidR="00710189" w:rsidRPr="009543DC" w:rsidRDefault="00F022B3" w:rsidP="00A73707">
            <w:pPr>
              <w:rPr>
                <w:szCs w:val="22"/>
              </w:rPr>
            </w:pPr>
            <w:r>
              <w:t>Acontecimentos TEV</w:t>
            </w:r>
          </w:p>
        </w:tc>
        <w:tc>
          <w:tcPr>
            <w:tcW w:w="2303" w:type="dxa"/>
          </w:tcPr>
          <w:p w14:paraId="4E6EB0AC" w14:textId="77777777" w:rsidR="00710189" w:rsidRPr="009543DC" w:rsidRDefault="00F022B3" w:rsidP="00A73707">
            <w:pPr>
              <w:rPr>
                <w:szCs w:val="22"/>
              </w:rPr>
            </w:pPr>
            <w:r>
              <w:t>25 (0,8%)</w:t>
            </w:r>
          </w:p>
        </w:tc>
        <w:tc>
          <w:tcPr>
            <w:tcW w:w="2303" w:type="dxa"/>
          </w:tcPr>
          <w:p w14:paraId="077C8F94" w14:textId="77777777" w:rsidR="00710189" w:rsidRPr="009543DC" w:rsidRDefault="00F022B3" w:rsidP="00A73707">
            <w:pPr>
              <w:rPr>
                <w:szCs w:val="22"/>
              </w:rPr>
            </w:pPr>
            <w:r>
              <w:t>41 (1,3%)</w:t>
            </w:r>
          </w:p>
        </w:tc>
        <w:tc>
          <w:tcPr>
            <w:tcW w:w="2303" w:type="dxa"/>
          </w:tcPr>
          <w:p w14:paraId="509CD31E" w14:textId="77777777" w:rsidR="00710189" w:rsidRPr="009543DC" w:rsidRDefault="00F022B3" w:rsidP="00A73707">
            <w:pPr>
              <w:rPr>
                <w:szCs w:val="22"/>
              </w:rPr>
            </w:pPr>
            <w:r>
              <w:t>0,61 (0,37; 1,00)</w:t>
            </w:r>
          </w:p>
        </w:tc>
      </w:tr>
    </w:tbl>
    <w:p w14:paraId="03CAC333" w14:textId="77777777" w:rsidR="001C2E19" w:rsidRDefault="001C2E19" w:rsidP="00A73707">
      <w:r w:rsidRPr="007E1ED7">
        <w:rPr>
          <w:vertAlign w:val="superscript"/>
        </w:rPr>
        <w:t>a)</w:t>
      </w:r>
      <w:r>
        <w:t xml:space="preserve"> conjunto de análise de intenção de tratar, análises primárias; adjudicado pelo ICAC </w:t>
      </w:r>
    </w:p>
    <w:p w14:paraId="14AF1DC6" w14:textId="77777777" w:rsidR="001C2E19" w:rsidRDefault="001C2E19" w:rsidP="00A73707">
      <w:r w:rsidRPr="007E1ED7">
        <w:rPr>
          <w:vertAlign w:val="superscript"/>
        </w:rPr>
        <w:t>b)</w:t>
      </w:r>
      <w:r>
        <w:t xml:space="preserve"> composto de EM, AVC isquémico, morte CV (morte CV e causa de morte desconhecida), IAM e amputação major de etiologia vascular </w:t>
      </w:r>
    </w:p>
    <w:p w14:paraId="1D15E8C8" w14:textId="77777777" w:rsidR="001C2E19" w:rsidRDefault="001C2E19" w:rsidP="00A73707">
      <w:r w:rsidRPr="007E1ED7">
        <w:rPr>
          <w:vertAlign w:val="superscript"/>
        </w:rPr>
        <w:t>c)</w:t>
      </w:r>
      <w:r>
        <w:t xml:space="preserve"> apenas se considera a primeira ocorrência do resultado do acontecimento sob análise no âmbito dos dados de um indivíduo </w:t>
      </w:r>
    </w:p>
    <w:p w14:paraId="6C900ECE" w14:textId="77777777" w:rsidR="001C2E19" w:rsidRDefault="001C2E19" w:rsidP="00A73707">
      <w:r w:rsidRPr="007E1ED7">
        <w:rPr>
          <w:vertAlign w:val="superscript"/>
        </w:rPr>
        <w:t>d)</w:t>
      </w:r>
      <w:r>
        <w:t xml:space="preserve"> A RR (IC 95%) baseia-se no modelo de riscos proporcionais de Cox estratificado por tipo de procedimento e utilização de clopidogrel com o tratamento como a única covariável.. </w:t>
      </w:r>
    </w:p>
    <w:p w14:paraId="6D94DFFB" w14:textId="77777777" w:rsidR="001C2E19" w:rsidRDefault="001C2E19" w:rsidP="00A73707">
      <w:r w:rsidRPr="007E1ED7">
        <w:rPr>
          <w:vertAlign w:val="superscript"/>
        </w:rPr>
        <w:t>e)</w:t>
      </w:r>
      <w:r>
        <w:t xml:space="preserve"> O valor de p unilateral baseia-se no test log-rank estratificado por tipo de procedimento e utilização de clopidogrel com o tratamento como fator. </w:t>
      </w:r>
    </w:p>
    <w:p w14:paraId="036196CD" w14:textId="77777777" w:rsidR="001C2E19" w:rsidRDefault="001C2E19" w:rsidP="00A73707">
      <w:r w:rsidRPr="007E1ED7">
        <w:rPr>
          <w:vertAlign w:val="superscript"/>
        </w:rPr>
        <w:lastRenderedPageBreak/>
        <w:t>f)</w:t>
      </w:r>
      <w:r>
        <w:t xml:space="preserve"> isquemia aguda do membro é definida como um agravamento súbito e significativo da perfusão do membro, quer com um défice novo de pulso ou por necessidade de intervenção terapêutica (i.e., trombólise ou trombectomia ou revascularização urgente), levando a hospitalização </w:t>
      </w:r>
    </w:p>
    <w:p w14:paraId="51E2D844" w14:textId="77777777" w:rsidR="00710189" w:rsidRDefault="001C2E19" w:rsidP="00A73707">
      <w:r>
        <w:t>* A redução no resultado da eficácia foi estatisticamente superior. IAM: isquemia aguda do membro; BID: duas vezes por dia; OD: uma vez por dia; IC: intervalo de confiança; EM: enfarte do miocárdio; CV: cardiovascular; ICAC: Comité de Adjudicação Clínica Independente (Independent Clinical Adjudication Committee)</w:t>
      </w:r>
    </w:p>
    <w:p w14:paraId="068F7F79" w14:textId="77777777" w:rsidR="001C2E19" w:rsidRDefault="001C2E19" w:rsidP="00A73707"/>
    <w:p w14:paraId="4A1A0578" w14:textId="77777777" w:rsidR="001C2E19" w:rsidRDefault="001C2E19" w:rsidP="00A73707">
      <w:pPr>
        <w:rPr>
          <w:szCs w:val="22"/>
        </w:rPr>
      </w:pPr>
      <w:r>
        <w:t>Quadro 10: Resultados de segurança do ensaio de Fase III VOYAGER PAD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278"/>
        <w:gridCol w:w="2259"/>
        <w:gridCol w:w="2253"/>
      </w:tblGrid>
      <w:tr w:rsidR="001C2E19" w:rsidRPr="009543DC" w14:paraId="4821510D" w14:textId="77777777" w:rsidTr="009543DC">
        <w:tc>
          <w:tcPr>
            <w:tcW w:w="2302" w:type="dxa"/>
          </w:tcPr>
          <w:p w14:paraId="6350B57E" w14:textId="77777777" w:rsidR="001C2E19" w:rsidRPr="007E1ED7" w:rsidRDefault="001C2E19" w:rsidP="00A73707">
            <w:pPr>
              <w:rPr>
                <w:b/>
                <w:bCs/>
                <w:szCs w:val="22"/>
              </w:rPr>
            </w:pPr>
            <w:r w:rsidRPr="007E1ED7">
              <w:rPr>
                <w:b/>
                <w:bCs/>
              </w:rPr>
              <w:t>População do estudo</w:t>
            </w:r>
          </w:p>
        </w:tc>
        <w:tc>
          <w:tcPr>
            <w:tcW w:w="6909" w:type="dxa"/>
            <w:gridSpan w:val="3"/>
          </w:tcPr>
          <w:p w14:paraId="2A4F8801" w14:textId="77777777" w:rsidR="001C2E19" w:rsidRPr="007E1ED7" w:rsidRDefault="001C2E19" w:rsidP="00A73707">
            <w:pPr>
              <w:rPr>
                <w:b/>
                <w:bCs/>
                <w:szCs w:val="22"/>
              </w:rPr>
            </w:pPr>
            <w:r w:rsidRPr="007E1ED7">
              <w:rPr>
                <w:b/>
                <w:bCs/>
              </w:rPr>
              <w:t>Doentes após procedimentos de revascularização recente do membro inferior devido a DAP sintomática a)</w:t>
            </w:r>
          </w:p>
        </w:tc>
      </w:tr>
      <w:tr w:rsidR="001C2E19" w:rsidRPr="009543DC" w14:paraId="68C6CCA2" w14:textId="77777777" w:rsidTr="009543DC">
        <w:tc>
          <w:tcPr>
            <w:tcW w:w="2302" w:type="dxa"/>
          </w:tcPr>
          <w:p w14:paraId="412F2C86" w14:textId="77777777" w:rsidR="001C2E19" w:rsidRPr="007E1ED7" w:rsidRDefault="001C2E19" w:rsidP="00A73707">
            <w:pPr>
              <w:rPr>
                <w:b/>
                <w:bCs/>
                <w:szCs w:val="22"/>
              </w:rPr>
            </w:pPr>
            <w:r w:rsidRPr="007E1ED7">
              <w:rPr>
                <w:b/>
                <w:bCs/>
              </w:rPr>
              <w:t>Posologia do tratamento</w:t>
            </w:r>
          </w:p>
        </w:tc>
        <w:tc>
          <w:tcPr>
            <w:tcW w:w="2303" w:type="dxa"/>
          </w:tcPr>
          <w:p w14:paraId="49CBF17D" w14:textId="77777777" w:rsidR="001C2E19" w:rsidRPr="007E1ED7" w:rsidRDefault="001C2E19" w:rsidP="00A73707">
            <w:pPr>
              <w:rPr>
                <w:b/>
                <w:bCs/>
              </w:rPr>
            </w:pPr>
            <w:r w:rsidRPr="007E1ED7">
              <w:rPr>
                <w:b/>
                <w:bCs/>
              </w:rPr>
              <w:t xml:space="preserve">Rivaroxabano 2,5 mg duas vezes por dia (bid) em associação com AAS 100 mg uma vez por dia (od) N=3.256 </w:t>
            </w:r>
          </w:p>
          <w:p w14:paraId="2FFC15F6" w14:textId="77777777" w:rsidR="001C2E19" w:rsidRPr="007E1ED7" w:rsidRDefault="001C2E19" w:rsidP="00A73707">
            <w:pPr>
              <w:rPr>
                <w:b/>
                <w:bCs/>
                <w:szCs w:val="22"/>
              </w:rPr>
            </w:pPr>
            <w:r w:rsidRPr="007E1ED7">
              <w:rPr>
                <w:b/>
                <w:bCs/>
              </w:rPr>
              <w:t>n (Risco cum. %)</w:t>
            </w:r>
            <w:r w:rsidRPr="007E1ED7">
              <w:rPr>
                <w:b/>
                <w:bCs/>
                <w:vertAlign w:val="superscript"/>
              </w:rPr>
              <w:t>b)</w:t>
            </w:r>
          </w:p>
        </w:tc>
        <w:tc>
          <w:tcPr>
            <w:tcW w:w="2303" w:type="dxa"/>
          </w:tcPr>
          <w:p w14:paraId="74E35821" w14:textId="77777777" w:rsidR="001C2E19" w:rsidRPr="007E1ED7" w:rsidRDefault="001C2E19" w:rsidP="00A73707">
            <w:pPr>
              <w:rPr>
                <w:b/>
                <w:bCs/>
              </w:rPr>
            </w:pPr>
            <w:r w:rsidRPr="007E1ED7">
              <w:rPr>
                <w:b/>
                <w:bCs/>
              </w:rPr>
              <w:t xml:space="preserve">AAS 100 mg uma vez por dia (od) </w:t>
            </w:r>
          </w:p>
          <w:p w14:paraId="50B8DB0E" w14:textId="77777777" w:rsidR="001C2E19" w:rsidRPr="007E1ED7" w:rsidRDefault="001C2E19" w:rsidP="00A73707">
            <w:pPr>
              <w:rPr>
                <w:b/>
                <w:bCs/>
              </w:rPr>
            </w:pPr>
            <w:r w:rsidRPr="007E1ED7">
              <w:rPr>
                <w:b/>
                <w:bCs/>
              </w:rPr>
              <w:t xml:space="preserve">N=3.248 </w:t>
            </w:r>
          </w:p>
          <w:p w14:paraId="5EB885AB" w14:textId="77777777" w:rsidR="001C2E19" w:rsidRPr="007E1ED7" w:rsidRDefault="001C2E19" w:rsidP="00A73707">
            <w:pPr>
              <w:rPr>
                <w:b/>
                <w:bCs/>
                <w:szCs w:val="22"/>
              </w:rPr>
            </w:pPr>
            <w:r w:rsidRPr="007E1ED7">
              <w:rPr>
                <w:b/>
                <w:bCs/>
              </w:rPr>
              <w:t>n (Risco cum. %)</w:t>
            </w:r>
            <w:r w:rsidRPr="007E1ED7">
              <w:rPr>
                <w:b/>
                <w:bCs/>
                <w:vertAlign w:val="superscript"/>
              </w:rPr>
              <w:t>b)</w:t>
            </w:r>
          </w:p>
        </w:tc>
        <w:tc>
          <w:tcPr>
            <w:tcW w:w="2303" w:type="dxa"/>
          </w:tcPr>
          <w:p w14:paraId="67ECEC4D" w14:textId="77777777" w:rsidR="001C2E19" w:rsidRPr="007E1ED7" w:rsidRDefault="001C2E19" w:rsidP="00A73707">
            <w:pPr>
              <w:rPr>
                <w:b/>
                <w:bCs/>
              </w:rPr>
            </w:pPr>
            <w:r w:rsidRPr="007E1ED7">
              <w:rPr>
                <w:b/>
                <w:bCs/>
              </w:rPr>
              <w:t xml:space="preserve">Razão de Risco (IC 95%) </w:t>
            </w:r>
            <w:r w:rsidRPr="007E1ED7">
              <w:rPr>
                <w:b/>
                <w:bCs/>
                <w:vertAlign w:val="superscript"/>
              </w:rPr>
              <w:t>c)</w:t>
            </w:r>
            <w:r w:rsidRPr="007E1ED7">
              <w:rPr>
                <w:b/>
                <w:bCs/>
              </w:rPr>
              <w:t xml:space="preserve"> </w:t>
            </w:r>
          </w:p>
          <w:p w14:paraId="0732377E" w14:textId="77777777" w:rsidR="001C2E19" w:rsidRPr="007E1ED7" w:rsidRDefault="001C2E19" w:rsidP="00A73707">
            <w:pPr>
              <w:rPr>
                <w:b/>
                <w:bCs/>
              </w:rPr>
            </w:pPr>
          </w:p>
          <w:p w14:paraId="2C87975E" w14:textId="77777777" w:rsidR="001C2E19" w:rsidRPr="007E1ED7" w:rsidRDefault="001C2E19" w:rsidP="00A73707">
            <w:pPr>
              <w:rPr>
                <w:b/>
                <w:bCs/>
                <w:szCs w:val="22"/>
              </w:rPr>
            </w:pPr>
            <w:r w:rsidRPr="007E1ED7">
              <w:rPr>
                <w:b/>
                <w:bCs/>
              </w:rPr>
              <w:t xml:space="preserve">Valor de p </w:t>
            </w:r>
            <w:r w:rsidRPr="007E1ED7">
              <w:rPr>
                <w:b/>
                <w:bCs/>
                <w:vertAlign w:val="superscript"/>
              </w:rPr>
              <w:t>d)</w:t>
            </w:r>
          </w:p>
        </w:tc>
      </w:tr>
      <w:tr w:rsidR="001C2E19" w:rsidRPr="009543DC" w14:paraId="1163EE5B" w14:textId="77777777" w:rsidTr="009543DC">
        <w:tc>
          <w:tcPr>
            <w:tcW w:w="2302" w:type="dxa"/>
          </w:tcPr>
          <w:p w14:paraId="2DA55ABD" w14:textId="77777777" w:rsidR="001C2E19" w:rsidRPr="009543DC" w:rsidRDefault="001C2E19" w:rsidP="00A73707">
            <w:pPr>
              <w:rPr>
                <w:szCs w:val="22"/>
              </w:rPr>
            </w:pPr>
            <w:r>
              <w:t xml:space="preserve">Hemorragia </w:t>
            </w:r>
            <w:r w:rsidRPr="007E1ED7">
              <w:rPr>
                <w:i/>
                <w:iCs/>
              </w:rPr>
              <w:t>major</w:t>
            </w:r>
            <w:r>
              <w:t xml:space="preserve"> TIMI (CABG / não CABG)</w:t>
            </w:r>
          </w:p>
        </w:tc>
        <w:tc>
          <w:tcPr>
            <w:tcW w:w="2303" w:type="dxa"/>
          </w:tcPr>
          <w:p w14:paraId="3B96D01D" w14:textId="77777777" w:rsidR="001C2E19" w:rsidRPr="009543DC" w:rsidRDefault="001C2E19" w:rsidP="00A73707">
            <w:pPr>
              <w:rPr>
                <w:szCs w:val="22"/>
              </w:rPr>
            </w:pPr>
            <w:r>
              <w:t>62 (1,9%)</w:t>
            </w:r>
          </w:p>
        </w:tc>
        <w:tc>
          <w:tcPr>
            <w:tcW w:w="2303" w:type="dxa"/>
          </w:tcPr>
          <w:p w14:paraId="23BABF01" w14:textId="77777777" w:rsidR="001C2E19" w:rsidRPr="009543DC" w:rsidRDefault="008E36E4" w:rsidP="00A73707">
            <w:pPr>
              <w:rPr>
                <w:szCs w:val="22"/>
              </w:rPr>
            </w:pPr>
            <w:r>
              <w:t>44 (1,4%)</w:t>
            </w:r>
          </w:p>
        </w:tc>
        <w:tc>
          <w:tcPr>
            <w:tcW w:w="2303" w:type="dxa"/>
          </w:tcPr>
          <w:p w14:paraId="4E3E545E" w14:textId="77777777" w:rsidR="008E36E4" w:rsidRDefault="008E36E4" w:rsidP="00A73707">
            <w:r>
              <w:t xml:space="preserve">1,43 (0,97; 2,10) </w:t>
            </w:r>
          </w:p>
          <w:p w14:paraId="48376D2B" w14:textId="77777777" w:rsidR="001C2E19" w:rsidRPr="009543DC" w:rsidRDefault="008E36E4" w:rsidP="00A73707">
            <w:pPr>
              <w:rPr>
                <w:szCs w:val="22"/>
              </w:rPr>
            </w:pPr>
            <w:r>
              <w:t>p = 0,0695</w:t>
            </w:r>
          </w:p>
        </w:tc>
      </w:tr>
      <w:tr w:rsidR="001C2E19" w:rsidRPr="009543DC" w14:paraId="658B9DE5" w14:textId="77777777" w:rsidTr="009543DC">
        <w:tc>
          <w:tcPr>
            <w:tcW w:w="2302" w:type="dxa"/>
          </w:tcPr>
          <w:p w14:paraId="41BBC378" w14:textId="77777777" w:rsidR="001C2E19" w:rsidRPr="009543DC" w:rsidRDefault="001C2E19" w:rsidP="00A73707">
            <w:pPr>
              <w:rPr>
                <w:szCs w:val="22"/>
              </w:rPr>
            </w:pPr>
            <w:r>
              <w:t>- Hemorragia fatal</w:t>
            </w:r>
          </w:p>
        </w:tc>
        <w:tc>
          <w:tcPr>
            <w:tcW w:w="2303" w:type="dxa"/>
          </w:tcPr>
          <w:p w14:paraId="5B46A517" w14:textId="77777777" w:rsidR="001C2E19" w:rsidRPr="009543DC" w:rsidRDefault="001C2E19" w:rsidP="00A73707">
            <w:pPr>
              <w:rPr>
                <w:szCs w:val="22"/>
              </w:rPr>
            </w:pPr>
            <w:r>
              <w:t>6 (0,2%)</w:t>
            </w:r>
          </w:p>
        </w:tc>
        <w:tc>
          <w:tcPr>
            <w:tcW w:w="2303" w:type="dxa"/>
          </w:tcPr>
          <w:p w14:paraId="40383CAC" w14:textId="77777777" w:rsidR="001C2E19" w:rsidRPr="009543DC" w:rsidRDefault="008E36E4" w:rsidP="00A73707">
            <w:pPr>
              <w:rPr>
                <w:szCs w:val="22"/>
              </w:rPr>
            </w:pPr>
            <w:r>
              <w:t>6 (0,2%)</w:t>
            </w:r>
          </w:p>
        </w:tc>
        <w:tc>
          <w:tcPr>
            <w:tcW w:w="2303" w:type="dxa"/>
          </w:tcPr>
          <w:p w14:paraId="487C59BE" w14:textId="77777777" w:rsidR="001C2E19" w:rsidRPr="009543DC" w:rsidRDefault="008E36E4" w:rsidP="00A73707">
            <w:pPr>
              <w:rPr>
                <w:szCs w:val="22"/>
              </w:rPr>
            </w:pPr>
            <w:r>
              <w:t>1,02 (0,33; 3,15)</w:t>
            </w:r>
          </w:p>
        </w:tc>
      </w:tr>
      <w:tr w:rsidR="001C2E19" w:rsidRPr="009543DC" w14:paraId="0704C5FF" w14:textId="77777777" w:rsidTr="009543DC">
        <w:tc>
          <w:tcPr>
            <w:tcW w:w="2302" w:type="dxa"/>
          </w:tcPr>
          <w:p w14:paraId="38354C28" w14:textId="77777777" w:rsidR="001C2E19" w:rsidRPr="009543DC" w:rsidRDefault="001C2E19" w:rsidP="00A73707">
            <w:pPr>
              <w:rPr>
                <w:szCs w:val="22"/>
              </w:rPr>
            </w:pPr>
            <w:r>
              <w:t>- Hemorragia intracraniana</w:t>
            </w:r>
          </w:p>
        </w:tc>
        <w:tc>
          <w:tcPr>
            <w:tcW w:w="2303" w:type="dxa"/>
          </w:tcPr>
          <w:p w14:paraId="6FB77EEF" w14:textId="77777777" w:rsidR="001C2E19" w:rsidRPr="009543DC" w:rsidRDefault="001C2E19" w:rsidP="00A73707">
            <w:pPr>
              <w:rPr>
                <w:szCs w:val="22"/>
              </w:rPr>
            </w:pPr>
            <w:r>
              <w:t>13 (0,4%)</w:t>
            </w:r>
          </w:p>
        </w:tc>
        <w:tc>
          <w:tcPr>
            <w:tcW w:w="2303" w:type="dxa"/>
          </w:tcPr>
          <w:p w14:paraId="6D8D7FF2" w14:textId="77777777" w:rsidR="001C2E19" w:rsidRPr="009543DC" w:rsidRDefault="008E36E4" w:rsidP="00A73707">
            <w:pPr>
              <w:rPr>
                <w:szCs w:val="22"/>
              </w:rPr>
            </w:pPr>
            <w:r>
              <w:t>17 (0,5%)</w:t>
            </w:r>
          </w:p>
        </w:tc>
        <w:tc>
          <w:tcPr>
            <w:tcW w:w="2303" w:type="dxa"/>
          </w:tcPr>
          <w:p w14:paraId="6872611F" w14:textId="77777777" w:rsidR="001C2E19" w:rsidRPr="009543DC" w:rsidRDefault="008E36E4" w:rsidP="00A73707">
            <w:pPr>
              <w:rPr>
                <w:szCs w:val="22"/>
              </w:rPr>
            </w:pPr>
            <w:r>
              <w:t>0,78 (0,38; 1,61)</w:t>
            </w:r>
          </w:p>
        </w:tc>
      </w:tr>
      <w:tr w:rsidR="001C2E19" w:rsidRPr="009543DC" w14:paraId="1F47B0BA" w14:textId="77777777" w:rsidTr="009543DC">
        <w:tc>
          <w:tcPr>
            <w:tcW w:w="2302" w:type="dxa"/>
          </w:tcPr>
          <w:p w14:paraId="5D2C720B" w14:textId="77777777" w:rsidR="001C2E19" w:rsidRPr="009543DC" w:rsidRDefault="001C2E19" w:rsidP="00A73707">
            <w:pPr>
              <w:rPr>
                <w:szCs w:val="22"/>
              </w:rPr>
            </w:pPr>
            <w:r w:rsidRPr="009543DC">
              <w:rPr>
                <w:szCs w:val="22"/>
              </w:rPr>
              <w:t>-</w:t>
            </w:r>
            <w:r>
              <w:t xml:space="preserve"> Hemorragia visível associada a uma descida da Hb ≥ 5 g/dl / Hct ≥ 15%</w:t>
            </w:r>
          </w:p>
        </w:tc>
        <w:tc>
          <w:tcPr>
            <w:tcW w:w="2303" w:type="dxa"/>
          </w:tcPr>
          <w:p w14:paraId="0D2008DC" w14:textId="77777777" w:rsidR="001C2E19" w:rsidRPr="009543DC" w:rsidRDefault="001C2E19" w:rsidP="00A73707">
            <w:pPr>
              <w:rPr>
                <w:szCs w:val="22"/>
              </w:rPr>
            </w:pPr>
            <w:r>
              <w:t>46 (1,4%)</w:t>
            </w:r>
          </w:p>
        </w:tc>
        <w:tc>
          <w:tcPr>
            <w:tcW w:w="2303" w:type="dxa"/>
          </w:tcPr>
          <w:p w14:paraId="210092E0" w14:textId="77777777" w:rsidR="001C2E19" w:rsidRPr="009543DC" w:rsidRDefault="008E36E4" w:rsidP="00A73707">
            <w:pPr>
              <w:rPr>
                <w:szCs w:val="22"/>
              </w:rPr>
            </w:pPr>
            <w:r>
              <w:t>24 (0,7%)</w:t>
            </w:r>
          </w:p>
        </w:tc>
        <w:tc>
          <w:tcPr>
            <w:tcW w:w="2303" w:type="dxa"/>
          </w:tcPr>
          <w:p w14:paraId="2E0F62A2" w14:textId="77777777" w:rsidR="001C2E19" w:rsidRPr="009543DC" w:rsidRDefault="008E36E4" w:rsidP="00A73707">
            <w:pPr>
              <w:rPr>
                <w:szCs w:val="22"/>
              </w:rPr>
            </w:pPr>
            <w:r>
              <w:t>1,94 (1,18; 3,17)</w:t>
            </w:r>
          </w:p>
        </w:tc>
      </w:tr>
      <w:tr w:rsidR="001C2E19" w:rsidRPr="009543DC" w14:paraId="19B6FEBB" w14:textId="77777777" w:rsidTr="009543DC">
        <w:tc>
          <w:tcPr>
            <w:tcW w:w="2302" w:type="dxa"/>
          </w:tcPr>
          <w:p w14:paraId="1C539B2D" w14:textId="77777777" w:rsidR="001C2E19" w:rsidRPr="009543DC" w:rsidRDefault="001C2E19" w:rsidP="00A73707">
            <w:pPr>
              <w:rPr>
                <w:szCs w:val="22"/>
              </w:rPr>
            </w:pPr>
            <w:r>
              <w:t xml:space="preserve">Hemorragia </w:t>
            </w:r>
            <w:r w:rsidRPr="007E1ED7">
              <w:rPr>
                <w:i/>
                <w:iCs/>
              </w:rPr>
              <w:t>major</w:t>
            </w:r>
            <w:r>
              <w:t xml:space="preserve"> ISTH</w:t>
            </w:r>
          </w:p>
        </w:tc>
        <w:tc>
          <w:tcPr>
            <w:tcW w:w="2303" w:type="dxa"/>
          </w:tcPr>
          <w:p w14:paraId="4E74CB63" w14:textId="77777777" w:rsidR="001C2E19" w:rsidRPr="009543DC" w:rsidRDefault="001C2E19" w:rsidP="00A73707">
            <w:pPr>
              <w:rPr>
                <w:szCs w:val="22"/>
              </w:rPr>
            </w:pPr>
            <w:r>
              <w:t>140 (4,3%)</w:t>
            </w:r>
          </w:p>
        </w:tc>
        <w:tc>
          <w:tcPr>
            <w:tcW w:w="2303" w:type="dxa"/>
          </w:tcPr>
          <w:p w14:paraId="71AB7E16" w14:textId="77777777" w:rsidR="001C2E19" w:rsidRPr="009543DC" w:rsidRDefault="008E36E4" w:rsidP="00A73707">
            <w:pPr>
              <w:rPr>
                <w:szCs w:val="22"/>
              </w:rPr>
            </w:pPr>
            <w:r>
              <w:t>100 (3,1%)</w:t>
            </w:r>
          </w:p>
        </w:tc>
        <w:tc>
          <w:tcPr>
            <w:tcW w:w="2303" w:type="dxa"/>
          </w:tcPr>
          <w:p w14:paraId="5B110C20" w14:textId="77777777" w:rsidR="008E36E4" w:rsidRDefault="008E36E4" w:rsidP="00A73707">
            <w:r>
              <w:t xml:space="preserve">1,42 (1,10; 1,84) </w:t>
            </w:r>
          </w:p>
          <w:p w14:paraId="380B0476" w14:textId="77777777" w:rsidR="001C2E19" w:rsidRPr="009543DC" w:rsidRDefault="008E36E4" w:rsidP="00A73707">
            <w:pPr>
              <w:rPr>
                <w:szCs w:val="22"/>
              </w:rPr>
            </w:pPr>
            <w:r>
              <w:t>p = 0,0068</w:t>
            </w:r>
          </w:p>
        </w:tc>
      </w:tr>
      <w:tr w:rsidR="001C2E19" w:rsidRPr="009543DC" w14:paraId="6827E30B" w14:textId="77777777" w:rsidTr="009543DC">
        <w:tc>
          <w:tcPr>
            <w:tcW w:w="2302" w:type="dxa"/>
          </w:tcPr>
          <w:p w14:paraId="1C5719F0" w14:textId="77777777" w:rsidR="001C2E19" w:rsidRDefault="001C2E19" w:rsidP="00A73707">
            <w:r>
              <w:t>- Hemorragia fatal</w:t>
            </w:r>
          </w:p>
        </w:tc>
        <w:tc>
          <w:tcPr>
            <w:tcW w:w="2303" w:type="dxa"/>
          </w:tcPr>
          <w:p w14:paraId="548AC309" w14:textId="77777777" w:rsidR="001C2E19" w:rsidRPr="009543DC" w:rsidRDefault="001C2E19" w:rsidP="00A73707">
            <w:pPr>
              <w:rPr>
                <w:szCs w:val="22"/>
              </w:rPr>
            </w:pPr>
            <w:r>
              <w:t>6 (0,2%)</w:t>
            </w:r>
          </w:p>
        </w:tc>
        <w:tc>
          <w:tcPr>
            <w:tcW w:w="2303" w:type="dxa"/>
          </w:tcPr>
          <w:p w14:paraId="6A69089C" w14:textId="77777777" w:rsidR="001C2E19" w:rsidRPr="009543DC" w:rsidRDefault="008E36E4" w:rsidP="00A73707">
            <w:pPr>
              <w:rPr>
                <w:szCs w:val="22"/>
              </w:rPr>
            </w:pPr>
            <w:r>
              <w:t>8 (0,2%)</w:t>
            </w:r>
          </w:p>
        </w:tc>
        <w:tc>
          <w:tcPr>
            <w:tcW w:w="2303" w:type="dxa"/>
          </w:tcPr>
          <w:p w14:paraId="5A7C286E" w14:textId="77777777" w:rsidR="001C2E19" w:rsidRPr="009543DC" w:rsidRDefault="008E36E4" w:rsidP="00A73707">
            <w:pPr>
              <w:rPr>
                <w:szCs w:val="22"/>
              </w:rPr>
            </w:pPr>
            <w:r>
              <w:t>0,76 (0,26; 2,19)</w:t>
            </w:r>
          </w:p>
        </w:tc>
      </w:tr>
      <w:tr w:rsidR="001C2E19" w:rsidRPr="009543DC" w14:paraId="2B73233E" w14:textId="77777777" w:rsidTr="009543DC">
        <w:tc>
          <w:tcPr>
            <w:tcW w:w="2302" w:type="dxa"/>
          </w:tcPr>
          <w:p w14:paraId="5D3E0A17" w14:textId="77777777" w:rsidR="001C2E19" w:rsidRDefault="001C2E19" w:rsidP="00A73707">
            <w:r>
              <w:t>- Hemorragia não fatal de órgão crítico</w:t>
            </w:r>
          </w:p>
        </w:tc>
        <w:tc>
          <w:tcPr>
            <w:tcW w:w="2303" w:type="dxa"/>
          </w:tcPr>
          <w:p w14:paraId="3016002E" w14:textId="77777777" w:rsidR="001C2E19" w:rsidRPr="009543DC" w:rsidRDefault="001C2E19" w:rsidP="00A73707">
            <w:pPr>
              <w:rPr>
                <w:szCs w:val="22"/>
              </w:rPr>
            </w:pPr>
            <w:r>
              <w:t>29 (0,9%)</w:t>
            </w:r>
          </w:p>
        </w:tc>
        <w:tc>
          <w:tcPr>
            <w:tcW w:w="2303" w:type="dxa"/>
          </w:tcPr>
          <w:p w14:paraId="5711A6CC" w14:textId="77777777" w:rsidR="001C2E19" w:rsidRPr="009543DC" w:rsidRDefault="008E36E4" w:rsidP="00A73707">
            <w:pPr>
              <w:rPr>
                <w:szCs w:val="22"/>
              </w:rPr>
            </w:pPr>
            <w:r>
              <w:t>26 (0,8%)</w:t>
            </w:r>
          </w:p>
        </w:tc>
        <w:tc>
          <w:tcPr>
            <w:tcW w:w="2303" w:type="dxa"/>
          </w:tcPr>
          <w:p w14:paraId="5B38C1E4" w14:textId="77777777" w:rsidR="001C2E19" w:rsidRPr="009543DC" w:rsidRDefault="008E36E4" w:rsidP="00A73707">
            <w:pPr>
              <w:rPr>
                <w:szCs w:val="22"/>
              </w:rPr>
            </w:pPr>
            <w:r>
              <w:t>1,14 (0,67; 1,93)</w:t>
            </w:r>
          </w:p>
        </w:tc>
      </w:tr>
      <w:tr w:rsidR="001C2E19" w:rsidRPr="009543DC" w14:paraId="3DD8E500" w14:textId="77777777" w:rsidTr="009543DC">
        <w:tc>
          <w:tcPr>
            <w:tcW w:w="2302" w:type="dxa"/>
          </w:tcPr>
          <w:p w14:paraId="7B1BCC13" w14:textId="77777777" w:rsidR="001C2E19" w:rsidRDefault="001C2E19" w:rsidP="00A73707">
            <w:r>
              <w:t>Hemorragia não major clinicamente relevante ISTH</w:t>
            </w:r>
          </w:p>
        </w:tc>
        <w:tc>
          <w:tcPr>
            <w:tcW w:w="2303" w:type="dxa"/>
          </w:tcPr>
          <w:p w14:paraId="7470EAD6" w14:textId="77777777" w:rsidR="001C2E19" w:rsidRPr="009543DC" w:rsidRDefault="001C2E19" w:rsidP="00A73707">
            <w:pPr>
              <w:rPr>
                <w:szCs w:val="22"/>
              </w:rPr>
            </w:pPr>
            <w:r>
              <w:t>246 (7,6%)</w:t>
            </w:r>
          </w:p>
        </w:tc>
        <w:tc>
          <w:tcPr>
            <w:tcW w:w="2303" w:type="dxa"/>
          </w:tcPr>
          <w:p w14:paraId="2AEE1059" w14:textId="77777777" w:rsidR="001C2E19" w:rsidRPr="009543DC" w:rsidRDefault="001C2E19" w:rsidP="00A73707">
            <w:pPr>
              <w:rPr>
                <w:szCs w:val="22"/>
              </w:rPr>
            </w:pPr>
            <w:r>
              <w:t>139 (4,3%)</w:t>
            </w:r>
          </w:p>
        </w:tc>
        <w:tc>
          <w:tcPr>
            <w:tcW w:w="2303" w:type="dxa"/>
          </w:tcPr>
          <w:p w14:paraId="09F602DF" w14:textId="77777777" w:rsidR="001C2E19" w:rsidRPr="009543DC" w:rsidRDefault="008E36E4" w:rsidP="00A73707">
            <w:pPr>
              <w:rPr>
                <w:szCs w:val="22"/>
              </w:rPr>
            </w:pPr>
            <w:r>
              <w:t>1,81 (1,47; 2,23)</w:t>
            </w:r>
          </w:p>
        </w:tc>
      </w:tr>
    </w:tbl>
    <w:p w14:paraId="44D60F7C" w14:textId="77777777" w:rsidR="008E36E4" w:rsidRDefault="008E36E4" w:rsidP="00A73707">
      <w:r w:rsidRPr="007E1ED7">
        <w:rPr>
          <w:vertAlign w:val="superscript"/>
        </w:rPr>
        <w:t>a)</w:t>
      </w:r>
      <w:r>
        <w:t xml:space="preserve"> Conjunto de análise da segurança (todos os indivíduos aleatorizados com pelo menos uma dose de medicamento do estudo), ICAC: Comité de Adjudicação Clínica Independente (Independent Clinical Adjudication Committee) </w:t>
      </w:r>
    </w:p>
    <w:p w14:paraId="631CE3C2" w14:textId="77777777" w:rsidR="008E36E4" w:rsidRDefault="008E36E4" w:rsidP="00A73707">
      <w:r w:rsidRPr="007E1ED7">
        <w:rPr>
          <w:vertAlign w:val="superscript"/>
        </w:rPr>
        <w:t>b)</w:t>
      </w:r>
      <w:r>
        <w:t xml:space="preserve"> n = número de indivíduos com acontecimentos, N = número de indivíduos em risco, % = 100 * n/N, n/100 doentes-ano = rácio do número de indivíduos com acontecimentos incidentes / tempo cumulativo em risco </w:t>
      </w:r>
    </w:p>
    <w:p w14:paraId="665A6FE7" w14:textId="77777777" w:rsidR="008E36E4" w:rsidRDefault="008E36E4" w:rsidP="00A73707">
      <w:r w:rsidRPr="007E1ED7">
        <w:rPr>
          <w:vertAlign w:val="superscript"/>
        </w:rPr>
        <w:t>c)</w:t>
      </w:r>
      <w:r>
        <w:t xml:space="preserve"> A RR (IC 95%) baseia-se no modelo de riscos proporcionais de Cox estratificado por tipo de procedimento e utilização de clopidogrel com o tratamento como a única covariável. </w:t>
      </w:r>
    </w:p>
    <w:p w14:paraId="3683D65F" w14:textId="77777777" w:rsidR="001C2E19" w:rsidRDefault="008E36E4" w:rsidP="00A73707">
      <w:pPr>
        <w:rPr>
          <w:szCs w:val="22"/>
        </w:rPr>
      </w:pPr>
      <w:r w:rsidRPr="007E1ED7">
        <w:rPr>
          <w:vertAlign w:val="superscript"/>
        </w:rPr>
        <w:t>d)</w:t>
      </w:r>
      <w:r>
        <w:t xml:space="preserve"> O valor de p bilateral baseia-se no teste log-rank estratificado por tipo de procedimento e utilização de clopidogrel com o tratamento como fator</w:t>
      </w:r>
    </w:p>
    <w:p w14:paraId="7AC3D21A" w14:textId="77777777" w:rsidR="001C2E19" w:rsidRPr="0063119B" w:rsidRDefault="001C2E19" w:rsidP="00A73707">
      <w:pPr>
        <w:rPr>
          <w:szCs w:val="22"/>
        </w:rPr>
      </w:pPr>
    </w:p>
    <w:p w14:paraId="4560163F" w14:textId="77777777" w:rsidR="00557251" w:rsidRPr="0063119B" w:rsidRDefault="00557251" w:rsidP="00A73707">
      <w:pPr>
        <w:rPr>
          <w:szCs w:val="22"/>
          <w:u w:val="single"/>
        </w:rPr>
      </w:pPr>
      <w:r w:rsidRPr="0063119B">
        <w:rPr>
          <w:szCs w:val="22"/>
          <w:u w:val="single"/>
        </w:rPr>
        <w:t>DAC com insuficiência cardíaca</w:t>
      </w:r>
    </w:p>
    <w:p w14:paraId="124250D2" w14:textId="77777777" w:rsidR="00C64A09" w:rsidRPr="0063119B" w:rsidRDefault="00C64A09" w:rsidP="00C92CE0">
      <w:pPr>
        <w:rPr>
          <w:noProof/>
          <w:szCs w:val="22"/>
        </w:rPr>
      </w:pPr>
    </w:p>
    <w:p w14:paraId="15234B47" w14:textId="77777777" w:rsidR="00A6092F" w:rsidRPr="0063119B" w:rsidRDefault="00557251" w:rsidP="00C92CE0">
      <w:pPr>
        <w:rPr>
          <w:noProof/>
          <w:szCs w:val="22"/>
        </w:rPr>
      </w:pPr>
      <w:r w:rsidRPr="0063119B">
        <w:rPr>
          <w:noProof/>
          <w:szCs w:val="22"/>
        </w:rPr>
        <w:t xml:space="preserve">O estudo </w:t>
      </w:r>
      <w:r w:rsidRPr="0063119B">
        <w:rPr>
          <w:b/>
          <w:noProof/>
          <w:szCs w:val="22"/>
        </w:rPr>
        <w:t>COMMANDER HF</w:t>
      </w:r>
      <w:r w:rsidRPr="0063119B">
        <w:rPr>
          <w:noProof/>
          <w:szCs w:val="22"/>
        </w:rPr>
        <w:t xml:space="preserve"> incluiu 5</w:t>
      </w:r>
      <w:r w:rsidR="00A67A9F" w:rsidRPr="0063119B">
        <w:rPr>
          <w:noProof/>
          <w:szCs w:val="22"/>
        </w:rPr>
        <w:t>.</w:t>
      </w:r>
      <w:r w:rsidRPr="0063119B">
        <w:rPr>
          <w:noProof/>
          <w:szCs w:val="22"/>
        </w:rPr>
        <w:t>022 doentes com insuficiência cardíaca e doença arterial coronária significativa (DAC)</w:t>
      </w:r>
      <w:r w:rsidR="000F46BC" w:rsidRPr="0063119B">
        <w:rPr>
          <w:noProof/>
          <w:szCs w:val="22"/>
        </w:rPr>
        <w:t>,</w:t>
      </w:r>
      <w:r w:rsidRPr="0063119B">
        <w:rPr>
          <w:noProof/>
          <w:szCs w:val="22"/>
        </w:rPr>
        <w:t xml:space="preserve"> após </w:t>
      </w:r>
      <w:r w:rsidR="000F46BC" w:rsidRPr="0063119B">
        <w:rPr>
          <w:noProof/>
          <w:szCs w:val="22"/>
        </w:rPr>
        <w:t xml:space="preserve">uma </w:t>
      </w:r>
      <w:r w:rsidRPr="0063119B">
        <w:rPr>
          <w:noProof/>
          <w:szCs w:val="22"/>
        </w:rPr>
        <w:t xml:space="preserve">hospitalização </w:t>
      </w:r>
      <w:r w:rsidR="000F46BC" w:rsidRPr="0063119B">
        <w:rPr>
          <w:noProof/>
          <w:szCs w:val="22"/>
        </w:rPr>
        <w:t xml:space="preserve">por </w:t>
      </w:r>
      <w:r w:rsidRPr="0063119B">
        <w:rPr>
          <w:noProof/>
          <w:szCs w:val="22"/>
        </w:rPr>
        <w:t>insuficiência</w:t>
      </w:r>
      <w:r w:rsidR="000F46BC" w:rsidRPr="0063119B">
        <w:rPr>
          <w:noProof/>
          <w:szCs w:val="22"/>
        </w:rPr>
        <w:t xml:space="preserve"> cardíaca descompensada (IC), que foram aleatoriamente atribuídos para um dos dois grupos de tratamento: rivaroxabano 2,5 mg duas vezes por dia (N= 2</w:t>
      </w:r>
      <w:r w:rsidR="00A67A9F" w:rsidRPr="0063119B">
        <w:rPr>
          <w:noProof/>
          <w:szCs w:val="22"/>
        </w:rPr>
        <w:t>.</w:t>
      </w:r>
      <w:r w:rsidR="000F46BC" w:rsidRPr="0063119B">
        <w:rPr>
          <w:noProof/>
          <w:szCs w:val="22"/>
        </w:rPr>
        <w:t>507) ou placebo correspondente (N=2</w:t>
      </w:r>
      <w:r w:rsidR="00A67A9F" w:rsidRPr="0063119B">
        <w:rPr>
          <w:noProof/>
          <w:szCs w:val="22"/>
        </w:rPr>
        <w:t>.</w:t>
      </w:r>
      <w:r w:rsidR="000F46BC" w:rsidRPr="0063119B">
        <w:rPr>
          <w:noProof/>
          <w:szCs w:val="22"/>
        </w:rPr>
        <w:t>515), respetivamente.</w:t>
      </w:r>
      <w:r w:rsidR="00C92CE0" w:rsidRPr="0063119B">
        <w:rPr>
          <w:noProof/>
          <w:szCs w:val="22"/>
        </w:rPr>
        <w:t xml:space="preserve"> </w:t>
      </w:r>
      <w:r w:rsidR="000F46BC" w:rsidRPr="0063119B">
        <w:rPr>
          <w:noProof/>
          <w:szCs w:val="22"/>
        </w:rPr>
        <w:t>A mediana g</w:t>
      </w:r>
      <w:r w:rsidR="00C92CE0" w:rsidRPr="0063119B">
        <w:rPr>
          <w:noProof/>
          <w:szCs w:val="22"/>
        </w:rPr>
        <w:t>lobal</w:t>
      </w:r>
      <w:r w:rsidR="000F46BC" w:rsidRPr="0063119B">
        <w:rPr>
          <w:noProof/>
          <w:szCs w:val="22"/>
        </w:rPr>
        <w:t xml:space="preserve"> da duração do tratamento </w:t>
      </w:r>
      <w:r w:rsidR="00C92CE0" w:rsidRPr="0063119B">
        <w:rPr>
          <w:noProof/>
          <w:szCs w:val="22"/>
        </w:rPr>
        <w:t xml:space="preserve">do estudo foi de 504 dias. </w:t>
      </w:r>
    </w:p>
    <w:p w14:paraId="060BA51C" w14:textId="77777777" w:rsidR="000F46BC" w:rsidRPr="0063119B" w:rsidRDefault="00C92CE0" w:rsidP="004C70A9">
      <w:pPr>
        <w:rPr>
          <w:noProof/>
          <w:szCs w:val="22"/>
        </w:rPr>
      </w:pPr>
      <w:r w:rsidRPr="0063119B">
        <w:rPr>
          <w:noProof/>
          <w:szCs w:val="22"/>
        </w:rPr>
        <w:t xml:space="preserve">Os doentes </w:t>
      </w:r>
      <w:r w:rsidR="00CA0E28" w:rsidRPr="0063119B">
        <w:rPr>
          <w:noProof/>
          <w:szCs w:val="22"/>
        </w:rPr>
        <w:t>tinham que ter</w:t>
      </w:r>
      <w:r w:rsidRPr="0063119B">
        <w:rPr>
          <w:noProof/>
          <w:szCs w:val="22"/>
        </w:rPr>
        <w:t xml:space="preserve"> uma </w:t>
      </w:r>
      <w:r w:rsidR="000F46BC" w:rsidRPr="0063119B">
        <w:rPr>
          <w:noProof/>
          <w:szCs w:val="22"/>
        </w:rPr>
        <w:t xml:space="preserve">IC sintomática </w:t>
      </w:r>
      <w:r w:rsidR="00A6092F" w:rsidRPr="0063119B">
        <w:rPr>
          <w:noProof/>
          <w:szCs w:val="22"/>
        </w:rPr>
        <w:t xml:space="preserve">durante </w:t>
      </w:r>
      <w:r w:rsidR="000F46BC" w:rsidRPr="0063119B">
        <w:rPr>
          <w:noProof/>
          <w:szCs w:val="22"/>
        </w:rPr>
        <w:t>pelo menos</w:t>
      </w:r>
      <w:r w:rsidRPr="0063119B">
        <w:rPr>
          <w:noProof/>
          <w:szCs w:val="22"/>
        </w:rPr>
        <w:t xml:space="preserve"> </w:t>
      </w:r>
      <w:r w:rsidR="000F46BC" w:rsidRPr="0063119B">
        <w:rPr>
          <w:noProof/>
          <w:szCs w:val="22"/>
        </w:rPr>
        <w:t xml:space="preserve">3 meses e </w:t>
      </w:r>
      <w:r w:rsidRPr="0063119B">
        <w:rPr>
          <w:noProof/>
          <w:szCs w:val="22"/>
        </w:rPr>
        <w:t xml:space="preserve">uma </w:t>
      </w:r>
      <w:r w:rsidR="000F46BC" w:rsidRPr="0063119B">
        <w:rPr>
          <w:noProof/>
          <w:szCs w:val="22"/>
        </w:rPr>
        <w:t>fração de ejeção</w:t>
      </w:r>
      <w:r w:rsidRPr="0063119B">
        <w:rPr>
          <w:noProof/>
          <w:szCs w:val="22"/>
        </w:rPr>
        <w:t xml:space="preserve"> do ventrículo esquerdo (FEVE) ≤</w:t>
      </w:r>
      <w:r w:rsidR="000F46BC" w:rsidRPr="0063119B">
        <w:rPr>
          <w:noProof/>
          <w:szCs w:val="22"/>
        </w:rPr>
        <w:t xml:space="preserve">40% </w:t>
      </w:r>
      <w:r w:rsidRPr="0063119B">
        <w:rPr>
          <w:noProof/>
          <w:szCs w:val="22"/>
        </w:rPr>
        <w:t xml:space="preserve">no período </w:t>
      </w:r>
      <w:r w:rsidR="008C363C" w:rsidRPr="0063119B">
        <w:rPr>
          <w:noProof/>
          <w:szCs w:val="22"/>
        </w:rPr>
        <w:t>de um ano do recrutamento</w:t>
      </w:r>
      <w:r w:rsidR="000F46BC" w:rsidRPr="0063119B">
        <w:rPr>
          <w:noProof/>
          <w:szCs w:val="22"/>
        </w:rPr>
        <w:t xml:space="preserve">. No início, a fração de ejeção mediana foi de 34% (IQR: 28% -38%) e 53% dos indivíduos eram da classe III ou IV da </w:t>
      </w:r>
      <w:r w:rsidR="000F46BC" w:rsidRPr="0063119B">
        <w:rPr>
          <w:noProof/>
          <w:szCs w:val="22"/>
        </w:rPr>
        <w:lastRenderedPageBreak/>
        <w:t>NYHA.</w:t>
      </w:r>
      <w:r w:rsidR="000F46BC" w:rsidRPr="0063119B">
        <w:rPr>
          <w:noProof/>
          <w:szCs w:val="22"/>
        </w:rPr>
        <w:br/>
        <w:t>A análise primária de eficácia (ou seja, comp</w:t>
      </w:r>
      <w:r w:rsidRPr="0063119B">
        <w:rPr>
          <w:noProof/>
          <w:szCs w:val="22"/>
        </w:rPr>
        <w:t xml:space="preserve">osto de todas as causas de mortalidade, EM, ou acidente vascular cerebral) não </w:t>
      </w:r>
      <w:r w:rsidR="00CE3A31" w:rsidRPr="0063119B">
        <w:rPr>
          <w:noProof/>
          <w:szCs w:val="22"/>
        </w:rPr>
        <w:t>mostrou</w:t>
      </w:r>
      <w:r w:rsidRPr="0063119B">
        <w:rPr>
          <w:noProof/>
          <w:szCs w:val="22"/>
        </w:rPr>
        <w:t xml:space="preserve"> diferença estatisticamente signifi</w:t>
      </w:r>
      <w:r w:rsidR="00CE3A31" w:rsidRPr="0063119B">
        <w:rPr>
          <w:noProof/>
          <w:szCs w:val="22"/>
        </w:rPr>
        <w:t xml:space="preserve">cativa </w:t>
      </w:r>
      <w:r w:rsidRPr="0063119B">
        <w:rPr>
          <w:noProof/>
          <w:szCs w:val="22"/>
        </w:rPr>
        <w:t xml:space="preserve">entre o grupo do rivaroxabano 2,5 mg duas </w:t>
      </w:r>
      <w:r w:rsidR="00C57451">
        <w:rPr>
          <w:noProof/>
          <w:szCs w:val="22"/>
        </w:rPr>
        <w:t xml:space="preserve">vezes </w:t>
      </w:r>
      <w:r w:rsidRPr="0063119B">
        <w:rPr>
          <w:noProof/>
          <w:szCs w:val="22"/>
        </w:rPr>
        <w:t xml:space="preserve">por dia e o grupo placebo </w:t>
      </w:r>
      <w:r w:rsidR="00CE3A31" w:rsidRPr="0063119B">
        <w:rPr>
          <w:noProof/>
          <w:szCs w:val="22"/>
        </w:rPr>
        <w:t xml:space="preserve">com </w:t>
      </w:r>
      <w:r w:rsidR="00A6092F" w:rsidRPr="0063119B">
        <w:rPr>
          <w:noProof/>
          <w:szCs w:val="22"/>
        </w:rPr>
        <w:t xml:space="preserve">uma </w:t>
      </w:r>
      <w:r w:rsidR="00CE3A31" w:rsidRPr="0063119B">
        <w:rPr>
          <w:noProof/>
          <w:szCs w:val="22"/>
        </w:rPr>
        <w:t>HR=0,94</w:t>
      </w:r>
      <w:r w:rsidR="000F46BC" w:rsidRPr="0063119B">
        <w:rPr>
          <w:noProof/>
          <w:szCs w:val="22"/>
        </w:rPr>
        <w:t xml:space="preserve"> (IC 95% 0,84 - 1,05), p = 0,270. Para a mortalidade por todas as causas, não ho</w:t>
      </w:r>
      <w:r w:rsidR="00CE3A31" w:rsidRPr="0063119B">
        <w:rPr>
          <w:noProof/>
          <w:szCs w:val="22"/>
        </w:rPr>
        <w:t>uve diferença entre rivaroxabano e placebo no número de acontecimentos</w:t>
      </w:r>
      <w:r w:rsidR="000F46BC" w:rsidRPr="0063119B">
        <w:rPr>
          <w:noProof/>
          <w:szCs w:val="22"/>
        </w:rPr>
        <w:t xml:space="preserve"> (taxa de </w:t>
      </w:r>
      <w:r w:rsidR="00CE3A31" w:rsidRPr="0063119B">
        <w:rPr>
          <w:noProof/>
          <w:szCs w:val="22"/>
        </w:rPr>
        <w:t>acontecimentos</w:t>
      </w:r>
      <w:r w:rsidR="000F46BC" w:rsidRPr="0063119B">
        <w:rPr>
          <w:noProof/>
          <w:szCs w:val="22"/>
        </w:rPr>
        <w:t xml:space="preserve"> por 100 </w:t>
      </w:r>
      <w:r w:rsidR="00CE3A31" w:rsidRPr="0063119B">
        <w:rPr>
          <w:noProof/>
          <w:szCs w:val="22"/>
        </w:rPr>
        <w:t>doentes-ano</w:t>
      </w:r>
      <w:r w:rsidR="000F46BC" w:rsidRPr="0063119B">
        <w:rPr>
          <w:noProof/>
          <w:szCs w:val="22"/>
        </w:rPr>
        <w:t xml:space="preserve">; 11,41 </w:t>
      </w:r>
      <w:r w:rsidR="000F46BC" w:rsidRPr="0063119B">
        <w:rPr>
          <w:i/>
          <w:noProof/>
          <w:szCs w:val="22"/>
        </w:rPr>
        <w:t>v</w:t>
      </w:r>
      <w:r w:rsidR="00CE3A31" w:rsidRPr="0063119B">
        <w:rPr>
          <w:i/>
          <w:noProof/>
          <w:szCs w:val="22"/>
        </w:rPr>
        <w:t>s</w:t>
      </w:r>
      <w:r w:rsidR="000F46BC" w:rsidRPr="0063119B">
        <w:rPr>
          <w:noProof/>
          <w:szCs w:val="22"/>
        </w:rPr>
        <w:t xml:space="preserve"> 11,63, HR: 0,98; IC</w:t>
      </w:r>
      <w:r w:rsidR="005E0464" w:rsidRPr="0063119B">
        <w:rPr>
          <w:noProof/>
          <w:szCs w:val="22"/>
        </w:rPr>
        <w:t xml:space="preserve"> </w:t>
      </w:r>
      <w:r w:rsidR="000F46BC" w:rsidRPr="0063119B">
        <w:rPr>
          <w:noProof/>
          <w:szCs w:val="22"/>
        </w:rPr>
        <w:t xml:space="preserve">95%: 0,87 a 1,10; p = 0,743). As taxas de </w:t>
      </w:r>
      <w:r w:rsidR="00CE3A31" w:rsidRPr="0063119B">
        <w:rPr>
          <w:noProof/>
          <w:szCs w:val="22"/>
        </w:rPr>
        <w:t>acontecimentos</w:t>
      </w:r>
      <w:r w:rsidR="000F46BC" w:rsidRPr="0063119B">
        <w:rPr>
          <w:noProof/>
          <w:szCs w:val="22"/>
        </w:rPr>
        <w:t xml:space="preserve"> para </w:t>
      </w:r>
      <w:r w:rsidR="00CE3A31" w:rsidRPr="0063119B">
        <w:rPr>
          <w:noProof/>
          <w:szCs w:val="22"/>
        </w:rPr>
        <w:t>o e</w:t>
      </w:r>
      <w:r w:rsidR="000F46BC" w:rsidRPr="0063119B">
        <w:rPr>
          <w:noProof/>
          <w:szCs w:val="22"/>
        </w:rPr>
        <w:t xml:space="preserve">nfarto do miocárdio por 100 </w:t>
      </w:r>
      <w:r w:rsidR="00CE3A31" w:rsidRPr="0063119B">
        <w:rPr>
          <w:noProof/>
          <w:szCs w:val="22"/>
        </w:rPr>
        <w:t>doentes</w:t>
      </w:r>
      <w:r w:rsidR="000F46BC" w:rsidRPr="0063119B">
        <w:rPr>
          <w:noProof/>
          <w:szCs w:val="22"/>
        </w:rPr>
        <w:t>-ano (rivaroxaban</w:t>
      </w:r>
      <w:r w:rsidR="005E0464" w:rsidRPr="0063119B">
        <w:rPr>
          <w:noProof/>
          <w:szCs w:val="22"/>
        </w:rPr>
        <w:t>o</w:t>
      </w:r>
      <w:r w:rsidR="000F46BC" w:rsidRPr="0063119B">
        <w:rPr>
          <w:noProof/>
          <w:szCs w:val="22"/>
        </w:rPr>
        <w:t xml:space="preserve"> </w:t>
      </w:r>
      <w:r w:rsidR="000F46BC" w:rsidRPr="0063119B">
        <w:rPr>
          <w:i/>
          <w:noProof/>
          <w:szCs w:val="22"/>
        </w:rPr>
        <w:t>vs</w:t>
      </w:r>
      <w:r w:rsidR="000F46BC" w:rsidRPr="0063119B">
        <w:rPr>
          <w:noProof/>
          <w:szCs w:val="22"/>
        </w:rPr>
        <w:t xml:space="preserve"> placebo) foram </w:t>
      </w:r>
      <w:r w:rsidR="00CE3A31" w:rsidRPr="0063119B">
        <w:rPr>
          <w:noProof/>
          <w:szCs w:val="22"/>
        </w:rPr>
        <w:t xml:space="preserve">de </w:t>
      </w:r>
      <w:r w:rsidR="000F46BC" w:rsidRPr="0063119B">
        <w:rPr>
          <w:noProof/>
          <w:szCs w:val="22"/>
        </w:rPr>
        <w:t>2,08</w:t>
      </w:r>
      <w:r w:rsidR="000F46BC" w:rsidRPr="0063119B">
        <w:rPr>
          <w:i/>
          <w:noProof/>
          <w:szCs w:val="22"/>
        </w:rPr>
        <w:t xml:space="preserve"> vs</w:t>
      </w:r>
      <w:r w:rsidR="000F46BC" w:rsidRPr="0063119B">
        <w:rPr>
          <w:noProof/>
          <w:szCs w:val="22"/>
        </w:rPr>
        <w:t xml:space="preserve"> 2,52 (HR 0,83; </w:t>
      </w:r>
      <w:r w:rsidR="00CE3A31" w:rsidRPr="0063119B">
        <w:rPr>
          <w:noProof/>
          <w:szCs w:val="22"/>
        </w:rPr>
        <w:t>IC 95%</w:t>
      </w:r>
      <w:r w:rsidR="000F46BC" w:rsidRPr="0063119B">
        <w:rPr>
          <w:noProof/>
          <w:szCs w:val="22"/>
        </w:rPr>
        <w:t xml:space="preserve">: 0,63 a 1,08; p = 0,165) e para acidente vascular cerebral as taxas de </w:t>
      </w:r>
      <w:r w:rsidR="00CE3A31" w:rsidRPr="0063119B">
        <w:rPr>
          <w:noProof/>
          <w:szCs w:val="22"/>
        </w:rPr>
        <w:t>acontecimentos</w:t>
      </w:r>
      <w:r w:rsidR="000F46BC" w:rsidRPr="0063119B">
        <w:rPr>
          <w:noProof/>
          <w:szCs w:val="22"/>
        </w:rPr>
        <w:t xml:space="preserve"> por 100 </w:t>
      </w:r>
      <w:r w:rsidR="00CE3A31" w:rsidRPr="0063119B">
        <w:rPr>
          <w:noProof/>
          <w:szCs w:val="22"/>
        </w:rPr>
        <w:t>doentes</w:t>
      </w:r>
      <w:r w:rsidR="000F46BC" w:rsidRPr="0063119B">
        <w:rPr>
          <w:noProof/>
          <w:szCs w:val="22"/>
        </w:rPr>
        <w:t xml:space="preserve">-ano foram 1,08 </w:t>
      </w:r>
      <w:r w:rsidR="000F46BC" w:rsidRPr="0063119B">
        <w:rPr>
          <w:i/>
          <w:noProof/>
          <w:szCs w:val="22"/>
        </w:rPr>
        <w:t>vs</w:t>
      </w:r>
      <w:r w:rsidR="000F46BC" w:rsidRPr="0063119B">
        <w:rPr>
          <w:noProof/>
          <w:szCs w:val="22"/>
        </w:rPr>
        <w:t xml:space="preserve"> 1,62 (HR: 0,66; IC 95%: 0,47 a 0,95; p = 0,023). O principal resultado de segurança (ou seja, composto de hemorragia fatal ou hemorragia num </w:t>
      </w:r>
      <w:r w:rsidR="00CE3A31" w:rsidRPr="0063119B">
        <w:rPr>
          <w:noProof/>
          <w:szCs w:val="22"/>
        </w:rPr>
        <w:t>local</w:t>
      </w:r>
      <w:r w:rsidR="000F46BC" w:rsidRPr="0063119B">
        <w:rPr>
          <w:noProof/>
          <w:szCs w:val="22"/>
        </w:rPr>
        <w:t xml:space="preserve"> crítico com potencial para incapacidade permanente</w:t>
      </w:r>
      <w:r w:rsidR="00CE3A31" w:rsidRPr="0063119B">
        <w:rPr>
          <w:noProof/>
          <w:szCs w:val="22"/>
        </w:rPr>
        <w:t>) ocorreu em 18 (0,7%) doentes d</w:t>
      </w:r>
      <w:r w:rsidR="000F46BC" w:rsidRPr="0063119B">
        <w:rPr>
          <w:noProof/>
          <w:szCs w:val="22"/>
        </w:rPr>
        <w:t xml:space="preserve">o grupo </w:t>
      </w:r>
      <w:r w:rsidR="00CE3A31" w:rsidRPr="0063119B">
        <w:rPr>
          <w:noProof/>
          <w:szCs w:val="22"/>
        </w:rPr>
        <w:t>de tratamento</w:t>
      </w:r>
      <w:r w:rsidR="000F46BC" w:rsidRPr="0063119B">
        <w:rPr>
          <w:noProof/>
          <w:szCs w:val="22"/>
        </w:rPr>
        <w:t xml:space="preserve"> com rivaroxabano 2,5 mg duas vezes por dia e em 23 (0,9%) doentes </w:t>
      </w:r>
      <w:r w:rsidR="00CE3A31" w:rsidRPr="0063119B">
        <w:rPr>
          <w:noProof/>
          <w:szCs w:val="22"/>
        </w:rPr>
        <w:t>do grupo placebo, respe</w:t>
      </w:r>
      <w:r w:rsidR="000F46BC" w:rsidRPr="0063119B">
        <w:rPr>
          <w:noProof/>
          <w:szCs w:val="22"/>
        </w:rPr>
        <w:t>tivamente (HR = 0,80; IC 95% 0,43 - 1,49; p = 0,484). Houve um aumento estatisticamente significativo na</w:t>
      </w:r>
      <w:r w:rsidR="004B5C39" w:rsidRPr="0063119B">
        <w:rPr>
          <w:noProof/>
          <w:szCs w:val="22"/>
        </w:rPr>
        <w:t xml:space="preserve"> grande</w:t>
      </w:r>
      <w:r w:rsidR="000F46BC" w:rsidRPr="0063119B">
        <w:rPr>
          <w:noProof/>
          <w:szCs w:val="22"/>
        </w:rPr>
        <w:t xml:space="preserve"> hemorragia ISTH no grupo </w:t>
      </w:r>
      <w:r w:rsidR="00CE3A31" w:rsidRPr="0063119B">
        <w:rPr>
          <w:noProof/>
          <w:szCs w:val="22"/>
        </w:rPr>
        <w:t xml:space="preserve">do </w:t>
      </w:r>
      <w:r w:rsidR="000F46BC" w:rsidRPr="0063119B">
        <w:rPr>
          <w:noProof/>
          <w:szCs w:val="22"/>
        </w:rPr>
        <w:t>rivaroxaban</w:t>
      </w:r>
      <w:r w:rsidR="00CE3A31" w:rsidRPr="0063119B">
        <w:rPr>
          <w:noProof/>
          <w:szCs w:val="22"/>
        </w:rPr>
        <w:t>o</w:t>
      </w:r>
      <w:r w:rsidR="000F46BC" w:rsidRPr="0063119B">
        <w:rPr>
          <w:noProof/>
          <w:szCs w:val="22"/>
        </w:rPr>
        <w:t xml:space="preserve"> em comparação com placebo (taxa de </w:t>
      </w:r>
      <w:r w:rsidR="00CE3A31" w:rsidRPr="0063119B">
        <w:rPr>
          <w:noProof/>
          <w:szCs w:val="22"/>
        </w:rPr>
        <w:t>acontecimentos</w:t>
      </w:r>
      <w:r w:rsidR="000F46BC" w:rsidRPr="0063119B">
        <w:rPr>
          <w:noProof/>
          <w:szCs w:val="22"/>
        </w:rPr>
        <w:t xml:space="preserve"> por 100 doentes-ano: 2,04 </w:t>
      </w:r>
      <w:r w:rsidR="000F46BC" w:rsidRPr="0063119B">
        <w:rPr>
          <w:i/>
          <w:noProof/>
          <w:szCs w:val="22"/>
        </w:rPr>
        <w:t>vs</w:t>
      </w:r>
      <w:r w:rsidR="000F46BC" w:rsidRPr="0063119B">
        <w:rPr>
          <w:noProof/>
          <w:szCs w:val="22"/>
        </w:rPr>
        <w:t xml:space="preserve"> 1,21, HR 1,68; IC 95%: 1,18 a 2,39; p = 0,003).</w:t>
      </w:r>
      <w:r w:rsidR="000F46BC" w:rsidRPr="0063119B">
        <w:rPr>
          <w:noProof/>
          <w:szCs w:val="22"/>
        </w:rPr>
        <w:br/>
        <w:t xml:space="preserve">Em </w:t>
      </w:r>
      <w:r w:rsidR="00CE3A31" w:rsidRPr="0063119B">
        <w:rPr>
          <w:noProof/>
          <w:szCs w:val="22"/>
        </w:rPr>
        <w:t>doentes</w:t>
      </w:r>
      <w:r w:rsidR="000F46BC" w:rsidRPr="0063119B">
        <w:rPr>
          <w:noProof/>
          <w:szCs w:val="22"/>
        </w:rPr>
        <w:t xml:space="preserve"> com insuficiê</w:t>
      </w:r>
      <w:r w:rsidR="00CE3A31" w:rsidRPr="0063119B">
        <w:rPr>
          <w:noProof/>
          <w:szCs w:val="22"/>
        </w:rPr>
        <w:t>ncia cardíaca ligeira</w:t>
      </w:r>
      <w:r w:rsidR="000F46BC" w:rsidRPr="0063119B">
        <w:rPr>
          <w:noProof/>
          <w:szCs w:val="22"/>
        </w:rPr>
        <w:t xml:space="preserve"> e moderada, os efeitos do tratamento para o subgrupo do estudo COMPASS foram semelhantes aos de toda a população do estudo (ver se</w:t>
      </w:r>
      <w:r w:rsidR="00A84E2A" w:rsidRPr="0063119B">
        <w:rPr>
          <w:noProof/>
          <w:szCs w:val="22"/>
        </w:rPr>
        <w:t>c</w:t>
      </w:r>
      <w:r w:rsidR="000F46BC" w:rsidRPr="0063119B">
        <w:rPr>
          <w:noProof/>
          <w:szCs w:val="22"/>
        </w:rPr>
        <w:t>ção CAD/PAD).</w:t>
      </w:r>
    </w:p>
    <w:p w14:paraId="07C9CD23" w14:textId="77777777" w:rsidR="000F46BC" w:rsidRPr="0063119B" w:rsidRDefault="000F46BC" w:rsidP="00A73707">
      <w:pPr>
        <w:rPr>
          <w:szCs w:val="22"/>
        </w:rPr>
      </w:pPr>
    </w:p>
    <w:p w14:paraId="63CF6066" w14:textId="77777777" w:rsidR="00B1130D" w:rsidRDefault="00B1130D" w:rsidP="00B1130D">
      <w:pPr>
        <w:keepNext/>
        <w:suppressAutoHyphens/>
        <w:rPr>
          <w:noProof/>
          <w:szCs w:val="22"/>
          <w:u w:val="single"/>
        </w:rPr>
      </w:pPr>
      <w:r w:rsidRPr="0063119B">
        <w:rPr>
          <w:noProof/>
          <w:szCs w:val="22"/>
          <w:u w:val="single"/>
        </w:rPr>
        <w:t xml:space="preserve">Doentes de alto risco com síndrome antifosfolipídica triplo positivos </w:t>
      </w:r>
    </w:p>
    <w:p w14:paraId="25B21B19" w14:textId="77777777" w:rsidR="00847124" w:rsidRPr="0063119B" w:rsidRDefault="00847124" w:rsidP="00B1130D">
      <w:pPr>
        <w:keepNext/>
        <w:suppressAutoHyphens/>
        <w:rPr>
          <w:noProof/>
          <w:szCs w:val="22"/>
          <w:u w:val="single"/>
        </w:rPr>
      </w:pPr>
    </w:p>
    <w:p w14:paraId="3CC65317" w14:textId="77777777" w:rsidR="00B1130D" w:rsidRPr="0063119B" w:rsidRDefault="00B1130D" w:rsidP="00B1130D">
      <w:pPr>
        <w:rPr>
          <w:noProof/>
          <w:szCs w:val="22"/>
        </w:rPr>
      </w:pPr>
      <w:r w:rsidRPr="0063119B">
        <w:rPr>
          <w:noProof/>
          <w:szCs w:val="22"/>
        </w:rPr>
        <w:t>Foi realizado um estudo multicêntrico, aleatorizado, sem ocultação, promovido pelo investigador, com avaliação em ocultação do parâmetro de avaliação final para comparar o rivaroxabano com a varfarina em doentes com antecedentes de trombose, diagnosticados com síndrome antifosfolipídica e com risco elevado de acontecimentos tromboembólicos (positivos para a presença dos 3 anticorpos antifosfolípidos: anticoagulante lúpico, anticorpos anticardiolipina e anticorpos anti-beta2 glicoproteína-I). Após o recrutamento de 120 doentes o estudo foi prematuramente terminado devido a um excesso de acontecimentos entre os doentes no braço do rivaroxabano. O tempo de seguimento médio do estudo foi de 569 dias. Foram aleatorizados 59 doentes para o tratamento com 20 mg de rivaroxabano (15 mg para doentes com depuração da creatinina (CrCl) &lt;50 ml/min) e 61 doentes para o tratamento com varfarina (INR 2,0-3,0). Ocorreram acontecimentos tromboembólicos (4 acidentes vasculares cerebrais isquémicos e 3 enfartes do miocárdio) em 12% dos doentes aleatorizados para o tratamento com rivaroxabano. Não foram notificados acontecimentos nos doentes aleatorizados para o tratamento com varfarina. Ocorreram hemorragias graves em 4 doentes (7%) do grupo do rivaroxabano e em 2 doentes (3%) do grupo da varfarina.</w:t>
      </w:r>
    </w:p>
    <w:p w14:paraId="1F6E7E5C" w14:textId="77777777" w:rsidR="00B1130D" w:rsidRPr="0063119B" w:rsidRDefault="00B1130D" w:rsidP="00A73707">
      <w:pPr>
        <w:rPr>
          <w:szCs w:val="22"/>
        </w:rPr>
      </w:pPr>
    </w:p>
    <w:p w14:paraId="6CF26390" w14:textId="77777777" w:rsidR="001B7699" w:rsidRDefault="001B7699" w:rsidP="003311FD">
      <w:pPr>
        <w:keepNext/>
        <w:suppressAutoHyphens/>
        <w:rPr>
          <w:noProof/>
          <w:szCs w:val="22"/>
          <w:u w:val="single"/>
        </w:rPr>
      </w:pPr>
      <w:r w:rsidRPr="0063119B">
        <w:rPr>
          <w:noProof/>
          <w:szCs w:val="22"/>
          <w:u w:val="single"/>
        </w:rPr>
        <w:t>População pediátrica</w:t>
      </w:r>
    </w:p>
    <w:p w14:paraId="29E28AD8" w14:textId="77777777" w:rsidR="00847124" w:rsidRPr="0063119B" w:rsidRDefault="00847124" w:rsidP="003311FD">
      <w:pPr>
        <w:keepNext/>
        <w:suppressAutoHyphens/>
        <w:rPr>
          <w:noProof/>
          <w:szCs w:val="22"/>
          <w:u w:val="single"/>
        </w:rPr>
      </w:pPr>
    </w:p>
    <w:p w14:paraId="72F539F0" w14:textId="77777777" w:rsidR="001B7699" w:rsidRPr="0063119B" w:rsidRDefault="001B7699" w:rsidP="001B7699">
      <w:pPr>
        <w:suppressAutoHyphens/>
        <w:rPr>
          <w:rFonts w:eastAsia="SimSun"/>
          <w:szCs w:val="22"/>
          <w:lang w:eastAsia="zh-CN"/>
        </w:rPr>
      </w:pPr>
      <w:r w:rsidRPr="0063119B">
        <w:rPr>
          <w:rFonts w:eastAsia="SimSun"/>
          <w:szCs w:val="22"/>
          <w:lang w:eastAsia="zh-CN"/>
        </w:rPr>
        <w:t xml:space="preserve">A </w:t>
      </w:r>
      <w:r w:rsidRPr="0063119B">
        <w:rPr>
          <w:noProof/>
          <w:szCs w:val="22"/>
        </w:rPr>
        <w:t xml:space="preserve">Agência Europeia de Medicamentos dispensou a obrigação de submissão dos resultados dos estudos com </w:t>
      </w:r>
      <w:r w:rsidR="00C64A09" w:rsidRPr="0063119B">
        <w:rPr>
          <w:noProof/>
          <w:szCs w:val="22"/>
        </w:rPr>
        <w:t xml:space="preserve">o medicamento de referência contendo rivaroxabano </w:t>
      </w:r>
      <w:r w:rsidRPr="0063119B">
        <w:rPr>
          <w:rFonts w:eastAsia="SimSun"/>
          <w:szCs w:val="22"/>
          <w:lang w:eastAsia="zh-CN"/>
        </w:rPr>
        <w:t>em todos os subgrupos da população pediátrica na prevenção de acontecimentos tromboembólicos (ver secção 4.2 para informação sobre utilização pediátrica).</w:t>
      </w:r>
    </w:p>
    <w:p w14:paraId="44BC923D" w14:textId="77777777" w:rsidR="001B7699" w:rsidRPr="0063119B" w:rsidRDefault="001B7699" w:rsidP="001B7699">
      <w:pPr>
        <w:suppressAutoHyphens/>
        <w:ind w:left="567" w:hanging="567"/>
        <w:rPr>
          <w:b/>
          <w:noProof/>
          <w:szCs w:val="22"/>
        </w:rPr>
      </w:pPr>
    </w:p>
    <w:p w14:paraId="1143174A" w14:textId="77777777" w:rsidR="001B7699" w:rsidRPr="0063119B" w:rsidRDefault="001B7699" w:rsidP="001B7699">
      <w:pPr>
        <w:suppressAutoHyphens/>
        <w:ind w:left="567" w:hanging="567"/>
        <w:rPr>
          <w:noProof/>
          <w:szCs w:val="22"/>
        </w:rPr>
      </w:pPr>
      <w:r w:rsidRPr="0063119B">
        <w:rPr>
          <w:b/>
          <w:noProof/>
          <w:szCs w:val="22"/>
        </w:rPr>
        <w:t>5.2</w:t>
      </w:r>
      <w:r w:rsidRPr="0063119B">
        <w:rPr>
          <w:b/>
          <w:noProof/>
          <w:szCs w:val="22"/>
        </w:rPr>
        <w:tab/>
        <w:t>Propriedades farmacocinéticas</w:t>
      </w:r>
    </w:p>
    <w:p w14:paraId="55E11F4A" w14:textId="77777777" w:rsidR="001B7699" w:rsidRPr="0063119B" w:rsidRDefault="001B7699" w:rsidP="001B7699">
      <w:pPr>
        <w:suppressAutoHyphens/>
        <w:rPr>
          <w:noProof/>
          <w:szCs w:val="22"/>
        </w:rPr>
      </w:pPr>
    </w:p>
    <w:p w14:paraId="387A3692" w14:textId="77777777" w:rsidR="001B7699" w:rsidRDefault="001B7699" w:rsidP="001B7699">
      <w:pPr>
        <w:rPr>
          <w:noProof/>
          <w:szCs w:val="22"/>
          <w:u w:val="single"/>
        </w:rPr>
      </w:pPr>
      <w:r w:rsidRPr="0063119B">
        <w:rPr>
          <w:noProof/>
          <w:szCs w:val="22"/>
          <w:u w:val="single"/>
        </w:rPr>
        <w:t>Absorção</w:t>
      </w:r>
    </w:p>
    <w:p w14:paraId="438C4CF7" w14:textId="77777777" w:rsidR="00847124" w:rsidRPr="0063119B" w:rsidRDefault="00847124" w:rsidP="001B7699">
      <w:pPr>
        <w:rPr>
          <w:noProof/>
          <w:szCs w:val="22"/>
          <w:u w:val="single"/>
        </w:rPr>
      </w:pPr>
    </w:p>
    <w:p w14:paraId="787175F8" w14:textId="77777777" w:rsidR="001B7699" w:rsidRPr="0063119B" w:rsidRDefault="001B7699" w:rsidP="001B7699">
      <w:pPr>
        <w:rPr>
          <w:noProof/>
          <w:szCs w:val="22"/>
        </w:rPr>
      </w:pPr>
      <w:r w:rsidRPr="0063119B">
        <w:rPr>
          <w:noProof/>
          <w:szCs w:val="22"/>
        </w:rPr>
        <w:t>Rivaroxabano é rapidamente absorvido e atinge as concentrações máximas (C</w:t>
      </w:r>
      <w:r w:rsidRPr="0063119B">
        <w:rPr>
          <w:noProof/>
          <w:szCs w:val="22"/>
          <w:vertAlign w:val="subscript"/>
        </w:rPr>
        <w:t>max</w:t>
      </w:r>
      <w:r w:rsidRPr="0063119B">
        <w:rPr>
          <w:noProof/>
          <w:szCs w:val="22"/>
        </w:rPr>
        <w:t xml:space="preserve">) 2 </w:t>
      </w:r>
      <w:r w:rsidR="0088302B" w:rsidRPr="0063119B">
        <w:rPr>
          <w:noProof/>
          <w:szCs w:val="22"/>
        </w:rPr>
        <w:t>-</w:t>
      </w:r>
      <w:r w:rsidRPr="0063119B">
        <w:rPr>
          <w:noProof/>
          <w:szCs w:val="22"/>
        </w:rPr>
        <w:t xml:space="preserve"> 4 horas após a ingestão do comprimido.</w:t>
      </w:r>
    </w:p>
    <w:p w14:paraId="33C7ADEB" w14:textId="77777777" w:rsidR="001B7699" w:rsidRPr="0063119B" w:rsidRDefault="001B7699" w:rsidP="001B7699">
      <w:pPr>
        <w:rPr>
          <w:noProof/>
          <w:szCs w:val="22"/>
        </w:rPr>
      </w:pPr>
      <w:r w:rsidRPr="0063119B">
        <w:rPr>
          <w:rFonts w:eastAsia="SimSun"/>
          <w:szCs w:val="22"/>
        </w:rPr>
        <w:t>A absorção oral de rivaroxabano é quase completa e a biodisponibilidade oral é elevada (80 </w:t>
      </w:r>
      <w:r w:rsidRPr="0063119B">
        <w:rPr>
          <w:rFonts w:eastAsia="SimSun"/>
          <w:szCs w:val="22"/>
        </w:rPr>
        <w:noBreakHyphen/>
        <w:t> 100%) com o comprimido de 2,5 mg e 10 mg independentemente do estado de jejum/pós</w:t>
      </w:r>
      <w:r w:rsidRPr="0063119B">
        <w:rPr>
          <w:rFonts w:eastAsia="SimSun"/>
          <w:szCs w:val="22"/>
        </w:rPr>
        <w:noBreakHyphen/>
        <w:t>prandial.</w:t>
      </w:r>
      <w:r w:rsidRPr="0063119B">
        <w:rPr>
          <w:noProof/>
          <w:szCs w:val="22"/>
        </w:rPr>
        <w:t xml:space="preserve"> A ingestão com alimentos não afeta a AUC ou a C</w:t>
      </w:r>
      <w:r w:rsidRPr="0063119B">
        <w:rPr>
          <w:noProof/>
          <w:szCs w:val="22"/>
          <w:vertAlign w:val="subscript"/>
        </w:rPr>
        <w:t>max</w:t>
      </w:r>
      <w:r w:rsidRPr="0063119B">
        <w:rPr>
          <w:noProof/>
          <w:szCs w:val="22"/>
        </w:rPr>
        <w:t xml:space="preserve"> da dose de 2,5 mg e 10 mg de rivaroxabano. Rivaroxabano 2,5 mg e 10 mg comprimidos pode ser tomado com ou sem alimentos.</w:t>
      </w:r>
    </w:p>
    <w:p w14:paraId="0E67EFE8" w14:textId="77777777" w:rsidR="001B7699" w:rsidRPr="0063119B" w:rsidRDefault="001B7699" w:rsidP="001B7699">
      <w:pPr>
        <w:rPr>
          <w:noProof/>
          <w:szCs w:val="22"/>
        </w:rPr>
      </w:pPr>
      <w:r w:rsidRPr="0063119B">
        <w:rPr>
          <w:noProof/>
          <w:szCs w:val="22"/>
        </w:rPr>
        <w:t xml:space="preserve">A farmacocinética do rivaroxabano é aproximadamente linear até cerca de 15 mg uma vez ao dia. Em doses superiores, o rivaroxabano revela uma absorção limitada pela dissolução com uma diminuição da biodisponibilidade e uma diminuição da taxa de absorção com o aumento da dose. Isto é mais </w:t>
      </w:r>
      <w:r w:rsidRPr="0063119B">
        <w:rPr>
          <w:noProof/>
          <w:szCs w:val="22"/>
        </w:rPr>
        <w:lastRenderedPageBreak/>
        <w:t>acentuado no estado em jejum que em condições pós-prandiais. A variabilidade na farmacocinética do rivaroxabano é moderada com variabilidade interindividual (CV%) variando entre os 30% e os 40%.</w:t>
      </w:r>
    </w:p>
    <w:p w14:paraId="446B6176" w14:textId="77777777" w:rsidR="001B7699" w:rsidRPr="0063119B" w:rsidRDefault="00EA26AD" w:rsidP="001B7699">
      <w:pPr>
        <w:rPr>
          <w:noProof/>
          <w:szCs w:val="22"/>
        </w:rPr>
      </w:pPr>
      <w:r w:rsidRPr="0063119B">
        <w:rPr>
          <w:noProof/>
          <w:szCs w:val="22"/>
        </w:rPr>
        <w:t>A absorção de rivaroxabano depende do local da sua libertação no trato gastrointestinal. Foi notificada uma diminuição de 29% e 56% na AUC e na C</w:t>
      </w:r>
      <w:r w:rsidRPr="0063119B">
        <w:rPr>
          <w:noProof/>
          <w:szCs w:val="22"/>
          <w:vertAlign w:val="subscript"/>
        </w:rPr>
        <w:t>max</w:t>
      </w:r>
      <w:r w:rsidRPr="0063119B">
        <w:rPr>
          <w:noProof/>
          <w:szCs w:val="22"/>
        </w:rPr>
        <w:t xml:space="preserve"> comparativamente com o comprimido quando </w:t>
      </w:r>
      <w:r w:rsidR="006677E0" w:rsidRPr="0063119B">
        <w:rPr>
          <w:noProof/>
          <w:szCs w:val="22"/>
        </w:rPr>
        <w:t xml:space="preserve">o </w:t>
      </w:r>
      <w:r w:rsidRPr="0063119B">
        <w:rPr>
          <w:noProof/>
          <w:szCs w:val="22"/>
        </w:rPr>
        <w:t>rivaroxabano granulado é libertado no intestino delgado proximal.</w:t>
      </w:r>
      <w:r w:rsidR="002149F7" w:rsidRPr="0063119B">
        <w:rPr>
          <w:noProof/>
          <w:szCs w:val="22"/>
        </w:rPr>
        <w:t xml:space="preserve"> A exposição é ainda mais reduzida quando </w:t>
      </w:r>
      <w:r w:rsidR="006677E0" w:rsidRPr="0063119B">
        <w:rPr>
          <w:noProof/>
          <w:szCs w:val="22"/>
        </w:rPr>
        <w:t xml:space="preserve">o </w:t>
      </w:r>
      <w:r w:rsidR="002149F7" w:rsidRPr="0063119B">
        <w:rPr>
          <w:noProof/>
          <w:szCs w:val="22"/>
        </w:rPr>
        <w:t xml:space="preserve">rivaroxabano é libertado no intestino delgado distal ou no cólon ascendente. Por isso, a administração de rivaroxabano distal </w:t>
      </w:r>
      <w:r w:rsidR="004F04CB" w:rsidRPr="0063119B">
        <w:rPr>
          <w:noProof/>
          <w:szCs w:val="22"/>
        </w:rPr>
        <w:t xml:space="preserve">ao estômago deve ser evitada uma vez que pode resultar na absorção reduzida e </w:t>
      </w:r>
      <w:r w:rsidR="00F73A77" w:rsidRPr="0063119B">
        <w:rPr>
          <w:noProof/>
          <w:szCs w:val="22"/>
        </w:rPr>
        <w:t xml:space="preserve">na relacionada </w:t>
      </w:r>
      <w:r w:rsidR="004F04CB" w:rsidRPr="0063119B">
        <w:rPr>
          <w:noProof/>
          <w:szCs w:val="22"/>
        </w:rPr>
        <w:t>exposição ao rivaroxabano.</w:t>
      </w:r>
    </w:p>
    <w:p w14:paraId="6686BEF6" w14:textId="77777777" w:rsidR="00F73A77" w:rsidRPr="0063119B" w:rsidRDefault="00F73A77" w:rsidP="001B7699">
      <w:pPr>
        <w:rPr>
          <w:noProof/>
          <w:szCs w:val="22"/>
        </w:rPr>
      </w:pPr>
      <w:r w:rsidRPr="0063119B">
        <w:rPr>
          <w:noProof/>
          <w:szCs w:val="22"/>
        </w:rPr>
        <w:t>A biodisponibilidade (AUC e C</w:t>
      </w:r>
      <w:r w:rsidRPr="0063119B">
        <w:rPr>
          <w:noProof/>
          <w:szCs w:val="22"/>
          <w:vertAlign w:val="subscript"/>
        </w:rPr>
        <w:t>max</w:t>
      </w:r>
      <w:r w:rsidRPr="0063119B">
        <w:rPr>
          <w:noProof/>
          <w:szCs w:val="22"/>
        </w:rPr>
        <w:t>) foi comparável para 20 mg de rivaroxabano administrado por via oral na forma de comprimido esmagado misturado com puré de maçã ou suspenso em água e administrado por meio de sonda gástrica seguido por uma refeição líquida, comparativamente com o comprimido inteiro.</w:t>
      </w:r>
      <w:r w:rsidR="00696768" w:rsidRPr="0063119B">
        <w:rPr>
          <w:noProof/>
          <w:szCs w:val="22"/>
        </w:rPr>
        <w:t xml:space="preserve"> Dado o perfil farmacocinético previsível e proporcional à dose de rivaroxabano, os resultados de biodisponibilidade deste estudo são provavelmente aplicáveis a doses mais baixas de rivaroxabano.</w:t>
      </w:r>
    </w:p>
    <w:p w14:paraId="5A58CE10" w14:textId="77777777" w:rsidR="00F73A77" w:rsidRPr="0063119B" w:rsidRDefault="00F73A77" w:rsidP="001B7699">
      <w:pPr>
        <w:rPr>
          <w:noProof/>
          <w:szCs w:val="22"/>
        </w:rPr>
      </w:pPr>
    </w:p>
    <w:p w14:paraId="1BE62ED4" w14:textId="77777777" w:rsidR="001B7699" w:rsidRDefault="001B7699" w:rsidP="001B7699">
      <w:pPr>
        <w:rPr>
          <w:noProof/>
          <w:szCs w:val="22"/>
          <w:u w:val="single"/>
        </w:rPr>
      </w:pPr>
      <w:r w:rsidRPr="0063119B">
        <w:rPr>
          <w:noProof/>
          <w:szCs w:val="22"/>
          <w:u w:val="single"/>
        </w:rPr>
        <w:t>Distribuição</w:t>
      </w:r>
    </w:p>
    <w:p w14:paraId="689F4DE2" w14:textId="77777777" w:rsidR="00847124" w:rsidRPr="0063119B" w:rsidRDefault="00847124" w:rsidP="001B7699">
      <w:pPr>
        <w:rPr>
          <w:noProof/>
          <w:szCs w:val="22"/>
          <w:u w:val="single"/>
        </w:rPr>
      </w:pPr>
    </w:p>
    <w:p w14:paraId="427BD342" w14:textId="77777777" w:rsidR="001B7699" w:rsidRPr="0063119B" w:rsidRDefault="001B7699" w:rsidP="001B7699">
      <w:pPr>
        <w:rPr>
          <w:noProof/>
          <w:szCs w:val="22"/>
        </w:rPr>
      </w:pPr>
      <w:r w:rsidRPr="0063119B">
        <w:rPr>
          <w:noProof/>
          <w:szCs w:val="22"/>
        </w:rPr>
        <w:t>A ligação às proteínas plasmáticas no Homem é elevada, de aproximadamente 92% a 95%, sendo a albumina sérica o principal componente de ligação. O volume de distribuição é moderado sendo o V</w:t>
      </w:r>
      <w:r w:rsidRPr="0063119B">
        <w:rPr>
          <w:noProof/>
          <w:szCs w:val="22"/>
          <w:vertAlign w:val="subscript"/>
        </w:rPr>
        <w:t xml:space="preserve">d </w:t>
      </w:r>
      <w:r w:rsidRPr="0063119B">
        <w:rPr>
          <w:noProof/>
          <w:szCs w:val="22"/>
        </w:rPr>
        <w:t>de aproximadamente 50 litros.</w:t>
      </w:r>
    </w:p>
    <w:p w14:paraId="236463FE" w14:textId="77777777" w:rsidR="001B7699" w:rsidRPr="0063119B" w:rsidRDefault="001B7699" w:rsidP="001B7699">
      <w:pPr>
        <w:rPr>
          <w:noProof/>
          <w:szCs w:val="22"/>
        </w:rPr>
      </w:pPr>
    </w:p>
    <w:p w14:paraId="5D5CD905" w14:textId="77777777" w:rsidR="001B7699" w:rsidRDefault="001B7699" w:rsidP="001B7699">
      <w:pPr>
        <w:keepNext/>
        <w:rPr>
          <w:noProof/>
          <w:szCs w:val="22"/>
          <w:u w:val="single"/>
        </w:rPr>
      </w:pPr>
      <w:r w:rsidRPr="0063119B">
        <w:rPr>
          <w:noProof/>
          <w:szCs w:val="22"/>
          <w:u w:val="single"/>
        </w:rPr>
        <w:t>Biotransformação e eliminação</w:t>
      </w:r>
    </w:p>
    <w:p w14:paraId="4DFE752C" w14:textId="77777777" w:rsidR="00847124" w:rsidRPr="0063119B" w:rsidRDefault="00847124" w:rsidP="001B7699">
      <w:pPr>
        <w:keepNext/>
        <w:rPr>
          <w:noProof/>
          <w:szCs w:val="22"/>
        </w:rPr>
      </w:pPr>
    </w:p>
    <w:p w14:paraId="35E20974" w14:textId="77777777" w:rsidR="001B7699" w:rsidRPr="0063119B" w:rsidRDefault="001B7699" w:rsidP="001B7699">
      <w:pPr>
        <w:keepNext/>
        <w:rPr>
          <w:noProof/>
          <w:szCs w:val="22"/>
        </w:rPr>
      </w:pPr>
      <w:r w:rsidRPr="0063119B">
        <w:rPr>
          <w:noProof/>
          <w:szCs w:val="22"/>
        </w:rPr>
        <w:t>Da dose de rivaroxabano administrada, aproximadamente 2/3 sofre degradação metabólica, da qual metade é eliminada por via renal e a outra metade eliminada por via fecal. O 1/3 final da dose administrada sofre excreção renal direta como substância ativa inalterada na urina, principalmente por secreção renal ativa.</w:t>
      </w:r>
    </w:p>
    <w:p w14:paraId="3B917345" w14:textId="77777777" w:rsidR="001B7699" w:rsidRPr="0063119B" w:rsidRDefault="001B7699" w:rsidP="001B7699">
      <w:pPr>
        <w:rPr>
          <w:noProof/>
          <w:szCs w:val="22"/>
        </w:rPr>
      </w:pPr>
      <w:r w:rsidRPr="0063119B">
        <w:rPr>
          <w:noProof/>
          <w:szCs w:val="22"/>
        </w:rPr>
        <w:t xml:space="preserve">O rivaroxabano é metabolizado através do CYP3A4, CYP2J2 e por mecanismos independentes do CYP. Os principais locais de biotransformação são a degradação oxidativa da porção da morfolinona e hidrólise das ligações de amida. Com base em investigações </w:t>
      </w:r>
      <w:r w:rsidRPr="0063119B">
        <w:rPr>
          <w:i/>
          <w:noProof/>
          <w:szCs w:val="22"/>
        </w:rPr>
        <w:t>in vitro,</w:t>
      </w:r>
      <w:r w:rsidRPr="0063119B">
        <w:rPr>
          <w:noProof/>
          <w:szCs w:val="22"/>
        </w:rPr>
        <w:t xml:space="preserve"> o rivaroxabano é um substrato das proteínas transportadoras gp</w:t>
      </w:r>
      <w:r w:rsidRPr="0063119B">
        <w:rPr>
          <w:noProof/>
          <w:szCs w:val="22"/>
        </w:rPr>
        <w:noBreakHyphen/>
        <w:t>P (glicoproteína P) e Bcrp (proteína de resistência do cancro da mama).</w:t>
      </w:r>
    </w:p>
    <w:p w14:paraId="55FFE685" w14:textId="77777777" w:rsidR="001B7699" w:rsidRPr="0063119B" w:rsidRDefault="001B7699" w:rsidP="001B7699">
      <w:pPr>
        <w:rPr>
          <w:noProof/>
          <w:szCs w:val="22"/>
        </w:rPr>
      </w:pPr>
      <w:r w:rsidRPr="0063119B">
        <w:rPr>
          <w:noProof/>
          <w:szCs w:val="22"/>
        </w:rPr>
        <w:t>O rivaroxabano inalterado é o composto mais importante no plasma humano, sem que estejam presentes outros metabolitos circulantes ativos ou de relevo. Com uma taxa de depuração sistémica de aproximadamente 10 l/h, o rivaroxabano pode ser classificado como uma substância com baixa taxa de depuração. Após a administração intravenosa de uma dose de 1 mg a semivida de eliminação é de cerca de 4,5 horas. Após a administração oral, a eliminação torna</w:t>
      </w:r>
      <w:r w:rsidRPr="0063119B">
        <w:rPr>
          <w:noProof/>
          <w:szCs w:val="22"/>
        </w:rPr>
        <w:noBreakHyphen/>
        <w:t>se limitada pela taxa de absorção. A eliminação de rivaroxabano do plasma ocorre com semividas terminais de 5 a 9 horas em indivíduos jovens, e com semividas terminais de 11 a 13 horas nos idosos.</w:t>
      </w:r>
    </w:p>
    <w:p w14:paraId="553B6EF5" w14:textId="77777777" w:rsidR="001B7699" w:rsidRPr="0063119B" w:rsidRDefault="001B7699" w:rsidP="001B7699">
      <w:pPr>
        <w:rPr>
          <w:i/>
          <w:noProof/>
          <w:szCs w:val="22"/>
          <w:u w:val="single"/>
        </w:rPr>
      </w:pPr>
    </w:p>
    <w:p w14:paraId="641C8365" w14:textId="77777777" w:rsidR="001B7699" w:rsidRDefault="001B7699" w:rsidP="003311FD">
      <w:pPr>
        <w:keepNext/>
        <w:rPr>
          <w:noProof/>
          <w:szCs w:val="22"/>
          <w:u w:val="single"/>
        </w:rPr>
      </w:pPr>
      <w:r w:rsidRPr="0063119B">
        <w:rPr>
          <w:noProof/>
          <w:szCs w:val="22"/>
          <w:u w:val="single"/>
        </w:rPr>
        <w:t>Populações especiais</w:t>
      </w:r>
    </w:p>
    <w:p w14:paraId="34E9A417" w14:textId="77777777" w:rsidR="00847124" w:rsidRPr="0063119B" w:rsidRDefault="00847124" w:rsidP="003311FD">
      <w:pPr>
        <w:keepNext/>
        <w:rPr>
          <w:noProof/>
          <w:szCs w:val="22"/>
          <w:u w:val="single"/>
        </w:rPr>
      </w:pPr>
    </w:p>
    <w:p w14:paraId="0248DD80" w14:textId="77777777" w:rsidR="001B7699" w:rsidRPr="0063119B" w:rsidRDefault="001B7699" w:rsidP="001B7699">
      <w:pPr>
        <w:rPr>
          <w:i/>
          <w:noProof/>
          <w:szCs w:val="22"/>
        </w:rPr>
      </w:pPr>
      <w:r w:rsidRPr="0063119B">
        <w:rPr>
          <w:i/>
          <w:noProof/>
          <w:szCs w:val="22"/>
        </w:rPr>
        <w:t>Sexo</w:t>
      </w:r>
    </w:p>
    <w:p w14:paraId="4066347E" w14:textId="77777777" w:rsidR="001B7699" w:rsidRPr="0063119B" w:rsidRDefault="001B7699" w:rsidP="001B7699">
      <w:pPr>
        <w:rPr>
          <w:noProof/>
          <w:szCs w:val="22"/>
        </w:rPr>
      </w:pPr>
      <w:r w:rsidRPr="0063119B">
        <w:rPr>
          <w:noProof/>
          <w:szCs w:val="22"/>
        </w:rPr>
        <w:t>Não se verificaram diferenças clinicamente relevantes na farmacocinética e farmacodinâmica entre doentes do sexo masculino e feminino.</w:t>
      </w:r>
    </w:p>
    <w:p w14:paraId="2BF89A12" w14:textId="77777777" w:rsidR="001B7699" w:rsidRPr="0063119B" w:rsidRDefault="001B7699" w:rsidP="001B7699">
      <w:pPr>
        <w:rPr>
          <w:noProof/>
          <w:szCs w:val="22"/>
          <w:u w:val="single"/>
        </w:rPr>
      </w:pPr>
    </w:p>
    <w:p w14:paraId="7B3B7C47" w14:textId="77777777" w:rsidR="001B7699" w:rsidRPr="0063119B" w:rsidRDefault="001B7699" w:rsidP="001B7699">
      <w:pPr>
        <w:rPr>
          <w:i/>
          <w:noProof/>
          <w:szCs w:val="22"/>
        </w:rPr>
      </w:pPr>
      <w:r w:rsidRPr="0063119B">
        <w:rPr>
          <w:i/>
          <w:noProof/>
          <w:szCs w:val="22"/>
        </w:rPr>
        <w:t>População idosa</w:t>
      </w:r>
    </w:p>
    <w:p w14:paraId="341BA488" w14:textId="77777777" w:rsidR="001B7699" w:rsidRPr="0063119B" w:rsidRDefault="001B7699" w:rsidP="001B7699">
      <w:pPr>
        <w:rPr>
          <w:noProof/>
          <w:szCs w:val="22"/>
        </w:rPr>
      </w:pPr>
      <w:r w:rsidRPr="0063119B">
        <w:rPr>
          <w:noProof/>
          <w:szCs w:val="22"/>
        </w:rPr>
        <w:t>Os doentes idosos apresentaram concentrações plasmáticas mais elevadas do que doentes mais jovens, com valores médios de AUC de aproximadamente 1,5 vezes superiores, devido principalmente a uma redução (aparente) na taxa de depuração total e renal. Não são necessários ajustes posológicos.</w:t>
      </w:r>
    </w:p>
    <w:p w14:paraId="2383CF3F" w14:textId="77777777" w:rsidR="001B7699" w:rsidRPr="0063119B" w:rsidRDefault="001B7699" w:rsidP="001B7699">
      <w:pPr>
        <w:rPr>
          <w:i/>
          <w:noProof/>
          <w:szCs w:val="22"/>
        </w:rPr>
      </w:pPr>
    </w:p>
    <w:p w14:paraId="12B27590" w14:textId="77777777" w:rsidR="001B7699" w:rsidRPr="0063119B" w:rsidRDefault="001B7699" w:rsidP="0067053F">
      <w:pPr>
        <w:keepNext/>
        <w:keepLines/>
        <w:rPr>
          <w:i/>
          <w:noProof/>
          <w:szCs w:val="22"/>
        </w:rPr>
      </w:pPr>
      <w:r w:rsidRPr="0063119B">
        <w:rPr>
          <w:i/>
          <w:noProof/>
          <w:szCs w:val="22"/>
        </w:rPr>
        <w:t>Diferentes categorias de peso</w:t>
      </w:r>
    </w:p>
    <w:p w14:paraId="6354C856" w14:textId="77777777" w:rsidR="001B7699" w:rsidRPr="0063119B" w:rsidRDefault="001B7699" w:rsidP="0067053F">
      <w:pPr>
        <w:keepNext/>
        <w:keepLines/>
        <w:rPr>
          <w:noProof/>
          <w:szCs w:val="22"/>
        </w:rPr>
      </w:pPr>
      <w:r w:rsidRPr="0063119B">
        <w:rPr>
          <w:noProof/>
          <w:szCs w:val="22"/>
        </w:rPr>
        <w:t>Os extremos no peso corporal (&lt; 50 kg ou &gt; 120 kg) tiveram apenas uma pequena influência sobre as concentrações plasmáticas do rivaroxabano (menos de 25%). Não são necessários ajustes posológicos.</w:t>
      </w:r>
    </w:p>
    <w:p w14:paraId="46967FD5" w14:textId="77777777" w:rsidR="001B7699" w:rsidRPr="0063119B" w:rsidRDefault="001B7699" w:rsidP="001B7699">
      <w:pPr>
        <w:rPr>
          <w:i/>
          <w:noProof/>
          <w:szCs w:val="22"/>
          <w:u w:val="single"/>
        </w:rPr>
      </w:pPr>
    </w:p>
    <w:p w14:paraId="16B2DA22" w14:textId="77777777" w:rsidR="001B7699" w:rsidRPr="0063119B" w:rsidRDefault="001B7699" w:rsidP="001B7699">
      <w:pPr>
        <w:rPr>
          <w:i/>
          <w:noProof/>
          <w:szCs w:val="22"/>
        </w:rPr>
      </w:pPr>
      <w:r w:rsidRPr="0063119B">
        <w:rPr>
          <w:i/>
          <w:noProof/>
          <w:szCs w:val="22"/>
        </w:rPr>
        <w:t>Diferenças interétnicas</w:t>
      </w:r>
    </w:p>
    <w:p w14:paraId="66671654" w14:textId="77777777" w:rsidR="001B7699" w:rsidRPr="0063119B" w:rsidRDefault="001B7699" w:rsidP="001B7699">
      <w:pPr>
        <w:rPr>
          <w:noProof/>
          <w:szCs w:val="22"/>
        </w:rPr>
      </w:pPr>
      <w:r w:rsidRPr="0063119B">
        <w:rPr>
          <w:noProof/>
          <w:szCs w:val="22"/>
        </w:rPr>
        <w:lastRenderedPageBreak/>
        <w:t>Não foram observadas diferenças interétnicas clinicamente relevantes em relação à farmacocinética e farmacodinâmica</w:t>
      </w:r>
      <w:r w:rsidR="00E2355A" w:rsidRPr="0063119B">
        <w:rPr>
          <w:noProof/>
          <w:szCs w:val="22"/>
        </w:rPr>
        <w:t xml:space="preserve"> do rivaroxabano</w:t>
      </w:r>
      <w:r w:rsidRPr="0063119B">
        <w:rPr>
          <w:noProof/>
          <w:szCs w:val="22"/>
        </w:rPr>
        <w:t>, entre os doentes Caucasianos, Afro</w:t>
      </w:r>
      <w:r w:rsidRPr="0063119B">
        <w:rPr>
          <w:noProof/>
          <w:szCs w:val="22"/>
        </w:rPr>
        <w:noBreakHyphen/>
        <w:t>Americanos, Hispânicos, Japoneses ou Chineses.</w:t>
      </w:r>
    </w:p>
    <w:p w14:paraId="1BD07567" w14:textId="77777777" w:rsidR="001B7699" w:rsidRPr="0063119B" w:rsidRDefault="001B7699" w:rsidP="001B7699">
      <w:pPr>
        <w:rPr>
          <w:noProof/>
          <w:szCs w:val="22"/>
        </w:rPr>
      </w:pPr>
    </w:p>
    <w:p w14:paraId="27349E93" w14:textId="77777777" w:rsidR="001B7699" w:rsidRPr="0063119B" w:rsidRDefault="0054678E" w:rsidP="003311FD">
      <w:pPr>
        <w:keepNext/>
        <w:rPr>
          <w:noProof/>
          <w:szCs w:val="22"/>
        </w:rPr>
      </w:pPr>
      <w:r w:rsidRPr="0063119B">
        <w:rPr>
          <w:i/>
          <w:noProof/>
          <w:szCs w:val="22"/>
        </w:rPr>
        <w:t>Compromisso</w:t>
      </w:r>
      <w:r w:rsidR="001B7699" w:rsidRPr="0063119B">
        <w:rPr>
          <w:i/>
          <w:noProof/>
          <w:szCs w:val="22"/>
        </w:rPr>
        <w:t xml:space="preserve"> hepátic</w:t>
      </w:r>
      <w:r w:rsidRPr="0063119B">
        <w:rPr>
          <w:i/>
          <w:noProof/>
          <w:szCs w:val="22"/>
        </w:rPr>
        <w:t>o</w:t>
      </w:r>
    </w:p>
    <w:p w14:paraId="28B4430C" w14:textId="77777777" w:rsidR="001B7699" w:rsidRPr="0063119B" w:rsidRDefault="001B7699" w:rsidP="001B7699">
      <w:pPr>
        <w:rPr>
          <w:noProof/>
          <w:szCs w:val="22"/>
        </w:rPr>
      </w:pPr>
      <w:r w:rsidRPr="0063119B">
        <w:rPr>
          <w:noProof/>
          <w:szCs w:val="22"/>
        </w:rPr>
        <w:t xml:space="preserve">Os doentes com cirrose e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ligeir</w:t>
      </w:r>
      <w:r w:rsidR="0054678E" w:rsidRPr="0063119B">
        <w:rPr>
          <w:noProof/>
          <w:szCs w:val="22"/>
        </w:rPr>
        <w:t>o</w:t>
      </w:r>
      <w:r w:rsidRPr="0063119B">
        <w:rPr>
          <w:noProof/>
          <w:szCs w:val="22"/>
        </w:rPr>
        <w:t xml:space="preserve"> (classificados como Child Pugh A) apresentaram, apenas, pequenas alterações na farmacocinética do rivaroxabano (aumento de 1,2 vezes da AUC do rivaroxabano, em média), quase comparável ao grupo controlo saudável correspondente. Em doentes com cirrose e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moderad</w:t>
      </w:r>
      <w:r w:rsidR="0054678E" w:rsidRPr="0063119B">
        <w:rPr>
          <w:noProof/>
          <w:szCs w:val="22"/>
        </w:rPr>
        <w:t>o</w:t>
      </w:r>
      <w:r w:rsidRPr="0063119B">
        <w:rPr>
          <w:noProof/>
          <w:szCs w:val="22"/>
        </w:rPr>
        <w:t xml:space="preserve"> (classificados como Child Pugh B), a média da AUC do rivaroxabano foi significativamente aumentada em 2,3 vezes, em comparação com voluntários saudáveis. A AUC não ligada aumentou 2,6 vezes. Estes doentes tiveram também diminuição da eliminação renal do rivaroxabano, semelhante aos doentes com compromisso renal moderado. Não existem dados em doentes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grave.</w:t>
      </w:r>
    </w:p>
    <w:p w14:paraId="267CEE70" w14:textId="77777777" w:rsidR="001B7699" w:rsidRPr="0063119B" w:rsidRDefault="001B7699" w:rsidP="001B7699">
      <w:pPr>
        <w:rPr>
          <w:noProof/>
          <w:szCs w:val="22"/>
        </w:rPr>
      </w:pPr>
      <w:r w:rsidRPr="0063119B">
        <w:rPr>
          <w:noProof/>
          <w:szCs w:val="22"/>
        </w:rPr>
        <w:t xml:space="preserve">A inibição da atividade do </w:t>
      </w:r>
      <w:r w:rsidR="00C26A5B" w:rsidRPr="0063119B">
        <w:rPr>
          <w:noProof/>
          <w:szCs w:val="22"/>
        </w:rPr>
        <w:t>f</w:t>
      </w:r>
      <w:r w:rsidRPr="0063119B">
        <w:rPr>
          <w:noProof/>
          <w:szCs w:val="22"/>
        </w:rPr>
        <w:t>ator</w:t>
      </w:r>
      <w:r w:rsidR="00C26A5B" w:rsidRPr="0063119B">
        <w:rPr>
          <w:noProof/>
          <w:szCs w:val="22"/>
        </w:rPr>
        <w:t> </w:t>
      </w:r>
      <w:r w:rsidRPr="0063119B">
        <w:rPr>
          <w:noProof/>
          <w:szCs w:val="22"/>
        </w:rPr>
        <w:t xml:space="preserve">Xa aumentou de um fator de 2,6 em doentes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moderad</w:t>
      </w:r>
      <w:r w:rsidR="0054678E" w:rsidRPr="0063119B">
        <w:rPr>
          <w:noProof/>
          <w:szCs w:val="22"/>
        </w:rPr>
        <w:t>o</w:t>
      </w:r>
      <w:r w:rsidRPr="0063119B">
        <w:rPr>
          <w:noProof/>
          <w:szCs w:val="22"/>
        </w:rPr>
        <w:t xml:space="preserve"> em comparação com voluntários saudáveis; de forma semelhante, o prolongamento do TP aumentou de um fator de 2,1. Doentes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moderad</w:t>
      </w:r>
      <w:r w:rsidR="0054678E" w:rsidRPr="0063119B">
        <w:rPr>
          <w:noProof/>
          <w:szCs w:val="22"/>
        </w:rPr>
        <w:t>o</w:t>
      </w:r>
      <w:r w:rsidRPr="0063119B">
        <w:rPr>
          <w:noProof/>
          <w:szCs w:val="22"/>
        </w:rPr>
        <w:t xml:space="preserve"> foram mais sensíveis ao rivaroxabano resultando numa relação farmacocinética/farmacodinâmica mais acentuada entre a concentração e o TP.</w:t>
      </w:r>
    </w:p>
    <w:p w14:paraId="21D418AE" w14:textId="77777777" w:rsidR="001B7699" w:rsidRPr="0063119B" w:rsidRDefault="00C64A09" w:rsidP="001B7699">
      <w:pPr>
        <w:rPr>
          <w:noProof/>
          <w:szCs w:val="22"/>
        </w:rPr>
      </w:pPr>
      <w:r w:rsidRPr="0063119B">
        <w:rPr>
          <w:noProof/>
          <w:szCs w:val="22"/>
        </w:rPr>
        <w:t>O rivaroxabano é</w:t>
      </w:r>
      <w:r w:rsidR="001B7699" w:rsidRPr="0063119B">
        <w:rPr>
          <w:noProof/>
          <w:szCs w:val="22"/>
        </w:rPr>
        <w:t xml:space="preserve"> contraindicado em doentes com doença hepática associada a coagulopatia e risco de hemorragia clinicamente relevante, incluindo doentes com cirrose com Child Pugh B e C (ver secção 4.3).</w:t>
      </w:r>
    </w:p>
    <w:p w14:paraId="60C38474" w14:textId="77777777" w:rsidR="001B7699" w:rsidRPr="0063119B" w:rsidRDefault="001B7699" w:rsidP="001B7699">
      <w:pPr>
        <w:rPr>
          <w:i/>
          <w:noProof/>
          <w:szCs w:val="22"/>
          <w:u w:val="single"/>
        </w:rPr>
      </w:pPr>
    </w:p>
    <w:p w14:paraId="47BD4DA7" w14:textId="77777777" w:rsidR="001B7699" w:rsidRPr="0063119B" w:rsidRDefault="001B7699" w:rsidP="001B7699">
      <w:pPr>
        <w:keepNext/>
        <w:rPr>
          <w:i/>
          <w:noProof/>
          <w:szCs w:val="22"/>
        </w:rPr>
      </w:pPr>
      <w:r w:rsidRPr="0063119B">
        <w:rPr>
          <w:i/>
          <w:noProof/>
          <w:szCs w:val="22"/>
        </w:rPr>
        <w:t>Compromisso renal</w:t>
      </w:r>
    </w:p>
    <w:p w14:paraId="4458CEA4" w14:textId="77777777" w:rsidR="001B7699" w:rsidRPr="0063119B" w:rsidRDefault="001B7699" w:rsidP="001B7699">
      <w:pPr>
        <w:keepNext/>
        <w:rPr>
          <w:noProof/>
          <w:szCs w:val="22"/>
        </w:rPr>
      </w:pPr>
      <w:r w:rsidRPr="0063119B">
        <w:rPr>
          <w:noProof/>
          <w:szCs w:val="22"/>
        </w:rPr>
        <w:t>Verificou</w:t>
      </w:r>
      <w:r w:rsidRPr="0063119B">
        <w:rPr>
          <w:noProof/>
          <w:szCs w:val="22"/>
        </w:rPr>
        <w:noBreakHyphen/>
        <w:t>se um aumento da exposição a rivaroxabano correlacionado com a diminuição da função renal, avaliada através das determinações da taxa de depuração da creatinina. Nos indivíduos com compromisso renal ligeiro (taxa de depuração da creatinina de 50 </w:t>
      </w:r>
      <w:r w:rsidRPr="0063119B">
        <w:rPr>
          <w:noProof/>
          <w:szCs w:val="22"/>
        </w:rPr>
        <w:noBreakHyphen/>
        <w:t> 80 ml/min), moderado (taxa de depuração da creatinina 30 </w:t>
      </w:r>
      <w:r w:rsidRPr="0063119B">
        <w:rPr>
          <w:noProof/>
          <w:szCs w:val="22"/>
        </w:rPr>
        <w:noBreakHyphen/>
        <w:t> 49 ml/min) e grave (taxa de depuração da creatinina 15 </w:t>
      </w:r>
      <w:r w:rsidRPr="0063119B">
        <w:rPr>
          <w:noProof/>
          <w:szCs w:val="22"/>
        </w:rPr>
        <w:noBreakHyphen/>
        <w:t xml:space="preserve"> 29 ml/min), as concentrações plasmáticas (AUC) de rivaroxabano aumentaram 1,4, 1,5 e 1,6 vezes, respetivamente. Os aumentos correspondentes nos efeitos farmacodinâmicos foram mais acentuados. Em indivíduos com compromisso renal ligeiro, moderado e grave a inibição total da atividade do </w:t>
      </w:r>
      <w:r w:rsidR="00C26A5B" w:rsidRPr="0063119B">
        <w:rPr>
          <w:noProof/>
          <w:szCs w:val="22"/>
        </w:rPr>
        <w:t>f</w:t>
      </w:r>
      <w:r w:rsidRPr="0063119B">
        <w:rPr>
          <w:noProof/>
          <w:szCs w:val="22"/>
        </w:rPr>
        <w:t>ator</w:t>
      </w:r>
      <w:r w:rsidR="00C26A5B" w:rsidRPr="0063119B">
        <w:rPr>
          <w:noProof/>
          <w:szCs w:val="22"/>
        </w:rPr>
        <w:t> </w:t>
      </w:r>
      <w:r w:rsidRPr="0063119B">
        <w:rPr>
          <w:noProof/>
          <w:szCs w:val="22"/>
        </w:rPr>
        <w:t>Xa aumentou por um fator de 1,5, 1,9 e 2,0, respetivamente, em comparação com voluntários saudáveis; o prolongamento do TP aumentou, de forma semelhante, por um fator de 1,3, 2,2 e 2,4 respetivamente. Não existem dados em doentes com uma taxa de depuração de creatinina &lt; 15 ml/min.</w:t>
      </w:r>
    </w:p>
    <w:p w14:paraId="1DFC54A7" w14:textId="77777777" w:rsidR="001B7699" w:rsidRPr="0063119B" w:rsidRDefault="001B7699" w:rsidP="001B7699">
      <w:pPr>
        <w:rPr>
          <w:noProof/>
          <w:szCs w:val="22"/>
        </w:rPr>
      </w:pPr>
      <w:r w:rsidRPr="0063119B">
        <w:rPr>
          <w:noProof/>
          <w:szCs w:val="22"/>
        </w:rPr>
        <w:t>Devido à elevada ligação às proteínas plasmáticas, não se espera que o rivaroxabano seja dialisável.</w:t>
      </w:r>
    </w:p>
    <w:p w14:paraId="744853CC" w14:textId="77777777" w:rsidR="001B7699" w:rsidRPr="0063119B" w:rsidRDefault="001B7699" w:rsidP="001B7699">
      <w:pPr>
        <w:rPr>
          <w:noProof/>
          <w:szCs w:val="22"/>
        </w:rPr>
      </w:pPr>
      <w:r w:rsidRPr="0063119B">
        <w:rPr>
          <w:noProof/>
          <w:szCs w:val="22"/>
        </w:rPr>
        <w:t xml:space="preserve">A utilização não é recomendada em doentes com uma taxa de depuração de creatinina &lt; 15 ml/min. </w:t>
      </w:r>
      <w:r w:rsidR="00C64A09" w:rsidRPr="0063119B">
        <w:rPr>
          <w:noProof/>
          <w:szCs w:val="22"/>
        </w:rPr>
        <w:t xml:space="preserve">O rivaroxabano </w:t>
      </w:r>
      <w:r w:rsidRPr="0063119B">
        <w:rPr>
          <w:noProof/>
          <w:szCs w:val="22"/>
        </w:rPr>
        <w:t>deve ser u</w:t>
      </w:r>
      <w:r w:rsidR="00C64A09" w:rsidRPr="0063119B">
        <w:rPr>
          <w:noProof/>
          <w:szCs w:val="22"/>
        </w:rPr>
        <w:t>tiliz</w:t>
      </w:r>
      <w:r w:rsidRPr="0063119B">
        <w:rPr>
          <w:noProof/>
          <w:szCs w:val="22"/>
        </w:rPr>
        <w:t>ado com precaução em doentes com uma taxa de depuração de creatinina entre 15 </w:t>
      </w:r>
      <w:r w:rsidRPr="0063119B">
        <w:rPr>
          <w:noProof/>
          <w:szCs w:val="22"/>
        </w:rPr>
        <w:noBreakHyphen/>
        <w:t> 29 ml/min (ver secção 4.4).</w:t>
      </w:r>
    </w:p>
    <w:p w14:paraId="15C39DBE" w14:textId="77777777" w:rsidR="001B7699" w:rsidRPr="0063119B" w:rsidRDefault="001B7699" w:rsidP="001B7699">
      <w:pPr>
        <w:rPr>
          <w:noProof/>
          <w:szCs w:val="22"/>
        </w:rPr>
      </w:pPr>
    </w:p>
    <w:p w14:paraId="0C873368" w14:textId="77777777" w:rsidR="001B7699" w:rsidRPr="0063119B" w:rsidRDefault="001B7699" w:rsidP="001B7699">
      <w:pPr>
        <w:rPr>
          <w:szCs w:val="22"/>
        </w:rPr>
      </w:pPr>
      <w:r w:rsidRPr="0063119B">
        <w:rPr>
          <w:szCs w:val="22"/>
          <w:u w:val="single"/>
        </w:rPr>
        <w:t>Dados farmacocinéticos em doentes</w:t>
      </w:r>
    </w:p>
    <w:p w14:paraId="39CBC4CB" w14:textId="77777777" w:rsidR="001B7699" w:rsidRPr="0063119B" w:rsidRDefault="001B7699" w:rsidP="001B7699">
      <w:pPr>
        <w:rPr>
          <w:szCs w:val="22"/>
        </w:rPr>
      </w:pPr>
      <w:r w:rsidRPr="0063119B">
        <w:rPr>
          <w:szCs w:val="22"/>
        </w:rPr>
        <w:t xml:space="preserve">Nos doentes tratados com 2,5 mg de rivaroxabano duas vezes ao dia, para a prevenção de acontecimentos </w:t>
      </w:r>
      <w:r w:rsidRPr="0063119B">
        <w:rPr>
          <w:noProof/>
          <w:szCs w:val="22"/>
        </w:rPr>
        <w:t xml:space="preserve">aterotrombóticos </w:t>
      </w:r>
      <w:r w:rsidRPr="0063119B">
        <w:rPr>
          <w:szCs w:val="22"/>
        </w:rPr>
        <w:t>em doentes com SCA, a concentração média geométrica (intervalo de previsão de 90%), 2 </w:t>
      </w:r>
      <w:r w:rsidR="000E46B1" w:rsidRPr="0063119B">
        <w:rPr>
          <w:szCs w:val="22"/>
        </w:rPr>
        <w:t>-</w:t>
      </w:r>
      <w:r w:rsidRPr="0063119B">
        <w:rPr>
          <w:szCs w:val="22"/>
        </w:rPr>
        <w:t xml:space="preserve"> 4 h e cerca de 12 h após a dose (representando, aproximadamente, concentrações máximas e mínimas durante o intervalo de doses) foi de 47 </w:t>
      </w:r>
      <w:r w:rsidRPr="0063119B">
        <w:rPr>
          <w:rFonts w:eastAsia="MS Mincho"/>
          <w:szCs w:val="22"/>
        </w:rPr>
        <w:t>(13</w:t>
      </w:r>
      <w:r w:rsidRPr="0063119B">
        <w:rPr>
          <w:noProof/>
          <w:szCs w:val="22"/>
        </w:rPr>
        <w:t> </w:t>
      </w:r>
      <w:r w:rsidRPr="0063119B">
        <w:rPr>
          <w:noProof/>
          <w:szCs w:val="22"/>
        </w:rPr>
        <w:noBreakHyphen/>
        <w:t> </w:t>
      </w:r>
      <w:r w:rsidRPr="0063119B">
        <w:rPr>
          <w:rFonts w:eastAsia="MS Mincho"/>
          <w:szCs w:val="22"/>
        </w:rPr>
        <w:t>123</w:t>
      </w:r>
      <w:r w:rsidRPr="0063119B">
        <w:rPr>
          <w:szCs w:val="22"/>
        </w:rPr>
        <w:t>) e de 9,2 (4,4</w:t>
      </w:r>
      <w:r w:rsidRPr="0063119B">
        <w:rPr>
          <w:noProof/>
          <w:szCs w:val="22"/>
        </w:rPr>
        <w:t> </w:t>
      </w:r>
      <w:r w:rsidRPr="0063119B">
        <w:rPr>
          <w:noProof/>
          <w:szCs w:val="22"/>
        </w:rPr>
        <w:noBreakHyphen/>
        <w:t> 18</w:t>
      </w:r>
      <w:r w:rsidRPr="0063119B">
        <w:rPr>
          <w:szCs w:val="22"/>
        </w:rPr>
        <w:t>) </w:t>
      </w:r>
      <w:r w:rsidR="001A0F83" w:rsidRPr="0063119B">
        <w:rPr>
          <w:szCs w:val="22"/>
        </w:rPr>
        <w:t>mcg</w:t>
      </w:r>
      <w:r w:rsidRPr="0063119B">
        <w:rPr>
          <w:szCs w:val="22"/>
        </w:rPr>
        <w:t>/l, respetivamente.</w:t>
      </w:r>
    </w:p>
    <w:p w14:paraId="5949796F" w14:textId="77777777" w:rsidR="001B7699" w:rsidRPr="0063119B" w:rsidRDefault="001B7699" w:rsidP="001B7699">
      <w:pPr>
        <w:suppressAutoHyphens/>
        <w:ind w:left="567" w:hanging="567"/>
        <w:rPr>
          <w:noProof/>
          <w:szCs w:val="22"/>
          <w:u w:val="single"/>
        </w:rPr>
      </w:pPr>
    </w:p>
    <w:p w14:paraId="72C4816B" w14:textId="77777777" w:rsidR="001B7699" w:rsidRPr="0063119B" w:rsidRDefault="001B7699" w:rsidP="001B7699">
      <w:pPr>
        <w:suppressAutoHyphens/>
        <w:ind w:left="567" w:hanging="567"/>
        <w:rPr>
          <w:noProof/>
          <w:szCs w:val="22"/>
          <w:u w:val="single"/>
        </w:rPr>
      </w:pPr>
      <w:r w:rsidRPr="0063119B">
        <w:rPr>
          <w:noProof/>
          <w:szCs w:val="22"/>
          <w:u w:val="single"/>
        </w:rPr>
        <w:t>Relação farmacocinética/farmacodinâmica</w:t>
      </w:r>
    </w:p>
    <w:p w14:paraId="77A5EDDD" w14:textId="77777777" w:rsidR="001B7699" w:rsidRPr="0063119B" w:rsidRDefault="001B7699" w:rsidP="001B7699">
      <w:pPr>
        <w:suppressAutoHyphens/>
        <w:rPr>
          <w:noProof/>
          <w:szCs w:val="22"/>
        </w:rPr>
      </w:pPr>
      <w:r w:rsidRPr="0063119B">
        <w:rPr>
          <w:noProof/>
          <w:szCs w:val="22"/>
        </w:rPr>
        <w:t xml:space="preserve">A relação farmacocinética/farmacodinâmica (PK/PD) entre a concentração plasmática de rivaroxabano e os diversos </w:t>
      </w:r>
      <w:r w:rsidRPr="0063119B">
        <w:rPr>
          <w:i/>
          <w:noProof/>
          <w:szCs w:val="22"/>
        </w:rPr>
        <w:t>endpoints</w:t>
      </w:r>
      <w:r w:rsidRPr="0063119B">
        <w:rPr>
          <w:noProof/>
          <w:szCs w:val="22"/>
        </w:rPr>
        <w:t xml:space="preserve"> farmacodinâmicos (inibição do </w:t>
      </w:r>
      <w:r w:rsidR="00C26A5B" w:rsidRPr="0063119B">
        <w:rPr>
          <w:noProof/>
          <w:szCs w:val="22"/>
        </w:rPr>
        <w:t>f</w:t>
      </w:r>
      <w:r w:rsidRPr="0063119B">
        <w:rPr>
          <w:noProof/>
          <w:szCs w:val="22"/>
        </w:rPr>
        <w:t>ator</w:t>
      </w:r>
      <w:r w:rsidR="00C26A5B" w:rsidRPr="0063119B">
        <w:rPr>
          <w:noProof/>
          <w:szCs w:val="22"/>
        </w:rPr>
        <w:t> </w:t>
      </w:r>
      <w:r w:rsidRPr="0063119B">
        <w:rPr>
          <w:noProof/>
          <w:szCs w:val="22"/>
        </w:rPr>
        <w:t>Xa, TP, aPTT, Heptest) têm sido avaliados após a administração de um amplo intervalo de doses (5 </w:t>
      </w:r>
      <w:r w:rsidRPr="0063119B">
        <w:rPr>
          <w:noProof/>
          <w:szCs w:val="22"/>
        </w:rPr>
        <w:noBreakHyphen/>
        <w:t xml:space="preserve"> 30 mg duas vezes ao dia). A relação entre a concentração de rivaroxabano e a atividade do </w:t>
      </w:r>
      <w:r w:rsidR="00C26A5B" w:rsidRPr="0063119B">
        <w:rPr>
          <w:noProof/>
          <w:szCs w:val="22"/>
        </w:rPr>
        <w:t>f</w:t>
      </w:r>
      <w:r w:rsidRPr="0063119B">
        <w:rPr>
          <w:noProof/>
          <w:szCs w:val="22"/>
        </w:rPr>
        <w:t>ator</w:t>
      </w:r>
      <w:r w:rsidR="00C26A5B" w:rsidRPr="0063119B">
        <w:rPr>
          <w:noProof/>
          <w:szCs w:val="22"/>
        </w:rPr>
        <w:t> </w:t>
      </w:r>
      <w:r w:rsidRPr="0063119B">
        <w:rPr>
          <w:noProof/>
          <w:szCs w:val="22"/>
        </w:rPr>
        <w:t>Xa foi melhor descrita por um modelo E</w:t>
      </w:r>
      <w:r w:rsidRPr="0063119B">
        <w:rPr>
          <w:noProof/>
          <w:szCs w:val="22"/>
          <w:vertAlign w:val="subscript"/>
        </w:rPr>
        <w:t>max</w:t>
      </w:r>
      <w:r w:rsidRPr="0063119B">
        <w:rPr>
          <w:noProof/>
          <w:szCs w:val="22"/>
        </w:rPr>
        <w:t>. Para TP, os dados são, geralmente, melhor descritos pelo modelo de interseção linear. Dependendo dos diferentes reagentes TP utilizados, o declive diferiu consideravelmente. Quando foi utilizado o TP da Neoplastin, o TP no estado basal foi de cerca de 13 seg. e o declive foi de 3 a 4 seg.</w:t>
      </w:r>
      <w:r w:rsidR="0088302B" w:rsidRPr="0063119B">
        <w:rPr>
          <w:noProof/>
          <w:szCs w:val="22"/>
        </w:rPr>
        <w:t> / </w:t>
      </w:r>
      <w:r w:rsidRPr="0063119B">
        <w:rPr>
          <w:noProof/>
          <w:szCs w:val="22"/>
        </w:rPr>
        <w:t>(100 </w:t>
      </w:r>
      <w:r w:rsidR="001A0F83" w:rsidRPr="0063119B">
        <w:rPr>
          <w:noProof/>
          <w:szCs w:val="22"/>
        </w:rPr>
        <w:t>mcg</w:t>
      </w:r>
      <w:r w:rsidRPr="0063119B">
        <w:rPr>
          <w:noProof/>
          <w:szCs w:val="22"/>
        </w:rPr>
        <w:t>/l). Os resultados das análises PK/PD na Fase II e III foram consistentes com os dados estabelecidos nos indivíduos saudáveis.</w:t>
      </w:r>
    </w:p>
    <w:p w14:paraId="33A32B33" w14:textId="77777777" w:rsidR="001B7699" w:rsidRPr="0063119B" w:rsidRDefault="001B7699" w:rsidP="001B7699">
      <w:pPr>
        <w:suppressAutoHyphens/>
        <w:rPr>
          <w:noProof/>
          <w:szCs w:val="22"/>
        </w:rPr>
      </w:pPr>
    </w:p>
    <w:p w14:paraId="15BD1D5F" w14:textId="77777777" w:rsidR="001B7699" w:rsidRPr="0063119B" w:rsidRDefault="001B7699" w:rsidP="001B7699">
      <w:pPr>
        <w:suppressAutoHyphens/>
        <w:rPr>
          <w:noProof/>
          <w:szCs w:val="22"/>
        </w:rPr>
      </w:pPr>
      <w:r w:rsidRPr="0063119B">
        <w:rPr>
          <w:noProof/>
          <w:szCs w:val="22"/>
          <w:u w:val="single"/>
        </w:rPr>
        <w:t>População pediátrica</w:t>
      </w:r>
    </w:p>
    <w:p w14:paraId="131C70D3" w14:textId="77777777" w:rsidR="001B7699" w:rsidRPr="0063119B" w:rsidRDefault="001B7699" w:rsidP="001B7699">
      <w:pPr>
        <w:suppressAutoHyphens/>
        <w:rPr>
          <w:szCs w:val="22"/>
        </w:rPr>
      </w:pPr>
      <w:r w:rsidRPr="0063119B">
        <w:rPr>
          <w:noProof/>
          <w:szCs w:val="22"/>
        </w:rPr>
        <w:lastRenderedPageBreak/>
        <w:t>A segurança e eficácia em crianças e adolescentes até aos 18 </w:t>
      </w:r>
      <w:r w:rsidRPr="0063119B">
        <w:rPr>
          <w:szCs w:val="22"/>
        </w:rPr>
        <w:t>anos de idade não foramestabelecidas</w:t>
      </w:r>
      <w:r w:rsidR="00543FE2">
        <w:rPr>
          <w:szCs w:val="22"/>
        </w:rPr>
        <w:t xml:space="preserve"> nas indicações SCA e DAC/DAP</w:t>
      </w:r>
      <w:r w:rsidRPr="0063119B">
        <w:rPr>
          <w:szCs w:val="22"/>
        </w:rPr>
        <w:t>.</w:t>
      </w:r>
    </w:p>
    <w:p w14:paraId="452101AE" w14:textId="77777777" w:rsidR="001B7699" w:rsidRPr="0063119B" w:rsidRDefault="001B7699" w:rsidP="001B7699">
      <w:pPr>
        <w:suppressAutoHyphens/>
        <w:rPr>
          <w:szCs w:val="22"/>
        </w:rPr>
      </w:pPr>
    </w:p>
    <w:p w14:paraId="1E4A3E70" w14:textId="77777777" w:rsidR="001B7699" w:rsidRPr="0063119B" w:rsidRDefault="001B7699" w:rsidP="001B7699">
      <w:pPr>
        <w:keepNext/>
        <w:suppressAutoHyphens/>
        <w:ind w:left="567" w:hanging="567"/>
        <w:rPr>
          <w:b/>
          <w:noProof/>
          <w:szCs w:val="22"/>
        </w:rPr>
      </w:pPr>
      <w:r w:rsidRPr="0063119B">
        <w:rPr>
          <w:b/>
          <w:noProof/>
          <w:szCs w:val="22"/>
        </w:rPr>
        <w:t>5.3</w:t>
      </w:r>
      <w:r w:rsidRPr="0063119B">
        <w:rPr>
          <w:b/>
          <w:noProof/>
          <w:szCs w:val="22"/>
        </w:rPr>
        <w:tab/>
        <w:t>Dados de segurança pré</w:t>
      </w:r>
      <w:r w:rsidRPr="0063119B">
        <w:rPr>
          <w:b/>
          <w:noProof/>
          <w:szCs w:val="22"/>
        </w:rPr>
        <w:noBreakHyphen/>
        <w:t>clínica</w:t>
      </w:r>
    </w:p>
    <w:p w14:paraId="214A1A71" w14:textId="77777777" w:rsidR="001B7699" w:rsidRPr="0063119B" w:rsidRDefault="001B7699" w:rsidP="001B7699">
      <w:pPr>
        <w:keepNext/>
        <w:rPr>
          <w:noProof/>
          <w:szCs w:val="22"/>
        </w:rPr>
      </w:pPr>
    </w:p>
    <w:p w14:paraId="32E52D07" w14:textId="77777777" w:rsidR="001B7699" w:rsidRPr="0063119B" w:rsidRDefault="001B7699" w:rsidP="001B7699">
      <w:pPr>
        <w:keepNext/>
        <w:rPr>
          <w:noProof/>
          <w:szCs w:val="22"/>
        </w:rPr>
      </w:pPr>
      <w:r w:rsidRPr="0063119B">
        <w:rPr>
          <w:noProof/>
          <w:szCs w:val="22"/>
        </w:rPr>
        <w:t>Os dados não clínicos não revelam riscos especiais para o ser humano, segundo estudos convencionais de farmacologia de segurança, toxicidade de dose única, fototoxicidade, genotoxicidade, potencial carcinogénico e toxicidade juvenil.</w:t>
      </w:r>
    </w:p>
    <w:p w14:paraId="1CFD466D" w14:textId="77777777" w:rsidR="001B7699" w:rsidRPr="0063119B" w:rsidRDefault="001B7699" w:rsidP="001B7699">
      <w:pPr>
        <w:rPr>
          <w:noProof/>
          <w:szCs w:val="22"/>
        </w:rPr>
      </w:pPr>
      <w:r w:rsidRPr="0063119B">
        <w:rPr>
          <w:noProof/>
          <w:szCs w:val="22"/>
        </w:rPr>
        <w:t>Os efeitos observados em estudos de toxicidade de dose repetida foram devidos principalmente à atividade farmacodinâmica exagerada do rivaroxabano. Nos ratos, o aumento dos níveis plasmáticos de IgG e IgA foram observados em níveis de exposição clinicamente relevantes.</w:t>
      </w:r>
    </w:p>
    <w:p w14:paraId="3B83981E" w14:textId="77777777" w:rsidR="001B7699" w:rsidRPr="0063119B" w:rsidRDefault="001B7699" w:rsidP="001B7699">
      <w:pPr>
        <w:rPr>
          <w:noProof/>
          <w:szCs w:val="22"/>
        </w:rPr>
      </w:pPr>
      <w:r w:rsidRPr="0063119B">
        <w:rPr>
          <w:noProof/>
          <w:szCs w:val="22"/>
        </w:rPr>
        <w:t>Não foi observado nenhum efeito sobre a fertilidade masculina ou feminina em ratos. Os estudos em animais demonstraram toxicidade reprodutiva relacionada com o modo de ação farmacológico de rivaroxabano (ex.: complicações hemorrágicas). Em concentrações plasmáticas clinicamente relevantes foram observados toxicidade embrio</w:t>
      </w:r>
      <w:r w:rsidRPr="0063119B">
        <w:rPr>
          <w:noProof/>
          <w:szCs w:val="22"/>
        </w:rPr>
        <w:noBreakHyphen/>
        <w:t>fetal (perda pós</w:t>
      </w:r>
      <w:r w:rsidRPr="0063119B">
        <w:rPr>
          <w:noProof/>
          <w:szCs w:val="22"/>
        </w:rPr>
        <w:noBreakHyphen/>
        <w:t>implantação, ossificação retardada/desenvolvida, múltiplas manchas hepáticas de cor clara) e um aumento da incidência de malformações frequentes, bem como alterações placentárias. No estudo pré</w:t>
      </w:r>
      <w:r w:rsidRPr="0063119B">
        <w:rPr>
          <w:noProof/>
          <w:szCs w:val="22"/>
        </w:rPr>
        <w:noBreakHyphen/>
        <w:t xml:space="preserve"> e pós</w:t>
      </w:r>
      <w:r w:rsidRPr="0063119B">
        <w:rPr>
          <w:noProof/>
          <w:szCs w:val="22"/>
        </w:rPr>
        <w:noBreakHyphen/>
        <w:t>natal em ratos, observou</w:t>
      </w:r>
      <w:r w:rsidRPr="0063119B">
        <w:rPr>
          <w:noProof/>
          <w:szCs w:val="22"/>
        </w:rPr>
        <w:noBreakHyphen/>
        <w:t>se redução da viabilidade da descendência em doses que foram tóxicas para as mães.</w:t>
      </w:r>
    </w:p>
    <w:p w14:paraId="426F8C8B" w14:textId="77777777" w:rsidR="001B7699" w:rsidRPr="0063119B" w:rsidRDefault="001B7699" w:rsidP="001B7699">
      <w:pPr>
        <w:suppressAutoHyphens/>
        <w:rPr>
          <w:noProof/>
          <w:szCs w:val="22"/>
        </w:rPr>
      </w:pPr>
    </w:p>
    <w:p w14:paraId="4C6F7B93" w14:textId="77777777" w:rsidR="001B7699" w:rsidRPr="0063119B" w:rsidRDefault="001B7699" w:rsidP="001B7699">
      <w:pPr>
        <w:suppressAutoHyphens/>
        <w:ind w:left="567" w:hanging="567"/>
        <w:rPr>
          <w:b/>
          <w:noProof/>
          <w:szCs w:val="22"/>
        </w:rPr>
      </w:pPr>
    </w:p>
    <w:p w14:paraId="6BE49064" w14:textId="77777777" w:rsidR="001B7699" w:rsidRPr="0063119B" w:rsidRDefault="001B7699" w:rsidP="001B7699">
      <w:pPr>
        <w:keepNext/>
        <w:suppressAutoHyphens/>
        <w:ind w:left="567" w:hanging="567"/>
        <w:rPr>
          <w:noProof/>
          <w:szCs w:val="22"/>
        </w:rPr>
      </w:pPr>
      <w:r w:rsidRPr="0063119B">
        <w:rPr>
          <w:b/>
          <w:noProof/>
          <w:szCs w:val="22"/>
        </w:rPr>
        <w:t>6.</w:t>
      </w:r>
      <w:r w:rsidRPr="0063119B">
        <w:rPr>
          <w:b/>
          <w:noProof/>
          <w:szCs w:val="22"/>
        </w:rPr>
        <w:tab/>
        <w:t>INFORMAÇÕES FARMACÊUTICAS</w:t>
      </w:r>
    </w:p>
    <w:p w14:paraId="3A842BF0" w14:textId="77777777" w:rsidR="001B7699" w:rsidRPr="0063119B" w:rsidRDefault="001B7699" w:rsidP="001B7699">
      <w:pPr>
        <w:keepNext/>
        <w:suppressAutoHyphens/>
        <w:rPr>
          <w:noProof/>
          <w:szCs w:val="22"/>
        </w:rPr>
      </w:pPr>
    </w:p>
    <w:p w14:paraId="7B966755" w14:textId="77777777" w:rsidR="001B7699" w:rsidRPr="0063119B" w:rsidRDefault="001B7699" w:rsidP="001B7699">
      <w:pPr>
        <w:keepNext/>
        <w:suppressAutoHyphens/>
        <w:ind w:left="567" w:hanging="567"/>
        <w:rPr>
          <w:noProof/>
          <w:szCs w:val="22"/>
        </w:rPr>
      </w:pPr>
      <w:r w:rsidRPr="0063119B">
        <w:rPr>
          <w:b/>
          <w:noProof/>
          <w:szCs w:val="22"/>
        </w:rPr>
        <w:t>6.1.</w:t>
      </w:r>
      <w:r w:rsidRPr="0063119B">
        <w:rPr>
          <w:b/>
          <w:noProof/>
          <w:szCs w:val="22"/>
        </w:rPr>
        <w:tab/>
        <w:t>Lista dos excipientes</w:t>
      </w:r>
    </w:p>
    <w:p w14:paraId="54071D37" w14:textId="77777777" w:rsidR="001B7699" w:rsidRPr="0063119B" w:rsidRDefault="001B7699" w:rsidP="001B7699">
      <w:pPr>
        <w:keepNext/>
        <w:suppressAutoHyphens/>
        <w:rPr>
          <w:noProof/>
          <w:szCs w:val="22"/>
        </w:rPr>
      </w:pPr>
    </w:p>
    <w:p w14:paraId="2FF8B234" w14:textId="77777777" w:rsidR="001B7699" w:rsidRPr="0063119B" w:rsidRDefault="001B7699" w:rsidP="001B7699">
      <w:pPr>
        <w:keepNext/>
        <w:suppressAutoHyphens/>
        <w:rPr>
          <w:noProof/>
          <w:szCs w:val="22"/>
          <w:u w:val="single"/>
        </w:rPr>
      </w:pPr>
      <w:r w:rsidRPr="0063119B">
        <w:rPr>
          <w:noProof/>
          <w:szCs w:val="22"/>
          <w:u w:val="single"/>
        </w:rPr>
        <w:t>Núcleo do comprimido</w:t>
      </w:r>
    </w:p>
    <w:p w14:paraId="72D94BF4" w14:textId="77777777" w:rsidR="00C64A09" w:rsidRPr="0063119B" w:rsidRDefault="00C64A09" w:rsidP="001B7699">
      <w:pPr>
        <w:keepNext/>
        <w:suppressAutoHyphens/>
        <w:rPr>
          <w:noProof/>
          <w:szCs w:val="22"/>
        </w:rPr>
      </w:pPr>
    </w:p>
    <w:p w14:paraId="1543D265" w14:textId="77777777" w:rsidR="001B7699" w:rsidRPr="0063119B" w:rsidRDefault="001B7699" w:rsidP="001B7699">
      <w:pPr>
        <w:keepNext/>
        <w:suppressAutoHyphens/>
        <w:rPr>
          <w:noProof/>
          <w:szCs w:val="22"/>
        </w:rPr>
      </w:pPr>
      <w:r w:rsidRPr="0063119B">
        <w:rPr>
          <w:noProof/>
          <w:szCs w:val="22"/>
        </w:rPr>
        <w:t>Lactose mono</w:t>
      </w:r>
      <w:r w:rsidR="00CB2D49" w:rsidRPr="0063119B">
        <w:rPr>
          <w:noProof/>
          <w:szCs w:val="22"/>
        </w:rPr>
        <w:t>-</w:t>
      </w:r>
      <w:r w:rsidRPr="0063119B">
        <w:rPr>
          <w:noProof/>
          <w:szCs w:val="22"/>
        </w:rPr>
        <w:t>hidratada</w:t>
      </w:r>
    </w:p>
    <w:p w14:paraId="65EB1ED1" w14:textId="77777777" w:rsidR="00C64A09" w:rsidRPr="0063119B" w:rsidRDefault="00C64A09" w:rsidP="00C64A09">
      <w:pPr>
        <w:keepNext/>
        <w:suppressAutoHyphens/>
        <w:rPr>
          <w:noProof/>
          <w:szCs w:val="22"/>
        </w:rPr>
      </w:pPr>
      <w:r w:rsidRPr="0063119B">
        <w:rPr>
          <w:noProof/>
          <w:szCs w:val="22"/>
        </w:rPr>
        <w:t>Croscarmelose sódica (E468)</w:t>
      </w:r>
    </w:p>
    <w:p w14:paraId="080A25A0" w14:textId="77777777" w:rsidR="00C64A09" w:rsidRPr="0063119B" w:rsidRDefault="00C64A09" w:rsidP="00C64A09">
      <w:pPr>
        <w:keepNext/>
        <w:suppressAutoHyphens/>
        <w:rPr>
          <w:noProof/>
          <w:szCs w:val="22"/>
        </w:rPr>
      </w:pPr>
      <w:r w:rsidRPr="0063119B">
        <w:rPr>
          <w:noProof/>
          <w:szCs w:val="22"/>
        </w:rPr>
        <w:t>Laurilsulfato de sódio (E487)</w:t>
      </w:r>
    </w:p>
    <w:p w14:paraId="08521B9B" w14:textId="77777777" w:rsidR="001B7699" w:rsidRPr="0063119B" w:rsidRDefault="001B7699" w:rsidP="001B7699">
      <w:pPr>
        <w:keepNext/>
        <w:suppressAutoHyphens/>
        <w:rPr>
          <w:noProof/>
          <w:szCs w:val="22"/>
        </w:rPr>
      </w:pPr>
      <w:r w:rsidRPr="0063119B">
        <w:rPr>
          <w:noProof/>
          <w:szCs w:val="22"/>
        </w:rPr>
        <w:t>Hipromelose</w:t>
      </w:r>
      <w:r w:rsidR="0033059D" w:rsidRPr="0063119B">
        <w:rPr>
          <w:noProof/>
          <w:szCs w:val="22"/>
        </w:rPr>
        <w:t xml:space="preserve"> </w:t>
      </w:r>
      <w:r w:rsidR="00C050E0" w:rsidRPr="0063119B">
        <w:rPr>
          <w:noProof/>
          <w:szCs w:val="22"/>
        </w:rPr>
        <w:t xml:space="preserve">2910 </w:t>
      </w:r>
      <w:r w:rsidR="0033059D" w:rsidRPr="0063119B">
        <w:rPr>
          <w:noProof/>
          <w:szCs w:val="22"/>
        </w:rPr>
        <w:t>(viscosidade nominal 5,1 mPa</w:t>
      </w:r>
      <w:r w:rsidR="00E37B71" w:rsidRPr="0063119B">
        <w:rPr>
          <w:noProof/>
          <w:szCs w:val="22"/>
        </w:rPr>
        <w:t>.</w:t>
      </w:r>
      <w:r w:rsidR="0033059D" w:rsidRPr="0063119B">
        <w:rPr>
          <w:noProof/>
          <w:szCs w:val="22"/>
        </w:rPr>
        <w:t>S)</w:t>
      </w:r>
      <w:r w:rsidR="00C64A09" w:rsidRPr="0063119B">
        <w:rPr>
          <w:noProof/>
          <w:szCs w:val="22"/>
        </w:rPr>
        <w:t xml:space="preserve"> (E464)</w:t>
      </w:r>
    </w:p>
    <w:p w14:paraId="50F9D0CA" w14:textId="77777777" w:rsidR="00C64A09" w:rsidRPr="0063119B" w:rsidRDefault="00C64A09" w:rsidP="00C64A09">
      <w:pPr>
        <w:keepNext/>
        <w:suppressAutoHyphens/>
        <w:rPr>
          <w:noProof/>
          <w:szCs w:val="22"/>
        </w:rPr>
      </w:pPr>
      <w:r w:rsidRPr="0063119B">
        <w:rPr>
          <w:noProof/>
          <w:szCs w:val="22"/>
        </w:rPr>
        <w:t>Celulose microcristalina (E460)</w:t>
      </w:r>
    </w:p>
    <w:p w14:paraId="1ACBBA2A" w14:textId="77777777" w:rsidR="00C64A09" w:rsidRPr="0063119B" w:rsidRDefault="00C64A09" w:rsidP="00C64A09">
      <w:pPr>
        <w:keepNext/>
        <w:suppressAutoHyphens/>
        <w:rPr>
          <w:noProof/>
          <w:szCs w:val="22"/>
        </w:rPr>
      </w:pPr>
      <w:r w:rsidRPr="0063119B">
        <w:rPr>
          <w:noProof/>
          <w:szCs w:val="22"/>
        </w:rPr>
        <w:t>Sílica coloidal anidra (E551)</w:t>
      </w:r>
    </w:p>
    <w:p w14:paraId="14B19C80" w14:textId="77777777" w:rsidR="001B7699" w:rsidRPr="0063119B" w:rsidRDefault="001B7699" w:rsidP="001B7699">
      <w:pPr>
        <w:keepNext/>
        <w:suppressAutoHyphens/>
        <w:rPr>
          <w:noProof/>
          <w:szCs w:val="22"/>
        </w:rPr>
      </w:pPr>
      <w:r w:rsidRPr="0063119B">
        <w:rPr>
          <w:noProof/>
          <w:szCs w:val="22"/>
        </w:rPr>
        <w:t>Estearato de magnésio</w:t>
      </w:r>
      <w:r w:rsidR="00C64A09" w:rsidRPr="0063119B">
        <w:rPr>
          <w:noProof/>
          <w:szCs w:val="22"/>
        </w:rPr>
        <w:t xml:space="preserve"> (E572)</w:t>
      </w:r>
    </w:p>
    <w:p w14:paraId="7CCD99A9" w14:textId="77777777" w:rsidR="001B7699" w:rsidRPr="0063119B" w:rsidRDefault="001B7699" w:rsidP="001B7699">
      <w:pPr>
        <w:suppressAutoHyphens/>
        <w:rPr>
          <w:noProof/>
          <w:szCs w:val="22"/>
        </w:rPr>
      </w:pPr>
    </w:p>
    <w:p w14:paraId="768CED50" w14:textId="77777777" w:rsidR="001B7699" w:rsidRPr="0063119B" w:rsidRDefault="001B7699" w:rsidP="001B7699">
      <w:pPr>
        <w:suppressAutoHyphens/>
        <w:rPr>
          <w:noProof/>
          <w:szCs w:val="22"/>
          <w:u w:val="single"/>
        </w:rPr>
      </w:pPr>
      <w:r w:rsidRPr="0063119B">
        <w:rPr>
          <w:noProof/>
          <w:szCs w:val="22"/>
          <w:u w:val="single"/>
        </w:rPr>
        <w:t>Revestimento do comprimido</w:t>
      </w:r>
    </w:p>
    <w:p w14:paraId="17791F42" w14:textId="77777777" w:rsidR="00215DC7" w:rsidRPr="0063119B" w:rsidRDefault="00215DC7" w:rsidP="001B7699">
      <w:pPr>
        <w:suppressAutoHyphens/>
        <w:rPr>
          <w:noProof/>
          <w:szCs w:val="22"/>
        </w:rPr>
      </w:pPr>
    </w:p>
    <w:p w14:paraId="1CB0F0EF" w14:textId="77777777" w:rsidR="001B7699" w:rsidRPr="0063119B" w:rsidRDefault="00C050E0" w:rsidP="001B7699">
      <w:pPr>
        <w:suppressAutoHyphens/>
        <w:rPr>
          <w:noProof/>
          <w:szCs w:val="22"/>
        </w:rPr>
      </w:pPr>
      <w:r w:rsidRPr="0063119B">
        <w:rPr>
          <w:noProof/>
          <w:szCs w:val="22"/>
        </w:rPr>
        <w:t>Macrogol</w:t>
      </w:r>
      <w:r w:rsidR="0033059D" w:rsidRPr="0063119B">
        <w:rPr>
          <w:noProof/>
          <w:szCs w:val="22"/>
        </w:rPr>
        <w:t xml:space="preserve"> </w:t>
      </w:r>
      <w:r w:rsidR="00C64A09" w:rsidRPr="0063119B">
        <w:rPr>
          <w:noProof/>
          <w:szCs w:val="22"/>
        </w:rPr>
        <w:t>4000 (E1521)</w:t>
      </w:r>
    </w:p>
    <w:p w14:paraId="4B17BF04" w14:textId="77777777" w:rsidR="001B7699" w:rsidRPr="0063119B" w:rsidRDefault="001B7699" w:rsidP="001B7699">
      <w:pPr>
        <w:suppressAutoHyphens/>
        <w:rPr>
          <w:noProof/>
          <w:szCs w:val="22"/>
        </w:rPr>
      </w:pPr>
      <w:r w:rsidRPr="0063119B">
        <w:rPr>
          <w:noProof/>
          <w:szCs w:val="22"/>
        </w:rPr>
        <w:t>Hipromelose</w:t>
      </w:r>
      <w:r w:rsidR="0033059D" w:rsidRPr="0063119B">
        <w:rPr>
          <w:noProof/>
          <w:szCs w:val="22"/>
        </w:rPr>
        <w:t xml:space="preserve"> </w:t>
      </w:r>
      <w:r w:rsidR="00C050E0" w:rsidRPr="0063119B">
        <w:rPr>
          <w:noProof/>
          <w:szCs w:val="22"/>
        </w:rPr>
        <w:t xml:space="preserve">2910 </w:t>
      </w:r>
      <w:r w:rsidR="0033059D" w:rsidRPr="0063119B">
        <w:rPr>
          <w:noProof/>
          <w:szCs w:val="22"/>
        </w:rPr>
        <w:t>(viscosidade nominal 5,1 mPa</w:t>
      </w:r>
      <w:r w:rsidR="00E37B71" w:rsidRPr="0063119B">
        <w:rPr>
          <w:noProof/>
          <w:szCs w:val="22"/>
        </w:rPr>
        <w:t>.</w:t>
      </w:r>
      <w:r w:rsidR="0033059D" w:rsidRPr="0063119B">
        <w:rPr>
          <w:noProof/>
          <w:szCs w:val="22"/>
        </w:rPr>
        <w:t>S)</w:t>
      </w:r>
      <w:r w:rsidR="00C64A09" w:rsidRPr="0063119B">
        <w:rPr>
          <w:noProof/>
          <w:szCs w:val="22"/>
        </w:rPr>
        <w:t xml:space="preserve"> (E464)</w:t>
      </w:r>
    </w:p>
    <w:p w14:paraId="6907CD26" w14:textId="77777777" w:rsidR="001B7699" w:rsidRPr="0063119B" w:rsidRDefault="001B7699" w:rsidP="001B7699">
      <w:pPr>
        <w:suppressAutoHyphens/>
        <w:rPr>
          <w:noProof/>
          <w:szCs w:val="22"/>
        </w:rPr>
      </w:pPr>
      <w:r w:rsidRPr="0063119B">
        <w:rPr>
          <w:noProof/>
          <w:szCs w:val="22"/>
        </w:rPr>
        <w:t>Dióxido de titânio (E171)</w:t>
      </w:r>
    </w:p>
    <w:p w14:paraId="6B561CB2" w14:textId="77777777" w:rsidR="001B7699" w:rsidRPr="0063119B" w:rsidRDefault="001B7699" w:rsidP="001B7699">
      <w:pPr>
        <w:suppressAutoHyphens/>
        <w:rPr>
          <w:noProof/>
          <w:szCs w:val="22"/>
        </w:rPr>
      </w:pPr>
      <w:r w:rsidRPr="0063119B">
        <w:rPr>
          <w:noProof/>
          <w:szCs w:val="22"/>
        </w:rPr>
        <w:t>Óxido de ferro amarelo (E172)</w:t>
      </w:r>
    </w:p>
    <w:p w14:paraId="6197B619" w14:textId="77777777" w:rsidR="001B7699" w:rsidRPr="0063119B" w:rsidRDefault="001B7699" w:rsidP="001B7699">
      <w:pPr>
        <w:suppressAutoHyphens/>
        <w:rPr>
          <w:noProof/>
          <w:szCs w:val="22"/>
        </w:rPr>
      </w:pPr>
    </w:p>
    <w:p w14:paraId="1431CA68" w14:textId="77777777" w:rsidR="001B7699" w:rsidRPr="0063119B" w:rsidRDefault="001B7699" w:rsidP="001B7699">
      <w:pPr>
        <w:keepNext/>
        <w:suppressAutoHyphens/>
        <w:ind w:left="567" w:hanging="567"/>
        <w:rPr>
          <w:b/>
          <w:noProof/>
          <w:szCs w:val="22"/>
        </w:rPr>
      </w:pPr>
      <w:r w:rsidRPr="0063119B">
        <w:rPr>
          <w:b/>
          <w:noProof/>
          <w:szCs w:val="22"/>
        </w:rPr>
        <w:t>6.2</w:t>
      </w:r>
      <w:r w:rsidRPr="0063119B">
        <w:rPr>
          <w:b/>
          <w:noProof/>
          <w:szCs w:val="22"/>
        </w:rPr>
        <w:tab/>
        <w:t>Incompatibilidades</w:t>
      </w:r>
    </w:p>
    <w:p w14:paraId="552EABC8" w14:textId="77777777" w:rsidR="001B7699" w:rsidRPr="0063119B" w:rsidRDefault="001B7699" w:rsidP="001B7699">
      <w:pPr>
        <w:keepNext/>
        <w:rPr>
          <w:noProof/>
          <w:szCs w:val="22"/>
        </w:rPr>
      </w:pPr>
    </w:p>
    <w:p w14:paraId="7A80F3BD" w14:textId="77777777" w:rsidR="001B7699" w:rsidRPr="0063119B" w:rsidRDefault="001B7699" w:rsidP="001B7699">
      <w:pPr>
        <w:keepNext/>
        <w:rPr>
          <w:noProof/>
          <w:szCs w:val="22"/>
        </w:rPr>
      </w:pPr>
      <w:r w:rsidRPr="0063119B">
        <w:rPr>
          <w:noProof/>
          <w:szCs w:val="22"/>
        </w:rPr>
        <w:t>Não aplicável.</w:t>
      </w:r>
    </w:p>
    <w:p w14:paraId="4013A2EE" w14:textId="77777777" w:rsidR="001B7699" w:rsidRPr="0063119B" w:rsidRDefault="001B7699" w:rsidP="001B7699">
      <w:pPr>
        <w:suppressAutoHyphens/>
        <w:ind w:left="567" w:hanging="567"/>
        <w:rPr>
          <w:b/>
          <w:noProof/>
          <w:szCs w:val="22"/>
        </w:rPr>
      </w:pPr>
    </w:p>
    <w:p w14:paraId="4C5E554F" w14:textId="77777777" w:rsidR="001B7699" w:rsidRPr="0063119B" w:rsidRDefault="001B7699" w:rsidP="001B7699">
      <w:pPr>
        <w:suppressAutoHyphens/>
        <w:ind w:left="567" w:hanging="567"/>
        <w:rPr>
          <w:noProof/>
          <w:szCs w:val="22"/>
        </w:rPr>
      </w:pPr>
      <w:r w:rsidRPr="0063119B">
        <w:rPr>
          <w:b/>
          <w:noProof/>
          <w:szCs w:val="22"/>
        </w:rPr>
        <w:t>6.3</w:t>
      </w:r>
      <w:r w:rsidRPr="0063119B">
        <w:rPr>
          <w:b/>
          <w:noProof/>
          <w:szCs w:val="22"/>
        </w:rPr>
        <w:tab/>
        <w:t>Prazo de validade</w:t>
      </w:r>
    </w:p>
    <w:p w14:paraId="59FB912A" w14:textId="77777777" w:rsidR="001B7699" w:rsidRPr="0063119B" w:rsidRDefault="001B7699" w:rsidP="001B7699">
      <w:pPr>
        <w:suppressAutoHyphens/>
        <w:rPr>
          <w:noProof/>
          <w:szCs w:val="22"/>
        </w:rPr>
      </w:pPr>
    </w:p>
    <w:p w14:paraId="22FCCD74" w14:textId="77777777" w:rsidR="001B7699" w:rsidRPr="0063119B" w:rsidRDefault="00C64A09" w:rsidP="001B7699">
      <w:pPr>
        <w:suppressAutoHyphens/>
        <w:rPr>
          <w:noProof/>
          <w:szCs w:val="22"/>
        </w:rPr>
      </w:pPr>
      <w:r w:rsidRPr="0063119B">
        <w:rPr>
          <w:noProof/>
          <w:szCs w:val="22"/>
        </w:rPr>
        <w:t>2 </w:t>
      </w:r>
      <w:r w:rsidR="001B7699" w:rsidRPr="0063119B">
        <w:rPr>
          <w:noProof/>
          <w:szCs w:val="22"/>
        </w:rPr>
        <w:t>anos</w:t>
      </w:r>
      <w:r w:rsidRPr="0063119B">
        <w:rPr>
          <w:noProof/>
          <w:szCs w:val="22"/>
        </w:rPr>
        <w:t>.</w:t>
      </w:r>
    </w:p>
    <w:p w14:paraId="5762A2C5" w14:textId="77777777" w:rsidR="001B7699" w:rsidRDefault="001B7699" w:rsidP="001B7699">
      <w:pPr>
        <w:suppressAutoHyphens/>
        <w:rPr>
          <w:noProof/>
          <w:szCs w:val="22"/>
        </w:rPr>
      </w:pPr>
    </w:p>
    <w:p w14:paraId="7E0B5247" w14:textId="77777777" w:rsidR="00543FE2" w:rsidRPr="00543FE2" w:rsidRDefault="00543FE2" w:rsidP="00543FE2">
      <w:pPr>
        <w:autoSpaceDE w:val="0"/>
        <w:autoSpaceDN w:val="0"/>
        <w:adjustRightInd w:val="0"/>
        <w:rPr>
          <w:color w:val="000000"/>
          <w:szCs w:val="22"/>
          <w:lang w:eastAsia="pt-PT"/>
        </w:rPr>
      </w:pPr>
      <w:r w:rsidRPr="00543FE2">
        <w:rPr>
          <w:color w:val="000000"/>
          <w:szCs w:val="22"/>
          <w:lang w:eastAsia="pt-PT"/>
        </w:rPr>
        <w:t xml:space="preserve">Comprimidos triturados </w:t>
      </w:r>
    </w:p>
    <w:p w14:paraId="13607185" w14:textId="77777777" w:rsidR="00543FE2" w:rsidRDefault="00543FE2" w:rsidP="00543FE2">
      <w:pPr>
        <w:suppressAutoHyphens/>
        <w:rPr>
          <w:color w:val="000000"/>
          <w:szCs w:val="22"/>
          <w:lang w:eastAsia="pt-PT"/>
        </w:rPr>
      </w:pPr>
      <w:r w:rsidRPr="00543FE2">
        <w:rPr>
          <w:color w:val="000000"/>
          <w:szCs w:val="22"/>
          <w:lang w:eastAsia="pt-PT"/>
        </w:rPr>
        <w:t>Os comprimidos triturados de rivaroxabano são estáveis na água e no puré de maçã até 4 horas.</w:t>
      </w:r>
    </w:p>
    <w:p w14:paraId="75EFBB61" w14:textId="77777777" w:rsidR="00543FE2" w:rsidRPr="0063119B" w:rsidRDefault="00543FE2" w:rsidP="00543FE2">
      <w:pPr>
        <w:suppressAutoHyphens/>
        <w:rPr>
          <w:noProof/>
          <w:szCs w:val="22"/>
        </w:rPr>
      </w:pPr>
    </w:p>
    <w:p w14:paraId="08F45DB2" w14:textId="77777777" w:rsidR="001B7699" w:rsidRPr="0063119B" w:rsidRDefault="001B7699" w:rsidP="001B7699">
      <w:pPr>
        <w:suppressAutoHyphens/>
        <w:ind w:left="567" w:hanging="567"/>
        <w:rPr>
          <w:noProof/>
          <w:szCs w:val="22"/>
        </w:rPr>
      </w:pPr>
      <w:r w:rsidRPr="0063119B">
        <w:rPr>
          <w:b/>
          <w:noProof/>
          <w:szCs w:val="22"/>
        </w:rPr>
        <w:t>6.4</w:t>
      </w:r>
      <w:r w:rsidRPr="0063119B">
        <w:rPr>
          <w:b/>
          <w:noProof/>
          <w:szCs w:val="22"/>
        </w:rPr>
        <w:tab/>
        <w:t>Precauções especiais de conservação</w:t>
      </w:r>
    </w:p>
    <w:p w14:paraId="21BB270B" w14:textId="77777777" w:rsidR="001B7699" w:rsidRPr="0063119B" w:rsidRDefault="001B7699" w:rsidP="001B7699">
      <w:pPr>
        <w:suppressAutoHyphens/>
        <w:rPr>
          <w:noProof/>
          <w:szCs w:val="22"/>
        </w:rPr>
      </w:pPr>
    </w:p>
    <w:p w14:paraId="23D59F60" w14:textId="77777777" w:rsidR="001B7699" w:rsidRPr="0063119B" w:rsidRDefault="001B7699" w:rsidP="001B7699">
      <w:pPr>
        <w:suppressAutoHyphens/>
        <w:rPr>
          <w:noProof/>
          <w:szCs w:val="22"/>
        </w:rPr>
      </w:pPr>
      <w:r w:rsidRPr="0063119B">
        <w:rPr>
          <w:noProof/>
          <w:szCs w:val="22"/>
        </w:rPr>
        <w:t>Este medicamento não necessita de condições especiais de conservação.</w:t>
      </w:r>
    </w:p>
    <w:p w14:paraId="554FD933" w14:textId="77777777" w:rsidR="001B7699" w:rsidRPr="0063119B" w:rsidRDefault="001B7699" w:rsidP="001B7699">
      <w:pPr>
        <w:suppressAutoHyphens/>
        <w:rPr>
          <w:noProof/>
          <w:szCs w:val="22"/>
        </w:rPr>
      </w:pPr>
    </w:p>
    <w:p w14:paraId="734C639F" w14:textId="77777777" w:rsidR="001B7699" w:rsidRPr="0063119B" w:rsidRDefault="001B7699" w:rsidP="0067053F">
      <w:pPr>
        <w:keepNext/>
        <w:keepLines/>
        <w:suppressAutoHyphens/>
        <w:ind w:left="567" w:hanging="567"/>
        <w:rPr>
          <w:noProof/>
          <w:szCs w:val="22"/>
        </w:rPr>
      </w:pPr>
      <w:r w:rsidRPr="0063119B">
        <w:rPr>
          <w:b/>
          <w:noProof/>
          <w:szCs w:val="22"/>
        </w:rPr>
        <w:lastRenderedPageBreak/>
        <w:t>6.5</w:t>
      </w:r>
      <w:r w:rsidRPr="0063119B">
        <w:rPr>
          <w:b/>
          <w:noProof/>
          <w:szCs w:val="22"/>
        </w:rPr>
        <w:tab/>
        <w:t>Natureza e conteúdo do recipiente</w:t>
      </w:r>
    </w:p>
    <w:p w14:paraId="5496D2C1" w14:textId="77777777" w:rsidR="001B7699" w:rsidRPr="0063119B" w:rsidRDefault="001B7699" w:rsidP="0067053F">
      <w:pPr>
        <w:keepNext/>
        <w:keepLines/>
        <w:suppressAutoHyphens/>
        <w:rPr>
          <w:noProof/>
          <w:szCs w:val="22"/>
        </w:rPr>
      </w:pPr>
    </w:p>
    <w:p w14:paraId="39202A07" w14:textId="77777777" w:rsidR="001B7699" w:rsidRPr="0063119B" w:rsidRDefault="001B7699" w:rsidP="0067053F">
      <w:pPr>
        <w:keepNext/>
        <w:keepLines/>
        <w:suppressAutoHyphens/>
        <w:rPr>
          <w:noProof/>
          <w:szCs w:val="22"/>
        </w:rPr>
      </w:pPr>
      <w:r w:rsidRPr="0063119B">
        <w:rPr>
          <w:noProof/>
          <w:szCs w:val="22"/>
        </w:rPr>
        <w:t xml:space="preserve">Blisters de </w:t>
      </w:r>
      <w:r w:rsidR="00DD77F1" w:rsidRPr="0063119B">
        <w:rPr>
          <w:noProof/>
          <w:szCs w:val="22"/>
        </w:rPr>
        <w:t>PVC transparente</w:t>
      </w:r>
      <w:r w:rsidRPr="0063119B">
        <w:rPr>
          <w:noProof/>
          <w:szCs w:val="22"/>
        </w:rPr>
        <w:t>/alumínio em embalagens de 28, 56, 98,</w:t>
      </w:r>
      <w:r w:rsidR="00653D75">
        <w:rPr>
          <w:noProof/>
          <w:szCs w:val="22"/>
        </w:rPr>
        <w:t xml:space="preserve"> 100,</w:t>
      </w:r>
      <w:r w:rsidRPr="0063119B">
        <w:rPr>
          <w:noProof/>
          <w:szCs w:val="22"/>
        </w:rPr>
        <w:t xml:space="preserve"> 168 ou 196 comprimidos revestidos por película ou blisters </w:t>
      </w:r>
      <w:r w:rsidR="00DD77F1" w:rsidRPr="0063119B">
        <w:rPr>
          <w:noProof/>
          <w:szCs w:val="22"/>
        </w:rPr>
        <w:t xml:space="preserve">perfurados </w:t>
      </w:r>
      <w:r w:rsidRPr="0063119B">
        <w:rPr>
          <w:noProof/>
          <w:szCs w:val="22"/>
        </w:rPr>
        <w:t>para dose unitária em embalagens de 10 x 1</w:t>
      </w:r>
      <w:r w:rsidR="00131AF2" w:rsidRPr="0063119B">
        <w:rPr>
          <w:noProof/>
          <w:szCs w:val="22"/>
        </w:rPr>
        <w:t xml:space="preserve">, </w:t>
      </w:r>
      <w:r w:rsidRPr="0063119B">
        <w:rPr>
          <w:noProof/>
          <w:szCs w:val="22"/>
        </w:rPr>
        <w:t>100 x 1 </w:t>
      </w:r>
      <w:r w:rsidR="008978BB" w:rsidRPr="0063119B">
        <w:rPr>
          <w:noProof/>
          <w:szCs w:val="22"/>
        </w:rPr>
        <w:t>comprimidos</w:t>
      </w:r>
      <w:r w:rsidRPr="0063119B">
        <w:rPr>
          <w:noProof/>
          <w:szCs w:val="22"/>
        </w:rPr>
        <w:t>.</w:t>
      </w:r>
    </w:p>
    <w:p w14:paraId="21F9284F" w14:textId="77777777" w:rsidR="00215EBA" w:rsidRPr="0063119B" w:rsidRDefault="00215EBA" w:rsidP="00215EBA">
      <w:pPr>
        <w:suppressAutoHyphens/>
        <w:rPr>
          <w:szCs w:val="22"/>
        </w:rPr>
      </w:pPr>
      <w:r w:rsidRPr="0063119B">
        <w:rPr>
          <w:noProof/>
          <w:szCs w:val="22"/>
        </w:rPr>
        <w:t>Frascos de PEAD com um fecho</w:t>
      </w:r>
      <w:r w:rsidRPr="0063119B">
        <w:rPr>
          <w:szCs w:val="22"/>
        </w:rPr>
        <w:t xml:space="preserve"> de polipropileno branco opaco, resistente à abertura por crianças</w:t>
      </w:r>
      <w:r w:rsidR="0033059D" w:rsidRPr="0063119B">
        <w:rPr>
          <w:szCs w:val="22"/>
        </w:rPr>
        <w:t xml:space="preserve"> e</w:t>
      </w:r>
      <w:r w:rsidRPr="0063119B">
        <w:rPr>
          <w:szCs w:val="22"/>
        </w:rPr>
        <w:t xml:space="preserve"> revestido com um selo de indução. Apresentação de 30 ou 90 comprimidos revestidos por película.</w:t>
      </w:r>
    </w:p>
    <w:p w14:paraId="6E8C2966" w14:textId="77777777" w:rsidR="00F412BD" w:rsidRPr="0063119B" w:rsidRDefault="00660A0E" w:rsidP="00F412BD">
      <w:pPr>
        <w:suppressAutoHyphens/>
        <w:rPr>
          <w:noProof/>
          <w:szCs w:val="22"/>
        </w:rPr>
      </w:pPr>
      <w:r w:rsidRPr="0063119B">
        <w:rPr>
          <w:noProof/>
          <w:szCs w:val="22"/>
        </w:rPr>
        <w:t xml:space="preserve">Frascos de PEAD </w:t>
      </w:r>
      <w:r w:rsidR="00F412BD" w:rsidRPr="0063119B">
        <w:rPr>
          <w:noProof/>
          <w:szCs w:val="22"/>
        </w:rPr>
        <w:t xml:space="preserve">com </w:t>
      </w:r>
      <w:r w:rsidRPr="0063119B">
        <w:rPr>
          <w:noProof/>
          <w:szCs w:val="22"/>
        </w:rPr>
        <w:t>um fecho</w:t>
      </w:r>
      <w:r w:rsidR="00DD77F1" w:rsidRPr="0063119B">
        <w:rPr>
          <w:szCs w:val="22"/>
        </w:rPr>
        <w:t xml:space="preserve"> de rosca contínua de polipropileno branco opaco</w:t>
      </w:r>
      <w:r w:rsidR="00653D75">
        <w:rPr>
          <w:szCs w:val="22"/>
        </w:rPr>
        <w:t xml:space="preserve"> e</w:t>
      </w:r>
      <w:r w:rsidR="00DD77F1" w:rsidRPr="0063119B">
        <w:rPr>
          <w:szCs w:val="22"/>
        </w:rPr>
        <w:t xml:space="preserve"> revestido com um selo de indução. Apresentação de 500 comprimidos revestidos por película.</w:t>
      </w:r>
      <w:r w:rsidR="00F412BD" w:rsidRPr="0063119B">
        <w:rPr>
          <w:noProof/>
          <w:szCs w:val="22"/>
        </w:rPr>
        <w:t>.</w:t>
      </w:r>
    </w:p>
    <w:p w14:paraId="121D31EE" w14:textId="77777777" w:rsidR="005F00EC" w:rsidRPr="0063119B" w:rsidRDefault="005F00EC" w:rsidP="001B7699">
      <w:pPr>
        <w:suppressAutoHyphens/>
        <w:rPr>
          <w:noProof/>
          <w:szCs w:val="22"/>
        </w:rPr>
      </w:pPr>
    </w:p>
    <w:p w14:paraId="05114551" w14:textId="77777777" w:rsidR="001B7699" w:rsidRPr="0063119B" w:rsidRDefault="001B7699" w:rsidP="001B7699">
      <w:pPr>
        <w:suppressAutoHyphens/>
        <w:rPr>
          <w:noProof/>
          <w:szCs w:val="22"/>
        </w:rPr>
      </w:pPr>
      <w:r w:rsidRPr="0063119B">
        <w:rPr>
          <w:noProof/>
          <w:szCs w:val="22"/>
        </w:rPr>
        <w:t>É possível que não sejam comercializadas todas as apresentações.</w:t>
      </w:r>
    </w:p>
    <w:p w14:paraId="029CDD57" w14:textId="77777777" w:rsidR="001B7699" w:rsidRPr="0063119B" w:rsidRDefault="001B7699" w:rsidP="001B7699">
      <w:pPr>
        <w:suppressAutoHyphens/>
        <w:rPr>
          <w:noProof/>
          <w:szCs w:val="22"/>
        </w:rPr>
      </w:pPr>
    </w:p>
    <w:p w14:paraId="56E40CD3" w14:textId="77777777" w:rsidR="001B7699" w:rsidRPr="0063119B" w:rsidRDefault="001B7699" w:rsidP="001B7699">
      <w:pPr>
        <w:suppressAutoHyphens/>
        <w:ind w:left="567" w:hanging="567"/>
        <w:rPr>
          <w:noProof/>
          <w:szCs w:val="22"/>
        </w:rPr>
      </w:pPr>
      <w:r w:rsidRPr="0063119B">
        <w:rPr>
          <w:b/>
          <w:noProof/>
          <w:szCs w:val="22"/>
        </w:rPr>
        <w:t>6.6</w:t>
      </w:r>
      <w:r w:rsidRPr="0063119B">
        <w:rPr>
          <w:b/>
          <w:noProof/>
          <w:szCs w:val="22"/>
        </w:rPr>
        <w:tab/>
        <w:t>Precauções especiais de eliminação</w:t>
      </w:r>
      <w:r w:rsidR="00DD77F1" w:rsidRPr="0063119B">
        <w:rPr>
          <w:b/>
          <w:bCs/>
          <w:szCs w:val="22"/>
        </w:rPr>
        <w:t xml:space="preserve"> e manuseamento</w:t>
      </w:r>
    </w:p>
    <w:p w14:paraId="05CCD9AB" w14:textId="77777777" w:rsidR="00DD77F1" w:rsidRPr="0063119B" w:rsidRDefault="00DD77F1" w:rsidP="001B7699">
      <w:pPr>
        <w:suppressAutoHyphens/>
        <w:rPr>
          <w:noProof/>
          <w:szCs w:val="22"/>
        </w:rPr>
      </w:pPr>
    </w:p>
    <w:p w14:paraId="1EC72587" w14:textId="77777777" w:rsidR="001B7699" w:rsidRPr="0063119B" w:rsidRDefault="00A73707" w:rsidP="001B7699">
      <w:pPr>
        <w:suppressAutoHyphens/>
        <w:rPr>
          <w:noProof/>
          <w:szCs w:val="22"/>
        </w:rPr>
      </w:pPr>
      <w:r w:rsidRPr="0063119B">
        <w:rPr>
          <w:noProof/>
          <w:szCs w:val="22"/>
        </w:rPr>
        <w:t>Qualquer medicamento não utilizado ou resíduos devem ser eliminados de acordo com as exigências locais.</w:t>
      </w:r>
    </w:p>
    <w:p w14:paraId="58F76C8E" w14:textId="77777777" w:rsidR="001B7699" w:rsidRDefault="001B7699" w:rsidP="001B7699">
      <w:pPr>
        <w:suppressAutoHyphens/>
        <w:rPr>
          <w:noProof/>
          <w:szCs w:val="22"/>
        </w:rPr>
      </w:pPr>
    </w:p>
    <w:p w14:paraId="270C6C7D" w14:textId="77777777" w:rsidR="00543FE2" w:rsidRPr="00EF3721" w:rsidRDefault="00543FE2" w:rsidP="00EF3721">
      <w:pPr>
        <w:suppressAutoHyphens/>
        <w:rPr>
          <w:szCs w:val="22"/>
        </w:rPr>
      </w:pPr>
      <w:r>
        <w:rPr>
          <w:szCs w:val="22"/>
        </w:rPr>
        <w:t>Trituração dos comprimidos</w:t>
      </w:r>
    </w:p>
    <w:p w14:paraId="22AAB647" w14:textId="77777777" w:rsidR="00543FE2" w:rsidRPr="0063119B" w:rsidRDefault="00543FE2" w:rsidP="00543FE2">
      <w:pPr>
        <w:suppressAutoHyphens/>
        <w:rPr>
          <w:noProof/>
          <w:szCs w:val="22"/>
        </w:rPr>
      </w:pPr>
      <w:r w:rsidRPr="00543FE2">
        <w:rPr>
          <w:color w:val="000000"/>
          <w:szCs w:val="22"/>
          <w:lang w:eastAsia="pt-PT"/>
        </w:rPr>
        <w:t>Os comprimidos de rivaroxabano podem ser esmagados e suspensos em 50 ml de água e administrados através de uma sonda nasogástrica ou uma sonda de alimentação gástrica após confirmação da colocação gástrica da sonda. Em seguida, a sonda deve ser irrigada com água. Uma vez que a absorção do rivaroxabano depende do local de libertação da substância ativa, deverá evitar-se a administração de rivaroxabano em posição distal em relação ao estômago, o que pode resultar numa absorção reduzida e, por conseguinte, numa exposição reduzida à substância ativa. Não é necessária nutrição entérica após a administração dos comprimidos de 2,5 mg.</w:t>
      </w:r>
    </w:p>
    <w:p w14:paraId="0A1F847C" w14:textId="77777777" w:rsidR="001B7699" w:rsidRPr="0063119B" w:rsidRDefault="001B7699" w:rsidP="001B7699">
      <w:pPr>
        <w:suppressAutoHyphens/>
        <w:rPr>
          <w:noProof/>
          <w:szCs w:val="22"/>
        </w:rPr>
      </w:pPr>
    </w:p>
    <w:p w14:paraId="762A2F7B" w14:textId="77777777" w:rsidR="001B7699" w:rsidRPr="0063119B" w:rsidRDefault="001B7699" w:rsidP="001B7699">
      <w:pPr>
        <w:suppressAutoHyphens/>
        <w:ind w:left="567" w:hanging="567"/>
        <w:rPr>
          <w:noProof/>
          <w:szCs w:val="22"/>
        </w:rPr>
      </w:pPr>
      <w:r w:rsidRPr="0063119B">
        <w:rPr>
          <w:b/>
          <w:noProof/>
          <w:szCs w:val="22"/>
        </w:rPr>
        <w:t>7.</w:t>
      </w:r>
      <w:r w:rsidRPr="0063119B">
        <w:rPr>
          <w:b/>
          <w:noProof/>
          <w:szCs w:val="22"/>
        </w:rPr>
        <w:tab/>
        <w:t>TITULAR DA AUTORIZAÇÃO DE INTRODUÇÃO NO MERCADO</w:t>
      </w:r>
    </w:p>
    <w:p w14:paraId="4B6C88DB" w14:textId="77777777" w:rsidR="001B7699" w:rsidRPr="0063119B" w:rsidRDefault="001B7699" w:rsidP="001B7699">
      <w:pPr>
        <w:suppressAutoHyphens/>
        <w:rPr>
          <w:noProof/>
          <w:szCs w:val="22"/>
        </w:rPr>
      </w:pPr>
    </w:p>
    <w:p w14:paraId="1DCB071D" w14:textId="77777777" w:rsidR="00DD77F1" w:rsidRPr="0063119B" w:rsidRDefault="00DD77F1" w:rsidP="00DD77F1">
      <w:pPr>
        <w:rPr>
          <w:szCs w:val="22"/>
          <w:lang w:val="en-GB"/>
        </w:rPr>
      </w:pPr>
      <w:r w:rsidRPr="0063119B">
        <w:rPr>
          <w:szCs w:val="22"/>
          <w:lang w:val="en-GB"/>
        </w:rPr>
        <w:t>Accord Healthcare S.L.U.</w:t>
      </w:r>
    </w:p>
    <w:p w14:paraId="10DC96F0" w14:textId="77777777" w:rsidR="00DD77F1" w:rsidRPr="0063119B" w:rsidRDefault="00DD77F1" w:rsidP="00DD77F1">
      <w:pPr>
        <w:rPr>
          <w:szCs w:val="22"/>
        </w:rPr>
      </w:pPr>
      <w:r w:rsidRPr="0063119B">
        <w:rPr>
          <w:szCs w:val="22"/>
        </w:rPr>
        <w:t xml:space="preserve">World Trade Center, Moll de Barcelona, s/n, Edifici Est 6ª planta, </w:t>
      </w:r>
    </w:p>
    <w:p w14:paraId="79973FE3" w14:textId="77777777" w:rsidR="00DD77F1" w:rsidRPr="0063119B" w:rsidRDefault="00DD77F1" w:rsidP="00DD77F1">
      <w:pPr>
        <w:rPr>
          <w:szCs w:val="22"/>
        </w:rPr>
      </w:pPr>
      <w:r w:rsidRPr="0063119B">
        <w:rPr>
          <w:szCs w:val="22"/>
        </w:rPr>
        <w:t>Barcelona, 08039</w:t>
      </w:r>
    </w:p>
    <w:p w14:paraId="3A7AEB57" w14:textId="77777777" w:rsidR="00DD77F1" w:rsidRPr="0063119B" w:rsidRDefault="00DD77F1" w:rsidP="00DD77F1">
      <w:pPr>
        <w:rPr>
          <w:szCs w:val="22"/>
        </w:rPr>
      </w:pPr>
      <w:r w:rsidRPr="0063119B">
        <w:rPr>
          <w:szCs w:val="22"/>
        </w:rPr>
        <w:t>Espanha</w:t>
      </w:r>
    </w:p>
    <w:p w14:paraId="18A33675" w14:textId="77777777" w:rsidR="001B7699" w:rsidRPr="0063119B" w:rsidRDefault="001B7699" w:rsidP="001B7699">
      <w:pPr>
        <w:suppressAutoHyphens/>
        <w:rPr>
          <w:noProof/>
          <w:szCs w:val="22"/>
        </w:rPr>
      </w:pPr>
    </w:p>
    <w:p w14:paraId="486CF5C7" w14:textId="77777777" w:rsidR="001B7699" w:rsidRPr="0063119B" w:rsidRDefault="001B7699" w:rsidP="001B7699">
      <w:pPr>
        <w:suppressAutoHyphens/>
        <w:rPr>
          <w:noProof/>
          <w:szCs w:val="22"/>
        </w:rPr>
      </w:pPr>
    </w:p>
    <w:p w14:paraId="171DB3E1" w14:textId="77777777" w:rsidR="001B7699" w:rsidRPr="0063119B" w:rsidRDefault="001B7699" w:rsidP="001B7699">
      <w:pPr>
        <w:suppressAutoHyphens/>
        <w:ind w:left="567" w:hanging="567"/>
        <w:rPr>
          <w:b/>
          <w:noProof/>
          <w:szCs w:val="22"/>
        </w:rPr>
      </w:pPr>
      <w:r w:rsidRPr="0063119B">
        <w:rPr>
          <w:b/>
          <w:noProof/>
          <w:szCs w:val="22"/>
        </w:rPr>
        <w:t>8.</w:t>
      </w:r>
      <w:r w:rsidRPr="0063119B">
        <w:rPr>
          <w:b/>
          <w:noProof/>
          <w:szCs w:val="22"/>
        </w:rPr>
        <w:tab/>
        <w:t>NÚMERO(S) DA AUTORIZAÇÃO DE INTRODUÇÃO NO MERCADO</w:t>
      </w:r>
    </w:p>
    <w:p w14:paraId="698A7762" w14:textId="77777777" w:rsidR="001B7699" w:rsidRPr="0063119B" w:rsidRDefault="001B7699" w:rsidP="001B7699">
      <w:pPr>
        <w:suppressAutoHyphens/>
        <w:rPr>
          <w:noProof/>
          <w:szCs w:val="22"/>
        </w:rPr>
      </w:pPr>
    </w:p>
    <w:p w14:paraId="0012D0BC" w14:textId="77777777" w:rsidR="00F00CF2" w:rsidRPr="0063119B" w:rsidRDefault="00F00CF2" w:rsidP="001B7699">
      <w:pPr>
        <w:suppressAutoHyphens/>
        <w:rPr>
          <w:szCs w:val="22"/>
        </w:rPr>
      </w:pPr>
      <w:r w:rsidRPr="0063119B">
        <w:rPr>
          <w:szCs w:val="22"/>
        </w:rPr>
        <w:t>EU/1/20/1488/001-011</w:t>
      </w:r>
    </w:p>
    <w:p w14:paraId="6CDE5F83" w14:textId="77777777" w:rsidR="001B7699" w:rsidRPr="0063119B" w:rsidRDefault="001B7699" w:rsidP="001B7699">
      <w:pPr>
        <w:suppressAutoHyphens/>
        <w:rPr>
          <w:noProof/>
          <w:szCs w:val="22"/>
        </w:rPr>
      </w:pPr>
    </w:p>
    <w:p w14:paraId="2A030CAB" w14:textId="77777777" w:rsidR="0051410B" w:rsidRPr="0063119B" w:rsidRDefault="0051410B" w:rsidP="001B7699">
      <w:pPr>
        <w:suppressAutoHyphens/>
        <w:rPr>
          <w:noProof/>
          <w:szCs w:val="22"/>
        </w:rPr>
      </w:pPr>
    </w:p>
    <w:p w14:paraId="5209C8C6" w14:textId="77777777" w:rsidR="001B7699" w:rsidRPr="0063119B" w:rsidRDefault="001B7699" w:rsidP="001B7699">
      <w:pPr>
        <w:keepNext/>
        <w:suppressAutoHyphens/>
        <w:ind w:left="567" w:hanging="567"/>
        <w:rPr>
          <w:b/>
          <w:noProof/>
          <w:szCs w:val="22"/>
        </w:rPr>
      </w:pPr>
      <w:r w:rsidRPr="0063119B">
        <w:rPr>
          <w:b/>
          <w:noProof/>
          <w:szCs w:val="22"/>
        </w:rPr>
        <w:t>9.</w:t>
      </w:r>
      <w:r w:rsidRPr="0063119B">
        <w:rPr>
          <w:b/>
          <w:noProof/>
          <w:szCs w:val="22"/>
        </w:rPr>
        <w:tab/>
        <w:t>DATA DA PRIMEIRA AUTORIZAÇÃO/RENOVAÇÃO DA AUTORIZAÇÃO DE INTRODUÇÃO NO MERCADO</w:t>
      </w:r>
    </w:p>
    <w:p w14:paraId="5C6826CD" w14:textId="77777777" w:rsidR="001B7699" w:rsidRPr="0063119B" w:rsidRDefault="001B7699" w:rsidP="001B7699">
      <w:pPr>
        <w:keepNext/>
        <w:suppressAutoHyphens/>
        <w:rPr>
          <w:noProof/>
          <w:szCs w:val="22"/>
        </w:rPr>
      </w:pPr>
    </w:p>
    <w:p w14:paraId="22A55C45" w14:textId="77777777" w:rsidR="00D94FDF" w:rsidRDefault="001B7699" w:rsidP="00DD77F1">
      <w:pPr>
        <w:keepNext/>
        <w:suppressAutoHyphens/>
        <w:rPr>
          <w:noProof/>
          <w:szCs w:val="22"/>
        </w:rPr>
      </w:pPr>
      <w:r w:rsidRPr="0063119B">
        <w:rPr>
          <w:noProof/>
          <w:szCs w:val="22"/>
        </w:rPr>
        <w:t xml:space="preserve">Data da primeira autorização: </w:t>
      </w:r>
      <w:r w:rsidR="0052614A" w:rsidRPr="0052614A">
        <w:rPr>
          <w:noProof/>
          <w:szCs w:val="22"/>
        </w:rPr>
        <w:t>16 de novembro de 2020</w:t>
      </w:r>
    </w:p>
    <w:p w14:paraId="6FF1F830" w14:textId="1D538D07" w:rsidR="00E01960" w:rsidRPr="0063119B" w:rsidRDefault="00E01960" w:rsidP="00DD77F1">
      <w:pPr>
        <w:keepNext/>
        <w:suppressAutoHyphens/>
        <w:rPr>
          <w:noProof/>
          <w:szCs w:val="22"/>
        </w:rPr>
      </w:pPr>
      <w:r w:rsidRPr="00E01960">
        <w:rPr>
          <w:noProof/>
          <w:szCs w:val="22"/>
        </w:rPr>
        <w:t>Data da última renovação: 6 de agosto de 2025</w:t>
      </w:r>
    </w:p>
    <w:p w14:paraId="3CD175B8" w14:textId="77777777" w:rsidR="001B7699" w:rsidRPr="0063119B" w:rsidRDefault="001B7699" w:rsidP="001B7699">
      <w:pPr>
        <w:suppressAutoHyphens/>
        <w:rPr>
          <w:noProof/>
          <w:szCs w:val="22"/>
        </w:rPr>
      </w:pPr>
    </w:p>
    <w:p w14:paraId="4A9DE597" w14:textId="77777777" w:rsidR="001B7699" w:rsidRPr="0063119B" w:rsidRDefault="001B7699" w:rsidP="001B7699">
      <w:pPr>
        <w:suppressAutoHyphens/>
        <w:rPr>
          <w:noProof/>
          <w:szCs w:val="22"/>
        </w:rPr>
      </w:pPr>
    </w:p>
    <w:p w14:paraId="267DB237" w14:textId="77777777" w:rsidR="001B7699" w:rsidRPr="0063119B" w:rsidRDefault="001B7699" w:rsidP="001B7699">
      <w:pPr>
        <w:suppressAutoHyphens/>
        <w:rPr>
          <w:b/>
          <w:noProof/>
          <w:szCs w:val="22"/>
        </w:rPr>
      </w:pPr>
      <w:r w:rsidRPr="0063119B">
        <w:rPr>
          <w:b/>
          <w:noProof/>
          <w:szCs w:val="22"/>
        </w:rPr>
        <w:t>10.</w:t>
      </w:r>
      <w:r w:rsidRPr="0063119B">
        <w:rPr>
          <w:b/>
          <w:noProof/>
          <w:szCs w:val="22"/>
        </w:rPr>
        <w:tab/>
        <w:t>DATA DA REVISÃO DO TEXTO</w:t>
      </w:r>
    </w:p>
    <w:p w14:paraId="3F2AB216" w14:textId="77777777" w:rsidR="00DD77F1" w:rsidRPr="0063119B" w:rsidRDefault="00DD77F1" w:rsidP="001B7699">
      <w:pPr>
        <w:suppressAutoHyphens/>
        <w:rPr>
          <w:noProof/>
          <w:szCs w:val="22"/>
        </w:rPr>
      </w:pPr>
    </w:p>
    <w:p w14:paraId="63FEC21E" w14:textId="77777777" w:rsidR="00DD77F1" w:rsidRPr="0063119B" w:rsidRDefault="00DD77F1" w:rsidP="001B7699">
      <w:pPr>
        <w:suppressAutoHyphens/>
        <w:rPr>
          <w:noProof/>
          <w:szCs w:val="22"/>
        </w:rPr>
      </w:pPr>
    </w:p>
    <w:p w14:paraId="3F69E7B8" w14:textId="77777777" w:rsidR="001B7699" w:rsidRPr="0063119B" w:rsidRDefault="001B7699" w:rsidP="001B7699">
      <w:pPr>
        <w:suppressAutoHyphens/>
        <w:ind w:right="14"/>
        <w:rPr>
          <w:b/>
          <w:noProof/>
          <w:szCs w:val="22"/>
        </w:rPr>
      </w:pPr>
      <w:r w:rsidRPr="0063119B">
        <w:rPr>
          <w:noProof/>
          <w:szCs w:val="22"/>
        </w:rPr>
        <w:t xml:space="preserve">Está disponível informação pormenorizada sobre este medicamento no sítio da internet da Agência Europeia de Medicamentos: </w:t>
      </w:r>
      <w:hyperlink r:id="rId15" w:history="1">
        <w:r w:rsidR="00767D16" w:rsidRPr="0063119B">
          <w:rPr>
            <w:rStyle w:val="Hyperlink"/>
            <w:noProof/>
            <w:szCs w:val="22"/>
          </w:rPr>
          <w:t>http://www.ema.europa.eu</w:t>
        </w:r>
      </w:hyperlink>
      <w:r w:rsidRPr="0063119B">
        <w:rPr>
          <w:noProof/>
          <w:szCs w:val="22"/>
        </w:rPr>
        <w:t>.</w:t>
      </w:r>
    </w:p>
    <w:p w14:paraId="5CEB4A1F" w14:textId="77777777" w:rsidR="00337111" w:rsidRPr="0063119B" w:rsidRDefault="00337111" w:rsidP="00453DA7">
      <w:pPr>
        <w:suppressAutoHyphens/>
        <w:jc w:val="both"/>
        <w:rPr>
          <w:noProof/>
          <w:szCs w:val="22"/>
        </w:rPr>
      </w:pPr>
      <w:r w:rsidRPr="0063119B">
        <w:rPr>
          <w:b/>
          <w:noProof/>
          <w:szCs w:val="22"/>
        </w:rPr>
        <w:br w:type="page"/>
      </w:r>
      <w:r w:rsidRPr="0063119B">
        <w:rPr>
          <w:b/>
          <w:noProof/>
          <w:szCs w:val="22"/>
        </w:rPr>
        <w:lastRenderedPageBreak/>
        <w:t>1.</w:t>
      </w:r>
      <w:r w:rsidRPr="0063119B">
        <w:rPr>
          <w:b/>
          <w:noProof/>
          <w:szCs w:val="22"/>
        </w:rPr>
        <w:tab/>
        <w:t>NOME DO MEDICAMENTO</w:t>
      </w:r>
    </w:p>
    <w:p w14:paraId="49875DA7" w14:textId="77777777" w:rsidR="00337111" w:rsidRPr="0063119B" w:rsidRDefault="00337111" w:rsidP="00337111">
      <w:pPr>
        <w:suppressAutoHyphens/>
        <w:rPr>
          <w:noProof/>
          <w:szCs w:val="22"/>
        </w:rPr>
      </w:pPr>
    </w:p>
    <w:p w14:paraId="6920BA10" w14:textId="77777777" w:rsidR="00337111" w:rsidRPr="0063119B" w:rsidRDefault="00607DE4" w:rsidP="005500AB">
      <w:pPr>
        <w:outlineLvl w:val="2"/>
        <w:rPr>
          <w:noProof/>
          <w:szCs w:val="22"/>
        </w:rPr>
      </w:pPr>
      <w:r>
        <w:rPr>
          <w:noProof/>
          <w:szCs w:val="22"/>
        </w:rPr>
        <w:t>Rivaroxabano</w:t>
      </w:r>
      <w:r w:rsidR="00DD77F1" w:rsidRPr="0063119B">
        <w:rPr>
          <w:noProof/>
          <w:szCs w:val="22"/>
        </w:rPr>
        <w:t xml:space="preserve"> Accord</w:t>
      </w:r>
      <w:r w:rsidR="00337111" w:rsidRPr="0063119B">
        <w:rPr>
          <w:noProof/>
          <w:szCs w:val="22"/>
        </w:rPr>
        <w:t xml:space="preserve"> 10</w:t>
      </w:r>
      <w:r w:rsidR="00DD77F1" w:rsidRPr="0063119B">
        <w:rPr>
          <w:noProof/>
          <w:szCs w:val="22"/>
        </w:rPr>
        <w:t> </w:t>
      </w:r>
      <w:r w:rsidR="00337111" w:rsidRPr="0063119B">
        <w:rPr>
          <w:noProof/>
          <w:szCs w:val="22"/>
        </w:rPr>
        <w:t>mg comprimidos revestidos por película</w:t>
      </w:r>
    </w:p>
    <w:p w14:paraId="278EF552" w14:textId="77777777" w:rsidR="00337111" w:rsidRPr="0063119B" w:rsidRDefault="00337111" w:rsidP="00337111">
      <w:pPr>
        <w:suppressAutoHyphens/>
        <w:rPr>
          <w:noProof/>
          <w:szCs w:val="22"/>
        </w:rPr>
      </w:pPr>
    </w:p>
    <w:p w14:paraId="326607C8" w14:textId="77777777" w:rsidR="00337111" w:rsidRPr="0063119B" w:rsidRDefault="00337111" w:rsidP="00337111">
      <w:pPr>
        <w:suppressAutoHyphens/>
        <w:rPr>
          <w:noProof/>
          <w:szCs w:val="22"/>
        </w:rPr>
      </w:pPr>
    </w:p>
    <w:p w14:paraId="0F4557F4" w14:textId="77777777" w:rsidR="00337111" w:rsidRPr="0063119B" w:rsidRDefault="00337111" w:rsidP="00337111">
      <w:pPr>
        <w:suppressAutoHyphens/>
        <w:ind w:left="567" w:hanging="567"/>
        <w:rPr>
          <w:noProof/>
          <w:szCs w:val="22"/>
        </w:rPr>
      </w:pPr>
      <w:r w:rsidRPr="0063119B">
        <w:rPr>
          <w:b/>
          <w:noProof/>
          <w:szCs w:val="22"/>
        </w:rPr>
        <w:t>2.</w:t>
      </w:r>
      <w:r w:rsidRPr="0063119B">
        <w:rPr>
          <w:b/>
          <w:noProof/>
          <w:szCs w:val="22"/>
        </w:rPr>
        <w:tab/>
        <w:t>COMPOSIÇÃO QUALITATIVA E QUANTITATIVA</w:t>
      </w:r>
    </w:p>
    <w:p w14:paraId="724BEC60" w14:textId="77777777" w:rsidR="00337111" w:rsidRPr="0063119B" w:rsidRDefault="00337111" w:rsidP="00337111">
      <w:pPr>
        <w:suppressAutoHyphens/>
        <w:rPr>
          <w:noProof/>
          <w:szCs w:val="22"/>
        </w:rPr>
      </w:pPr>
    </w:p>
    <w:p w14:paraId="65B81CAD" w14:textId="77777777" w:rsidR="00337111" w:rsidRPr="0063119B" w:rsidRDefault="00337111" w:rsidP="00337111">
      <w:pPr>
        <w:suppressAutoHyphens/>
        <w:rPr>
          <w:noProof/>
          <w:szCs w:val="22"/>
        </w:rPr>
      </w:pPr>
      <w:r w:rsidRPr="0063119B">
        <w:rPr>
          <w:noProof/>
          <w:szCs w:val="22"/>
        </w:rPr>
        <w:t>Cada comprimido revestido por película contém 10</w:t>
      </w:r>
      <w:r w:rsidR="00DD77F1" w:rsidRPr="0063119B">
        <w:rPr>
          <w:noProof/>
          <w:szCs w:val="22"/>
        </w:rPr>
        <w:t> </w:t>
      </w:r>
      <w:r w:rsidRPr="0063119B">
        <w:rPr>
          <w:noProof/>
          <w:szCs w:val="22"/>
        </w:rPr>
        <w:t>mg de rivaroxabano.</w:t>
      </w:r>
    </w:p>
    <w:p w14:paraId="63311826" w14:textId="77777777" w:rsidR="00337111" w:rsidRPr="0063119B" w:rsidRDefault="00337111" w:rsidP="00337111">
      <w:pPr>
        <w:suppressAutoHyphens/>
        <w:rPr>
          <w:noProof/>
          <w:szCs w:val="22"/>
        </w:rPr>
      </w:pPr>
    </w:p>
    <w:p w14:paraId="6D785AF2" w14:textId="77777777" w:rsidR="00337111" w:rsidRPr="0063119B" w:rsidRDefault="00337111" w:rsidP="00337111">
      <w:pPr>
        <w:suppressAutoHyphens/>
        <w:rPr>
          <w:noProof/>
          <w:szCs w:val="22"/>
          <w:u w:val="single"/>
        </w:rPr>
      </w:pPr>
      <w:r w:rsidRPr="0063119B">
        <w:rPr>
          <w:noProof/>
          <w:szCs w:val="22"/>
          <w:u w:val="single"/>
        </w:rPr>
        <w:t>Excipiente com efeito conhecido</w:t>
      </w:r>
    </w:p>
    <w:p w14:paraId="3D45DA65" w14:textId="77777777" w:rsidR="00337111" w:rsidRPr="0063119B" w:rsidRDefault="00337111" w:rsidP="00337111">
      <w:pPr>
        <w:suppressAutoHyphens/>
        <w:rPr>
          <w:noProof/>
          <w:szCs w:val="22"/>
        </w:rPr>
      </w:pPr>
      <w:r w:rsidRPr="0063119B">
        <w:rPr>
          <w:noProof/>
          <w:szCs w:val="22"/>
        </w:rPr>
        <w:t xml:space="preserve">Cada comprimido revestido por película contém </w:t>
      </w:r>
      <w:r w:rsidR="00DD77F1" w:rsidRPr="0063119B">
        <w:rPr>
          <w:noProof/>
          <w:szCs w:val="22"/>
        </w:rPr>
        <w:t>27,90 </w:t>
      </w:r>
      <w:r w:rsidRPr="0063119B">
        <w:rPr>
          <w:noProof/>
          <w:szCs w:val="22"/>
        </w:rPr>
        <w:t xml:space="preserve">mg de lactose </w:t>
      </w:r>
      <w:r w:rsidRPr="0063119B">
        <w:rPr>
          <w:szCs w:val="22"/>
        </w:rPr>
        <w:t>(na forma de mono-hidrato)</w:t>
      </w:r>
      <w:r w:rsidRPr="0063119B">
        <w:rPr>
          <w:noProof/>
          <w:szCs w:val="22"/>
        </w:rPr>
        <w:t>, ver secção</w:t>
      </w:r>
      <w:r w:rsidR="00DD77F1" w:rsidRPr="0063119B">
        <w:rPr>
          <w:noProof/>
          <w:szCs w:val="22"/>
        </w:rPr>
        <w:t> </w:t>
      </w:r>
      <w:r w:rsidRPr="0063119B">
        <w:rPr>
          <w:noProof/>
          <w:szCs w:val="22"/>
        </w:rPr>
        <w:t>4.4.</w:t>
      </w:r>
    </w:p>
    <w:p w14:paraId="3BD81E7F" w14:textId="77777777" w:rsidR="00337111" w:rsidRPr="0063119B" w:rsidRDefault="00337111" w:rsidP="00337111">
      <w:pPr>
        <w:suppressAutoHyphens/>
        <w:rPr>
          <w:noProof/>
          <w:szCs w:val="22"/>
        </w:rPr>
      </w:pPr>
      <w:r w:rsidRPr="0063119B">
        <w:rPr>
          <w:noProof/>
          <w:szCs w:val="22"/>
        </w:rPr>
        <w:t>Lista completa de excipientes, ver s</w:t>
      </w:r>
      <w:r w:rsidRPr="0063119B">
        <w:rPr>
          <w:bCs/>
          <w:noProof/>
          <w:szCs w:val="22"/>
        </w:rPr>
        <w:t>ecção</w:t>
      </w:r>
      <w:r w:rsidR="00DD77F1" w:rsidRPr="0063119B">
        <w:rPr>
          <w:bCs/>
          <w:noProof/>
          <w:szCs w:val="22"/>
        </w:rPr>
        <w:t> </w:t>
      </w:r>
      <w:r w:rsidRPr="0063119B">
        <w:rPr>
          <w:noProof/>
          <w:szCs w:val="22"/>
        </w:rPr>
        <w:t>6.1.</w:t>
      </w:r>
    </w:p>
    <w:p w14:paraId="6D16C4C0" w14:textId="77777777" w:rsidR="00337111" w:rsidRPr="0063119B" w:rsidRDefault="00337111" w:rsidP="00337111">
      <w:pPr>
        <w:suppressAutoHyphens/>
        <w:rPr>
          <w:noProof/>
          <w:szCs w:val="22"/>
        </w:rPr>
      </w:pPr>
    </w:p>
    <w:p w14:paraId="1D86F90E" w14:textId="77777777" w:rsidR="00337111" w:rsidRPr="0063119B" w:rsidRDefault="00337111" w:rsidP="00337111">
      <w:pPr>
        <w:suppressAutoHyphens/>
        <w:rPr>
          <w:noProof/>
          <w:szCs w:val="22"/>
        </w:rPr>
      </w:pPr>
    </w:p>
    <w:p w14:paraId="5E0D58F0" w14:textId="77777777" w:rsidR="00337111" w:rsidRPr="0063119B" w:rsidRDefault="00337111" w:rsidP="00337111">
      <w:pPr>
        <w:suppressAutoHyphens/>
        <w:ind w:left="567" w:hanging="567"/>
        <w:rPr>
          <w:noProof/>
          <w:szCs w:val="22"/>
        </w:rPr>
      </w:pPr>
      <w:r w:rsidRPr="0063119B">
        <w:rPr>
          <w:b/>
          <w:noProof/>
          <w:szCs w:val="22"/>
        </w:rPr>
        <w:t>3.</w:t>
      </w:r>
      <w:r w:rsidRPr="0063119B">
        <w:rPr>
          <w:b/>
          <w:noProof/>
          <w:szCs w:val="22"/>
        </w:rPr>
        <w:tab/>
        <w:t>FORMA FARMACÊUTICA</w:t>
      </w:r>
    </w:p>
    <w:p w14:paraId="4119DAA3" w14:textId="77777777" w:rsidR="00337111" w:rsidRPr="0063119B" w:rsidRDefault="00337111" w:rsidP="00337111">
      <w:pPr>
        <w:suppressAutoHyphens/>
        <w:rPr>
          <w:noProof/>
          <w:szCs w:val="22"/>
        </w:rPr>
      </w:pPr>
    </w:p>
    <w:p w14:paraId="17E564D3" w14:textId="77777777" w:rsidR="00337111" w:rsidRPr="0063119B" w:rsidRDefault="00337111" w:rsidP="00337111">
      <w:pPr>
        <w:suppressAutoHyphens/>
        <w:rPr>
          <w:noProof/>
          <w:szCs w:val="22"/>
        </w:rPr>
      </w:pPr>
      <w:r w:rsidRPr="0063119B">
        <w:rPr>
          <w:noProof/>
          <w:szCs w:val="22"/>
        </w:rPr>
        <w:t>Comprimido revestido por película (comprimido)</w:t>
      </w:r>
    </w:p>
    <w:p w14:paraId="5659C2AD" w14:textId="77777777" w:rsidR="00BA146C" w:rsidRPr="0063119B" w:rsidRDefault="00BA146C" w:rsidP="00337111">
      <w:pPr>
        <w:suppressAutoHyphens/>
        <w:rPr>
          <w:noProof/>
          <w:szCs w:val="22"/>
        </w:rPr>
      </w:pPr>
    </w:p>
    <w:p w14:paraId="4C8E4063" w14:textId="77777777" w:rsidR="00337111" w:rsidRPr="0063119B" w:rsidRDefault="00337111" w:rsidP="00337111">
      <w:pPr>
        <w:suppressAutoHyphens/>
        <w:rPr>
          <w:noProof/>
          <w:szCs w:val="22"/>
        </w:rPr>
      </w:pPr>
      <w:r w:rsidRPr="0063119B">
        <w:rPr>
          <w:noProof/>
          <w:szCs w:val="22"/>
        </w:rPr>
        <w:t xml:space="preserve">Comprimidos </w:t>
      </w:r>
      <w:r w:rsidR="00DD77F1" w:rsidRPr="0063119B">
        <w:rPr>
          <w:noProof/>
          <w:szCs w:val="22"/>
        </w:rPr>
        <w:t xml:space="preserve">revestidos por película, </w:t>
      </w:r>
      <w:r w:rsidRPr="0063119B">
        <w:rPr>
          <w:noProof/>
          <w:szCs w:val="22"/>
        </w:rPr>
        <w:t>biconvexos, redondos</w:t>
      </w:r>
      <w:r w:rsidR="001302EA" w:rsidRPr="0063119B">
        <w:rPr>
          <w:noProof/>
          <w:szCs w:val="22"/>
        </w:rPr>
        <w:t xml:space="preserve">, com aproximadamente </w:t>
      </w:r>
      <w:r w:rsidRPr="0063119B">
        <w:rPr>
          <w:noProof/>
          <w:szCs w:val="22"/>
        </w:rPr>
        <w:t>6</w:t>
      </w:r>
      <w:r w:rsidR="00F00CF2" w:rsidRPr="0063119B">
        <w:rPr>
          <w:noProof/>
          <w:szCs w:val="22"/>
        </w:rPr>
        <w:t>,00</w:t>
      </w:r>
      <w:r w:rsidR="001302EA" w:rsidRPr="0063119B">
        <w:rPr>
          <w:noProof/>
          <w:szCs w:val="22"/>
        </w:rPr>
        <w:t> </w:t>
      </w:r>
      <w:r w:rsidRPr="0063119B">
        <w:rPr>
          <w:noProof/>
          <w:szCs w:val="22"/>
        </w:rPr>
        <w:t xml:space="preserve">mm de diâmetro, </w:t>
      </w:r>
      <w:r w:rsidR="001302EA" w:rsidRPr="0063119B">
        <w:rPr>
          <w:noProof/>
          <w:szCs w:val="22"/>
        </w:rPr>
        <w:t>cor-de-rosa a cor-de rosa</w:t>
      </w:r>
      <w:r w:rsidRPr="0063119B">
        <w:rPr>
          <w:noProof/>
          <w:szCs w:val="22"/>
        </w:rPr>
        <w:t xml:space="preserve"> claro, </w:t>
      </w:r>
      <w:r w:rsidR="001302EA" w:rsidRPr="0063119B">
        <w:rPr>
          <w:noProof/>
          <w:szCs w:val="22"/>
        </w:rPr>
        <w:t>com a gravação “IL1”</w:t>
      </w:r>
      <w:r w:rsidRPr="0063119B">
        <w:rPr>
          <w:noProof/>
          <w:szCs w:val="22"/>
        </w:rPr>
        <w:t xml:space="preserve"> numa das faces e </w:t>
      </w:r>
      <w:r w:rsidR="001302EA" w:rsidRPr="0063119B">
        <w:rPr>
          <w:noProof/>
          <w:szCs w:val="22"/>
        </w:rPr>
        <w:t>lisos</w:t>
      </w:r>
      <w:r w:rsidRPr="0063119B">
        <w:rPr>
          <w:noProof/>
          <w:szCs w:val="22"/>
        </w:rPr>
        <w:t xml:space="preserve"> na outra face.</w:t>
      </w:r>
    </w:p>
    <w:p w14:paraId="0848F221" w14:textId="77777777" w:rsidR="00337111" w:rsidRPr="0063119B" w:rsidRDefault="00337111" w:rsidP="00337111">
      <w:pPr>
        <w:suppressAutoHyphens/>
        <w:rPr>
          <w:noProof/>
          <w:szCs w:val="22"/>
        </w:rPr>
      </w:pPr>
    </w:p>
    <w:p w14:paraId="717D9F7F" w14:textId="77777777" w:rsidR="00337111" w:rsidRPr="0063119B" w:rsidRDefault="00337111" w:rsidP="00337111">
      <w:pPr>
        <w:suppressAutoHyphens/>
        <w:rPr>
          <w:noProof/>
          <w:szCs w:val="22"/>
        </w:rPr>
      </w:pPr>
    </w:p>
    <w:p w14:paraId="7B5CBE39" w14:textId="77777777" w:rsidR="00337111" w:rsidRPr="0063119B" w:rsidRDefault="00337111" w:rsidP="00337111">
      <w:pPr>
        <w:suppressAutoHyphens/>
        <w:ind w:left="567" w:hanging="567"/>
        <w:rPr>
          <w:noProof/>
          <w:szCs w:val="22"/>
        </w:rPr>
      </w:pPr>
      <w:r w:rsidRPr="0063119B">
        <w:rPr>
          <w:b/>
          <w:noProof/>
          <w:szCs w:val="22"/>
        </w:rPr>
        <w:t>4.</w:t>
      </w:r>
      <w:r w:rsidRPr="0063119B">
        <w:rPr>
          <w:b/>
          <w:noProof/>
          <w:szCs w:val="22"/>
        </w:rPr>
        <w:tab/>
        <w:t>INFORMAÇÕES CLÍNICAS</w:t>
      </w:r>
    </w:p>
    <w:p w14:paraId="2FFA90E9" w14:textId="77777777" w:rsidR="00337111" w:rsidRPr="0063119B" w:rsidRDefault="00337111" w:rsidP="00337111">
      <w:pPr>
        <w:suppressAutoHyphens/>
        <w:rPr>
          <w:noProof/>
          <w:szCs w:val="22"/>
        </w:rPr>
      </w:pPr>
    </w:p>
    <w:p w14:paraId="3A960C64" w14:textId="77777777" w:rsidR="00337111" w:rsidRPr="0063119B" w:rsidRDefault="00337111" w:rsidP="00337111">
      <w:pPr>
        <w:suppressAutoHyphens/>
        <w:ind w:left="567" w:hanging="567"/>
        <w:rPr>
          <w:noProof/>
          <w:szCs w:val="22"/>
        </w:rPr>
      </w:pPr>
      <w:r w:rsidRPr="0063119B">
        <w:rPr>
          <w:b/>
          <w:noProof/>
          <w:szCs w:val="22"/>
        </w:rPr>
        <w:t>4.1</w:t>
      </w:r>
      <w:r w:rsidRPr="0063119B">
        <w:rPr>
          <w:b/>
          <w:noProof/>
          <w:szCs w:val="22"/>
        </w:rPr>
        <w:tab/>
        <w:t>Indicações terapêuticas</w:t>
      </w:r>
    </w:p>
    <w:p w14:paraId="296638B0" w14:textId="77777777" w:rsidR="00337111" w:rsidRPr="0063119B" w:rsidRDefault="00337111" w:rsidP="00337111">
      <w:pPr>
        <w:suppressAutoHyphens/>
        <w:rPr>
          <w:noProof/>
          <w:szCs w:val="22"/>
        </w:rPr>
      </w:pPr>
    </w:p>
    <w:p w14:paraId="5199820A" w14:textId="77777777" w:rsidR="00337111" w:rsidRPr="0063119B" w:rsidRDefault="00337111" w:rsidP="00337111">
      <w:pPr>
        <w:suppressAutoHyphens/>
        <w:rPr>
          <w:noProof/>
          <w:szCs w:val="22"/>
        </w:rPr>
      </w:pPr>
      <w:r w:rsidRPr="0063119B">
        <w:rPr>
          <w:noProof/>
          <w:szCs w:val="22"/>
        </w:rPr>
        <w:t>Prevenção do tromboembolismo venoso (TEV) em doentes adultos submetidos a artroplastia eletiva da anca ou joelho.</w:t>
      </w:r>
    </w:p>
    <w:p w14:paraId="091EAC20" w14:textId="77777777" w:rsidR="00337111" w:rsidRPr="0063119B" w:rsidRDefault="00337111" w:rsidP="00337111">
      <w:pPr>
        <w:suppressAutoHyphens/>
        <w:rPr>
          <w:noProof/>
          <w:szCs w:val="22"/>
        </w:rPr>
      </w:pPr>
    </w:p>
    <w:p w14:paraId="78BE1014" w14:textId="77777777" w:rsidR="0051410B" w:rsidRPr="0063119B" w:rsidRDefault="0051410B" w:rsidP="00337111">
      <w:pPr>
        <w:suppressAutoHyphens/>
        <w:rPr>
          <w:noProof/>
          <w:szCs w:val="22"/>
        </w:rPr>
      </w:pPr>
      <w:r w:rsidRPr="0063119B">
        <w:rPr>
          <w:noProof/>
          <w:szCs w:val="22"/>
        </w:rPr>
        <w:t>Tratamento da trombose venosa profunda (TVP) e embolismo pulmonar (EP) e prevenção da TVP recorrente e EP em ad</w:t>
      </w:r>
      <w:r w:rsidR="004075A4" w:rsidRPr="0063119B">
        <w:rPr>
          <w:noProof/>
          <w:szCs w:val="22"/>
        </w:rPr>
        <w:t>ultos (Ver secção </w:t>
      </w:r>
      <w:r w:rsidRPr="0063119B">
        <w:rPr>
          <w:noProof/>
          <w:szCs w:val="22"/>
        </w:rPr>
        <w:t>4.4 para doentes com EP hemodinamicamente instáveis).</w:t>
      </w:r>
    </w:p>
    <w:p w14:paraId="2E7BC1E8" w14:textId="77777777" w:rsidR="0051410B" w:rsidRPr="0063119B" w:rsidRDefault="0051410B" w:rsidP="00337111">
      <w:pPr>
        <w:suppressAutoHyphens/>
        <w:rPr>
          <w:noProof/>
          <w:szCs w:val="22"/>
        </w:rPr>
      </w:pPr>
    </w:p>
    <w:p w14:paraId="5CCAB7D2" w14:textId="77777777" w:rsidR="00337111" w:rsidRPr="0063119B" w:rsidRDefault="00337111" w:rsidP="00337111">
      <w:pPr>
        <w:suppressAutoHyphens/>
        <w:ind w:left="567" w:hanging="567"/>
        <w:rPr>
          <w:noProof/>
          <w:szCs w:val="22"/>
        </w:rPr>
      </w:pPr>
      <w:r w:rsidRPr="0063119B">
        <w:rPr>
          <w:b/>
          <w:noProof/>
          <w:szCs w:val="22"/>
        </w:rPr>
        <w:t>4.2</w:t>
      </w:r>
      <w:r w:rsidRPr="0063119B">
        <w:rPr>
          <w:b/>
          <w:noProof/>
          <w:szCs w:val="22"/>
        </w:rPr>
        <w:tab/>
        <w:t>Posologia e modo de administração</w:t>
      </w:r>
    </w:p>
    <w:p w14:paraId="67FAEB9F" w14:textId="77777777" w:rsidR="00337111" w:rsidRPr="0063119B" w:rsidRDefault="00337111" w:rsidP="00337111">
      <w:pPr>
        <w:suppressAutoHyphens/>
        <w:rPr>
          <w:noProof/>
          <w:szCs w:val="22"/>
        </w:rPr>
      </w:pPr>
    </w:p>
    <w:p w14:paraId="202E2807" w14:textId="77777777" w:rsidR="00337111" w:rsidRPr="0063119B" w:rsidRDefault="00337111" w:rsidP="00337111">
      <w:pPr>
        <w:suppressAutoHyphens/>
        <w:rPr>
          <w:noProof/>
          <w:szCs w:val="22"/>
          <w:u w:val="single"/>
        </w:rPr>
      </w:pPr>
      <w:r w:rsidRPr="0063119B">
        <w:rPr>
          <w:noProof/>
          <w:szCs w:val="22"/>
          <w:u w:val="single"/>
        </w:rPr>
        <w:t>Posologia</w:t>
      </w:r>
    </w:p>
    <w:p w14:paraId="25C25249" w14:textId="77777777" w:rsidR="0051410B" w:rsidRPr="0063119B" w:rsidRDefault="0051410B" w:rsidP="00337111">
      <w:pPr>
        <w:suppressAutoHyphens/>
        <w:rPr>
          <w:noProof/>
          <w:szCs w:val="22"/>
        </w:rPr>
      </w:pPr>
    </w:p>
    <w:p w14:paraId="2ADB87C6" w14:textId="77777777" w:rsidR="0051410B" w:rsidRPr="0063119B" w:rsidRDefault="0051410B" w:rsidP="00337111">
      <w:pPr>
        <w:suppressAutoHyphens/>
        <w:rPr>
          <w:noProof/>
          <w:szCs w:val="22"/>
        </w:rPr>
      </w:pPr>
      <w:r w:rsidRPr="0063119B">
        <w:rPr>
          <w:i/>
          <w:szCs w:val="22"/>
        </w:rPr>
        <w:t>Prevenção do TEV em doentes adultos submetidos a art</w:t>
      </w:r>
      <w:r w:rsidR="004075A4" w:rsidRPr="0063119B">
        <w:rPr>
          <w:i/>
          <w:szCs w:val="22"/>
        </w:rPr>
        <w:t xml:space="preserve">roplastia eletiva da anca ou </w:t>
      </w:r>
      <w:r w:rsidRPr="0063119B">
        <w:rPr>
          <w:i/>
          <w:szCs w:val="22"/>
        </w:rPr>
        <w:t>joelho</w:t>
      </w:r>
    </w:p>
    <w:p w14:paraId="42F474D2" w14:textId="77777777" w:rsidR="00337111" w:rsidRPr="0063119B" w:rsidRDefault="00337111" w:rsidP="00337111">
      <w:pPr>
        <w:suppressAutoHyphens/>
        <w:rPr>
          <w:noProof/>
          <w:szCs w:val="22"/>
        </w:rPr>
      </w:pPr>
      <w:r w:rsidRPr="0063119B">
        <w:rPr>
          <w:noProof/>
          <w:szCs w:val="22"/>
        </w:rPr>
        <w:t>A posologia recomendada é de 10 mg de rivaroxabano, administrados, por via oral, uma vez ao dia. A posologia inicial deve ser administrada 6 a 10 horas após a cirurgia, desde que a hemostase tenha sido estabelecida.</w:t>
      </w:r>
    </w:p>
    <w:p w14:paraId="3732777A" w14:textId="77777777" w:rsidR="00337111" w:rsidRPr="0063119B" w:rsidRDefault="00337111" w:rsidP="00337111">
      <w:pPr>
        <w:suppressAutoHyphens/>
        <w:rPr>
          <w:noProof/>
          <w:szCs w:val="22"/>
        </w:rPr>
      </w:pPr>
    </w:p>
    <w:p w14:paraId="261E5F56" w14:textId="77777777" w:rsidR="00337111" w:rsidRPr="0063119B" w:rsidRDefault="00337111" w:rsidP="00337111">
      <w:pPr>
        <w:suppressAutoHyphens/>
        <w:rPr>
          <w:noProof/>
          <w:szCs w:val="22"/>
        </w:rPr>
      </w:pPr>
      <w:r w:rsidRPr="0063119B">
        <w:rPr>
          <w:noProof/>
          <w:szCs w:val="22"/>
        </w:rPr>
        <w:t>A duração do tratamento depende do risco individual do doente para tromboembolismo venoso, a qual é determinada pelo tipo de cirurgia ortopédica.</w:t>
      </w:r>
    </w:p>
    <w:p w14:paraId="763C1BD0" w14:textId="77777777" w:rsidR="00337111" w:rsidRPr="0063119B" w:rsidRDefault="00337111" w:rsidP="00FF261B">
      <w:pPr>
        <w:numPr>
          <w:ilvl w:val="0"/>
          <w:numId w:val="3"/>
        </w:numPr>
        <w:tabs>
          <w:tab w:val="clear" w:pos="783"/>
          <w:tab w:val="num" w:pos="709"/>
        </w:tabs>
        <w:suppressAutoHyphens/>
        <w:ind w:left="709" w:hanging="709"/>
        <w:rPr>
          <w:noProof/>
          <w:szCs w:val="22"/>
        </w:rPr>
      </w:pPr>
      <w:r w:rsidRPr="0063119B">
        <w:rPr>
          <w:noProof/>
          <w:szCs w:val="22"/>
        </w:rPr>
        <w:t>É recomendada uma duração de tratamento de 5 semanas em doentes submetidos a grande cirurgia da anca.</w:t>
      </w:r>
    </w:p>
    <w:p w14:paraId="7B03F5E4" w14:textId="77777777" w:rsidR="00337111" w:rsidRPr="0063119B" w:rsidRDefault="00337111" w:rsidP="00FF261B">
      <w:pPr>
        <w:numPr>
          <w:ilvl w:val="0"/>
          <w:numId w:val="3"/>
        </w:numPr>
        <w:tabs>
          <w:tab w:val="clear" w:pos="783"/>
          <w:tab w:val="num" w:pos="709"/>
        </w:tabs>
        <w:suppressAutoHyphens/>
        <w:ind w:left="709" w:hanging="709"/>
        <w:rPr>
          <w:noProof/>
          <w:szCs w:val="22"/>
        </w:rPr>
      </w:pPr>
      <w:r w:rsidRPr="0063119B">
        <w:rPr>
          <w:noProof/>
          <w:szCs w:val="22"/>
        </w:rPr>
        <w:t>É recomendada uma duração de tratamento de 2 semanas em doentes submetidos a grande cirurgia do joelho.</w:t>
      </w:r>
    </w:p>
    <w:p w14:paraId="61FD2B6E" w14:textId="77777777" w:rsidR="00337111" w:rsidRPr="0063119B" w:rsidRDefault="00337111" w:rsidP="00337111">
      <w:pPr>
        <w:suppressAutoHyphens/>
        <w:rPr>
          <w:noProof/>
          <w:szCs w:val="22"/>
        </w:rPr>
      </w:pPr>
    </w:p>
    <w:p w14:paraId="487801B0" w14:textId="77777777" w:rsidR="00337111" w:rsidRPr="0063119B" w:rsidRDefault="00337111" w:rsidP="00337111">
      <w:pPr>
        <w:suppressAutoHyphens/>
        <w:rPr>
          <w:noProof/>
          <w:szCs w:val="22"/>
        </w:rPr>
      </w:pPr>
      <w:r w:rsidRPr="0063119B">
        <w:rPr>
          <w:noProof/>
          <w:szCs w:val="22"/>
        </w:rPr>
        <w:t xml:space="preserve">Se for esquecida uma dose, o doente deverá tomar </w:t>
      </w:r>
      <w:r w:rsidR="00607DE4">
        <w:rPr>
          <w:noProof/>
          <w:szCs w:val="22"/>
        </w:rPr>
        <w:t>Rivaroxabano</w:t>
      </w:r>
      <w:r w:rsidR="001302EA" w:rsidRPr="0063119B">
        <w:rPr>
          <w:noProof/>
          <w:szCs w:val="22"/>
        </w:rPr>
        <w:t xml:space="preserve"> Accord</w:t>
      </w:r>
      <w:r w:rsidRPr="0063119B">
        <w:rPr>
          <w:noProof/>
          <w:szCs w:val="22"/>
        </w:rPr>
        <w:t xml:space="preserve"> imediatamente e depois continuar no dia seguinte com a toma uma vez ao dia, tal como anteriormente.</w:t>
      </w:r>
    </w:p>
    <w:p w14:paraId="3EE597E7" w14:textId="77777777" w:rsidR="004075A4" w:rsidRPr="0063119B" w:rsidRDefault="004075A4" w:rsidP="00337111">
      <w:pPr>
        <w:suppressAutoHyphens/>
        <w:rPr>
          <w:noProof/>
          <w:szCs w:val="22"/>
        </w:rPr>
      </w:pPr>
    </w:p>
    <w:p w14:paraId="09014007" w14:textId="77777777" w:rsidR="00077E46" w:rsidRPr="0063119B" w:rsidRDefault="00077E46" w:rsidP="00077E46">
      <w:pPr>
        <w:keepNext/>
        <w:rPr>
          <w:i/>
          <w:szCs w:val="22"/>
        </w:rPr>
      </w:pPr>
      <w:r w:rsidRPr="0063119B">
        <w:rPr>
          <w:i/>
          <w:szCs w:val="22"/>
        </w:rPr>
        <w:t>Tratamento da TVP, tratamento do EP e prevenção da</w:t>
      </w:r>
      <w:r w:rsidR="00125348" w:rsidRPr="0063119B">
        <w:rPr>
          <w:i/>
          <w:szCs w:val="22"/>
        </w:rPr>
        <w:t xml:space="preserve"> TVP e EP recorrentes</w:t>
      </w:r>
    </w:p>
    <w:p w14:paraId="10020E7C" w14:textId="77777777" w:rsidR="00337111" w:rsidRPr="0063119B" w:rsidRDefault="00077E46" w:rsidP="00077E46">
      <w:pPr>
        <w:suppressAutoHyphens/>
        <w:rPr>
          <w:szCs w:val="22"/>
        </w:rPr>
      </w:pPr>
      <w:r w:rsidRPr="0063119B">
        <w:rPr>
          <w:szCs w:val="22"/>
        </w:rPr>
        <w:t>A dose recomendada para o tratamento inicial da TVP aguda ou EP é de 15 mg duas vezes por dia durante as primeiras três semanas, seguida de 20 mg uma vez por dia para continuação do tratamento e prevenção da TVP recorrente e EP.</w:t>
      </w:r>
    </w:p>
    <w:p w14:paraId="39F25887" w14:textId="77777777" w:rsidR="00077E46" w:rsidRPr="0063119B" w:rsidRDefault="00077E46" w:rsidP="00077E46">
      <w:pPr>
        <w:suppressAutoHyphens/>
        <w:rPr>
          <w:szCs w:val="22"/>
        </w:rPr>
      </w:pPr>
    </w:p>
    <w:p w14:paraId="213B16B3" w14:textId="77777777" w:rsidR="00077E46" w:rsidRPr="0063119B" w:rsidRDefault="00077E46" w:rsidP="00077E46">
      <w:pPr>
        <w:suppressAutoHyphens/>
        <w:rPr>
          <w:szCs w:val="22"/>
        </w:rPr>
      </w:pPr>
      <w:r w:rsidRPr="0063119B">
        <w:rPr>
          <w:szCs w:val="22"/>
        </w:rPr>
        <w:lastRenderedPageBreak/>
        <w:t xml:space="preserve">Deve considerar-se uma terapêutica de curta duração (pelo menos 3 meses) em doentes com TVP ou EP provocados por fatores de riscos </w:t>
      </w:r>
      <w:r w:rsidR="00CD3E37" w:rsidRPr="0063119B">
        <w:rPr>
          <w:szCs w:val="22"/>
        </w:rPr>
        <w:t>principais</w:t>
      </w:r>
      <w:r w:rsidRPr="0063119B">
        <w:rPr>
          <w:szCs w:val="22"/>
        </w:rPr>
        <w:t>, transitórios (</w:t>
      </w:r>
      <w:r w:rsidR="001119B3" w:rsidRPr="0063119B">
        <w:rPr>
          <w:szCs w:val="22"/>
        </w:rPr>
        <w:t>ex.:</w:t>
      </w:r>
      <w:r w:rsidRPr="0063119B">
        <w:rPr>
          <w:szCs w:val="22"/>
        </w:rPr>
        <w:t xml:space="preserve"> </w:t>
      </w:r>
      <w:r w:rsidR="00260B98" w:rsidRPr="0063119B">
        <w:rPr>
          <w:szCs w:val="22"/>
        </w:rPr>
        <w:t>grande</w:t>
      </w:r>
      <w:r w:rsidR="00F140DF" w:rsidRPr="0063119B">
        <w:rPr>
          <w:szCs w:val="22"/>
        </w:rPr>
        <w:t xml:space="preserve"> </w:t>
      </w:r>
      <w:r w:rsidRPr="0063119B">
        <w:rPr>
          <w:szCs w:val="22"/>
        </w:rPr>
        <w:t xml:space="preserve">cirurgia ou trauma recentes). Deve considerar-se uma maior duração da terapêutica em doentes com TVP ou EP provocados, não relacionados com fatores de risco </w:t>
      </w:r>
      <w:r w:rsidR="00CD3E37" w:rsidRPr="0063119B">
        <w:rPr>
          <w:szCs w:val="22"/>
        </w:rPr>
        <w:t>principais</w:t>
      </w:r>
      <w:r w:rsidRPr="0063119B">
        <w:rPr>
          <w:szCs w:val="22"/>
        </w:rPr>
        <w:t>, transitórios, TVP ou EP não provocados ou antecedentes de TVP ou EP recorrente.</w:t>
      </w:r>
    </w:p>
    <w:p w14:paraId="72E29AD4" w14:textId="77777777" w:rsidR="0089135C" w:rsidRPr="0063119B" w:rsidRDefault="0089135C" w:rsidP="0089135C">
      <w:pPr>
        <w:rPr>
          <w:szCs w:val="22"/>
        </w:rPr>
      </w:pPr>
    </w:p>
    <w:p w14:paraId="7A5AB3FE" w14:textId="77777777" w:rsidR="0089135C" w:rsidRPr="0063119B" w:rsidRDefault="0089135C" w:rsidP="0089135C">
      <w:pPr>
        <w:rPr>
          <w:szCs w:val="22"/>
        </w:rPr>
      </w:pPr>
      <w:r w:rsidRPr="0063119B">
        <w:rPr>
          <w:szCs w:val="22"/>
        </w:rPr>
        <w:t>Quando há indicação para a extensão da p</w:t>
      </w:r>
      <w:r w:rsidRPr="0063119B">
        <w:rPr>
          <w:rFonts w:eastAsia="Malgun Gothic"/>
          <w:szCs w:val="22"/>
          <w:lang w:eastAsia="de-DE"/>
        </w:rPr>
        <w:t>revenção da TVP e EP recorrentes (depois de se completar, pelo menos, 6 meses de terapêutica para a TVP ou EP</w:t>
      </w:r>
      <w:r w:rsidRPr="0063119B">
        <w:rPr>
          <w:szCs w:val="22"/>
        </w:rPr>
        <w:t xml:space="preserve">), a dose recomendada é de 10 mg uma vez por dia. </w:t>
      </w:r>
      <w:r w:rsidR="00CD3E37" w:rsidRPr="0063119B">
        <w:rPr>
          <w:szCs w:val="22"/>
        </w:rPr>
        <w:t xml:space="preserve">Em </w:t>
      </w:r>
      <w:r w:rsidR="00DB218F" w:rsidRPr="0063119B">
        <w:rPr>
          <w:szCs w:val="22"/>
        </w:rPr>
        <w:t>doentes nos quais o</w:t>
      </w:r>
      <w:r w:rsidRPr="0063119B">
        <w:rPr>
          <w:rFonts w:eastAsia="Malgun Gothic"/>
          <w:szCs w:val="22"/>
          <w:lang w:eastAsia="de-DE"/>
        </w:rPr>
        <w:t xml:space="preserve"> ris</w:t>
      </w:r>
      <w:r w:rsidR="00DB218F" w:rsidRPr="0063119B">
        <w:rPr>
          <w:rFonts w:eastAsia="Malgun Gothic"/>
          <w:szCs w:val="22"/>
          <w:lang w:eastAsia="de-DE"/>
        </w:rPr>
        <w:t>c</w:t>
      </w:r>
      <w:r w:rsidRPr="0063119B">
        <w:rPr>
          <w:rFonts w:eastAsia="Malgun Gothic"/>
          <w:szCs w:val="22"/>
          <w:lang w:eastAsia="de-DE"/>
        </w:rPr>
        <w:t>o</w:t>
      </w:r>
      <w:r w:rsidR="00DB218F" w:rsidRPr="0063119B">
        <w:rPr>
          <w:rFonts w:eastAsia="Malgun Gothic"/>
          <w:szCs w:val="22"/>
          <w:lang w:eastAsia="de-DE"/>
        </w:rPr>
        <w:t xml:space="preserve"> de TVP ou EP </w:t>
      </w:r>
      <w:r w:rsidRPr="0063119B">
        <w:rPr>
          <w:rFonts w:eastAsia="Malgun Gothic"/>
          <w:szCs w:val="22"/>
          <w:lang w:eastAsia="de-DE"/>
        </w:rPr>
        <w:t>rec</w:t>
      </w:r>
      <w:r w:rsidR="00DB218F" w:rsidRPr="0063119B">
        <w:rPr>
          <w:rFonts w:eastAsia="Malgun Gothic"/>
          <w:szCs w:val="22"/>
          <w:lang w:eastAsia="de-DE"/>
        </w:rPr>
        <w:t>o</w:t>
      </w:r>
      <w:r w:rsidRPr="0063119B">
        <w:rPr>
          <w:rFonts w:eastAsia="Malgun Gothic"/>
          <w:szCs w:val="22"/>
          <w:lang w:eastAsia="de-DE"/>
        </w:rPr>
        <w:t>rrent</w:t>
      </w:r>
      <w:r w:rsidR="00DB218F" w:rsidRPr="0063119B">
        <w:rPr>
          <w:rFonts w:eastAsia="Malgun Gothic"/>
          <w:szCs w:val="22"/>
          <w:lang w:eastAsia="de-DE"/>
        </w:rPr>
        <w:t xml:space="preserve">e é considerado elevado, tal como naqueles com comorbilidades </w:t>
      </w:r>
      <w:r w:rsidRPr="0063119B">
        <w:rPr>
          <w:szCs w:val="22"/>
        </w:rPr>
        <w:t>complica</w:t>
      </w:r>
      <w:r w:rsidR="00DB218F" w:rsidRPr="0063119B">
        <w:rPr>
          <w:szCs w:val="22"/>
        </w:rPr>
        <w:t>das, ou que desenvolveram TVP ou EP</w:t>
      </w:r>
      <w:r w:rsidRPr="0063119B">
        <w:rPr>
          <w:szCs w:val="22"/>
        </w:rPr>
        <w:t xml:space="preserve"> rec</w:t>
      </w:r>
      <w:r w:rsidR="00DB218F" w:rsidRPr="0063119B">
        <w:rPr>
          <w:szCs w:val="22"/>
        </w:rPr>
        <w:t>o</w:t>
      </w:r>
      <w:r w:rsidRPr="0063119B">
        <w:rPr>
          <w:szCs w:val="22"/>
        </w:rPr>
        <w:t>rrent</w:t>
      </w:r>
      <w:r w:rsidR="00DB218F" w:rsidRPr="0063119B">
        <w:rPr>
          <w:szCs w:val="22"/>
        </w:rPr>
        <w:t>e durante a extensão da prevenção</w:t>
      </w:r>
      <w:r w:rsidR="00260B98" w:rsidRPr="0063119B">
        <w:rPr>
          <w:szCs w:val="22"/>
        </w:rPr>
        <w:t xml:space="preserve"> com </w:t>
      </w:r>
      <w:r w:rsidR="00607DE4">
        <w:rPr>
          <w:szCs w:val="22"/>
        </w:rPr>
        <w:t>Rivaroxabano</w:t>
      </w:r>
      <w:r w:rsidR="00DD77F1" w:rsidRPr="0063119B">
        <w:rPr>
          <w:szCs w:val="22"/>
        </w:rPr>
        <w:t xml:space="preserve"> Accord</w:t>
      </w:r>
      <w:r w:rsidR="00260B98" w:rsidRPr="0063119B">
        <w:rPr>
          <w:szCs w:val="22"/>
        </w:rPr>
        <w:t xml:space="preserve"> 10</w:t>
      </w:r>
      <w:r w:rsidR="001C0D7B" w:rsidRPr="0063119B">
        <w:rPr>
          <w:szCs w:val="22"/>
        </w:rPr>
        <w:t> </w:t>
      </w:r>
      <w:r w:rsidR="00260B98" w:rsidRPr="0063119B">
        <w:rPr>
          <w:szCs w:val="22"/>
        </w:rPr>
        <w:t>mg uma vez por dia</w:t>
      </w:r>
      <w:r w:rsidR="00CD3E37" w:rsidRPr="0063119B">
        <w:rPr>
          <w:szCs w:val="22"/>
        </w:rPr>
        <w:t>, deve considerar-se  uma dose de 20 mg</w:t>
      </w:r>
      <w:r w:rsidR="001302EA" w:rsidRPr="0063119B">
        <w:rPr>
          <w:szCs w:val="22"/>
        </w:rPr>
        <w:t xml:space="preserve"> de rivaroxabano</w:t>
      </w:r>
      <w:r w:rsidR="00CD3E37" w:rsidRPr="0063119B">
        <w:rPr>
          <w:szCs w:val="22"/>
        </w:rPr>
        <w:t>, uma vez por dia</w:t>
      </w:r>
      <w:r w:rsidR="00A37B5A">
        <w:rPr>
          <w:szCs w:val="22"/>
        </w:rPr>
        <w:t>.</w:t>
      </w:r>
    </w:p>
    <w:p w14:paraId="04B81695" w14:textId="77777777" w:rsidR="0089135C" w:rsidRPr="0063119B" w:rsidRDefault="0089135C" w:rsidP="0089135C">
      <w:pPr>
        <w:rPr>
          <w:szCs w:val="22"/>
        </w:rPr>
      </w:pPr>
    </w:p>
    <w:p w14:paraId="2546F69F" w14:textId="77777777" w:rsidR="0089135C" w:rsidRPr="0063119B" w:rsidRDefault="00DB218F" w:rsidP="0089135C">
      <w:pPr>
        <w:rPr>
          <w:szCs w:val="22"/>
        </w:rPr>
      </w:pPr>
      <w:r w:rsidRPr="0063119B">
        <w:rPr>
          <w:szCs w:val="22"/>
        </w:rPr>
        <w:t>A</w:t>
      </w:r>
      <w:r w:rsidR="0089135C" w:rsidRPr="0063119B">
        <w:rPr>
          <w:szCs w:val="22"/>
        </w:rPr>
        <w:t xml:space="preserve"> dura</w:t>
      </w:r>
      <w:r w:rsidRPr="0063119B">
        <w:rPr>
          <w:szCs w:val="22"/>
        </w:rPr>
        <w:t>ção da t</w:t>
      </w:r>
      <w:r w:rsidR="0089135C" w:rsidRPr="0063119B">
        <w:rPr>
          <w:szCs w:val="22"/>
        </w:rPr>
        <w:t>erap</w:t>
      </w:r>
      <w:r w:rsidRPr="0063119B">
        <w:rPr>
          <w:szCs w:val="22"/>
        </w:rPr>
        <w:t>êutica e a seleção da</w:t>
      </w:r>
      <w:r w:rsidR="0089135C" w:rsidRPr="0063119B">
        <w:rPr>
          <w:szCs w:val="22"/>
        </w:rPr>
        <w:t xml:space="preserve"> dose </w:t>
      </w:r>
      <w:r w:rsidRPr="0063119B">
        <w:rPr>
          <w:szCs w:val="22"/>
        </w:rPr>
        <w:t>devem ser</w:t>
      </w:r>
      <w:r w:rsidR="0089135C" w:rsidRPr="0063119B">
        <w:rPr>
          <w:szCs w:val="22"/>
        </w:rPr>
        <w:t xml:space="preserve"> individuali</w:t>
      </w:r>
      <w:r w:rsidRPr="0063119B">
        <w:rPr>
          <w:szCs w:val="22"/>
        </w:rPr>
        <w:t>zadas após cuidadosa avaliação do benefício do</w:t>
      </w:r>
      <w:r w:rsidR="007A34AB" w:rsidRPr="0063119B">
        <w:rPr>
          <w:szCs w:val="22"/>
        </w:rPr>
        <w:t xml:space="preserve"> tr</w:t>
      </w:r>
      <w:r w:rsidR="0089135C" w:rsidRPr="0063119B">
        <w:rPr>
          <w:szCs w:val="22"/>
        </w:rPr>
        <w:t>at</w:t>
      </w:r>
      <w:r w:rsidR="007A34AB" w:rsidRPr="0063119B">
        <w:rPr>
          <w:szCs w:val="22"/>
        </w:rPr>
        <w:t>a</w:t>
      </w:r>
      <w:r w:rsidR="0089135C" w:rsidRPr="0063119B">
        <w:rPr>
          <w:szCs w:val="22"/>
        </w:rPr>
        <w:t>ment</w:t>
      </w:r>
      <w:r w:rsidR="007A34AB" w:rsidRPr="0063119B">
        <w:rPr>
          <w:szCs w:val="22"/>
        </w:rPr>
        <w:t>o</w:t>
      </w:r>
      <w:r w:rsidR="0089135C" w:rsidRPr="0063119B">
        <w:rPr>
          <w:szCs w:val="22"/>
        </w:rPr>
        <w:t xml:space="preserve"> </w:t>
      </w:r>
      <w:r w:rsidRPr="0063119B">
        <w:rPr>
          <w:szCs w:val="22"/>
        </w:rPr>
        <w:t>em relação ao risco de hemorragia</w:t>
      </w:r>
      <w:r w:rsidR="0089135C" w:rsidRPr="0063119B">
        <w:rPr>
          <w:szCs w:val="22"/>
        </w:rPr>
        <w:t xml:space="preserve"> (</w:t>
      </w:r>
      <w:r w:rsidRPr="0063119B">
        <w:rPr>
          <w:szCs w:val="22"/>
        </w:rPr>
        <w:t>ver</w:t>
      </w:r>
      <w:r w:rsidR="0089135C" w:rsidRPr="0063119B">
        <w:rPr>
          <w:szCs w:val="22"/>
        </w:rPr>
        <w:t xml:space="preserve"> sec</w:t>
      </w:r>
      <w:r w:rsidRPr="0063119B">
        <w:rPr>
          <w:szCs w:val="22"/>
        </w:rPr>
        <w:t>ção</w:t>
      </w:r>
      <w:r w:rsidR="0089135C" w:rsidRPr="0063119B">
        <w:rPr>
          <w:szCs w:val="22"/>
        </w:rPr>
        <w:t> 4.4)</w:t>
      </w:r>
      <w:r w:rsidR="006D2317" w:rsidRPr="0063119B">
        <w:rPr>
          <w:szCs w:val="22"/>
        </w:rPr>
        <w:t>.</w:t>
      </w:r>
    </w:p>
    <w:p w14:paraId="2E6FF6D9" w14:textId="77777777" w:rsidR="0089135C" w:rsidRPr="0063119B" w:rsidRDefault="0089135C" w:rsidP="0089135C">
      <w:pPr>
        <w:tabs>
          <w:tab w:val="left" w:pos="708"/>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89135C" w:rsidRPr="0063119B" w14:paraId="49A165A4" w14:textId="77777777" w:rsidTr="00B52F36">
        <w:trPr>
          <w:trHeight w:val="315"/>
        </w:trPr>
        <w:tc>
          <w:tcPr>
            <w:tcW w:w="2339" w:type="dxa"/>
          </w:tcPr>
          <w:p w14:paraId="185DA871" w14:textId="77777777" w:rsidR="0089135C" w:rsidRPr="0063119B" w:rsidRDefault="0089135C" w:rsidP="00B52F36">
            <w:pPr>
              <w:spacing w:line="260" w:lineRule="exact"/>
              <w:rPr>
                <w:szCs w:val="22"/>
              </w:rPr>
            </w:pPr>
          </w:p>
        </w:tc>
        <w:tc>
          <w:tcPr>
            <w:tcW w:w="2371" w:type="dxa"/>
          </w:tcPr>
          <w:p w14:paraId="5C13C713" w14:textId="77777777" w:rsidR="0089135C" w:rsidRPr="0063119B" w:rsidRDefault="0089135C" w:rsidP="00DB218F">
            <w:pPr>
              <w:spacing w:line="260" w:lineRule="exact"/>
              <w:rPr>
                <w:szCs w:val="22"/>
              </w:rPr>
            </w:pPr>
            <w:r w:rsidRPr="0063119B">
              <w:rPr>
                <w:szCs w:val="22"/>
              </w:rPr>
              <w:t>Per</w:t>
            </w:r>
            <w:r w:rsidR="00DB218F" w:rsidRPr="0063119B">
              <w:rPr>
                <w:szCs w:val="22"/>
              </w:rPr>
              <w:t>í</w:t>
            </w:r>
            <w:r w:rsidRPr="0063119B">
              <w:rPr>
                <w:szCs w:val="22"/>
              </w:rPr>
              <w:t>od</w:t>
            </w:r>
            <w:r w:rsidR="00DB218F" w:rsidRPr="0063119B">
              <w:rPr>
                <w:szCs w:val="22"/>
              </w:rPr>
              <w:t>o de tempo</w:t>
            </w:r>
          </w:p>
        </w:tc>
        <w:tc>
          <w:tcPr>
            <w:tcW w:w="2371" w:type="dxa"/>
          </w:tcPr>
          <w:p w14:paraId="7DC8FD70" w14:textId="77777777" w:rsidR="0089135C" w:rsidRPr="0063119B" w:rsidRDefault="00DB218F" w:rsidP="00DB218F">
            <w:pPr>
              <w:spacing w:line="260" w:lineRule="exact"/>
              <w:rPr>
                <w:szCs w:val="22"/>
              </w:rPr>
            </w:pPr>
            <w:r w:rsidRPr="0063119B">
              <w:rPr>
                <w:szCs w:val="22"/>
              </w:rPr>
              <w:t>Esquema posológico</w:t>
            </w:r>
          </w:p>
        </w:tc>
        <w:tc>
          <w:tcPr>
            <w:tcW w:w="2143" w:type="dxa"/>
          </w:tcPr>
          <w:p w14:paraId="22AFB437" w14:textId="77777777" w:rsidR="0089135C" w:rsidRPr="0063119B" w:rsidRDefault="00DB218F" w:rsidP="00DB218F">
            <w:pPr>
              <w:spacing w:line="260" w:lineRule="exact"/>
              <w:rPr>
                <w:szCs w:val="22"/>
              </w:rPr>
            </w:pPr>
            <w:r w:rsidRPr="0063119B">
              <w:rPr>
                <w:szCs w:val="22"/>
              </w:rPr>
              <w:t>Dose diária t</w:t>
            </w:r>
            <w:r w:rsidR="0089135C" w:rsidRPr="0063119B">
              <w:rPr>
                <w:szCs w:val="22"/>
              </w:rPr>
              <w:t>otal</w:t>
            </w:r>
          </w:p>
        </w:tc>
      </w:tr>
      <w:tr w:rsidR="0089135C" w:rsidRPr="0063119B" w14:paraId="6348721C" w14:textId="77777777" w:rsidTr="00B52F36">
        <w:trPr>
          <w:trHeight w:val="575"/>
        </w:trPr>
        <w:tc>
          <w:tcPr>
            <w:tcW w:w="2339" w:type="dxa"/>
            <w:vMerge w:val="restart"/>
          </w:tcPr>
          <w:p w14:paraId="4FC51F3E" w14:textId="77777777" w:rsidR="0089135C" w:rsidRPr="0063119B" w:rsidRDefault="00DB218F" w:rsidP="00DB218F">
            <w:pPr>
              <w:spacing w:line="260" w:lineRule="exact"/>
              <w:rPr>
                <w:szCs w:val="22"/>
              </w:rPr>
            </w:pPr>
            <w:r w:rsidRPr="0063119B">
              <w:rPr>
                <w:szCs w:val="22"/>
              </w:rPr>
              <w:t>Tr</w:t>
            </w:r>
            <w:r w:rsidR="0089135C" w:rsidRPr="0063119B">
              <w:rPr>
                <w:szCs w:val="22"/>
              </w:rPr>
              <w:t>at</w:t>
            </w:r>
            <w:r w:rsidRPr="0063119B">
              <w:rPr>
                <w:szCs w:val="22"/>
              </w:rPr>
              <w:t>a</w:t>
            </w:r>
            <w:r w:rsidR="0089135C" w:rsidRPr="0063119B">
              <w:rPr>
                <w:szCs w:val="22"/>
              </w:rPr>
              <w:t>ment</w:t>
            </w:r>
            <w:r w:rsidRPr="0063119B">
              <w:rPr>
                <w:szCs w:val="22"/>
              </w:rPr>
              <w:t xml:space="preserve">o e </w:t>
            </w:r>
            <w:r w:rsidR="0089135C" w:rsidRPr="0063119B">
              <w:rPr>
                <w:szCs w:val="22"/>
              </w:rPr>
              <w:t>preven</w:t>
            </w:r>
            <w:r w:rsidRPr="0063119B">
              <w:rPr>
                <w:szCs w:val="22"/>
              </w:rPr>
              <w:t>ção da TVP e EP</w:t>
            </w:r>
            <w:r w:rsidR="007A34AB" w:rsidRPr="0063119B">
              <w:rPr>
                <w:szCs w:val="22"/>
              </w:rPr>
              <w:t xml:space="preserve"> recorrentes</w:t>
            </w:r>
          </w:p>
        </w:tc>
        <w:tc>
          <w:tcPr>
            <w:tcW w:w="2371" w:type="dxa"/>
          </w:tcPr>
          <w:p w14:paraId="584C5F1F" w14:textId="77777777" w:rsidR="0089135C" w:rsidRPr="0063119B" w:rsidRDefault="0089135C" w:rsidP="00DB218F">
            <w:pPr>
              <w:spacing w:line="260" w:lineRule="exact"/>
              <w:rPr>
                <w:szCs w:val="22"/>
              </w:rPr>
            </w:pPr>
            <w:r w:rsidRPr="0063119B">
              <w:rPr>
                <w:szCs w:val="22"/>
              </w:rPr>
              <w:t>D</w:t>
            </w:r>
            <w:r w:rsidR="00DB218F" w:rsidRPr="0063119B">
              <w:rPr>
                <w:szCs w:val="22"/>
              </w:rPr>
              <w:t>i</w:t>
            </w:r>
            <w:r w:rsidRPr="0063119B">
              <w:rPr>
                <w:szCs w:val="22"/>
              </w:rPr>
              <w:t>a</w:t>
            </w:r>
            <w:r w:rsidR="00DB218F" w:rsidRPr="0063119B">
              <w:rPr>
                <w:szCs w:val="22"/>
              </w:rPr>
              <w:t> </w:t>
            </w:r>
            <w:r w:rsidRPr="0063119B">
              <w:rPr>
                <w:szCs w:val="22"/>
              </w:rPr>
              <w:t>1-21</w:t>
            </w:r>
          </w:p>
        </w:tc>
        <w:tc>
          <w:tcPr>
            <w:tcW w:w="2371" w:type="dxa"/>
          </w:tcPr>
          <w:p w14:paraId="04E9FAB0" w14:textId="77777777" w:rsidR="0089135C" w:rsidRPr="0063119B" w:rsidRDefault="0089135C" w:rsidP="00226BAA">
            <w:pPr>
              <w:spacing w:line="260" w:lineRule="exact"/>
              <w:rPr>
                <w:szCs w:val="22"/>
              </w:rPr>
            </w:pPr>
            <w:r w:rsidRPr="0063119B">
              <w:rPr>
                <w:szCs w:val="22"/>
              </w:rPr>
              <w:t xml:space="preserve">15 mg </w:t>
            </w:r>
            <w:r w:rsidR="00DB218F" w:rsidRPr="0063119B">
              <w:rPr>
                <w:szCs w:val="22"/>
              </w:rPr>
              <w:t>duas vezes por dia</w:t>
            </w:r>
            <w:r w:rsidRPr="0063119B">
              <w:rPr>
                <w:szCs w:val="22"/>
              </w:rPr>
              <w:t xml:space="preserve"> </w:t>
            </w:r>
          </w:p>
        </w:tc>
        <w:tc>
          <w:tcPr>
            <w:tcW w:w="2143" w:type="dxa"/>
          </w:tcPr>
          <w:p w14:paraId="1F42DDEC" w14:textId="77777777" w:rsidR="0089135C" w:rsidRPr="0063119B" w:rsidRDefault="0089135C" w:rsidP="00B52F36">
            <w:pPr>
              <w:spacing w:line="260" w:lineRule="exact"/>
              <w:rPr>
                <w:szCs w:val="22"/>
              </w:rPr>
            </w:pPr>
            <w:r w:rsidRPr="0063119B">
              <w:rPr>
                <w:szCs w:val="22"/>
              </w:rPr>
              <w:t>30 mg</w:t>
            </w:r>
          </w:p>
        </w:tc>
      </w:tr>
      <w:tr w:rsidR="0089135C" w:rsidRPr="0063119B" w14:paraId="27BB6006" w14:textId="77777777" w:rsidTr="0056664B">
        <w:trPr>
          <w:trHeight w:val="417"/>
        </w:trPr>
        <w:tc>
          <w:tcPr>
            <w:tcW w:w="2339" w:type="dxa"/>
            <w:vMerge/>
          </w:tcPr>
          <w:p w14:paraId="6D4E9208" w14:textId="77777777" w:rsidR="0089135C" w:rsidRPr="0063119B" w:rsidRDefault="0089135C" w:rsidP="00B52F36">
            <w:pPr>
              <w:spacing w:line="260" w:lineRule="exact"/>
              <w:rPr>
                <w:szCs w:val="22"/>
              </w:rPr>
            </w:pPr>
          </w:p>
        </w:tc>
        <w:tc>
          <w:tcPr>
            <w:tcW w:w="2371" w:type="dxa"/>
          </w:tcPr>
          <w:p w14:paraId="7A453264" w14:textId="77777777" w:rsidR="0089135C" w:rsidRPr="0063119B" w:rsidRDefault="0089135C" w:rsidP="00226BAA">
            <w:pPr>
              <w:spacing w:line="260" w:lineRule="exact"/>
              <w:rPr>
                <w:szCs w:val="22"/>
              </w:rPr>
            </w:pPr>
            <w:r w:rsidRPr="0063119B">
              <w:rPr>
                <w:szCs w:val="22"/>
              </w:rPr>
              <w:t>D</w:t>
            </w:r>
            <w:r w:rsidR="00DB218F" w:rsidRPr="0063119B">
              <w:rPr>
                <w:szCs w:val="22"/>
              </w:rPr>
              <w:t>i</w:t>
            </w:r>
            <w:r w:rsidRPr="0063119B">
              <w:rPr>
                <w:szCs w:val="22"/>
              </w:rPr>
              <w:t>a</w:t>
            </w:r>
            <w:r w:rsidR="00DB218F" w:rsidRPr="0063119B">
              <w:rPr>
                <w:szCs w:val="22"/>
              </w:rPr>
              <w:t> </w:t>
            </w:r>
            <w:r w:rsidRPr="0063119B">
              <w:rPr>
                <w:szCs w:val="22"/>
              </w:rPr>
              <w:t xml:space="preserve">22 </w:t>
            </w:r>
            <w:r w:rsidR="00DB218F" w:rsidRPr="0063119B">
              <w:rPr>
                <w:szCs w:val="22"/>
              </w:rPr>
              <w:t>e</w:t>
            </w:r>
            <w:r w:rsidR="007A34AB" w:rsidRPr="0063119B">
              <w:rPr>
                <w:szCs w:val="22"/>
              </w:rPr>
              <w:t xml:space="preserve"> seguintes</w:t>
            </w:r>
          </w:p>
        </w:tc>
        <w:tc>
          <w:tcPr>
            <w:tcW w:w="2371" w:type="dxa"/>
          </w:tcPr>
          <w:p w14:paraId="4BAB1F56" w14:textId="77777777" w:rsidR="0089135C" w:rsidRPr="0063119B" w:rsidRDefault="0089135C" w:rsidP="00A82450">
            <w:pPr>
              <w:spacing w:line="260" w:lineRule="exact"/>
              <w:rPr>
                <w:szCs w:val="22"/>
              </w:rPr>
            </w:pPr>
            <w:r w:rsidRPr="0063119B">
              <w:rPr>
                <w:szCs w:val="22"/>
              </w:rPr>
              <w:t xml:space="preserve">20 mg </w:t>
            </w:r>
            <w:r w:rsidR="00DB218F" w:rsidRPr="0063119B">
              <w:rPr>
                <w:szCs w:val="22"/>
              </w:rPr>
              <w:t>uma vez por dia</w:t>
            </w:r>
          </w:p>
        </w:tc>
        <w:tc>
          <w:tcPr>
            <w:tcW w:w="2143" w:type="dxa"/>
          </w:tcPr>
          <w:p w14:paraId="7EDE0D91" w14:textId="77777777" w:rsidR="0089135C" w:rsidRPr="0063119B" w:rsidRDefault="0089135C" w:rsidP="000E5393">
            <w:pPr>
              <w:spacing w:line="260" w:lineRule="exact"/>
              <w:rPr>
                <w:szCs w:val="22"/>
              </w:rPr>
            </w:pPr>
            <w:r w:rsidRPr="0063119B">
              <w:rPr>
                <w:szCs w:val="22"/>
              </w:rPr>
              <w:t>20 mg</w:t>
            </w:r>
          </w:p>
        </w:tc>
      </w:tr>
      <w:tr w:rsidR="0089135C" w:rsidRPr="0063119B" w14:paraId="31829D8D" w14:textId="77777777" w:rsidTr="00B52F36">
        <w:trPr>
          <w:trHeight w:val="814"/>
        </w:trPr>
        <w:tc>
          <w:tcPr>
            <w:tcW w:w="2339" w:type="dxa"/>
          </w:tcPr>
          <w:p w14:paraId="5A5F92D4" w14:textId="77777777" w:rsidR="0089135C" w:rsidRPr="0063119B" w:rsidRDefault="0089135C" w:rsidP="00DB218F">
            <w:pPr>
              <w:spacing w:line="260" w:lineRule="exact"/>
              <w:rPr>
                <w:szCs w:val="22"/>
              </w:rPr>
            </w:pPr>
            <w:r w:rsidRPr="0063119B">
              <w:rPr>
                <w:szCs w:val="22"/>
              </w:rPr>
              <w:t>P</w:t>
            </w:r>
            <w:r w:rsidR="00DB218F" w:rsidRPr="0063119B">
              <w:rPr>
                <w:szCs w:val="22"/>
              </w:rPr>
              <w:t>revenção da TVP e EP reco</w:t>
            </w:r>
            <w:r w:rsidRPr="0063119B">
              <w:rPr>
                <w:szCs w:val="22"/>
              </w:rPr>
              <w:t>rrent</w:t>
            </w:r>
            <w:r w:rsidR="00DB218F" w:rsidRPr="0063119B">
              <w:rPr>
                <w:szCs w:val="22"/>
              </w:rPr>
              <w:t>es</w:t>
            </w:r>
          </w:p>
        </w:tc>
        <w:tc>
          <w:tcPr>
            <w:tcW w:w="2371" w:type="dxa"/>
          </w:tcPr>
          <w:p w14:paraId="1F90C840" w14:textId="77777777" w:rsidR="0089135C" w:rsidRPr="0063119B" w:rsidRDefault="00DB218F" w:rsidP="00DB218F">
            <w:pPr>
              <w:spacing w:line="260" w:lineRule="exact"/>
              <w:rPr>
                <w:szCs w:val="22"/>
              </w:rPr>
            </w:pPr>
            <w:r w:rsidRPr="0063119B">
              <w:rPr>
                <w:szCs w:val="22"/>
              </w:rPr>
              <w:t>Depois de se ter completado, pelo menos, 6 meses de terapêutica para a TVP ou EP</w:t>
            </w:r>
          </w:p>
        </w:tc>
        <w:tc>
          <w:tcPr>
            <w:tcW w:w="2371" w:type="dxa"/>
          </w:tcPr>
          <w:p w14:paraId="105F150C" w14:textId="77777777" w:rsidR="0089135C" w:rsidRPr="0063119B" w:rsidRDefault="0089135C" w:rsidP="00B52F36">
            <w:pPr>
              <w:spacing w:line="260" w:lineRule="exact"/>
              <w:rPr>
                <w:szCs w:val="22"/>
              </w:rPr>
            </w:pPr>
            <w:r w:rsidRPr="0063119B">
              <w:rPr>
                <w:szCs w:val="22"/>
              </w:rPr>
              <w:t xml:space="preserve">10 mg </w:t>
            </w:r>
            <w:r w:rsidR="00DB218F" w:rsidRPr="0063119B">
              <w:rPr>
                <w:szCs w:val="22"/>
              </w:rPr>
              <w:t>uma vez por dia ou</w:t>
            </w:r>
          </w:p>
          <w:p w14:paraId="2AB72003" w14:textId="77777777" w:rsidR="0089135C" w:rsidRPr="0063119B" w:rsidRDefault="0089135C" w:rsidP="00DB218F">
            <w:pPr>
              <w:spacing w:line="260" w:lineRule="exact"/>
              <w:rPr>
                <w:szCs w:val="22"/>
              </w:rPr>
            </w:pPr>
            <w:r w:rsidRPr="0063119B">
              <w:rPr>
                <w:szCs w:val="22"/>
              </w:rPr>
              <w:t xml:space="preserve">20 mg </w:t>
            </w:r>
            <w:r w:rsidR="00DB218F" w:rsidRPr="0063119B">
              <w:rPr>
                <w:szCs w:val="22"/>
              </w:rPr>
              <w:t>uma vez por dia</w:t>
            </w:r>
          </w:p>
        </w:tc>
        <w:tc>
          <w:tcPr>
            <w:tcW w:w="2143" w:type="dxa"/>
          </w:tcPr>
          <w:p w14:paraId="4E53E4D6" w14:textId="77777777" w:rsidR="0089135C" w:rsidRPr="0063119B" w:rsidRDefault="0089135C" w:rsidP="00B52F36">
            <w:pPr>
              <w:spacing w:line="260" w:lineRule="exact"/>
              <w:rPr>
                <w:szCs w:val="22"/>
              </w:rPr>
            </w:pPr>
            <w:r w:rsidRPr="0063119B">
              <w:rPr>
                <w:szCs w:val="22"/>
              </w:rPr>
              <w:t>10 </w:t>
            </w:r>
            <w:r w:rsidR="006D2317" w:rsidRPr="0063119B">
              <w:rPr>
                <w:szCs w:val="22"/>
              </w:rPr>
              <w:t>mg</w:t>
            </w:r>
          </w:p>
          <w:p w14:paraId="037EC61B" w14:textId="77777777" w:rsidR="0089135C" w:rsidRPr="0063119B" w:rsidRDefault="00DB218F" w:rsidP="00B52F36">
            <w:pPr>
              <w:spacing w:line="260" w:lineRule="exact"/>
              <w:rPr>
                <w:szCs w:val="22"/>
              </w:rPr>
            </w:pPr>
            <w:r w:rsidRPr="0063119B">
              <w:rPr>
                <w:szCs w:val="22"/>
              </w:rPr>
              <w:t>ou</w:t>
            </w:r>
            <w:r w:rsidR="0089135C" w:rsidRPr="0063119B">
              <w:rPr>
                <w:szCs w:val="22"/>
              </w:rPr>
              <w:t xml:space="preserve"> 20 mg</w:t>
            </w:r>
          </w:p>
        </w:tc>
      </w:tr>
    </w:tbl>
    <w:p w14:paraId="7AE2F659" w14:textId="77777777" w:rsidR="0089135C" w:rsidRPr="0063119B" w:rsidRDefault="0089135C" w:rsidP="0089135C">
      <w:pPr>
        <w:rPr>
          <w:szCs w:val="22"/>
        </w:rPr>
      </w:pPr>
    </w:p>
    <w:p w14:paraId="7011A326" w14:textId="77777777" w:rsidR="0089135C" w:rsidRPr="0063119B" w:rsidRDefault="0089135C" w:rsidP="0089135C">
      <w:pPr>
        <w:rPr>
          <w:szCs w:val="22"/>
        </w:rPr>
      </w:pPr>
      <w:r w:rsidRPr="0063119B">
        <w:rPr>
          <w:szCs w:val="22"/>
        </w:rPr>
        <w:t xml:space="preserve">Está disponível uma embalagem de tratamento inicial de </w:t>
      </w:r>
      <w:r w:rsidR="00607DE4">
        <w:rPr>
          <w:szCs w:val="22"/>
        </w:rPr>
        <w:t>Rivaroxabano</w:t>
      </w:r>
      <w:r w:rsidR="001302EA" w:rsidRPr="0063119B">
        <w:rPr>
          <w:szCs w:val="22"/>
        </w:rPr>
        <w:t xml:space="preserve"> Accord</w:t>
      </w:r>
      <w:r w:rsidRPr="0063119B">
        <w:rPr>
          <w:szCs w:val="22"/>
        </w:rPr>
        <w:t xml:space="preserve"> para 4 semanas de modo a facilitar a alteração de dose de 15 mg para 20 mg após o Dia </w:t>
      </w:r>
      <w:r w:rsidR="00DB218F" w:rsidRPr="0063119B">
        <w:rPr>
          <w:szCs w:val="22"/>
        </w:rPr>
        <w:t>21 no tratamento da</w:t>
      </w:r>
      <w:r w:rsidRPr="0063119B">
        <w:rPr>
          <w:szCs w:val="22"/>
        </w:rPr>
        <w:t xml:space="preserve"> TVP/EP.</w:t>
      </w:r>
    </w:p>
    <w:p w14:paraId="6FACDB84" w14:textId="77777777" w:rsidR="0089135C" w:rsidRPr="0063119B" w:rsidRDefault="0089135C" w:rsidP="0089135C">
      <w:pPr>
        <w:rPr>
          <w:szCs w:val="22"/>
        </w:rPr>
      </w:pPr>
    </w:p>
    <w:p w14:paraId="556E5AC0" w14:textId="77777777" w:rsidR="0089135C" w:rsidRPr="0063119B" w:rsidRDefault="0089135C" w:rsidP="0089135C">
      <w:pPr>
        <w:rPr>
          <w:szCs w:val="22"/>
        </w:rPr>
      </w:pPr>
      <w:r w:rsidRPr="0063119B">
        <w:rPr>
          <w:szCs w:val="22"/>
        </w:rPr>
        <w:t>No caso de esquecimento de uma dose durante a fase de tratamento de 15 mg duas vezes por dia (dia 1 </w:t>
      </w:r>
      <w:r w:rsidR="00977720" w:rsidRPr="0063119B">
        <w:rPr>
          <w:szCs w:val="22"/>
        </w:rPr>
        <w:t>-</w:t>
      </w:r>
      <w:r w:rsidRPr="0063119B">
        <w:rPr>
          <w:szCs w:val="22"/>
        </w:rPr>
        <w:t xml:space="preserve"> 21), o doente deve tomar imediatamente </w:t>
      </w:r>
      <w:r w:rsidR="00607DE4">
        <w:rPr>
          <w:szCs w:val="22"/>
        </w:rPr>
        <w:t>Rivaroxabano</w:t>
      </w:r>
      <w:r w:rsidR="001302EA" w:rsidRPr="0063119B">
        <w:rPr>
          <w:szCs w:val="22"/>
        </w:rPr>
        <w:t xml:space="preserve"> Accord</w:t>
      </w:r>
      <w:r w:rsidRPr="0063119B">
        <w:rPr>
          <w:szCs w:val="22"/>
        </w:rPr>
        <w:t xml:space="preserve"> para assegurar a toma de 30 mg de </w:t>
      </w:r>
      <w:r w:rsidR="001302EA" w:rsidRPr="0063119B">
        <w:rPr>
          <w:szCs w:val="22"/>
        </w:rPr>
        <w:t xml:space="preserve">rivaroxabano </w:t>
      </w:r>
      <w:r w:rsidRPr="0063119B">
        <w:rPr>
          <w:szCs w:val="22"/>
        </w:rPr>
        <w:t>por dia. Neste caso podem tomar</w:t>
      </w:r>
      <w:r w:rsidRPr="0063119B">
        <w:rPr>
          <w:szCs w:val="22"/>
        </w:rPr>
        <w:noBreakHyphen/>
        <w:t>se dois comprimidos de 15 mg ao mesmo tempo. O doente deve continuar no dia seguint</w:t>
      </w:r>
      <w:r w:rsidR="004075A4" w:rsidRPr="0063119B">
        <w:rPr>
          <w:szCs w:val="22"/>
        </w:rPr>
        <w:t>e a toma diária e regular de 15 </w:t>
      </w:r>
      <w:r w:rsidRPr="0063119B">
        <w:rPr>
          <w:szCs w:val="22"/>
        </w:rPr>
        <w:t>mg duas vezes por dia, conforme recomendado.</w:t>
      </w:r>
    </w:p>
    <w:p w14:paraId="059C6513" w14:textId="77777777" w:rsidR="006D2317" w:rsidRPr="0063119B" w:rsidRDefault="006D2317" w:rsidP="0089135C">
      <w:pPr>
        <w:rPr>
          <w:szCs w:val="22"/>
        </w:rPr>
      </w:pPr>
    </w:p>
    <w:p w14:paraId="5BDE3DE7" w14:textId="77777777" w:rsidR="006D2317" w:rsidRPr="0063119B" w:rsidRDefault="006D2317" w:rsidP="006D2317">
      <w:pPr>
        <w:rPr>
          <w:szCs w:val="22"/>
        </w:rPr>
      </w:pPr>
      <w:r w:rsidRPr="0063119B">
        <w:rPr>
          <w:szCs w:val="22"/>
        </w:rPr>
        <w:t xml:space="preserve">No caso de esquecimento de uma dose durante a fase de tratamento de uma toma diária, o doente deve tomar imediatamente </w:t>
      </w:r>
      <w:r w:rsidR="00607DE4">
        <w:rPr>
          <w:szCs w:val="22"/>
        </w:rPr>
        <w:t>Rivaroxabano</w:t>
      </w:r>
      <w:r w:rsidR="001302EA" w:rsidRPr="0063119B">
        <w:rPr>
          <w:szCs w:val="22"/>
        </w:rPr>
        <w:t xml:space="preserve"> Accord</w:t>
      </w:r>
      <w:r w:rsidRPr="0063119B">
        <w:rPr>
          <w:szCs w:val="22"/>
        </w:rPr>
        <w:t xml:space="preserve"> e continuar no dia seguinte com a toma diária, conforme recomendado. Não deve ser tomada uma dose a dobrar no mesmo dia para compensar uma dose esquecida.</w:t>
      </w:r>
    </w:p>
    <w:p w14:paraId="77F9A300" w14:textId="77777777" w:rsidR="00077E46" w:rsidRPr="0063119B" w:rsidRDefault="00077E46" w:rsidP="00077E46">
      <w:pPr>
        <w:suppressAutoHyphens/>
        <w:rPr>
          <w:noProof/>
          <w:szCs w:val="22"/>
        </w:rPr>
      </w:pPr>
    </w:p>
    <w:p w14:paraId="3EEF4045" w14:textId="77777777" w:rsidR="00337111" w:rsidRPr="0063119B" w:rsidRDefault="00337111" w:rsidP="00337111">
      <w:pPr>
        <w:rPr>
          <w:szCs w:val="22"/>
        </w:rPr>
      </w:pPr>
      <w:r w:rsidRPr="0063119B">
        <w:rPr>
          <w:i/>
          <w:szCs w:val="22"/>
        </w:rPr>
        <w:t xml:space="preserve">Passagem de </w:t>
      </w:r>
      <w:r w:rsidR="001302EA" w:rsidRPr="0063119B">
        <w:rPr>
          <w:i/>
          <w:szCs w:val="22"/>
        </w:rPr>
        <w:t>a</w:t>
      </w:r>
      <w:r w:rsidRPr="0063119B">
        <w:rPr>
          <w:i/>
          <w:szCs w:val="22"/>
        </w:rPr>
        <w:t xml:space="preserve">ntagonistas da Vitamina K (AVK) para </w:t>
      </w:r>
      <w:r w:rsidR="001302EA" w:rsidRPr="0063119B">
        <w:rPr>
          <w:i/>
          <w:szCs w:val="22"/>
        </w:rPr>
        <w:t>rivaroxabano</w:t>
      </w:r>
    </w:p>
    <w:p w14:paraId="7B8167E9" w14:textId="77777777" w:rsidR="00DB218F" w:rsidRPr="0063119B" w:rsidRDefault="00DB218F" w:rsidP="00337111">
      <w:pPr>
        <w:rPr>
          <w:iCs/>
          <w:szCs w:val="22"/>
        </w:rPr>
      </w:pPr>
      <w:r w:rsidRPr="0063119B">
        <w:rPr>
          <w:iCs/>
          <w:szCs w:val="22"/>
        </w:rPr>
        <w:t xml:space="preserve">Em doentes tratados para a TVP, EP e prevenção de recorrências, o tratamento com AVK deve ser interrompido e a terapêutica com </w:t>
      </w:r>
      <w:r w:rsidR="00607DE4">
        <w:rPr>
          <w:iCs/>
          <w:szCs w:val="22"/>
        </w:rPr>
        <w:t>Rivaroxabano</w:t>
      </w:r>
      <w:r w:rsidR="001302EA" w:rsidRPr="0063119B">
        <w:rPr>
          <w:iCs/>
          <w:szCs w:val="22"/>
        </w:rPr>
        <w:t xml:space="preserve"> Accord</w:t>
      </w:r>
      <w:r w:rsidRPr="0063119B">
        <w:rPr>
          <w:iCs/>
          <w:szCs w:val="22"/>
        </w:rPr>
        <w:t xml:space="preserve"> deve ser iniciada quando o INR for ≤ 2,5.</w:t>
      </w:r>
    </w:p>
    <w:p w14:paraId="2E7C5579" w14:textId="77777777" w:rsidR="00DB218F" w:rsidRPr="0063119B" w:rsidRDefault="00DB218F" w:rsidP="00337111">
      <w:pPr>
        <w:rPr>
          <w:szCs w:val="22"/>
        </w:rPr>
      </w:pPr>
    </w:p>
    <w:p w14:paraId="72E7D84C" w14:textId="77777777" w:rsidR="00337111" w:rsidRPr="0063119B" w:rsidRDefault="00337111" w:rsidP="00337111">
      <w:pPr>
        <w:rPr>
          <w:szCs w:val="22"/>
        </w:rPr>
      </w:pPr>
      <w:r w:rsidRPr="0063119B">
        <w:rPr>
          <w:szCs w:val="22"/>
        </w:rPr>
        <w:t xml:space="preserve">Durante a passagem de doentes de AVK para </w:t>
      </w:r>
      <w:bookmarkStart w:id="1" w:name="_Hlk49014404"/>
      <w:r w:rsidR="001302EA" w:rsidRPr="0063119B">
        <w:rPr>
          <w:szCs w:val="22"/>
        </w:rPr>
        <w:t>rivaroxabano</w:t>
      </w:r>
      <w:bookmarkEnd w:id="1"/>
      <w:r w:rsidRPr="0063119B">
        <w:rPr>
          <w:szCs w:val="22"/>
        </w:rPr>
        <w:t xml:space="preserve">, os valores do </w:t>
      </w:r>
      <w:r w:rsidR="006D12FA" w:rsidRPr="0063119B">
        <w:rPr>
          <w:i/>
          <w:iCs/>
          <w:szCs w:val="22"/>
        </w:rPr>
        <w:t>International Normali</w:t>
      </w:r>
      <w:r w:rsidR="00977720" w:rsidRPr="0063119B">
        <w:rPr>
          <w:i/>
          <w:iCs/>
          <w:szCs w:val="22"/>
        </w:rPr>
        <w:t>s</w:t>
      </w:r>
      <w:r w:rsidR="006D12FA" w:rsidRPr="0063119B">
        <w:rPr>
          <w:i/>
          <w:iCs/>
          <w:szCs w:val="22"/>
        </w:rPr>
        <w:t>ed Ratio</w:t>
      </w:r>
      <w:r w:rsidR="006D12FA" w:rsidRPr="0063119B">
        <w:rPr>
          <w:szCs w:val="22"/>
        </w:rPr>
        <w:t xml:space="preserve"> (</w:t>
      </w:r>
      <w:r w:rsidRPr="0063119B">
        <w:rPr>
          <w:szCs w:val="22"/>
        </w:rPr>
        <w:t>INR</w:t>
      </w:r>
      <w:r w:rsidR="006D12FA" w:rsidRPr="0063119B">
        <w:rPr>
          <w:szCs w:val="22"/>
        </w:rPr>
        <w:t>)</w:t>
      </w:r>
      <w:r w:rsidRPr="0063119B">
        <w:rPr>
          <w:szCs w:val="22"/>
        </w:rPr>
        <w:t xml:space="preserve"> estarão falsamente elevados após a toma de </w:t>
      </w:r>
      <w:r w:rsidR="001302EA" w:rsidRPr="0063119B">
        <w:rPr>
          <w:szCs w:val="22"/>
        </w:rPr>
        <w:t>rivaroxabano</w:t>
      </w:r>
      <w:r w:rsidRPr="0063119B">
        <w:rPr>
          <w:szCs w:val="22"/>
        </w:rPr>
        <w:t xml:space="preserve">. O INR não é uma medida válida para determinar a atividade anticoagulante de </w:t>
      </w:r>
      <w:r w:rsidR="001302EA" w:rsidRPr="0063119B">
        <w:rPr>
          <w:szCs w:val="22"/>
        </w:rPr>
        <w:t>rivaroxabano</w:t>
      </w:r>
      <w:r w:rsidRPr="0063119B">
        <w:rPr>
          <w:szCs w:val="22"/>
        </w:rPr>
        <w:t xml:space="preserve"> e, portanto, não deve ser utilizada (ver secção 4.5).</w:t>
      </w:r>
    </w:p>
    <w:p w14:paraId="4361D78A" w14:textId="77777777" w:rsidR="00337111" w:rsidRPr="0063119B" w:rsidRDefault="00337111" w:rsidP="00337111">
      <w:pPr>
        <w:rPr>
          <w:szCs w:val="22"/>
        </w:rPr>
      </w:pPr>
    </w:p>
    <w:p w14:paraId="1B96B3C2" w14:textId="77777777" w:rsidR="00337111" w:rsidRPr="0063119B" w:rsidRDefault="00337111" w:rsidP="003345A8">
      <w:pPr>
        <w:keepNext/>
        <w:rPr>
          <w:szCs w:val="22"/>
        </w:rPr>
      </w:pPr>
      <w:r w:rsidRPr="0063119B">
        <w:rPr>
          <w:i/>
          <w:szCs w:val="22"/>
        </w:rPr>
        <w:t xml:space="preserve">Passagem de </w:t>
      </w:r>
      <w:r w:rsidR="001302EA" w:rsidRPr="0063119B">
        <w:rPr>
          <w:i/>
          <w:szCs w:val="22"/>
        </w:rPr>
        <w:t xml:space="preserve">rivaroxabano </w:t>
      </w:r>
      <w:r w:rsidRPr="0063119B">
        <w:rPr>
          <w:i/>
          <w:szCs w:val="22"/>
        </w:rPr>
        <w:t xml:space="preserve">para os </w:t>
      </w:r>
      <w:r w:rsidR="001302EA" w:rsidRPr="0063119B">
        <w:rPr>
          <w:i/>
          <w:szCs w:val="22"/>
        </w:rPr>
        <w:t>a</w:t>
      </w:r>
      <w:r w:rsidRPr="0063119B">
        <w:rPr>
          <w:i/>
          <w:szCs w:val="22"/>
        </w:rPr>
        <w:t>ntagonistas da Vitamina K (AVK)</w:t>
      </w:r>
    </w:p>
    <w:p w14:paraId="7F7ADF28" w14:textId="77777777" w:rsidR="00337111" w:rsidRPr="0063119B" w:rsidRDefault="00337111" w:rsidP="00337111">
      <w:pPr>
        <w:rPr>
          <w:szCs w:val="22"/>
        </w:rPr>
      </w:pPr>
      <w:r w:rsidRPr="0063119B">
        <w:rPr>
          <w:szCs w:val="22"/>
        </w:rPr>
        <w:t xml:space="preserve">Existe um potencial de anticoagulação inadequado durante a transição de </w:t>
      </w:r>
      <w:r w:rsidR="001302EA" w:rsidRPr="0063119B">
        <w:rPr>
          <w:szCs w:val="22"/>
        </w:rPr>
        <w:t>rivaroxabano</w:t>
      </w:r>
      <w:r w:rsidRPr="0063119B">
        <w:rPr>
          <w:szCs w:val="22"/>
        </w:rPr>
        <w:t xml:space="preserve"> para os AVK. Deve ser assegurada uma anticoagulação contínua adequada durante a transição para um anticoagulante alternativo. Deve salientar-se que </w:t>
      </w:r>
      <w:r w:rsidR="001302EA" w:rsidRPr="0063119B">
        <w:rPr>
          <w:szCs w:val="22"/>
        </w:rPr>
        <w:t xml:space="preserve">o rivaroxabano </w:t>
      </w:r>
      <w:r w:rsidRPr="0063119B">
        <w:rPr>
          <w:szCs w:val="22"/>
        </w:rPr>
        <w:t>pode contribuir para um INR elevado.</w:t>
      </w:r>
    </w:p>
    <w:p w14:paraId="27CFFEE3" w14:textId="77777777" w:rsidR="00A37B5A" w:rsidRDefault="00337111" w:rsidP="00337111">
      <w:pPr>
        <w:rPr>
          <w:szCs w:val="22"/>
        </w:rPr>
      </w:pPr>
      <w:r w:rsidRPr="0063119B">
        <w:rPr>
          <w:szCs w:val="22"/>
        </w:rPr>
        <w:t xml:space="preserve">Em doentes que passam de </w:t>
      </w:r>
      <w:r w:rsidR="001302EA" w:rsidRPr="0063119B">
        <w:rPr>
          <w:szCs w:val="22"/>
        </w:rPr>
        <w:t>rivaroxabano</w:t>
      </w:r>
      <w:r w:rsidRPr="0063119B">
        <w:rPr>
          <w:szCs w:val="22"/>
        </w:rPr>
        <w:t xml:space="preserve"> para um AVK, o AVK deve ser administrado simultaneamente até o INR ser ≥</w:t>
      </w:r>
      <w:r w:rsidRPr="0063119B">
        <w:rPr>
          <w:rFonts w:eastAsia="MS Mincho"/>
          <w:szCs w:val="22"/>
          <w:lang w:eastAsia="ja-JP"/>
        </w:rPr>
        <w:t> </w:t>
      </w:r>
      <w:r w:rsidRPr="0063119B">
        <w:rPr>
          <w:szCs w:val="22"/>
        </w:rPr>
        <w:t xml:space="preserve">2,0. </w:t>
      </w:r>
    </w:p>
    <w:p w14:paraId="71721FF5" w14:textId="77777777" w:rsidR="00337111" w:rsidRPr="0063119B" w:rsidRDefault="00337111" w:rsidP="00337111">
      <w:pPr>
        <w:rPr>
          <w:szCs w:val="22"/>
        </w:rPr>
      </w:pPr>
      <w:r w:rsidRPr="0063119B">
        <w:rPr>
          <w:szCs w:val="22"/>
        </w:rPr>
        <w:lastRenderedPageBreak/>
        <w:t>Durante os dois primeiros dias do período de passagem, deve utilizar-se a dose inicial padrão do AVK, seguida de uma dose do AVK</w:t>
      </w:r>
      <w:r w:rsidR="00592D51" w:rsidRPr="0063119B">
        <w:rPr>
          <w:szCs w:val="22"/>
        </w:rPr>
        <w:t>, com</w:t>
      </w:r>
      <w:r w:rsidRPr="0063119B">
        <w:rPr>
          <w:szCs w:val="22"/>
        </w:rPr>
        <w:t xml:space="preserve"> base nas determinações do INR. Enquanto os doentes estiverem a tomar simultaneamente </w:t>
      </w:r>
      <w:r w:rsidR="001302EA" w:rsidRPr="0063119B">
        <w:rPr>
          <w:szCs w:val="22"/>
        </w:rPr>
        <w:t xml:space="preserve">o rivaroxabano </w:t>
      </w:r>
      <w:r w:rsidRPr="0063119B">
        <w:rPr>
          <w:szCs w:val="22"/>
        </w:rPr>
        <w:t>e o AVK, o INR não deve ser determinado antes das 24</w:t>
      </w:r>
      <w:r w:rsidRPr="0063119B">
        <w:rPr>
          <w:rFonts w:eastAsia="MS Mincho"/>
          <w:szCs w:val="22"/>
          <w:lang w:eastAsia="ja-JP"/>
        </w:rPr>
        <w:t> </w:t>
      </w:r>
      <w:r w:rsidRPr="0063119B">
        <w:rPr>
          <w:szCs w:val="22"/>
        </w:rPr>
        <w:t xml:space="preserve">horas após a dose precedente de </w:t>
      </w:r>
      <w:r w:rsidR="001302EA" w:rsidRPr="0063119B">
        <w:rPr>
          <w:szCs w:val="22"/>
        </w:rPr>
        <w:t>rivaroxabano</w:t>
      </w:r>
      <w:r w:rsidRPr="0063119B">
        <w:rPr>
          <w:szCs w:val="22"/>
        </w:rPr>
        <w:t xml:space="preserve"> e antes da dose seguinte. Assim que </w:t>
      </w:r>
      <w:r w:rsidR="00607DE4">
        <w:rPr>
          <w:szCs w:val="22"/>
        </w:rPr>
        <w:t>Rivaroxabano</w:t>
      </w:r>
      <w:r w:rsidR="001302EA" w:rsidRPr="0063119B">
        <w:rPr>
          <w:szCs w:val="22"/>
        </w:rPr>
        <w:t xml:space="preserve"> Accord</w:t>
      </w:r>
      <w:r w:rsidRPr="0063119B">
        <w:rPr>
          <w:szCs w:val="22"/>
        </w:rPr>
        <w:t xml:space="preserve"> for interrompido, a determinação do INR pode ser efetuada com fiabilidade pelo menos 24 horas após a última dose (ver secções 4.5 e</w:t>
      </w:r>
      <w:r w:rsidR="00E44822" w:rsidRPr="0063119B">
        <w:rPr>
          <w:szCs w:val="22"/>
        </w:rPr>
        <w:t> </w:t>
      </w:r>
      <w:r w:rsidRPr="0063119B">
        <w:rPr>
          <w:szCs w:val="22"/>
        </w:rPr>
        <w:t>5.2).</w:t>
      </w:r>
    </w:p>
    <w:p w14:paraId="4240DD82" w14:textId="77777777" w:rsidR="00337111" w:rsidRPr="0063119B" w:rsidRDefault="00337111" w:rsidP="00337111">
      <w:pPr>
        <w:rPr>
          <w:szCs w:val="22"/>
        </w:rPr>
      </w:pPr>
    </w:p>
    <w:p w14:paraId="4D7EA675" w14:textId="77777777" w:rsidR="00337111" w:rsidRPr="0063119B" w:rsidRDefault="00337111" w:rsidP="00337111">
      <w:pPr>
        <w:rPr>
          <w:szCs w:val="22"/>
        </w:rPr>
      </w:pPr>
      <w:r w:rsidRPr="0063119B">
        <w:rPr>
          <w:i/>
          <w:szCs w:val="22"/>
        </w:rPr>
        <w:t xml:space="preserve">Passagem de anticoagulantes parentéricos para </w:t>
      </w:r>
      <w:r w:rsidR="001302EA" w:rsidRPr="0063119B">
        <w:rPr>
          <w:i/>
          <w:szCs w:val="22"/>
        </w:rPr>
        <w:t>rivaroxabano</w:t>
      </w:r>
    </w:p>
    <w:p w14:paraId="0EC4B55E" w14:textId="77777777" w:rsidR="00337111" w:rsidRPr="0063119B" w:rsidRDefault="00337111" w:rsidP="00337111">
      <w:pPr>
        <w:rPr>
          <w:szCs w:val="22"/>
        </w:rPr>
      </w:pPr>
      <w:r w:rsidRPr="0063119B">
        <w:rPr>
          <w:szCs w:val="22"/>
        </w:rPr>
        <w:t xml:space="preserve">Em doentes atualmente a serem tratados com um anticoagulante parentérico, </w:t>
      </w:r>
      <w:r w:rsidR="00586E8E" w:rsidRPr="0063119B">
        <w:rPr>
          <w:szCs w:val="22"/>
        </w:rPr>
        <w:t xml:space="preserve">interromper o anticoagulante parentérico e iniciar </w:t>
      </w:r>
      <w:r w:rsidR="001C0D7B" w:rsidRPr="0063119B">
        <w:rPr>
          <w:szCs w:val="22"/>
        </w:rPr>
        <w:t xml:space="preserve">o </w:t>
      </w:r>
      <w:r w:rsidR="001302EA" w:rsidRPr="0063119B">
        <w:rPr>
          <w:szCs w:val="22"/>
        </w:rPr>
        <w:t>rivaroxabano</w:t>
      </w:r>
      <w:r w:rsidRPr="0063119B">
        <w:rPr>
          <w:szCs w:val="22"/>
        </w:rPr>
        <w:t xml:space="preserve"> 0 a 2</w:t>
      </w:r>
      <w:r w:rsidRPr="0063119B">
        <w:rPr>
          <w:rFonts w:eastAsia="MS Mincho"/>
          <w:bCs/>
          <w:szCs w:val="22"/>
          <w:lang w:eastAsia="ja-JP"/>
        </w:rPr>
        <w:t> </w:t>
      </w:r>
      <w:r w:rsidRPr="0063119B">
        <w:rPr>
          <w:szCs w:val="22"/>
        </w:rPr>
        <w:t xml:space="preserve">horas antes da hora prevista para a administração seguinte do medicamento parentérico (ex.: </w:t>
      </w:r>
      <w:r w:rsidR="006D12FA" w:rsidRPr="0063119B">
        <w:rPr>
          <w:szCs w:val="22"/>
        </w:rPr>
        <w:t>heparinas de baixo peso molecular</w:t>
      </w:r>
      <w:r w:rsidRPr="0063119B">
        <w:rPr>
          <w:szCs w:val="22"/>
        </w:rPr>
        <w:t>) ou na altura da interrupção de um medicamento parentérico em administração contínua (ex.: heparina não fracionada intravenosa).</w:t>
      </w:r>
    </w:p>
    <w:p w14:paraId="2B6E88FA" w14:textId="77777777" w:rsidR="00337111" w:rsidRPr="0063119B" w:rsidRDefault="00337111" w:rsidP="00337111">
      <w:pPr>
        <w:rPr>
          <w:szCs w:val="22"/>
        </w:rPr>
      </w:pPr>
    </w:p>
    <w:p w14:paraId="4A89B0A4" w14:textId="77777777" w:rsidR="00337111" w:rsidRPr="0063119B" w:rsidRDefault="00337111" w:rsidP="00337111">
      <w:pPr>
        <w:rPr>
          <w:szCs w:val="22"/>
        </w:rPr>
      </w:pPr>
      <w:r w:rsidRPr="0063119B">
        <w:rPr>
          <w:i/>
          <w:szCs w:val="22"/>
        </w:rPr>
        <w:t xml:space="preserve">Passagem de </w:t>
      </w:r>
      <w:r w:rsidR="001302EA" w:rsidRPr="0063119B">
        <w:rPr>
          <w:i/>
          <w:szCs w:val="22"/>
        </w:rPr>
        <w:t xml:space="preserve">rivaroxabano </w:t>
      </w:r>
      <w:r w:rsidRPr="0063119B">
        <w:rPr>
          <w:i/>
          <w:szCs w:val="22"/>
        </w:rPr>
        <w:t>para anticoagulantes parentéricos</w:t>
      </w:r>
    </w:p>
    <w:p w14:paraId="1F4A6AE8" w14:textId="77777777" w:rsidR="00337111" w:rsidRPr="0063119B" w:rsidRDefault="00337111" w:rsidP="00337111">
      <w:pPr>
        <w:rPr>
          <w:szCs w:val="22"/>
        </w:rPr>
      </w:pPr>
      <w:r w:rsidRPr="0063119B">
        <w:rPr>
          <w:szCs w:val="22"/>
        </w:rPr>
        <w:t xml:space="preserve">Administrar a primeira dose do anticoagulante parentérico na altura em que deve ser tomada a dose seguinte de </w:t>
      </w:r>
      <w:r w:rsidR="001302EA" w:rsidRPr="0063119B">
        <w:rPr>
          <w:szCs w:val="22"/>
        </w:rPr>
        <w:t>rivaroxabano</w:t>
      </w:r>
      <w:r w:rsidRPr="0063119B">
        <w:rPr>
          <w:szCs w:val="22"/>
        </w:rPr>
        <w:t>.</w:t>
      </w:r>
    </w:p>
    <w:p w14:paraId="04F40C45" w14:textId="77777777" w:rsidR="00337111" w:rsidRPr="0063119B" w:rsidRDefault="00337111" w:rsidP="00337111">
      <w:pPr>
        <w:rPr>
          <w:szCs w:val="22"/>
        </w:rPr>
      </w:pPr>
    </w:p>
    <w:p w14:paraId="21875935" w14:textId="77777777" w:rsidR="00337111" w:rsidRDefault="00337111" w:rsidP="00337111">
      <w:pPr>
        <w:suppressAutoHyphens/>
        <w:rPr>
          <w:szCs w:val="22"/>
          <w:u w:val="single"/>
        </w:rPr>
      </w:pPr>
      <w:r w:rsidRPr="0063119B">
        <w:rPr>
          <w:szCs w:val="22"/>
          <w:u w:val="single"/>
        </w:rPr>
        <w:t>Populações especiais</w:t>
      </w:r>
    </w:p>
    <w:p w14:paraId="60760B30" w14:textId="77777777" w:rsidR="00847124" w:rsidRPr="0063119B" w:rsidRDefault="00847124" w:rsidP="00337111">
      <w:pPr>
        <w:suppressAutoHyphens/>
        <w:rPr>
          <w:noProof/>
          <w:szCs w:val="22"/>
        </w:rPr>
      </w:pPr>
    </w:p>
    <w:p w14:paraId="2B980E79" w14:textId="77777777" w:rsidR="00337111" w:rsidRPr="0063119B" w:rsidRDefault="00337111" w:rsidP="00337111">
      <w:pPr>
        <w:suppressAutoHyphens/>
        <w:rPr>
          <w:i/>
          <w:noProof/>
          <w:szCs w:val="22"/>
        </w:rPr>
      </w:pPr>
      <w:r w:rsidRPr="0063119B">
        <w:rPr>
          <w:i/>
          <w:noProof/>
          <w:szCs w:val="22"/>
        </w:rPr>
        <w:t>Compromisso renal</w:t>
      </w:r>
    </w:p>
    <w:p w14:paraId="0370103A" w14:textId="77777777" w:rsidR="006D12FA" w:rsidRPr="0063119B" w:rsidRDefault="006D12FA" w:rsidP="006D12FA">
      <w:pPr>
        <w:suppressAutoHyphens/>
        <w:rPr>
          <w:noProof/>
          <w:szCs w:val="22"/>
        </w:rPr>
      </w:pPr>
      <w:r w:rsidRPr="0063119B">
        <w:rPr>
          <w:noProof/>
          <w:szCs w:val="22"/>
        </w:rPr>
        <w:t>Dados clínicos limitados em doentes com compromisso renal grave (taxa de depuração da creatinina 15</w:t>
      </w:r>
      <w:r w:rsidR="00257771" w:rsidRPr="0063119B">
        <w:rPr>
          <w:noProof/>
          <w:szCs w:val="22"/>
        </w:rPr>
        <w:t> </w:t>
      </w:r>
      <w:r w:rsidRPr="0063119B">
        <w:rPr>
          <w:noProof/>
          <w:szCs w:val="22"/>
        </w:rPr>
        <w:t>-</w:t>
      </w:r>
      <w:r w:rsidR="00257771" w:rsidRPr="0063119B">
        <w:rPr>
          <w:noProof/>
          <w:szCs w:val="22"/>
        </w:rPr>
        <w:t> </w:t>
      </w:r>
      <w:r w:rsidRPr="0063119B">
        <w:rPr>
          <w:noProof/>
          <w:szCs w:val="22"/>
        </w:rPr>
        <w:t>29 ml/min) indicam que as concentrações plasmáticas de rivaroxabano estão significativamente aumentadas</w:t>
      </w:r>
      <w:r w:rsidR="00E44822" w:rsidRPr="0063119B">
        <w:rPr>
          <w:noProof/>
          <w:szCs w:val="22"/>
        </w:rPr>
        <w:t xml:space="preserve">. </w:t>
      </w:r>
      <w:r w:rsidR="008E2385" w:rsidRPr="0063119B">
        <w:rPr>
          <w:noProof/>
          <w:szCs w:val="22"/>
        </w:rPr>
        <w:t>Assim</w:t>
      </w:r>
      <w:r w:rsidRPr="0063119B">
        <w:rPr>
          <w:noProof/>
          <w:szCs w:val="22"/>
        </w:rPr>
        <w:t xml:space="preserve">, </w:t>
      </w:r>
      <w:r w:rsidR="00607DE4">
        <w:rPr>
          <w:noProof/>
          <w:szCs w:val="22"/>
        </w:rPr>
        <w:t>Rivaroxabano</w:t>
      </w:r>
      <w:r w:rsidR="001302EA" w:rsidRPr="0063119B">
        <w:rPr>
          <w:noProof/>
          <w:szCs w:val="22"/>
        </w:rPr>
        <w:t xml:space="preserve"> Accord</w:t>
      </w:r>
      <w:r w:rsidRPr="0063119B">
        <w:rPr>
          <w:noProof/>
          <w:szCs w:val="22"/>
        </w:rPr>
        <w:t xml:space="preserve"> deve ser utilizado com precaução nestes doentes. Não é recomendada a utilização em doentes com taxa de depuração da creatinina &lt; 15 ml/min (ver secções 4.4 e 5.2).</w:t>
      </w:r>
    </w:p>
    <w:p w14:paraId="7D2B337E" w14:textId="77777777" w:rsidR="00CB550C" w:rsidRPr="0063119B" w:rsidRDefault="00CB550C" w:rsidP="006D12FA">
      <w:pPr>
        <w:suppressAutoHyphens/>
        <w:rPr>
          <w:noProof/>
          <w:szCs w:val="22"/>
        </w:rPr>
      </w:pPr>
    </w:p>
    <w:p w14:paraId="7D637257" w14:textId="77777777" w:rsidR="00337111" w:rsidRPr="0063119B" w:rsidRDefault="00CB550C" w:rsidP="003804C7">
      <w:pPr>
        <w:tabs>
          <w:tab w:val="left" w:pos="567"/>
        </w:tabs>
        <w:suppressAutoHyphens/>
        <w:ind w:left="567" w:hanging="567"/>
        <w:rPr>
          <w:noProof/>
          <w:szCs w:val="22"/>
        </w:rPr>
      </w:pPr>
      <w:r w:rsidRPr="0063119B">
        <w:rPr>
          <w:szCs w:val="22"/>
        </w:rPr>
        <w:t>-</w:t>
      </w:r>
      <w:r w:rsidRPr="0063119B">
        <w:rPr>
          <w:szCs w:val="22"/>
        </w:rPr>
        <w:tab/>
        <w:t xml:space="preserve">Para a prevenção do TEV em doentes adultos submetidos a artroplastia eletiva da anca ou joelho, </w:t>
      </w:r>
      <w:r w:rsidRPr="0063119B">
        <w:rPr>
          <w:noProof/>
          <w:szCs w:val="22"/>
        </w:rPr>
        <w:t>n</w:t>
      </w:r>
      <w:r w:rsidR="00337111" w:rsidRPr="0063119B">
        <w:rPr>
          <w:noProof/>
          <w:szCs w:val="22"/>
        </w:rPr>
        <w:t>ão é necessário ajuste posológico em doentes com compromisso renal ligeiro (taxa de depuração da creatinina 50</w:t>
      </w:r>
      <w:r w:rsidR="0046533F" w:rsidRPr="0063119B">
        <w:rPr>
          <w:noProof/>
          <w:szCs w:val="22"/>
        </w:rPr>
        <w:t> </w:t>
      </w:r>
      <w:r w:rsidR="00337111" w:rsidRPr="0063119B">
        <w:rPr>
          <w:noProof/>
          <w:szCs w:val="22"/>
        </w:rPr>
        <w:t>-</w:t>
      </w:r>
      <w:r w:rsidR="0046533F" w:rsidRPr="0063119B">
        <w:rPr>
          <w:noProof/>
          <w:szCs w:val="22"/>
        </w:rPr>
        <w:t> </w:t>
      </w:r>
      <w:r w:rsidR="00337111" w:rsidRPr="0063119B">
        <w:rPr>
          <w:noProof/>
          <w:szCs w:val="22"/>
        </w:rPr>
        <w:t>80</w:t>
      </w:r>
      <w:r w:rsidR="0046533F" w:rsidRPr="0063119B">
        <w:rPr>
          <w:noProof/>
          <w:szCs w:val="22"/>
        </w:rPr>
        <w:t> </w:t>
      </w:r>
      <w:r w:rsidR="00337111" w:rsidRPr="0063119B">
        <w:rPr>
          <w:noProof/>
          <w:szCs w:val="22"/>
        </w:rPr>
        <w:t>ml/min) ou compromisso renal moderado (taxa de depuração da creatinina 30</w:t>
      </w:r>
      <w:r w:rsidR="0046533F" w:rsidRPr="0063119B">
        <w:rPr>
          <w:noProof/>
          <w:szCs w:val="22"/>
        </w:rPr>
        <w:t> </w:t>
      </w:r>
      <w:r w:rsidR="00337111" w:rsidRPr="0063119B">
        <w:rPr>
          <w:noProof/>
          <w:szCs w:val="22"/>
        </w:rPr>
        <w:t>-</w:t>
      </w:r>
      <w:r w:rsidR="0046533F" w:rsidRPr="0063119B">
        <w:rPr>
          <w:noProof/>
          <w:szCs w:val="22"/>
        </w:rPr>
        <w:t> </w:t>
      </w:r>
      <w:r w:rsidR="00337111" w:rsidRPr="0063119B">
        <w:rPr>
          <w:noProof/>
          <w:szCs w:val="22"/>
        </w:rPr>
        <w:t>49</w:t>
      </w:r>
      <w:r w:rsidR="0046533F" w:rsidRPr="0063119B">
        <w:rPr>
          <w:noProof/>
          <w:szCs w:val="22"/>
        </w:rPr>
        <w:t> </w:t>
      </w:r>
      <w:r w:rsidR="00337111" w:rsidRPr="0063119B">
        <w:rPr>
          <w:noProof/>
          <w:szCs w:val="22"/>
        </w:rPr>
        <w:t>ml/min) (ver secção 5.2).</w:t>
      </w:r>
    </w:p>
    <w:p w14:paraId="6B266053" w14:textId="77777777" w:rsidR="00337111" w:rsidRPr="0063119B" w:rsidRDefault="00337111" w:rsidP="00337111">
      <w:pPr>
        <w:suppressAutoHyphens/>
        <w:rPr>
          <w:noProof/>
          <w:szCs w:val="22"/>
        </w:rPr>
      </w:pPr>
    </w:p>
    <w:p w14:paraId="3A4A3F92" w14:textId="77777777" w:rsidR="003804C7" w:rsidRPr="0063119B" w:rsidRDefault="00CB550C" w:rsidP="003804C7">
      <w:pPr>
        <w:tabs>
          <w:tab w:val="left" w:pos="567"/>
        </w:tabs>
        <w:suppressAutoHyphens/>
        <w:ind w:left="567" w:hanging="567"/>
        <w:rPr>
          <w:noProof/>
          <w:szCs w:val="22"/>
        </w:rPr>
      </w:pPr>
      <w:r w:rsidRPr="0063119B">
        <w:rPr>
          <w:noProof/>
          <w:szCs w:val="22"/>
        </w:rPr>
        <w:t>-</w:t>
      </w:r>
      <w:r w:rsidRPr="0063119B">
        <w:rPr>
          <w:noProof/>
          <w:szCs w:val="22"/>
        </w:rPr>
        <w:tab/>
        <w:t>Para o t</w:t>
      </w:r>
      <w:r w:rsidRPr="0063119B">
        <w:rPr>
          <w:szCs w:val="22"/>
        </w:rPr>
        <w:t xml:space="preserve">ratamento da TVP, tratamento do EP e prevenção da TVP e EP recorrentes, </w:t>
      </w:r>
      <w:r w:rsidRPr="0063119B">
        <w:rPr>
          <w:noProof/>
          <w:szCs w:val="22"/>
        </w:rPr>
        <w:t>não é necessário ajuste posológico da dose recomendada em doentes com compromisso renal ligeiro (taxa de depuração da creatinina 50 - 80 ml/min) (ver secção 5.2).</w:t>
      </w:r>
    </w:p>
    <w:p w14:paraId="4D75A1C6" w14:textId="77777777" w:rsidR="00CB550C" w:rsidRPr="0063119B" w:rsidRDefault="00CB550C" w:rsidP="003804C7">
      <w:pPr>
        <w:suppressAutoHyphens/>
        <w:ind w:left="567"/>
        <w:rPr>
          <w:szCs w:val="22"/>
        </w:rPr>
      </w:pPr>
      <w:r w:rsidRPr="0063119B">
        <w:rPr>
          <w:szCs w:val="22"/>
        </w:rPr>
        <w:t>Em doentes com compromisso renal moderado (taxa de depuração da creatinina de 30 </w:t>
      </w:r>
      <w:r w:rsidRPr="0063119B">
        <w:rPr>
          <w:szCs w:val="22"/>
        </w:rPr>
        <w:noBreakHyphen/>
        <w:t> 49 ml/min) ou grave (taxa de depuração da creatinina de 15 </w:t>
      </w:r>
      <w:r w:rsidRPr="0063119B">
        <w:rPr>
          <w:szCs w:val="22"/>
        </w:rPr>
        <w:noBreakHyphen/>
        <w:t xml:space="preserve"> 29 ml/min): os doentes devem ser tratados com 15 mg duas vezes por dia durante as primeiras 3 semanas. Após isto, </w:t>
      </w:r>
      <w:r w:rsidR="004A16D3" w:rsidRPr="0063119B">
        <w:rPr>
          <w:szCs w:val="22"/>
        </w:rPr>
        <w:t xml:space="preserve">quando </w:t>
      </w:r>
      <w:r w:rsidRPr="0063119B">
        <w:rPr>
          <w:szCs w:val="22"/>
        </w:rPr>
        <w:t>a dose recomendada é de 20 mg uma vez por dia</w:t>
      </w:r>
      <w:r w:rsidR="004A16D3" w:rsidRPr="0063119B">
        <w:rPr>
          <w:szCs w:val="22"/>
        </w:rPr>
        <w:t>, d</w:t>
      </w:r>
      <w:r w:rsidR="00DE537C" w:rsidRPr="0063119B">
        <w:rPr>
          <w:szCs w:val="22"/>
        </w:rPr>
        <w:t>eve considerar-se uma</w:t>
      </w:r>
      <w:r w:rsidRPr="0063119B">
        <w:rPr>
          <w:szCs w:val="22"/>
        </w:rPr>
        <w:t xml:space="preserve"> redução da dose de 20 mg uma vez por dia para 15 mg uma vez por dia se o risco avaliado de hemorragia do doente se sobrepõe ao risco de TVP recorrente e EP. A recomendação para utilização de 15 mg tem por base modelos farmacocinéticos, não tendo sido estudada neste contexto clínico (ver secções 4.4, 5.1 e 5.2).</w:t>
      </w:r>
    </w:p>
    <w:p w14:paraId="34CC0BB0" w14:textId="77777777" w:rsidR="00A43028" w:rsidRPr="0063119B" w:rsidRDefault="00A43028" w:rsidP="003804C7">
      <w:pPr>
        <w:suppressAutoHyphens/>
        <w:ind w:left="567"/>
        <w:rPr>
          <w:szCs w:val="22"/>
        </w:rPr>
      </w:pPr>
      <w:r w:rsidRPr="0063119B">
        <w:rPr>
          <w:szCs w:val="22"/>
        </w:rPr>
        <w:t xml:space="preserve">Quando a dose recomendada é de 10 mg uma vez por dia, </w:t>
      </w:r>
      <w:r w:rsidRPr="0063119B">
        <w:rPr>
          <w:noProof/>
          <w:szCs w:val="22"/>
        </w:rPr>
        <w:t>não é necessário ajuste posológico da dose recomendada.</w:t>
      </w:r>
    </w:p>
    <w:p w14:paraId="12E921DA" w14:textId="77777777" w:rsidR="00CB550C" w:rsidRPr="0063119B" w:rsidRDefault="00CB550C" w:rsidP="003804C7">
      <w:pPr>
        <w:tabs>
          <w:tab w:val="left" w:pos="567"/>
        </w:tabs>
        <w:suppressAutoHyphens/>
        <w:rPr>
          <w:noProof/>
          <w:szCs w:val="22"/>
        </w:rPr>
      </w:pPr>
    </w:p>
    <w:p w14:paraId="14C4638B" w14:textId="77777777" w:rsidR="00337111" w:rsidRPr="0063119B" w:rsidRDefault="0054678E" w:rsidP="003311FD">
      <w:pPr>
        <w:keepNext/>
        <w:suppressAutoHyphens/>
        <w:rPr>
          <w:i/>
          <w:noProof/>
          <w:szCs w:val="22"/>
        </w:rPr>
      </w:pPr>
      <w:r w:rsidRPr="0063119B">
        <w:rPr>
          <w:i/>
          <w:noProof/>
          <w:szCs w:val="22"/>
        </w:rPr>
        <w:t>Compromisso</w:t>
      </w:r>
      <w:r w:rsidR="00337111" w:rsidRPr="0063119B">
        <w:rPr>
          <w:i/>
          <w:noProof/>
          <w:szCs w:val="22"/>
        </w:rPr>
        <w:t xml:space="preserve"> hepátic</w:t>
      </w:r>
      <w:r w:rsidRPr="0063119B">
        <w:rPr>
          <w:i/>
          <w:noProof/>
          <w:szCs w:val="22"/>
        </w:rPr>
        <w:t>o</w:t>
      </w:r>
    </w:p>
    <w:p w14:paraId="4D2B7994" w14:textId="77777777" w:rsidR="00337111" w:rsidRPr="0063119B" w:rsidRDefault="00607DE4" w:rsidP="00337111">
      <w:pPr>
        <w:suppressAutoHyphens/>
        <w:rPr>
          <w:noProof/>
          <w:szCs w:val="22"/>
        </w:rPr>
      </w:pPr>
      <w:r>
        <w:rPr>
          <w:noProof/>
          <w:szCs w:val="22"/>
        </w:rPr>
        <w:t>Rivaroxabano</w:t>
      </w:r>
      <w:r w:rsidR="006D3AF1" w:rsidRPr="0063119B">
        <w:rPr>
          <w:noProof/>
          <w:szCs w:val="22"/>
        </w:rPr>
        <w:t xml:space="preserve"> Accord</w:t>
      </w:r>
      <w:r w:rsidR="00337111" w:rsidRPr="0063119B">
        <w:rPr>
          <w:noProof/>
          <w:szCs w:val="22"/>
        </w:rPr>
        <w:t xml:space="preserve"> </w:t>
      </w:r>
      <w:r w:rsidR="006D3AF1" w:rsidRPr="0063119B">
        <w:rPr>
          <w:noProof/>
          <w:szCs w:val="22"/>
        </w:rPr>
        <w:t>é</w:t>
      </w:r>
      <w:r w:rsidR="00337111" w:rsidRPr="0063119B">
        <w:rPr>
          <w:noProof/>
          <w:szCs w:val="22"/>
        </w:rPr>
        <w:t xml:space="preserve"> contraindicado em doentes com doença hepática associada a coagulopatia e risco de hemorragia clinicamente relevante incluindo doentes com cirrose com Child Pugh B e C (ver secções 4.3 e 5.2).</w:t>
      </w:r>
    </w:p>
    <w:p w14:paraId="17E3F171" w14:textId="77777777" w:rsidR="00337111" w:rsidRPr="0063119B" w:rsidRDefault="00337111" w:rsidP="00337111">
      <w:pPr>
        <w:suppressAutoHyphens/>
        <w:rPr>
          <w:noProof/>
          <w:szCs w:val="22"/>
        </w:rPr>
      </w:pPr>
    </w:p>
    <w:p w14:paraId="1EB24B41" w14:textId="77777777" w:rsidR="00337111" w:rsidRPr="0063119B" w:rsidRDefault="00337111" w:rsidP="00337111">
      <w:pPr>
        <w:suppressAutoHyphens/>
        <w:rPr>
          <w:i/>
          <w:noProof/>
          <w:szCs w:val="22"/>
        </w:rPr>
      </w:pPr>
      <w:r w:rsidRPr="0063119B">
        <w:rPr>
          <w:i/>
          <w:noProof/>
          <w:szCs w:val="22"/>
        </w:rPr>
        <w:t>População idosa</w:t>
      </w:r>
    </w:p>
    <w:p w14:paraId="38FDAFDD" w14:textId="77777777" w:rsidR="00337111" w:rsidRPr="0063119B" w:rsidRDefault="00337111" w:rsidP="00337111">
      <w:pPr>
        <w:suppressAutoHyphens/>
        <w:rPr>
          <w:noProof/>
          <w:szCs w:val="22"/>
        </w:rPr>
      </w:pPr>
      <w:r w:rsidRPr="0063119B">
        <w:rPr>
          <w:noProof/>
          <w:szCs w:val="22"/>
        </w:rPr>
        <w:t>Não é necessário ajuste posológico (ver secção 5.2)</w:t>
      </w:r>
    </w:p>
    <w:p w14:paraId="7750946A" w14:textId="77777777" w:rsidR="00337111" w:rsidRPr="0063119B" w:rsidRDefault="00337111" w:rsidP="00337111">
      <w:pPr>
        <w:suppressAutoHyphens/>
        <w:rPr>
          <w:noProof/>
          <w:szCs w:val="22"/>
        </w:rPr>
      </w:pPr>
    </w:p>
    <w:p w14:paraId="695A8C42" w14:textId="77777777" w:rsidR="00337111" w:rsidRPr="0063119B" w:rsidRDefault="00337111" w:rsidP="00337111">
      <w:pPr>
        <w:suppressAutoHyphens/>
        <w:rPr>
          <w:i/>
          <w:noProof/>
          <w:szCs w:val="22"/>
        </w:rPr>
      </w:pPr>
      <w:r w:rsidRPr="0063119B">
        <w:rPr>
          <w:i/>
          <w:noProof/>
          <w:szCs w:val="22"/>
        </w:rPr>
        <w:t>Peso corporal</w:t>
      </w:r>
    </w:p>
    <w:p w14:paraId="51C3B397" w14:textId="77777777" w:rsidR="00337111" w:rsidRPr="0063119B" w:rsidRDefault="00337111" w:rsidP="00337111">
      <w:pPr>
        <w:suppressAutoHyphens/>
        <w:rPr>
          <w:noProof/>
          <w:szCs w:val="22"/>
        </w:rPr>
      </w:pPr>
      <w:r w:rsidRPr="0063119B">
        <w:rPr>
          <w:noProof/>
          <w:szCs w:val="22"/>
        </w:rPr>
        <w:t>Não é necessário ajuste posológico (ver secção 5.2)</w:t>
      </w:r>
    </w:p>
    <w:p w14:paraId="5BCD8C1C" w14:textId="77777777" w:rsidR="00337111" w:rsidRPr="0063119B" w:rsidRDefault="00337111" w:rsidP="00337111">
      <w:pPr>
        <w:suppressAutoHyphens/>
        <w:rPr>
          <w:noProof/>
          <w:szCs w:val="22"/>
        </w:rPr>
      </w:pPr>
    </w:p>
    <w:p w14:paraId="7784E95B" w14:textId="77777777" w:rsidR="00337111" w:rsidRPr="0063119B" w:rsidRDefault="00337111" w:rsidP="00337111">
      <w:pPr>
        <w:suppressAutoHyphens/>
        <w:rPr>
          <w:i/>
          <w:noProof/>
          <w:szCs w:val="22"/>
        </w:rPr>
      </w:pPr>
      <w:r w:rsidRPr="0063119B">
        <w:rPr>
          <w:i/>
          <w:noProof/>
          <w:szCs w:val="22"/>
        </w:rPr>
        <w:lastRenderedPageBreak/>
        <w:t>Sexo</w:t>
      </w:r>
    </w:p>
    <w:p w14:paraId="40F94A6F" w14:textId="77777777" w:rsidR="00337111" w:rsidRPr="0063119B" w:rsidRDefault="00337111" w:rsidP="00337111">
      <w:pPr>
        <w:suppressAutoHyphens/>
        <w:rPr>
          <w:noProof/>
          <w:szCs w:val="22"/>
        </w:rPr>
      </w:pPr>
      <w:r w:rsidRPr="0063119B">
        <w:rPr>
          <w:noProof/>
          <w:szCs w:val="22"/>
        </w:rPr>
        <w:t>Não é necessário ajuste posológico (ver secção 5.2)</w:t>
      </w:r>
    </w:p>
    <w:p w14:paraId="36A96043" w14:textId="77777777" w:rsidR="00337111" w:rsidRPr="0063119B" w:rsidRDefault="00337111" w:rsidP="00337111">
      <w:pPr>
        <w:suppressAutoHyphens/>
        <w:rPr>
          <w:noProof/>
          <w:szCs w:val="22"/>
        </w:rPr>
      </w:pPr>
    </w:p>
    <w:p w14:paraId="1ADEBF50" w14:textId="77777777" w:rsidR="00337111" w:rsidRPr="0063119B" w:rsidRDefault="00337111" w:rsidP="00337111">
      <w:pPr>
        <w:suppressAutoHyphens/>
        <w:rPr>
          <w:i/>
          <w:noProof/>
          <w:szCs w:val="22"/>
        </w:rPr>
      </w:pPr>
      <w:r w:rsidRPr="0063119B">
        <w:rPr>
          <w:i/>
          <w:szCs w:val="22"/>
        </w:rPr>
        <w:t>Popula</w:t>
      </w:r>
      <w:r w:rsidRPr="0063119B">
        <w:rPr>
          <w:i/>
          <w:noProof/>
          <w:szCs w:val="22"/>
        </w:rPr>
        <w:t>ção pediátrica</w:t>
      </w:r>
    </w:p>
    <w:p w14:paraId="6E5E12C9" w14:textId="77777777" w:rsidR="00337111" w:rsidRPr="0063119B" w:rsidRDefault="00337111" w:rsidP="00337111">
      <w:pPr>
        <w:suppressAutoHyphens/>
        <w:rPr>
          <w:noProof/>
          <w:szCs w:val="22"/>
        </w:rPr>
      </w:pPr>
      <w:r w:rsidRPr="0063119B">
        <w:rPr>
          <w:noProof/>
          <w:szCs w:val="22"/>
        </w:rPr>
        <w:t xml:space="preserve">A segurança e eficácia de </w:t>
      </w:r>
      <w:r w:rsidR="006D3AF1" w:rsidRPr="0063119B">
        <w:rPr>
          <w:szCs w:val="22"/>
        </w:rPr>
        <w:t>rivaroxabano</w:t>
      </w:r>
      <w:r w:rsidRPr="0063119B">
        <w:rPr>
          <w:noProof/>
          <w:szCs w:val="22"/>
        </w:rPr>
        <w:t xml:space="preserve"> em crianças com 0 a 18 anos de idade não foram ainda estabelecidas. Não existem dados disponíveis. Assim, </w:t>
      </w:r>
      <w:r w:rsidR="00607DE4">
        <w:rPr>
          <w:noProof/>
          <w:szCs w:val="22"/>
        </w:rPr>
        <w:t>Rivaroxabano</w:t>
      </w:r>
      <w:r w:rsidR="006D3AF1" w:rsidRPr="0063119B">
        <w:rPr>
          <w:noProof/>
          <w:szCs w:val="22"/>
        </w:rPr>
        <w:t xml:space="preserve"> Accord</w:t>
      </w:r>
      <w:r w:rsidRPr="0063119B">
        <w:rPr>
          <w:noProof/>
          <w:szCs w:val="22"/>
        </w:rPr>
        <w:t xml:space="preserve"> não é recomendado para utilização em crianças com idade inferior a 18 anos.</w:t>
      </w:r>
    </w:p>
    <w:p w14:paraId="2A03A819" w14:textId="77777777" w:rsidR="00337111" w:rsidRPr="0063119B" w:rsidRDefault="00337111" w:rsidP="00337111">
      <w:pPr>
        <w:suppressAutoHyphens/>
        <w:rPr>
          <w:noProof/>
          <w:szCs w:val="22"/>
        </w:rPr>
      </w:pPr>
    </w:p>
    <w:p w14:paraId="6954A351" w14:textId="77777777" w:rsidR="00337111" w:rsidRDefault="00337111" w:rsidP="00337111">
      <w:pPr>
        <w:suppressAutoHyphens/>
        <w:rPr>
          <w:noProof/>
          <w:szCs w:val="22"/>
          <w:u w:val="single"/>
        </w:rPr>
      </w:pPr>
      <w:r w:rsidRPr="0063119B">
        <w:rPr>
          <w:noProof/>
          <w:szCs w:val="22"/>
          <w:u w:val="single"/>
        </w:rPr>
        <w:t>Modo de administração</w:t>
      </w:r>
    </w:p>
    <w:p w14:paraId="6F0A4B44" w14:textId="77777777" w:rsidR="00847124" w:rsidRPr="0063119B" w:rsidRDefault="00847124" w:rsidP="00337111">
      <w:pPr>
        <w:suppressAutoHyphens/>
        <w:rPr>
          <w:noProof/>
          <w:szCs w:val="22"/>
          <w:u w:val="single"/>
        </w:rPr>
      </w:pPr>
    </w:p>
    <w:p w14:paraId="78F65EAB" w14:textId="77777777" w:rsidR="006D12FA" w:rsidRPr="0063119B" w:rsidRDefault="00607DE4" w:rsidP="00337111">
      <w:pPr>
        <w:suppressAutoHyphens/>
        <w:rPr>
          <w:noProof/>
          <w:szCs w:val="22"/>
        </w:rPr>
      </w:pPr>
      <w:r>
        <w:rPr>
          <w:noProof/>
          <w:szCs w:val="22"/>
        </w:rPr>
        <w:t>Rivaroxabano</w:t>
      </w:r>
      <w:r w:rsidR="006D3AF1" w:rsidRPr="0063119B">
        <w:rPr>
          <w:noProof/>
          <w:szCs w:val="22"/>
        </w:rPr>
        <w:t xml:space="preserve"> Accord</w:t>
      </w:r>
      <w:r w:rsidR="00977720" w:rsidRPr="0063119B">
        <w:rPr>
          <w:noProof/>
          <w:szCs w:val="22"/>
        </w:rPr>
        <w:t xml:space="preserve"> é para </w:t>
      </w:r>
      <w:r w:rsidR="006D3AF1" w:rsidRPr="0063119B">
        <w:rPr>
          <w:noProof/>
          <w:szCs w:val="22"/>
        </w:rPr>
        <w:t xml:space="preserve">utilização por via </w:t>
      </w:r>
      <w:r w:rsidR="00337111" w:rsidRPr="0063119B">
        <w:rPr>
          <w:noProof/>
          <w:szCs w:val="22"/>
        </w:rPr>
        <w:t xml:space="preserve">oral. </w:t>
      </w:r>
    </w:p>
    <w:p w14:paraId="1E9AC6C6" w14:textId="77777777" w:rsidR="00337111" w:rsidRPr="0063119B" w:rsidRDefault="00977720" w:rsidP="00337111">
      <w:pPr>
        <w:suppressAutoHyphens/>
        <w:rPr>
          <w:noProof/>
          <w:szCs w:val="22"/>
        </w:rPr>
      </w:pPr>
      <w:r w:rsidRPr="0063119B">
        <w:rPr>
          <w:noProof/>
          <w:szCs w:val="22"/>
        </w:rPr>
        <w:t>Os</w:t>
      </w:r>
      <w:r w:rsidR="00A43028" w:rsidRPr="0063119B">
        <w:rPr>
          <w:noProof/>
          <w:szCs w:val="22"/>
        </w:rPr>
        <w:t xml:space="preserve"> comprimidos </w:t>
      </w:r>
      <w:r w:rsidR="00337111" w:rsidRPr="0063119B">
        <w:rPr>
          <w:noProof/>
          <w:szCs w:val="22"/>
        </w:rPr>
        <w:t>pode</w:t>
      </w:r>
      <w:r w:rsidRPr="0063119B">
        <w:rPr>
          <w:noProof/>
          <w:szCs w:val="22"/>
        </w:rPr>
        <w:t>m</w:t>
      </w:r>
      <w:r w:rsidR="00337111" w:rsidRPr="0063119B">
        <w:rPr>
          <w:noProof/>
          <w:szCs w:val="22"/>
        </w:rPr>
        <w:t xml:space="preserve"> ser tomado</w:t>
      </w:r>
      <w:r w:rsidRPr="0063119B">
        <w:rPr>
          <w:noProof/>
          <w:szCs w:val="22"/>
        </w:rPr>
        <w:t>s</w:t>
      </w:r>
      <w:r w:rsidR="00337111" w:rsidRPr="0063119B">
        <w:rPr>
          <w:noProof/>
          <w:szCs w:val="22"/>
        </w:rPr>
        <w:t xml:space="preserve"> com ou sem alimentos (ver secções 4.5 e 5.2).</w:t>
      </w:r>
    </w:p>
    <w:p w14:paraId="32C86F20" w14:textId="77777777" w:rsidR="00337111" w:rsidRDefault="00337111" w:rsidP="00337111">
      <w:pPr>
        <w:suppressAutoHyphens/>
        <w:rPr>
          <w:noProof/>
          <w:szCs w:val="22"/>
        </w:rPr>
      </w:pPr>
    </w:p>
    <w:p w14:paraId="4E5BE642" w14:textId="77777777" w:rsidR="00543FE2" w:rsidRPr="0063119B" w:rsidRDefault="00543FE2" w:rsidP="00337111">
      <w:pPr>
        <w:suppressAutoHyphens/>
        <w:rPr>
          <w:noProof/>
          <w:szCs w:val="22"/>
        </w:rPr>
      </w:pPr>
      <w:r>
        <w:rPr>
          <w:i/>
          <w:iCs/>
          <w:szCs w:val="22"/>
        </w:rPr>
        <w:t>Trituração dos comprimidos</w:t>
      </w:r>
    </w:p>
    <w:p w14:paraId="369D3E54" w14:textId="77777777" w:rsidR="00E44822" w:rsidRDefault="00E44822" w:rsidP="00E44822">
      <w:pPr>
        <w:suppressAutoHyphens/>
        <w:rPr>
          <w:noProof/>
          <w:szCs w:val="22"/>
        </w:rPr>
      </w:pPr>
      <w:r w:rsidRPr="0063119B">
        <w:rPr>
          <w:noProof/>
          <w:szCs w:val="22"/>
        </w:rPr>
        <w:t xml:space="preserve">Em doentes incapazes de engolir comprimidos inteiros, o comprimido </w:t>
      </w:r>
      <w:r w:rsidR="006D3AF1" w:rsidRPr="0063119B">
        <w:rPr>
          <w:noProof/>
          <w:szCs w:val="22"/>
        </w:rPr>
        <w:t xml:space="preserve">de </w:t>
      </w:r>
      <w:r w:rsidR="00607DE4">
        <w:rPr>
          <w:noProof/>
          <w:szCs w:val="22"/>
        </w:rPr>
        <w:t>Rivaroxabano</w:t>
      </w:r>
      <w:r w:rsidR="006D3AF1" w:rsidRPr="0063119B">
        <w:rPr>
          <w:noProof/>
          <w:szCs w:val="22"/>
        </w:rPr>
        <w:t xml:space="preserve"> Accord</w:t>
      </w:r>
      <w:r w:rsidRPr="0063119B">
        <w:rPr>
          <w:noProof/>
          <w:szCs w:val="22"/>
        </w:rPr>
        <w:t xml:space="preserve"> pode ser esmagado e misturado com água ou puré de maçã imediatamente antes da utilização e administrado por via ora</w:t>
      </w:r>
      <w:r w:rsidR="0087258A" w:rsidRPr="0063119B">
        <w:rPr>
          <w:noProof/>
          <w:szCs w:val="22"/>
        </w:rPr>
        <w:t>l</w:t>
      </w:r>
      <w:r w:rsidRPr="0063119B">
        <w:rPr>
          <w:noProof/>
          <w:szCs w:val="22"/>
        </w:rPr>
        <w:t>.</w:t>
      </w:r>
    </w:p>
    <w:p w14:paraId="496CF9E0" w14:textId="77777777" w:rsidR="00543FE2" w:rsidRPr="0063119B" w:rsidRDefault="00543FE2" w:rsidP="00E44822">
      <w:pPr>
        <w:suppressAutoHyphens/>
        <w:rPr>
          <w:noProof/>
          <w:szCs w:val="22"/>
        </w:rPr>
      </w:pPr>
    </w:p>
    <w:p w14:paraId="74BAECA6" w14:textId="5EF29B84" w:rsidR="00E44822" w:rsidRPr="0063119B" w:rsidRDefault="00E44822" w:rsidP="00E44822">
      <w:pPr>
        <w:suppressAutoHyphens/>
        <w:rPr>
          <w:noProof/>
          <w:szCs w:val="22"/>
        </w:rPr>
      </w:pPr>
      <w:r w:rsidRPr="0063119B">
        <w:rPr>
          <w:noProof/>
          <w:szCs w:val="22"/>
        </w:rPr>
        <w:t xml:space="preserve">O comprimido </w:t>
      </w:r>
      <w:r w:rsidR="006D3AF1" w:rsidRPr="0063119B">
        <w:rPr>
          <w:noProof/>
          <w:szCs w:val="22"/>
        </w:rPr>
        <w:t xml:space="preserve"> </w:t>
      </w:r>
      <w:r w:rsidRPr="0063119B">
        <w:rPr>
          <w:noProof/>
          <w:szCs w:val="22"/>
        </w:rPr>
        <w:t xml:space="preserve">esmagado pode </w:t>
      </w:r>
      <w:r w:rsidR="008E2385" w:rsidRPr="0063119B">
        <w:rPr>
          <w:noProof/>
          <w:szCs w:val="22"/>
        </w:rPr>
        <w:t xml:space="preserve">também </w:t>
      </w:r>
      <w:r w:rsidRPr="0063119B">
        <w:rPr>
          <w:noProof/>
          <w:szCs w:val="22"/>
        </w:rPr>
        <w:t>ser administrado através de sondas gástricas</w:t>
      </w:r>
      <w:r w:rsidR="008E2385" w:rsidRPr="0063119B">
        <w:rPr>
          <w:noProof/>
          <w:szCs w:val="22"/>
        </w:rPr>
        <w:t xml:space="preserve"> </w:t>
      </w:r>
      <w:r w:rsidRPr="0063119B">
        <w:rPr>
          <w:noProof/>
          <w:szCs w:val="22"/>
        </w:rPr>
        <w:t>(ver secç</w:t>
      </w:r>
      <w:r w:rsidR="006D3AF1" w:rsidRPr="0063119B">
        <w:rPr>
          <w:noProof/>
          <w:szCs w:val="22"/>
        </w:rPr>
        <w:t>ões</w:t>
      </w:r>
      <w:r w:rsidRPr="0063119B">
        <w:rPr>
          <w:noProof/>
          <w:szCs w:val="22"/>
        </w:rPr>
        <w:t> 5.2</w:t>
      </w:r>
      <w:r w:rsidR="006D3AF1" w:rsidRPr="0063119B">
        <w:rPr>
          <w:noProof/>
          <w:szCs w:val="22"/>
        </w:rPr>
        <w:t xml:space="preserve"> e 6.6</w:t>
      </w:r>
      <w:r w:rsidRPr="0063119B">
        <w:rPr>
          <w:noProof/>
          <w:szCs w:val="22"/>
        </w:rPr>
        <w:t>).</w:t>
      </w:r>
    </w:p>
    <w:p w14:paraId="42159A2F" w14:textId="77777777" w:rsidR="00E44822" w:rsidRPr="0063119B" w:rsidRDefault="00E44822" w:rsidP="00337111">
      <w:pPr>
        <w:suppressAutoHyphens/>
        <w:rPr>
          <w:noProof/>
          <w:szCs w:val="22"/>
        </w:rPr>
      </w:pPr>
    </w:p>
    <w:p w14:paraId="51C8DCE8" w14:textId="77777777" w:rsidR="00337111" w:rsidRPr="0063119B" w:rsidRDefault="00337111" w:rsidP="00337111">
      <w:pPr>
        <w:suppressAutoHyphens/>
        <w:ind w:left="567" w:hanging="567"/>
        <w:rPr>
          <w:noProof/>
          <w:szCs w:val="22"/>
        </w:rPr>
      </w:pPr>
      <w:r w:rsidRPr="0063119B">
        <w:rPr>
          <w:b/>
          <w:noProof/>
          <w:szCs w:val="22"/>
        </w:rPr>
        <w:t>4.3</w:t>
      </w:r>
      <w:r w:rsidRPr="0063119B">
        <w:rPr>
          <w:b/>
          <w:noProof/>
          <w:szCs w:val="22"/>
        </w:rPr>
        <w:tab/>
        <w:t>Contraindicações</w:t>
      </w:r>
    </w:p>
    <w:p w14:paraId="21CF9656" w14:textId="77777777" w:rsidR="00337111" w:rsidRPr="0063119B" w:rsidRDefault="00337111" w:rsidP="00337111">
      <w:pPr>
        <w:suppressAutoHyphens/>
        <w:rPr>
          <w:noProof/>
          <w:szCs w:val="22"/>
        </w:rPr>
      </w:pPr>
    </w:p>
    <w:p w14:paraId="33C723DB" w14:textId="77777777" w:rsidR="00337111" w:rsidRPr="0063119B" w:rsidRDefault="00337111" w:rsidP="00337111">
      <w:pPr>
        <w:suppressAutoHyphens/>
        <w:rPr>
          <w:noProof/>
          <w:szCs w:val="22"/>
        </w:rPr>
      </w:pPr>
      <w:r w:rsidRPr="0063119B">
        <w:rPr>
          <w:noProof/>
          <w:szCs w:val="22"/>
        </w:rPr>
        <w:t>Hipersensibilidade à substância ativa ou a qualquer um dos excipientes mencionados na secção 6.1.</w:t>
      </w:r>
    </w:p>
    <w:p w14:paraId="79B74E63" w14:textId="77777777" w:rsidR="00337111" w:rsidRPr="0063119B" w:rsidRDefault="00337111" w:rsidP="00337111">
      <w:pPr>
        <w:suppressAutoHyphens/>
        <w:rPr>
          <w:noProof/>
          <w:szCs w:val="22"/>
        </w:rPr>
      </w:pPr>
    </w:p>
    <w:p w14:paraId="08473743" w14:textId="77777777" w:rsidR="006E7BFA" w:rsidRPr="0063119B" w:rsidRDefault="00395FB1" w:rsidP="00337111">
      <w:pPr>
        <w:suppressAutoHyphens/>
        <w:rPr>
          <w:noProof/>
          <w:szCs w:val="22"/>
        </w:rPr>
      </w:pPr>
      <w:r w:rsidRPr="0063119B">
        <w:rPr>
          <w:noProof/>
          <w:szCs w:val="22"/>
        </w:rPr>
        <w:t>Hemorragia ativa clinicamente significativa.</w:t>
      </w:r>
    </w:p>
    <w:p w14:paraId="2F1FAC3B" w14:textId="77777777" w:rsidR="00337111" w:rsidRPr="0063119B" w:rsidRDefault="00337111" w:rsidP="00337111">
      <w:pPr>
        <w:suppressAutoHyphens/>
        <w:rPr>
          <w:noProof/>
          <w:szCs w:val="22"/>
        </w:rPr>
      </w:pPr>
    </w:p>
    <w:p w14:paraId="6D1F1152" w14:textId="77777777" w:rsidR="00395FB1" w:rsidRPr="0063119B" w:rsidRDefault="00395FB1" w:rsidP="00395FB1">
      <w:pPr>
        <w:autoSpaceDE w:val="0"/>
        <w:autoSpaceDN w:val="0"/>
        <w:adjustRightInd w:val="0"/>
        <w:rPr>
          <w:noProof/>
          <w:szCs w:val="22"/>
        </w:rPr>
      </w:pPr>
      <w:r w:rsidRPr="0063119B">
        <w:rPr>
          <w:noProof/>
          <w:szCs w:val="22"/>
        </w:rPr>
        <w:t xml:space="preserve">Lesões ou condições, se consideradas como </w:t>
      </w:r>
      <w:r w:rsidR="00792E06" w:rsidRPr="0063119B">
        <w:rPr>
          <w:noProof/>
          <w:szCs w:val="22"/>
        </w:rPr>
        <w:t>apr</w:t>
      </w:r>
      <w:r w:rsidR="00741530" w:rsidRPr="0063119B">
        <w:rPr>
          <w:noProof/>
          <w:szCs w:val="22"/>
        </w:rPr>
        <w:t>e</w:t>
      </w:r>
      <w:r w:rsidR="00792E06" w:rsidRPr="0063119B">
        <w:rPr>
          <w:noProof/>
          <w:szCs w:val="22"/>
        </w:rPr>
        <w:t>sentando</w:t>
      </w:r>
      <w:r w:rsidRPr="0063119B">
        <w:rPr>
          <w:noProof/>
          <w:szCs w:val="22"/>
        </w:rPr>
        <w:t xml:space="preserve"> um risco significativo de grande hemorragia. Estas podem incluir úlceras gastrointestinais atuais ou recentes, presença de neoplasias malignas com elevado risco de hemorragia, lesão recente no cérebro ou na espinal medula, cirurgia cerebral, espinal ou oftálmica recente, hemorragia intracraniana recente, suspeita ou conhecimento de varizes esofágicas, malformações arteriovenosas, aneurismas vasculares ou grandes anomalias vasculares intraespinais ou intracerebrais.</w:t>
      </w:r>
    </w:p>
    <w:p w14:paraId="5BE87857" w14:textId="77777777" w:rsidR="00395FB1" w:rsidRPr="0063119B" w:rsidRDefault="00395FB1" w:rsidP="00395FB1">
      <w:pPr>
        <w:suppressAutoHyphens/>
        <w:rPr>
          <w:noProof/>
          <w:szCs w:val="22"/>
        </w:rPr>
      </w:pPr>
    </w:p>
    <w:p w14:paraId="005D7DB2" w14:textId="77777777" w:rsidR="00395FB1" w:rsidRPr="0063119B" w:rsidRDefault="00395FB1" w:rsidP="00395FB1">
      <w:pPr>
        <w:autoSpaceDE w:val="0"/>
        <w:autoSpaceDN w:val="0"/>
        <w:adjustRightInd w:val="0"/>
        <w:rPr>
          <w:noProof/>
          <w:szCs w:val="22"/>
        </w:rPr>
      </w:pPr>
      <w:r w:rsidRPr="0063119B">
        <w:rPr>
          <w:noProof/>
          <w:szCs w:val="22"/>
        </w:rPr>
        <w:t xml:space="preserve">O tratamento concomitante com quaisquer outros anticoagulantes, </w:t>
      </w:r>
      <w:r w:rsidR="001E2C11" w:rsidRPr="0063119B">
        <w:rPr>
          <w:noProof/>
          <w:szCs w:val="22"/>
        </w:rPr>
        <w:t xml:space="preserve"> </w:t>
      </w:r>
      <w:r w:rsidRPr="0063119B">
        <w:rPr>
          <w:noProof/>
          <w:szCs w:val="22"/>
        </w:rPr>
        <w:t>ex.: heparina não fracionada (HNF), heparinas de baixo peso molecular (enoxaparina, dalteparina, etc.), derivados da heparina</w:t>
      </w:r>
      <w:r w:rsidR="006E7BFA" w:rsidRPr="0063119B">
        <w:rPr>
          <w:noProof/>
          <w:szCs w:val="22"/>
        </w:rPr>
        <w:t xml:space="preserve"> </w:t>
      </w:r>
      <w:r w:rsidRPr="0063119B">
        <w:rPr>
          <w:noProof/>
          <w:szCs w:val="22"/>
        </w:rPr>
        <w:t>(fondaparinux, etc.), anticoagulantes orais (</w:t>
      </w:r>
      <w:r w:rsidR="001E2C11" w:rsidRPr="0063119B">
        <w:rPr>
          <w:noProof/>
          <w:szCs w:val="22"/>
        </w:rPr>
        <w:t xml:space="preserve">varfarina, </w:t>
      </w:r>
      <w:r w:rsidRPr="0063119B">
        <w:rPr>
          <w:noProof/>
          <w:szCs w:val="22"/>
        </w:rPr>
        <w:t>dabigatrano etexilato, apixaban</w:t>
      </w:r>
      <w:r w:rsidR="0076085D" w:rsidRPr="0063119B">
        <w:rPr>
          <w:noProof/>
          <w:szCs w:val="22"/>
        </w:rPr>
        <w:t>o</w:t>
      </w:r>
      <w:r w:rsidRPr="0063119B">
        <w:rPr>
          <w:noProof/>
          <w:szCs w:val="22"/>
        </w:rPr>
        <w:t>, etc.), exceto nas</w:t>
      </w:r>
      <w:r w:rsidR="001E2C11" w:rsidRPr="0063119B">
        <w:rPr>
          <w:noProof/>
          <w:szCs w:val="22"/>
        </w:rPr>
        <w:t xml:space="preserve"> </w:t>
      </w:r>
      <w:r w:rsidRPr="0063119B">
        <w:rPr>
          <w:noProof/>
          <w:szCs w:val="22"/>
        </w:rPr>
        <w:t xml:space="preserve">circunstâncias </w:t>
      </w:r>
      <w:r w:rsidR="00586E8E" w:rsidRPr="0063119B">
        <w:rPr>
          <w:noProof/>
          <w:szCs w:val="22"/>
        </w:rPr>
        <w:t xml:space="preserve">específicas </w:t>
      </w:r>
      <w:r w:rsidRPr="0063119B">
        <w:rPr>
          <w:noProof/>
          <w:szCs w:val="22"/>
        </w:rPr>
        <w:t xml:space="preserve">de mudança de terapêutica </w:t>
      </w:r>
      <w:r w:rsidR="00586E8E" w:rsidRPr="0063119B">
        <w:rPr>
          <w:noProof/>
          <w:szCs w:val="22"/>
        </w:rPr>
        <w:t xml:space="preserve">anticoagulante </w:t>
      </w:r>
      <w:r w:rsidRPr="0063119B">
        <w:rPr>
          <w:noProof/>
          <w:szCs w:val="22"/>
        </w:rPr>
        <w:t>(ver secção</w:t>
      </w:r>
      <w:r w:rsidR="000316ED" w:rsidRPr="0063119B">
        <w:rPr>
          <w:noProof/>
          <w:szCs w:val="22"/>
        </w:rPr>
        <w:t> </w:t>
      </w:r>
      <w:r w:rsidRPr="0063119B">
        <w:rPr>
          <w:noProof/>
          <w:szCs w:val="22"/>
        </w:rPr>
        <w:t>4.2) ou quando são</w:t>
      </w:r>
      <w:r w:rsidR="006E7BFA" w:rsidRPr="0063119B">
        <w:rPr>
          <w:noProof/>
          <w:szCs w:val="22"/>
        </w:rPr>
        <w:t xml:space="preserve"> </w:t>
      </w:r>
      <w:r w:rsidRPr="0063119B">
        <w:rPr>
          <w:noProof/>
          <w:szCs w:val="22"/>
        </w:rPr>
        <w:t xml:space="preserve">administradas doses de HNF necessárias para manter </w:t>
      </w:r>
      <w:r w:rsidR="0076085D" w:rsidRPr="0063119B">
        <w:rPr>
          <w:noProof/>
          <w:szCs w:val="22"/>
        </w:rPr>
        <w:t xml:space="preserve">aberto </w:t>
      </w:r>
      <w:r w:rsidRPr="0063119B">
        <w:rPr>
          <w:noProof/>
          <w:szCs w:val="22"/>
        </w:rPr>
        <w:t>um acesso venoso central ou um cateter arterial (ver secção 4.5).</w:t>
      </w:r>
    </w:p>
    <w:p w14:paraId="1DABD235" w14:textId="77777777" w:rsidR="00395FB1" w:rsidRPr="0063119B" w:rsidRDefault="00395FB1" w:rsidP="00337111">
      <w:pPr>
        <w:suppressAutoHyphens/>
        <w:rPr>
          <w:noProof/>
          <w:szCs w:val="22"/>
        </w:rPr>
      </w:pPr>
    </w:p>
    <w:p w14:paraId="63AC0C1A" w14:textId="77777777" w:rsidR="00337111" w:rsidRPr="0063119B" w:rsidRDefault="00337111" w:rsidP="00337111">
      <w:pPr>
        <w:suppressAutoHyphens/>
        <w:rPr>
          <w:noProof/>
          <w:szCs w:val="22"/>
        </w:rPr>
      </w:pPr>
      <w:r w:rsidRPr="0063119B">
        <w:rPr>
          <w:noProof/>
          <w:szCs w:val="22"/>
        </w:rPr>
        <w:t>Doença hepática associada a coagulopatia e risco de hemorragia clinicamente relevante incluindo doentes com cirrose com Child Pugh B e C (ver secção 5.2).</w:t>
      </w:r>
    </w:p>
    <w:p w14:paraId="5A59294B" w14:textId="77777777" w:rsidR="00337111" w:rsidRPr="0063119B" w:rsidRDefault="00337111" w:rsidP="00337111">
      <w:pPr>
        <w:suppressAutoHyphens/>
        <w:rPr>
          <w:noProof/>
          <w:szCs w:val="22"/>
        </w:rPr>
      </w:pPr>
    </w:p>
    <w:p w14:paraId="29921902" w14:textId="77777777" w:rsidR="00337111" w:rsidRPr="0063119B" w:rsidRDefault="00337111" w:rsidP="00337111">
      <w:pPr>
        <w:suppressAutoHyphens/>
        <w:rPr>
          <w:noProof/>
          <w:szCs w:val="22"/>
        </w:rPr>
      </w:pPr>
      <w:r w:rsidRPr="0063119B">
        <w:rPr>
          <w:noProof/>
          <w:szCs w:val="22"/>
        </w:rPr>
        <w:t>Gravidez e amamentação (ver secção 4.6).</w:t>
      </w:r>
    </w:p>
    <w:p w14:paraId="64D637BE" w14:textId="77777777" w:rsidR="00337111" w:rsidRPr="0063119B" w:rsidRDefault="00337111" w:rsidP="00337111">
      <w:pPr>
        <w:suppressAutoHyphens/>
        <w:rPr>
          <w:noProof/>
          <w:szCs w:val="22"/>
        </w:rPr>
      </w:pPr>
    </w:p>
    <w:p w14:paraId="092561F2" w14:textId="77777777" w:rsidR="00337111" w:rsidRPr="0063119B" w:rsidRDefault="00337111" w:rsidP="003311FD">
      <w:pPr>
        <w:keepNext/>
        <w:suppressAutoHyphens/>
        <w:ind w:left="567" w:hanging="567"/>
        <w:rPr>
          <w:noProof/>
          <w:szCs w:val="22"/>
        </w:rPr>
      </w:pPr>
      <w:r w:rsidRPr="0063119B">
        <w:rPr>
          <w:b/>
          <w:noProof/>
          <w:szCs w:val="22"/>
        </w:rPr>
        <w:t>4.4</w:t>
      </w:r>
      <w:r w:rsidRPr="0063119B">
        <w:rPr>
          <w:b/>
          <w:noProof/>
          <w:szCs w:val="22"/>
        </w:rPr>
        <w:tab/>
        <w:t>Advertências e precauções especiais de utilização</w:t>
      </w:r>
    </w:p>
    <w:p w14:paraId="7A2B464B" w14:textId="77777777" w:rsidR="00337111" w:rsidRPr="0063119B" w:rsidRDefault="00337111" w:rsidP="00337111">
      <w:pPr>
        <w:suppressAutoHyphens/>
        <w:rPr>
          <w:noProof/>
          <w:szCs w:val="22"/>
        </w:rPr>
      </w:pPr>
    </w:p>
    <w:p w14:paraId="6934B317" w14:textId="77777777" w:rsidR="00A43028" w:rsidRPr="0063119B" w:rsidRDefault="00A43028" w:rsidP="00337111">
      <w:pPr>
        <w:suppressAutoHyphens/>
        <w:rPr>
          <w:szCs w:val="22"/>
        </w:rPr>
      </w:pPr>
      <w:r w:rsidRPr="0063119B">
        <w:rPr>
          <w:szCs w:val="22"/>
        </w:rPr>
        <w:t>Recomenda</w:t>
      </w:r>
      <w:r w:rsidRPr="0063119B">
        <w:rPr>
          <w:szCs w:val="22"/>
        </w:rPr>
        <w:noBreakHyphen/>
        <w:t>se vigilância clínica, de acordo com as práticas de anticoagulação, durante todo o período de tratamento.</w:t>
      </w:r>
    </w:p>
    <w:p w14:paraId="25C75F56" w14:textId="77777777" w:rsidR="00A43028" w:rsidRPr="0063119B" w:rsidRDefault="00A43028" w:rsidP="00337111">
      <w:pPr>
        <w:suppressAutoHyphens/>
        <w:rPr>
          <w:noProof/>
          <w:szCs w:val="22"/>
        </w:rPr>
      </w:pPr>
    </w:p>
    <w:p w14:paraId="6CA121E2" w14:textId="77777777" w:rsidR="00337111" w:rsidRDefault="00337111" w:rsidP="00337111">
      <w:pPr>
        <w:suppressAutoHyphens/>
        <w:rPr>
          <w:noProof/>
          <w:szCs w:val="22"/>
          <w:u w:val="single"/>
        </w:rPr>
      </w:pPr>
      <w:r w:rsidRPr="0063119B">
        <w:rPr>
          <w:noProof/>
          <w:szCs w:val="22"/>
          <w:u w:val="single"/>
        </w:rPr>
        <w:t>Risco hemorrágico</w:t>
      </w:r>
    </w:p>
    <w:p w14:paraId="7C9DCB6A" w14:textId="77777777" w:rsidR="00847124" w:rsidRPr="0063119B" w:rsidRDefault="00847124" w:rsidP="00337111">
      <w:pPr>
        <w:suppressAutoHyphens/>
        <w:rPr>
          <w:noProof/>
          <w:szCs w:val="22"/>
          <w:u w:val="single"/>
        </w:rPr>
      </w:pPr>
    </w:p>
    <w:p w14:paraId="4C91AC80" w14:textId="77777777" w:rsidR="00A43028" w:rsidRPr="0063119B" w:rsidRDefault="00A43028" w:rsidP="00337111">
      <w:pPr>
        <w:suppressAutoHyphens/>
        <w:rPr>
          <w:noProof/>
          <w:szCs w:val="22"/>
        </w:rPr>
      </w:pPr>
      <w:r w:rsidRPr="0063119B">
        <w:rPr>
          <w:noProof/>
          <w:szCs w:val="22"/>
        </w:rPr>
        <w:t xml:space="preserve">Tal como com outros anticoagulantes, os doentes que tomam </w:t>
      </w:r>
      <w:r w:rsidR="00607DE4">
        <w:rPr>
          <w:noProof/>
          <w:szCs w:val="22"/>
        </w:rPr>
        <w:t>Rivaroxabano</w:t>
      </w:r>
      <w:r w:rsidR="006D3AF1" w:rsidRPr="0063119B">
        <w:rPr>
          <w:noProof/>
          <w:szCs w:val="22"/>
        </w:rPr>
        <w:t xml:space="preserve"> Accord</w:t>
      </w:r>
      <w:r w:rsidRPr="0063119B">
        <w:rPr>
          <w:noProof/>
          <w:szCs w:val="22"/>
        </w:rPr>
        <w:t xml:space="preserve"> devem ser cuidadosamente observados quanto a sinais de hemorragia. Recomenda-se precaução ao ser utilizado em situações com risco aumentado de hemorragia. A administração de </w:t>
      </w:r>
      <w:r w:rsidR="00607DE4">
        <w:rPr>
          <w:noProof/>
          <w:szCs w:val="22"/>
        </w:rPr>
        <w:t>Rivaroxabano</w:t>
      </w:r>
      <w:r w:rsidR="006D3AF1" w:rsidRPr="0063119B">
        <w:rPr>
          <w:noProof/>
          <w:szCs w:val="22"/>
        </w:rPr>
        <w:t xml:space="preserve"> Accord</w:t>
      </w:r>
      <w:r w:rsidRPr="0063119B">
        <w:rPr>
          <w:noProof/>
          <w:szCs w:val="22"/>
        </w:rPr>
        <w:t xml:space="preserve"> deve ser interrompida se ocorrer hemorragia grave</w:t>
      </w:r>
      <w:r w:rsidR="00C8557F" w:rsidRPr="0063119B">
        <w:rPr>
          <w:noProof/>
          <w:szCs w:val="22"/>
        </w:rPr>
        <w:t xml:space="preserve"> (ver secção 4.9)</w:t>
      </w:r>
      <w:r w:rsidRPr="0063119B">
        <w:rPr>
          <w:noProof/>
          <w:szCs w:val="22"/>
        </w:rPr>
        <w:t>.</w:t>
      </w:r>
    </w:p>
    <w:p w14:paraId="0B93823F" w14:textId="77777777" w:rsidR="0072202E" w:rsidRPr="0063119B" w:rsidRDefault="0072202E" w:rsidP="00A43028">
      <w:pPr>
        <w:suppressAutoHyphens/>
        <w:rPr>
          <w:noProof/>
          <w:szCs w:val="22"/>
        </w:rPr>
      </w:pPr>
    </w:p>
    <w:p w14:paraId="34F852E6" w14:textId="77777777" w:rsidR="00A43028" w:rsidRPr="0063119B" w:rsidRDefault="00CD3E37" w:rsidP="00A43028">
      <w:pPr>
        <w:suppressAutoHyphens/>
        <w:rPr>
          <w:noProof/>
          <w:szCs w:val="22"/>
        </w:rPr>
      </w:pPr>
      <w:r w:rsidRPr="0063119B">
        <w:rPr>
          <w:noProof/>
          <w:szCs w:val="22"/>
        </w:rPr>
        <w:t>Nos</w:t>
      </w:r>
      <w:r w:rsidR="0072202E" w:rsidRPr="0063119B">
        <w:rPr>
          <w:noProof/>
          <w:szCs w:val="22"/>
        </w:rPr>
        <w:t xml:space="preserve"> </w:t>
      </w:r>
      <w:r w:rsidR="00A43028" w:rsidRPr="0063119B">
        <w:rPr>
          <w:noProof/>
          <w:szCs w:val="22"/>
        </w:rPr>
        <w:t xml:space="preserve">estudos clínicos, foram observadas com maior frequência hemorragias das mucosas (ex.: epistaxe, gengival, gastrointestinal, genitourinária incluindo hemorragia vaginal anormal ou menstrual aumentada) e anemia durante o tratamento prolongado com rivaroxabano, comparativamente ao tratamento com AVK. Assim, para além de uma vigilância clínica adequada, testes laboratoriais de hemoglobina/hematócrito podem ser uma mais-valia para detetar hemorragias ocultas e quantificar a relevância clínica de uma hemorragia </w:t>
      </w:r>
      <w:r w:rsidR="00601FE5" w:rsidRPr="0063119B">
        <w:rPr>
          <w:noProof/>
          <w:szCs w:val="22"/>
        </w:rPr>
        <w:t>óbvia</w:t>
      </w:r>
      <w:r w:rsidR="00A43028" w:rsidRPr="0063119B">
        <w:rPr>
          <w:noProof/>
          <w:szCs w:val="22"/>
        </w:rPr>
        <w:t>, quando considerado necessário.</w:t>
      </w:r>
    </w:p>
    <w:p w14:paraId="35911B3F" w14:textId="77777777" w:rsidR="00A43028" w:rsidRPr="0063119B" w:rsidRDefault="00A43028" w:rsidP="00337111">
      <w:pPr>
        <w:suppressAutoHyphens/>
        <w:rPr>
          <w:noProof/>
          <w:szCs w:val="22"/>
        </w:rPr>
      </w:pPr>
    </w:p>
    <w:p w14:paraId="1ACF03A0" w14:textId="77777777" w:rsidR="00337111" w:rsidRPr="0063119B" w:rsidRDefault="00337111" w:rsidP="00337111">
      <w:pPr>
        <w:suppressAutoHyphens/>
        <w:rPr>
          <w:noProof/>
          <w:szCs w:val="22"/>
        </w:rPr>
      </w:pPr>
      <w:r w:rsidRPr="0063119B">
        <w:rPr>
          <w:noProof/>
          <w:szCs w:val="22"/>
        </w:rPr>
        <w:t>Vários subgrupos de doentes, como abaixo detalhado, apresentam um risco aumentado de hemorragia. Estes doentes devem ser cuidadosamente monitorizados quanto a sinais e sintomas de complicações hemorrágicas e anemia após o início do tratamento</w:t>
      </w:r>
      <w:r w:rsidR="00A47A12" w:rsidRPr="0063119B">
        <w:rPr>
          <w:noProof/>
          <w:szCs w:val="22"/>
        </w:rPr>
        <w:t xml:space="preserve"> (ver secção 4.8)</w:t>
      </w:r>
      <w:r w:rsidRPr="0063119B">
        <w:rPr>
          <w:noProof/>
          <w:szCs w:val="22"/>
        </w:rPr>
        <w:t xml:space="preserve">. </w:t>
      </w:r>
      <w:r w:rsidR="00601FE5" w:rsidRPr="0063119B">
        <w:rPr>
          <w:noProof/>
          <w:szCs w:val="22"/>
        </w:rPr>
        <w:t xml:space="preserve">Em doentes que estejam a receber </w:t>
      </w:r>
      <w:r w:rsidR="006D3AF1" w:rsidRPr="0063119B">
        <w:rPr>
          <w:noProof/>
          <w:szCs w:val="22"/>
        </w:rPr>
        <w:t xml:space="preserve">rivaroxabano </w:t>
      </w:r>
      <w:r w:rsidR="00601FE5" w:rsidRPr="0063119B">
        <w:rPr>
          <w:noProof/>
          <w:szCs w:val="22"/>
        </w:rPr>
        <w:t>para a prevenção d</w:t>
      </w:r>
      <w:r w:rsidR="000E46B1" w:rsidRPr="0063119B">
        <w:rPr>
          <w:noProof/>
          <w:szCs w:val="22"/>
        </w:rPr>
        <w:t>o</w:t>
      </w:r>
      <w:r w:rsidR="00601FE5" w:rsidRPr="0063119B">
        <w:rPr>
          <w:noProof/>
          <w:szCs w:val="22"/>
        </w:rPr>
        <w:t xml:space="preserve"> TEV após uma artroplastia</w:t>
      </w:r>
      <w:r w:rsidR="00DE537C" w:rsidRPr="0063119B">
        <w:rPr>
          <w:noProof/>
          <w:szCs w:val="22"/>
        </w:rPr>
        <w:t xml:space="preserve"> da anca ou</w:t>
      </w:r>
      <w:r w:rsidR="00601FE5" w:rsidRPr="0063119B">
        <w:rPr>
          <w:noProof/>
          <w:szCs w:val="22"/>
        </w:rPr>
        <w:t xml:space="preserve"> joelho, i</w:t>
      </w:r>
      <w:r w:rsidRPr="0063119B">
        <w:rPr>
          <w:noProof/>
          <w:szCs w:val="22"/>
        </w:rPr>
        <w:t>sto pode ser feito através do exame físico regular dos doentes, observação cuidadosa da drenagem de ferida cirúrgica e medições periódicas da hemoglobina.</w:t>
      </w:r>
      <w:r w:rsidR="00332402">
        <w:rPr>
          <w:noProof/>
          <w:szCs w:val="22"/>
        </w:rPr>
        <w:t xml:space="preserve"> </w:t>
      </w:r>
      <w:r w:rsidRPr="0063119B">
        <w:rPr>
          <w:noProof/>
          <w:szCs w:val="22"/>
        </w:rPr>
        <w:t>Qualquer diminuição inexplicável da hemoglobina ou da pressão sanguínea deve conduzir a uma pesquisa de um local hemorrágico.</w:t>
      </w:r>
    </w:p>
    <w:p w14:paraId="12CACC65" w14:textId="77777777" w:rsidR="007E31B4" w:rsidRPr="0063119B" w:rsidRDefault="007E31B4" w:rsidP="007E31B4">
      <w:pPr>
        <w:suppressAutoHyphens/>
        <w:rPr>
          <w:noProof/>
          <w:szCs w:val="22"/>
        </w:rPr>
      </w:pPr>
    </w:p>
    <w:p w14:paraId="09100C2C" w14:textId="77777777" w:rsidR="007E31B4" w:rsidRPr="0063119B" w:rsidRDefault="007E31B4" w:rsidP="007E31B4">
      <w:pPr>
        <w:suppressAutoHyphens/>
        <w:rPr>
          <w:noProof/>
          <w:szCs w:val="22"/>
        </w:rPr>
      </w:pPr>
      <w:r w:rsidRPr="0063119B">
        <w:rPr>
          <w:noProof/>
          <w:szCs w:val="22"/>
        </w:rPr>
        <w:t>Embora o tratamento com rivaroxabano não necessite de monitorização de rotina da exposição, a medição dos níveis de rivaroxabano pelo teste quantitativo calibrado antifator Xa pode ser útil em situações excecionais em que o conhecimento da exposição ao rivaroxabano pode ajudar a fundamentar decisões clínicas, ex.: sobredosagem e cirurgia de emergência (ver secções 5.1 e 5.2).</w:t>
      </w:r>
    </w:p>
    <w:p w14:paraId="47AFA06B" w14:textId="77777777" w:rsidR="001E5C0D" w:rsidRPr="0063119B" w:rsidRDefault="001E5C0D" w:rsidP="00337111">
      <w:pPr>
        <w:suppressAutoHyphens/>
        <w:rPr>
          <w:noProof/>
          <w:szCs w:val="22"/>
        </w:rPr>
      </w:pPr>
    </w:p>
    <w:p w14:paraId="37A9F7B2" w14:textId="77777777" w:rsidR="00337111" w:rsidRDefault="00337111" w:rsidP="00337111">
      <w:pPr>
        <w:suppressAutoHyphens/>
        <w:rPr>
          <w:noProof/>
          <w:szCs w:val="22"/>
          <w:u w:val="single"/>
        </w:rPr>
      </w:pPr>
      <w:r w:rsidRPr="0063119B">
        <w:rPr>
          <w:noProof/>
          <w:szCs w:val="22"/>
          <w:u w:val="single"/>
        </w:rPr>
        <w:t>Compromisso renal</w:t>
      </w:r>
    </w:p>
    <w:p w14:paraId="0E9044CE" w14:textId="77777777" w:rsidR="00847124" w:rsidRPr="0063119B" w:rsidRDefault="00847124" w:rsidP="00337111">
      <w:pPr>
        <w:suppressAutoHyphens/>
        <w:rPr>
          <w:noProof/>
          <w:szCs w:val="22"/>
          <w:u w:val="single"/>
        </w:rPr>
      </w:pPr>
    </w:p>
    <w:p w14:paraId="4FAC3DD8" w14:textId="77777777" w:rsidR="006D3AF1" w:rsidRPr="0063119B" w:rsidRDefault="00337111" w:rsidP="00337111">
      <w:pPr>
        <w:suppressAutoHyphens/>
        <w:rPr>
          <w:noProof/>
          <w:szCs w:val="22"/>
        </w:rPr>
      </w:pPr>
      <w:r w:rsidRPr="0063119B">
        <w:rPr>
          <w:noProof/>
          <w:szCs w:val="22"/>
        </w:rPr>
        <w:t xml:space="preserve">Em doentes com compromisso renal grave (taxa de depuração da creatinina &lt; 30 ml/min) os níveis plasmáticos de rivaroxabano podem aumentar significativamente (em média 1,6 vezes), o que pode originar um aumento do risco de hemorragia. </w:t>
      </w:r>
    </w:p>
    <w:p w14:paraId="1DCD6B5A" w14:textId="77777777" w:rsidR="00337111" w:rsidRPr="0063119B" w:rsidRDefault="00607DE4" w:rsidP="00337111">
      <w:pPr>
        <w:suppressAutoHyphens/>
        <w:rPr>
          <w:noProof/>
          <w:szCs w:val="22"/>
        </w:rPr>
      </w:pPr>
      <w:r>
        <w:rPr>
          <w:noProof/>
          <w:szCs w:val="22"/>
        </w:rPr>
        <w:t>Rivaroxabano</w:t>
      </w:r>
      <w:r w:rsidR="006D3AF1" w:rsidRPr="0063119B">
        <w:rPr>
          <w:noProof/>
          <w:szCs w:val="22"/>
        </w:rPr>
        <w:t xml:space="preserve"> Accord</w:t>
      </w:r>
      <w:r w:rsidR="00337111" w:rsidRPr="0063119B">
        <w:rPr>
          <w:noProof/>
          <w:szCs w:val="22"/>
        </w:rPr>
        <w:t xml:space="preserve"> deve ser utilizado com precaução em doentes com uma taxa de depuração de creatinina de 15</w:t>
      </w:r>
      <w:r w:rsidR="00667B90" w:rsidRPr="0063119B">
        <w:rPr>
          <w:noProof/>
          <w:szCs w:val="22"/>
        </w:rPr>
        <w:t> </w:t>
      </w:r>
      <w:r w:rsidR="000E46B1" w:rsidRPr="0063119B">
        <w:rPr>
          <w:noProof/>
          <w:szCs w:val="22"/>
        </w:rPr>
        <w:t>-</w:t>
      </w:r>
      <w:r w:rsidR="00667B90" w:rsidRPr="0063119B">
        <w:rPr>
          <w:noProof/>
          <w:szCs w:val="22"/>
        </w:rPr>
        <w:t> </w:t>
      </w:r>
      <w:r w:rsidR="00337111" w:rsidRPr="0063119B">
        <w:rPr>
          <w:noProof/>
          <w:szCs w:val="22"/>
        </w:rPr>
        <w:t>29</w:t>
      </w:r>
      <w:r w:rsidR="00667B90" w:rsidRPr="0063119B">
        <w:rPr>
          <w:noProof/>
          <w:szCs w:val="22"/>
        </w:rPr>
        <w:t> </w:t>
      </w:r>
      <w:r w:rsidR="00337111" w:rsidRPr="0063119B">
        <w:rPr>
          <w:noProof/>
          <w:szCs w:val="22"/>
        </w:rPr>
        <w:t>ml/min. A utilização não é recomendada em doentes com depuração da creatinina &lt; 15 ml/min (ver secções</w:t>
      </w:r>
      <w:r w:rsidR="00667B90" w:rsidRPr="0063119B">
        <w:rPr>
          <w:noProof/>
          <w:szCs w:val="22"/>
        </w:rPr>
        <w:t> </w:t>
      </w:r>
      <w:r w:rsidR="00337111" w:rsidRPr="0063119B">
        <w:rPr>
          <w:noProof/>
          <w:szCs w:val="22"/>
        </w:rPr>
        <w:t>4.2 e 5.2).</w:t>
      </w:r>
    </w:p>
    <w:p w14:paraId="6C9C140A" w14:textId="77777777" w:rsidR="00337111" w:rsidRPr="0063119B" w:rsidRDefault="00607DE4" w:rsidP="00337111">
      <w:pPr>
        <w:suppressAutoHyphens/>
        <w:rPr>
          <w:noProof/>
          <w:szCs w:val="22"/>
        </w:rPr>
      </w:pPr>
      <w:r>
        <w:rPr>
          <w:noProof/>
          <w:szCs w:val="22"/>
        </w:rPr>
        <w:t>Rivaroxabano</w:t>
      </w:r>
      <w:r w:rsidR="006D3AF1" w:rsidRPr="0063119B">
        <w:rPr>
          <w:noProof/>
          <w:szCs w:val="22"/>
        </w:rPr>
        <w:t xml:space="preserve"> Accord</w:t>
      </w:r>
      <w:r w:rsidR="00337111" w:rsidRPr="0063119B">
        <w:rPr>
          <w:noProof/>
          <w:szCs w:val="22"/>
        </w:rPr>
        <w:t xml:space="preserve"> deve ser u</w:t>
      </w:r>
      <w:r w:rsidR="006D3AF1" w:rsidRPr="0063119B">
        <w:rPr>
          <w:noProof/>
          <w:szCs w:val="22"/>
        </w:rPr>
        <w:t>tiliz</w:t>
      </w:r>
      <w:r w:rsidR="00337111" w:rsidRPr="0063119B">
        <w:rPr>
          <w:noProof/>
          <w:szCs w:val="22"/>
        </w:rPr>
        <w:t xml:space="preserve">ado com precaução em doentes com compromisso renal moderado (taxa de depuração da creatinina de 30 </w:t>
      </w:r>
      <w:r w:rsidR="000E46B1" w:rsidRPr="0063119B">
        <w:rPr>
          <w:noProof/>
          <w:szCs w:val="22"/>
        </w:rPr>
        <w:t>-</w:t>
      </w:r>
      <w:r w:rsidR="00337111" w:rsidRPr="0063119B">
        <w:rPr>
          <w:noProof/>
          <w:szCs w:val="22"/>
        </w:rPr>
        <w:t xml:space="preserve"> 49 ml/min) </w:t>
      </w:r>
      <w:r w:rsidR="007E31B4" w:rsidRPr="0063119B">
        <w:rPr>
          <w:noProof/>
          <w:szCs w:val="22"/>
        </w:rPr>
        <w:t>tratados</w:t>
      </w:r>
      <w:r w:rsidR="00337111" w:rsidRPr="0063119B">
        <w:rPr>
          <w:noProof/>
          <w:szCs w:val="22"/>
        </w:rPr>
        <w:t xml:space="preserve"> concomitantemente</w:t>
      </w:r>
      <w:r w:rsidR="007E31B4" w:rsidRPr="0063119B">
        <w:rPr>
          <w:noProof/>
          <w:szCs w:val="22"/>
        </w:rPr>
        <w:t xml:space="preserve"> com</w:t>
      </w:r>
      <w:r w:rsidR="00337111" w:rsidRPr="0063119B">
        <w:rPr>
          <w:noProof/>
          <w:szCs w:val="22"/>
        </w:rPr>
        <w:t xml:space="preserve"> outros medicamentos que aumentam as concentrações plasmáticas de rivaroxabano (ver secção 4.5).</w:t>
      </w:r>
    </w:p>
    <w:p w14:paraId="3AB9B440" w14:textId="77777777" w:rsidR="00337111" w:rsidRPr="0063119B" w:rsidRDefault="00337111" w:rsidP="00337111">
      <w:pPr>
        <w:suppressAutoHyphens/>
        <w:rPr>
          <w:noProof/>
          <w:szCs w:val="22"/>
        </w:rPr>
      </w:pPr>
    </w:p>
    <w:p w14:paraId="0144D565" w14:textId="77777777" w:rsidR="00337111" w:rsidRDefault="00337111" w:rsidP="00337111">
      <w:pPr>
        <w:suppressAutoHyphens/>
        <w:rPr>
          <w:noProof/>
          <w:szCs w:val="22"/>
          <w:u w:val="single"/>
        </w:rPr>
      </w:pPr>
      <w:r w:rsidRPr="0063119B">
        <w:rPr>
          <w:noProof/>
          <w:szCs w:val="22"/>
          <w:u w:val="single"/>
        </w:rPr>
        <w:t>Interação com outros medicamentos</w:t>
      </w:r>
    </w:p>
    <w:p w14:paraId="48BB2483" w14:textId="77777777" w:rsidR="00847124" w:rsidRPr="0063119B" w:rsidRDefault="00847124" w:rsidP="00337111">
      <w:pPr>
        <w:suppressAutoHyphens/>
        <w:rPr>
          <w:noProof/>
          <w:szCs w:val="22"/>
          <w:u w:val="single"/>
        </w:rPr>
      </w:pPr>
    </w:p>
    <w:p w14:paraId="4E747E7F" w14:textId="77777777" w:rsidR="00337111" w:rsidRPr="0063119B" w:rsidRDefault="00337111" w:rsidP="00337111">
      <w:pPr>
        <w:suppressAutoHyphens/>
        <w:rPr>
          <w:noProof/>
          <w:szCs w:val="22"/>
        </w:rPr>
      </w:pPr>
      <w:r w:rsidRPr="0063119B">
        <w:rPr>
          <w:noProof/>
          <w:szCs w:val="22"/>
        </w:rPr>
        <w:t xml:space="preserve">A utilização de </w:t>
      </w:r>
      <w:r w:rsidR="00607DE4">
        <w:rPr>
          <w:noProof/>
          <w:szCs w:val="22"/>
        </w:rPr>
        <w:t>Rivaroxabano</w:t>
      </w:r>
      <w:r w:rsidR="006D3AF1" w:rsidRPr="0063119B">
        <w:rPr>
          <w:noProof/>
          <w:szCs w:val="22"/>
        </w:rPr>
        <w:t xml:space="preserve"> Accord</w:t>
      </w:r>
      <w:r w:rsidRPr="0063119B">
        <w:rPr>
          <w:noProof/>
          <w:szCs w:val="22"/>
        </w:rPr>
        <w:t xml:space="preserve"> não é recomendada em doentes a receber tratamento sistémico concomitante com antimicóticos azólicos (tais como cetoconazol, itraconazol, voriconazol e posaconazol) ou inibidores da protease do VIH (ex.: ritonavir). Estas substâncias ativas são potentes inibidores do CYP3A4 e da glicoproteína P (gp-P) e por este motivo podem aumentar as concentrações plasmáticas de rivaroxabano até um grau clinicamente relevante (em média 2,6 vezes) que pode originar um risco </w:t>
      </w:r>
      <w:r w:rsidR="00F120C5" w:rsidRPr="0063119B">
        <w:rPr>
          <w:noProof/>
          <w:szCs w:val="22"/>
        </w:rPr>
        <w:t xml:space="preserve">aumentado de hemorragia </w:t>
      </w:r>
      <w:r w:rsidRPr="0063119B">
        <w:rPr>
          <w:noProof/>
          <w:szCs w:val="22"/>
        </w:rPr>
        <w:t>(ver secção 4.5).</w:t>
      </w:r>
    </w:p>
    <w:p w14:paraId="6625A953" w14:textId="77777777" w:rsidR="00667B90" w:rsidRPr="0063119B" w:rsidRDefault="00667B90" w:rsidP="00337111">
      <w:pPr>
        <w:suppressAutoHyphens/>
        <w:rPr>
          <w:noProof/>
          <w:szCs w:val="22"/>
        </w:rPr>
      </w:pPr>
    </w:p>
    <w:p w14:paraId="4DDDB12A" w14:textId="77777777" w:rsidR="00337111" w:rsidRPr="0063119B" w:rsidRDefault="00337111" w:rsidP="00337111">
      <w:pPr>
        <w:suppressAutoHyphens/>
        <w:rPr>
          <w:noProof/>
          <w:szCs w:val="22"/>
        </w:rPr>
      </w:pPr>
      <w:r w:rsidRPr="0063119B">
        <w:rPr>
          <w:noProof/>
          <w:szCs w:val="22"/>
        </w:rPr>
        <w:t>Deve ter-se precaução se os doentes são concomitantemente tratados com medicamentos que afetem a hemostase tais como medicamentos anti-inflamatórios não esteroides (AINEs), ácido acetilsalicílico</w:t>
      </w:r>
      <w:r w:rsidR="00667B90" w:rsidRPr="0063119B">
        <w:rPr>
          <w:noProof/>
          <w:szCs w:val="22"/>
        </w:rPr>
        <w:t xml:space="preserve"> (AAS) e</w:t>
      </w:r>
      <w:r w:rsidRPr="0063119B">
        <w:rPr>
          <w:noProof/>
          <w:szCs w:val="22"/>
        </w:rPr>
        <w:t xml:space="preserve"> inibidores da agregação plaquetária</w:t>
      </w:r>
      <w:r w:rsidR="00883A30" w:rsidRPr="0063119B">
        <w:rPr>
          <w:noProof/>
          <w:szCs w:val="22"/>
        </w:rPr>
        <w:t xml:space="preserve"> ou inibidores seletivos da recaptação da serotonina (ISRS) e inibidores da recaptação da serotonina e norepinefrina (IRSN)</w:t>
      </w:r>
      <w:r w:rsidRPr="0063119B">
        <w:rPr>
          <w:noProof/>
          <w:szCs w:val="22"/>
        </w:rPr>
        <w:t>. Deve ser considerado um tratamento profilático adequado para doentes com risco de doença ulcerosa gastrointestinal (ver secção 4.5).</w:t>
      </w:r>
    </w:p>
    <w:p w14:paraId="4CE27432" w14:textId="77777777" w:rsidR="00337111" w:rsidRPr="0063119B" w:rsidRDefault="00337111" w:rsidP="00337111">
      <w:pPr>
        <w:suppressAutoHyphens/>
        <w:rPr>
          <w:noProof/>
          <w:szCs w:val="22"/>
        </w:rPr>
      </w:pPr>
      <w:r w:rsidRPr="0063119B">
        <w:rPr>
          <w:noProof/>
          <w:szCs w:val="22"/>
        </w:rPr>
        <w:t xml:space="preserve"> </w:t>
      </w:r>
    </w:p>
    <w:p w14:paraId="26907722" w14:textId="77777777" w:rsidR="00337111" w:rsidRDefault="00337111" w:rsidP="00337111">
      <w:pPr>
        <w:suppressAutoHyphens/>
        <w:rPr>
          <w:noProof/>
          <w:szCs w:val="22"/>
          <w:u w:val="single"/>
        </w:rPr>
      </w:pPr>
      <w:r w:rsidRPr="0063119B">
        <w:rPr>
          <w:noProof/>
          <w:szCs w:val="22"/>
          <w:u w:val="single"/>
        </w:rPr>
        <w:t>Outros fatores de risco hemorrágico</w:t>
      </w:r>
    </w:p>
    <w:p w14:paraId="0F372C72" w14:textId="77777777" w:rsidR="00847124" w:rsidRPr="0063119B" w:rsidRDefault="00847124" w:rsidP="00337111">
      <w:pPr>
        <w:suppressAutoHyphens/>
        <w:rPr>
          <w:noProof/>
          <w:szCs w:val="22"/>
          <w:u w:val="single"/>
        </w:rPr>
      </w:pPr>
    </w:p>
    <w:p w14:paraId="52B0C3C4" w14:textId="77777777" w:rsidR="00337111" w:rsidRPr="0063119B" w:rsidRDefault="0061080A" w:rsidP="00337111">
      <w:pPr>
        <w:suppressAutoHyphens/>
        <w:rPr>
          <w:noProof/>
          <w:szCs w:val="22"/>
        </w:rPr>
      </w:pPr>
      <w:r w:rsidRPr="0063119B">
        <w:rPr>
          <w:noProof/>
          <w:szCs w:val="22"/>
        </w:rPr>
        <w:t>Tal como outros antitrombóticos, rivaroxabano</w:t>
      </w:r>
      <w:r w:rsidR="00337111" w:rsidRPr="0063119B">
        <w:rPr>
          <w:noProof/>
          <w:szCs w:val="22"/>
        </w:rPr>
        <w:t xml:space="preserve"> </w:t>
      </w:r>
      <w:r w:rsidR="00601FE5" w:rsidRPr="0063119B">
        <w:rPr>
          <w:noProof/>
          <w:szCs w:val="22"/>
        </w:rPr>
        <w:t>não é recomendado</w:t>
      </w:r>
      <w:r w:rsidR="00337111" w:rsidRPr="0063119B">
        <w:rPr>
          <w:noProof/>
          <w:szCs w:val="22"/>
        </w:rPr>
        <w:t xml:space="preserve"> em doentes com risco aumentado de hemorragia, tais como:</w:t>
      </w:r>
    </w:p>
    <w:p w14:paraId="62531270" w14:textId="77777777" w:rsidR="00337111" w:rsidRPr="0063119B" w:rsidRDefault="00337111" w:rsidP="00FF261B">
      <w:pPr>
        <w:numPr>
          <w:ilvl w:val="0"/>
          <w:numId w:val="4"/>
        </w:numPr>
        <w:tabs>
          <w:tab w:val="clear" w:pos="720"/>
          <w:tab w:val="num" w:pos="0"/>
        </w:tabs>
        <w:suppressAutoHyphens/>
        <w:ind w:left="0" w:firstLine="0"/>
        <w:rPr>
          <w:noProof/>
          <w:szCs w:val="22"/>
        </w:rPr>
      </w:pPr>
      <w:r w:rsidRPr="0063119B">
        <w:rPr>
          <w:noProof/>
          <w:szCs w:val="22"/>
        </w:rPr>
        <w:t>doenças hemorrágicas congénitas ou adquiridas</w:t>
      </w:r>
    </w:p>
    <w:p w14:paraId="27F74388" w14:textId="77777777" w:rsidR="00337111" w:rsidRPr="0063119B" w:rsidRDefault="00337111" w:rsidP="00FF261B">
      <w:pPr>
        <w:numPr>
          <w:ilvl w:val="0"/>
          <w:numId w:val="4"/>
        </w:numPr>
        <w:tabs>
          <w:tab w:val="clear" w:pos="720"/>
          <w:tab w:val="num" w:pos="0"/>
        </w:tabs>
        <w:suppressAutoHyphens/>
        <w:ind w:left="0" w:firstLine="0"/>
        <w:rPr>
          <w:noProof/>
          <w:szCs w:val="22"/>
        </w:rPr>
      </w:pPr>
      <w:r w:rsidRPr="0063119B">
        <w:rPr>
          <w:noProof/>
          <w:szCs w:val="22"/>
        </w:rPr>
        <w:t>hipertensão arterial grave não controlada</w:t>
      </w:r>
    </w:p>
    <w:p w14:paraId="53E68103" w14:textId="77777777" w:rsidR="007E31B4" w:rsidRPr="0063119B" w:rsidRDefault="007E31B4" w:rsidP="00FF261B">
      <w:pPr>
        <w:numPr>
          <w:ilvl w:val="0"/>
          <w:numId w:val="4"/>
        </w:numPr>
        <w:suppressAutoHyphens/>
        <w:ind w:left="709" w:hanging="709"/>
        <w:rPr>
          <w:noProof/>
          <w:szCs w:val="22"/>
        </w:rPr>
      </w:pPr>
      <w:r w:rsidRPr="0063119B">
        <w:rPr>
          <w:noProof/>
          <w:szCs w:val="22"/>
        </w:rPr>
        <w:lastRenderedPageBreak/>
        <w:t>outras doenças gastrointestinais sem ulceração ativa que podem potenciar o aparecimento de complicações hemorrágicas (ex.: doença inflamatória do intestino, esofagite, gastrite e doença de refluxo gastroesofágico)</w:t>
      </w:r>
    </w:p>
    <w:p w14:paraId="4CF02A4E" w14:textId="77777777" w:rsidR="00337111" w:rsidRPr="0063119B" w:rsidRDefault="00337111" w:rsidP="00FF261B">
      <w:pPr>
        <w:numPr>
          <w:ilvl w:val="0"/>
          <w:numId w:val="4"/>
        </w:numPr>
        <w:tabs>
          <w:tab w:val="clear" w:pos="720"/>
          <w:tab w:val="num" w:pos="0"/>
        </w:tabs>
        <w:suppressAutoHyphens/>
        <w:ind w:left="0" w:firstLine="0"/>
        <w:rPr>
          <w:noProof/>
          <w:szCs w:val="22"/>
        </w:rPr>
      </w:pPr>
      <w:r w:rsidRPr="0063119B">
        <w:rPr>
          <w:noProof/>
          <w:szCs w:val="22"/>
        </w:rPr>
        <w:t>retinopatia vascular</w:t>
      </w:r>
    </w:p>
    <w:p w14:paraId="3493C07D" w14:textId="77777777" w:rsidR="00337111" w:rsidRPr="0063119B" w:rsidRDefault="00337111" w:rsidP="00FF261B">
      <w:pPr>
        <w:numPr>
          <w:ilvl w:val="0"/>
          <w:numId w:val="4"/>
        </w:numPr>
        <w:tabs>
          <w:tab w:val="clear" w:pos="720"/>
          <w:tab w:val="num" w:pos="0"/>
        </w:tabs>
        <w:suppressAutoHyphens/>
        <w:ind w:left="0" w:firstLine="0"/>
        <w:rPr>
          <w:noProof/>
          <w:szCs w:val="22"/>
        </w:rPr>
      </w:pPr>
      <w:r w:rsidRPr="0063119B">
        <w:rPr>
          <w:noProof/>
          <w:szCs w:val="22"/>
        </w:rPr>
        <w:t>bronquiectasias ou antecedentes de hemorragia pulmonar</w:t>
      </w:r>
    </w:p>
    <w:p w14:paraId="234C4032" w14:textId="77777777" w:rsidR="00337111" w:rsidRDefault="00337111" w:rsidP="00337111">
      <w:pPr>
        <w:suppressAutoHyphens/>
        <w:rPr>
          <w:noProof/>
          <w:szCs w:val="22"/>
        </w:rPr>
      </w:pPr>
    </w:p>
    <w:p w14:paraId="3F478E43" w14:textId="77777777" w:rsidR="00E51E20" w:rsidRPr="0024081D" w:rsidRDefault="00E51E20" w:rsidP="00E51E20">
      <w:pPr>
        <w:suppressAutoHyphens/>
        <w:rPr>
          <w:u w:val="single"/>
        </w:rPr>
      </w:pPr>
      <w:r w:rsidRPr="0024081D">
        <w:rPr>
          <w:u w:val="single"/>
        </w:rPr>
        <w:t xml:space="preserve">Doentes com cancro </w:t>
      </w:r>
    </w:p>
    <w:p w14:paraId="372980D9" w14:textId="77777777" w:rsidR="00E51E20" w:rsidRDefault="00E51E20" w:rsidP="00337111">
      <w:pPr>
        <w:suppressAutoHyphens/>
        <w:rPr>
          <w:noProof/>
          <w:szCs w:val="22"/>
        </w:rPr>
      </w:pPr>
      <w:r>
        <w:t>Doentes com doença maligna podem, simultaneamente, apresentar maior risco de hemorragia e trombose. O benefício individual do tratamento antitrombótico deve ser ponderado em relação ao risco de hemorragia em doentes com cancro ativo dependendo da localização do tumor, terapêutica antineoplásica e estadio da doença. Os tumores localizados no trato gastrointestinal ou geniturinário têm sido associados a um risco aumentado de hemorragia durante a terapêutica com rivaroxabano. A utilização de rivaroxabano está contraindicada em doentes com neoplasias malignas com elevado risco de hemorragia (ver secção 4.3).</w:t>
      </w:r>
    </w:p>
    <w:p w14:paraId="4E40DCDF" w14:textId="77777777" w:rsidR="00E51E20" w:rsidRPr="0063119B" w:rsidRDefault="00E51E20" w:rsidP="00337111">
      <w:pPr>
        <w:suppressAutoHyphens/>
        <w:rPr>
          <w:noProof/>
          <w:szCs w:val="22"/>
        </w:rPr>
      </w:pPr>
    </w:p>
    <w:p w14:paraId="29664143" w14:textId="77777777" w:rsidR="00601FE5" w:rsidRDefault="00601FE5" w:rsidP="00601FE5">
      <w:pPr>
        <w:autoSpaceDE w:val="0"/>
        <w:autoSpaceDN w:val="0"/>
        <w:adjustRightInd w:val="0"/>
        <w:rPr>
          <w:szCs w:val="22"/>
          <w:u w:val="single"/>
        </w:rPr>
      </w:pPr>
      <w:r w:rsidRPr="0063119B">
        <w:rPr>
          <w:szCs w:val="22"/>
          <w:u w:val="single"/>
        </w:rPr>
        <w:t>Doentes com válvulas protésicas</w:t>
      </w:r>
    </w:p>
    <w:p w14:paraId="52E2708B" w14:textId="77777777" w:rsidR="00E25F09" w:rsidRPr="0063119B" w:rsidRDefault="00E25F09" w:rsidP="00601FE5">
      <w:pPr>
        <w:autoSpaceDE w:val="0"/>
        <w:autoSpaceDN w:val="0"/>
        <w:adjustRightInd w:val="0"/>
        <w:rPr>
          <w:szCs w:val="22"/>
        </w:rPr>
      </w:pPr>
    </w:p>
    <w:p w14:paraId="54047018" w14:textId="77777777" w:rsidR="00601FE5" w:rsidRPr="0063119B" w:rsidRDefault="00DA35A9" w:rsidP="00601FE5">
      <w:pPr>
        <w:autoSpaceDE w:val="0"/>
        <w:autoSpaceDN w:val="0"/>
        <w:adjustRightInd w:val="0"/>
        <w:rPr>
          <w:rFonts w:eastAsia="MS Mincho"/>
          <w:bCs/>
          <w:szCs w:val="22"/>
          <w:lang w:eastAsia="ja-JP"/>
        </w:rPr>
      </w:pPr>
      <w:r w:rsidRPr="0063119B">
        <w:rPr>
          <w:rFonts w:eastAsia="MS Mincho"/>
          <w:bCs/>
          <w:szCs w:val="22"/>
          <w:lang w:eastAsia="ja-JP"/>
        </w:rPr>
        <w:t xml:space="preserve">O rivaroxabano não deve ser utilizado como tromboprofilaxia em doentes submetidos recentemente a uma substituição percutânea da válvula aórtica (TAVR). </w:t>
      </w:r>
      <w:r w:rsidR="00601FE5" w:rsidRPr="0063119B">
        <w:rPr>
          <w:rFonts w:eastAsia="MS Mincho"/>
          <w:bCs/>
          <w:szCs w:val="22"/>
          <w:lang w:eastAsia="ja-JP"/>
        </w:rPr>
        <w:t xml:space="preserve">A segurança e a eficácia de </w:t>
      </w:r>
      <w:r w:rsidR="006D3AF1" w:rsidRPr="0063119B">
        <w:rPr>
          <w:rFonts w:eastAsia="MS Mincho"/>
          <w:bCs/>
          <w:szCs w:val="22"/>
          <w:lang w:eastAsia="ja-JP"/>
        </w:rPr>
        <w:t xml:space="preserve">rivaroxabano </w:t>
      </w:r>
      <w:r w:rsidR="00601FE5" w:rsidRPr="0063119B">
        <w:rPr>
          <w:rFonts w:eastAsia="MS Mincho"/>
          <w:bCs/>
          <w:szCs w:val="22"/>
          <w:lang w:eastAsia="ja-JP"/>
        </w:rPr>
        <w:t xml:space="preserve">não foram estudadas em doentes com válvulas cardíacas protésicas; consequentemente, não existem dados que confirmem que </w:t>
      </w:r>
      <w:r w:rsidR="006D3AF1" w:rsidRPr="0063119B">
        <w:rPr>
          <w:rFonts w:eastAsia="MS Mincho"/>
          <w:bCs/>
          <w:szCs w:val="22"/>
          <w:lang w:eastAsia="ja-JP"/>
        </w:rPr>
        <w:t xml:space="preserve">o rivaroxabano </w:t>
      </w:r>
      <w:r w:rsidR="00601FE5" w:rsidRPr="0063119B">
        <w:rPr>
          <w:rFonts w:eastAsia="MS Mincho"/>
          <w:bCs/>
          <w:szCs w:val="22"/>
          <w:lang w:eastAsia="ja-JP"/>
        </w:rPr>
        <w:t xml:space="preserve">assegura a anticoagulação adequada nesta população de doentes. O tratamento com </w:t>
      </w:r>
      <w:r w:rsidR="00607DE4">
        <w:rPr>
          <w:rFonts w:eastAsia="MS Mincho"/>
          <w:bCs/>
          <w:szCs w:val="22"/>
          <w:lang w:eastAsia="ja-JP"/>
        </w:rPr>
        <w:t>Rivaroxabano</w:t>
      </w:r>
      <w:r w:rsidR="006D3AF1" w:rsidRPr="0063119B">
        <w:rPr>
          <w:rFonts w:eastAsia="MS Mincho"/>
          <w:bCs/>
          <w:szCs w:val="22"/>
          <w:lang w:eastAsia="ja-JP"/>
        </w:rPr>
        <w:t xml:space="preserve"> Accord</w:t>
      </w:r>
      <w:r w:rsidR="00601FE5" w:rsidRPr="0063119B">
        <w:rPr>
          <w:rFonts w:eastAsia="MS Mincho"/>
          <w:bCs/>
          <w:szCs w:val="22"/>
          <w:lang w:eastAsia="ja-JP"/>
        </w:rPr>
        <w:t xml:space="preserve"> não é recomendado nestes doentes.</w:t>
      </w:r>
    </w:p>
    <w:p w14:paraId="494D1C43" w14:textId="77777777" w:rsidR="00601FE5" w:rsidRPr="0063119B" w:rsidRDefault="00601FE5" w:rsidP="0067053F">
      <w:pPr>
        <w:keepNext/>
        <w:keepLines/>
        <w:suppressAutoHyphens/>
        <w:rPr>
          <w:noProof/>
          <w:szCs w:val="22"/>
          <w:u w:val="single"/>
        </w:rPr>
      </w:pPr>
    </w:p>
    <w:p w14:paraId="2E42247C" w14:textId="77777777" w:rsidR="00B1130D" w:rsidRDefault="00B1130D" w:rsidP="00B1130D">
      <w:pPr>
        <w:autoSpaceDE w:val="0"/>
        <w:autoSpaceDN w:val="0"/>
        <w:adjustRightInd w:val="0"/>
        <w:rPr>
          <w:szCs w:val="22"/>
          <w:u w:val="single"/>
        </w:rPr>
      </w:pPr>
      <w:r w:rsidRPr="0063119B">
        <w:rPr>
          <w:szCs w:val="22"/>
          <w:u w:val="single"/>
        </w:rPr>
        <w:t xml:space="preserve">Doentes com síndrome antifosfolipídica </w:t>
      </w:r>
    </w:p>
    <w:p w14:paraId="3A7E8356" w14:textId="77777777" w:rsidR="00E25F09" w:rsidRPr="0063119B" w:rsidRDefault="00E25F09" w:rsidP="00B1130D">
      <w:pPr>
        <w:autoSpaceDE w:val="0"/>
        <w:autoSpaceDN w:val="0"/>
        <w:adjustRightInd w:val="0"/>
        <w:rPr>
          <w:szCs w:val="22"/>
          <w:u w:val="single"/>
        </w:rPr>
      </w:pPr>
    </w:p>
    <w:p w14:paraId="22814F5D" w14:textId="77777777" w:rsidR="00B1130D" w:rsidRPr="0063119B" w:rsidRDefault="00B1130D" w:rsidP="00B1130D">
      <w:pPr>
        <w:autoSpaceDE w:val="0"/>
        <w:autoSpaceDN w:val="0"/>
        <w:adjustRightInd w:val="0"/>
        <w:rPr>
          <w:rFonts w:eastAsia="MS Mincho"/>
          <w:bCs/>
          <w:szCs w:val="22"/>
          <w:lang w:eastAsia="ja-JP"/>
        </w:rPr>
      </w:pPr>
      <w:r w:rsidRPr="0063119B">
        <w:rPr>
          <w:rFonts w:eastAsia="MS Mincho"/>
          <w:bCs/>
          <w:szCs w:val="22"/>
          <w:lang w:eastAsia="ja-JP"/>
        </w:rPr>
        <w:t>Os anticoagulantes orais de ação direta (ACOaD) incluindo o rivaroxabano não são recomendados em doentes com antecedentes de trombose diagnosticados com síndrome antifosfolipídica. O tratamento com ACOaD pode estar associado a um aumento das taxas de acontecimentos trombóticos recorrentes em comparação com a terapêutica com antagonistas da vitamina K em especial para os doentes triplo-positivos (para a presença dos anticorpos anticoagulante lúpico, anticorpos anticardiolipina e anticorpos anti-beta2 glicoproteína I).</w:t>
      </w:r>
    </w:p>
    <w:p w14:paraId="55CE6373" w14:textId="77777777" w:rsidR="00B1130D" w:rsidRPr="0063119B" w:rsidRDefault="00B1130D" w:rsidP="0067053F">
      <w:pPr>
        <w:keepNext/>
        <w:keepLines/>
        <w:suppressAutoHyphens/>
        <w:rPr>
          <w:noProof/>
          <w:szCs w:val="22"/>
          <w:u w:val="single"/>
        </w:rPr>
      </w:pPr>
    </w:p>
    <w:p w14:paraId="69CA0340" w14:textId="77777777" w:rsidR="00337111" w:rsidRDefault="00337111" w:rsidP="0067053F">
      <w:pPr>
        <w:keepNext/>
        <w:keepLines/>
        <w:suppressAutoHyphens/>
        <w:rPr>
          <w:noProof/>
          <w:szCs w:val="22"/>
          <w:u w:val="single"/>
        </w:rPr>
      </w:pPr>
      <w:r w:rsidRPr="0063119B">
        <w:rPr>
          <w:noProof/>
          <w:szCs w:val="22"/>
          <w:u w:val="single"/>
        </w:rPr>
        <w:t>Cirurgia por fratura da anca</w:t>
      </w:r>
    </w:p>
    <w:p w14:paraId="05EB8B3D" w14:textId="77777777" w:rsidR="00E25F09" w:rsidRPr="0063119B" w:rsidRDefault="00E25F09" w:rsidP="0067053F">
      <w:pPr>
        <w:keepNext/>
        <w:keepLines/>
        <w:suppressAutoHyphens/>
        <w:rPr>
          <w:noProof/>
          <w:szCs w:val="22"/>
          <w:u w:val="single"/>
        </w:rPr>
      </w:pPr>
    </w:p>
    <w:p w14:paraId="38496699" w14:textId="77777777" w:rsidR="00337111" w:rsidRPr="0063119B" w:rsidRDefault="00D31881" w:rsidP="0067053F">
      <w:pPr>
        <w:keepNext/>
        <w:keepLines/>
        <w:suppressAutoHyphens/>
        <w:rPr>
          <w:noProof/>
          <w:szCs w:val="22"/>
        </w:rPr>
      </w:pPr>
      <w:r w:rsidRPr="0063119B">
        <w:rPr>
          <w:noProof/>
          <w:szCs w:val="22"/>
        </w:rPr>
        <w:t>O r</w:t>
      </w:r>
      <w:r w:rsidR="00337111" w:rsidRPr="0063119B">
        <w:rPr>
          <w:noProof/>
          <w:szCs w:val="22"/>
        </w:rPr>
        <w:t xml:space="preserve">ivaroxabano não foi estudado em </w:t>
      </w:r>
      <w:r w:rsidR="00226BAA" w:rsidRPr="0063119B">
        <w:rPr>
          <w:noProof/>
          <w:szCs w:val="22"/>
        </w:rPr>
        <w:t xml:space="preserve">estudos </w:t>
      </w:r>
      <w:r w:rsidR="00337111" w:rsidRPr="0063119B">
        <w:rPr>
          <w:noProof/>
          <w:szCs w:val="22"/>
        </w:rPr>
        <w:t xml:space="preserve">clínicos </w:t>
      </w:r>
      <w:r w:rsidR="00B14ECA" w:rsidRPr="0063119B">
        <w:rPr>
          <w:noProof/>
          <w:szCs w:val="22"/>
        </w:rPr>
        <w:t xml:space="preserve">intervencionais </w:t>
      </w:r>
      <w:r w:rsidR="00337111" w:rsidRPr="0063119B">
        <w:rPr>
          <w:noProof/>
          <w:szCs w:val="22"/>
        </w:rPr>
        <w:t>em doentes submetidos a cirurgia por fratura da anca, para avaliar a eficácia e segurança</w:t>
      </w:r>
      <w:r w:rsidR="00B14ECA" w:rsidRPr="0063119B">
        <w:rPr>
          <w:noProof/>
          <w:szCs w:val="22"/>
        </w:rPr>
        <w:t>.</w:t>
      </w:r>
    </w:p>
    <w:p w14:paraId="72F1C156" w14:textId="77777777" w:rsidR="00601FE5" w:rsidRPr="0063119B" w:rsidRDefault="00601FE5" w:rsidP="00601FE5">
      <w:pPr>
        <w:keepNext/>
        <w:keepLines/>
        <w:autoSpaceDE w:val="0"/>
        <w:autoSpaceDN w:val="0"/>
        <w:adjustRightInd w:val="0"/>
        <w:rPr>
          <w:rFonts w:eastAsia="MS Mincho"/>
          <w:bCs/>
          <w:szCs w:val="22"/>
          <w:u w:val="single"/>
          <w:lang w:eastAsia="ja-JP"/>
        </w:rPr>
      </w:pPr>
    </w:p>
    <w:p w14:paraId="3F930491" w14:textId="77777777" w:rsidR="00601FE5" w:rsidRDefault="00601FE5" w:rsidP="00601FE5">
      <w:pPr>
        <w:keepNext/>
        <w:keepLines/>
        <w:autoSpaceDE w:val="0"/>
        <w:autoSpaceDN w:val="0"/>
        <w:adjustRightInd w:val="0"/>
        <w:rPr>
          <w:rFonts w:eastAsia="MS Mincho"/>
          <w:bCs/>
          <w:szCs w:val="22"/>
          <w:u w:val="single"/>
          <w:lang w:eastAsia="ja-JP"/>
        </w:rPr>
      </w:pPr>
      <w:r w:rsidRPr="0063119B">
        <w:rPr>
          <w:rFonts w:eastAsia="MS Mincho"/>
          <w:bCs/>
          <w:szCs w:val="22"/>
          <w:u w:val="single"/>
          <w:lang w:eastAsia="ja-JP"/>
        </w:rPr>
        <w:t>Doentes com EP hemodinamicamente instáveis ou doentes que necessitam de trombólise ou embolectomia pulmonar</w:t>
      </w:r>
    </w:p>
    <w:p w14:paraId="06230020" w14:textId="77777777" w:rsidR="00E25F09" w:rsidRPr="0063119B" w:rsidRDefault="00E25F09" w:rsidP="00601FE5">
      <w:pPr>
        <w:keepNext/>
        <w:keepLines/>
        <w:autoSpaceDE w:val="0"/>
        <w:autoSpaceDN w:val="0"/>
        <w:adjustRightInd w:val="0"/>
        <w:rPr>
          <w:rFonts w:eastAsia="MS Mincho"/>
          <w:bCs/>
          <w:szCs w:val="22"/>
          <w:lang w:eastAsia="ja-JP"/>
        </w:rPr>
      </w:pPr>
    </w:p>
    <w:p w14:paraId="07C8901D" w14:textId="77777777" w:rsidR="00601FE5" w:rsidRPr="0063119B" w:rsidRDefault="00607DE4" w:rsidP="00601FE5">
      <w:pPr>
        <w:autoSpaceDE w:val="0"/>
        <w:autoSpaceDN w:val="0"/>
        <w:adjustRightInd w:val="0"/>
        <w:rPr>
          <w:szCs w:val="22"/>
        </w:rPr>
      </w:pPr>
      <w:r>
        <w:rPr>
          <w:szCs w:val="22"/>
        </w:rPr>
        <w:t>Rivaroxabano</w:t>
      </w:r>
      <w:r w:rsidR="001C0D7B" w:rsidRPr="0063119B">
        <w:rPr>
          <w:szCs w:val="22"/>
        </w:rPr>
        <w:t xml:space="preserve"> Accord</w:t>
      </w:r>
      <w:r w:rsidR="00601FE5" w:rsidRPr="0063119B">
        <w:rPr>
          <w:szCs w:val="22"/>
        </w:rPr>
        <w:t xml:space="preserve"> não é recomendado como alternativa à heparina não fracionada em doentes com embolismo pulmonar que são hemodinamicamente instáveis ou que possam ser sujeitos a trombólise ou embolectomia pulmonar, uma vez que a segurança e a eficácia do </w:t>
      </w:r>
      <w:r w:rsidR="001C0D7B" w:rsidRPr="0063119B">
        <w:rPr>
          <w:szCs w:val="22"/>
        </w:rPr>
        <w:t xml:space="preserve">rivaroxabano </w:t>
      </w:r>
      <w:r w:rsidR="00601FE5" w:rsidRPr="0063119B">
        <w:rPr>
          <w:szCs w:val="22"/>
        </w:rPr>
        <w:t>nestas situações clínicas não foram estabelecidas.</w:t>
      </w:r>
    </w:p>
    <w:p w14:paraId="344D5CC3" w14:textId="77777777" w:rsidR="00337111" w:rsidRPr="0063119B" w:rsidRDefault="00337111" w:rsidP="00337111">
      <w:pPr>
        <w:suppressAutoHyphens/>
        <w:rPr>
          <w:noProof/>
          <w:szCs w:val="22"/>
          <w:u w:val="single"/>
        </w:rPr>
      </w:pPr>
    </w:p>
    <w:p w14:paraId="16EC6F79" w14:textId="77777777" w:rsidR="00337111" w:rsidRDefault="00337111" w:rsidP="00337111">
      <w:pPr>
        <w:suppressAutoHyphens/>
        <w:rPr>
          <w:noProof/>
          <w:szCs w:val="22"/>
          <w:u w:val="single"/>
        </w:rPr>
      </w:pPr>
      <w:r w:rsidRPr="0063119B">
        <w:rPr>
          <w:noProof/>
          <w:szCs w:val="22"/>
          <w:u w:val="single"/>
        </w:rPr>
        <w:t>Punção ou anestesia espinal/epidural</w:t>
      </w:r>
    </w:p>
    <w:p w14:paraId="077D2524" w14:textId="77777777" w:rsidR="00E25F09" w:rsidRPr="0063119B" w:rsidRDefault="00E25F09" w:rsidP="00337111">
      <w:pPr>
        <w:suppressAutoHyphens/>
        <w:rPr>
          <w:noProof/>
          <w:szCs w:val="22"/>
          <w:u w:val="single"/>
        </w:rPr>
      </w:pPr>
    </w:p>
    <w:p w14:paraId="670681AF" w14:textId="77777777" w:rsidR="006E7BFA" w:rsidRPr="0063119B" w:rsidRDefault="00337111" w:rsidP="00337111">
      <w:pPr>
        <w:suppressAutoHyphens/>
        <w:rPr>
          <w:noProof/>
          <w:szCs w:val="22"/>
        </w:rPr>
      </w:pPr>
      <w:r w:rsidRPr="0063119B">
        <w:rPr>
          <w:noProof/>
          <w:szCs w:val="22"/>
        </w:rPr>
        <w:t xml:space="preserve">Quando é empregue anestesia neuraxial (anestesia epidural/espinal) ou punção epidural/espinal, os doentes tratados com agentes antitrombóticos para a prevenção de complicações tromboembólicas apresentam risco de desenvolverem um hematoma espinal ou epidural, o que pode resultar em paralisia prolongada ou permanente. O risco destes </w:t>
      </w:r>
      <w:r w:rsidR="0045515D" w:rsidRPr="0063119B">
        <w:rPr>
          <w:noProof/>
          <w:szCs w:val="22"/>
        </w:rPr>
        <w:t>acontecimentos</w:t>
      </w:r>
      <w:r w:rsidRPr="0063119B">
        <w:rPr>
          <w:noProof/>
          <w:szCs w:val="22"/>
        </w:rPr>
        <w:t xml:space="preserve"> poderá ser aumentado pela utilização pós-operatória de cateteres epidurais internos ou pela utilização concomitante de medicamentos que afetam a hemostase. O risco pode também ser aumentado pela punção espinal ou epidural repetida ou traumática. Os doentes devem ser frequentemente monitorizados relativamente a sinais e sintomas de alteração neurológica (ex.: dormência ou fraqueza das pernas, disfunção da bexiga ou intestino). Se for observada alteração neurológica, são necessários o diagnóstico e o tratamento urgentes. Antes da intervenção neuraxial, o médico deve considerar o potencial benefício versus o </w:t>
      </w:r>
      <w:r w:rsidRPr="0063119B">
        <w:rPr>
          <w:noProof/>
          <w:szCs w:val="22"/>
        </w:rPr>
        <w:lastRenderedPageBreak/>
        <w:t>risco em doentes tratados com anticoagulantes ou em doentes que irão ser tratados com anticoagulantes para a tromboprofilaxia.</w:t>
      </w:r>
    </w:p>
    <w:p w14:paraId="7FAA0BD5" w14:textId="77777777" w:rsidR="00613CD3" w:rsidRPr="0063119B" w:rsidRDefault="00613CD3" w:rsidP="00337111">
      <w:pPr>
        <w:suppressAutoHyphens/>
        <w:rPr>
          <w:noProof/>
          <w:szCs w:val="22"/>
        </w:rPr>
      </w:pPr>
      <w:r w:rsidRPr="0063119B">
        <w:rPr>
          <w:noProof/>
          <w:szCs w:val="22"/>
        </w:rPr>
        <w:t>Para reduzir o risco potencial de hemorragia associado com a utilização concomitante de rivaroxabano e anestesia neuraxial (epidural/espina</w:t>
      </w:r>
      <w:r w:rsidR="00BD2E0F" w:rsidRPr="0063119B">
        <w:rPr>
          <w:noProof/>
          <w:szCs w:val="22"/>
        </w:rPr>
        <w:t>l) ou punção epidural, considerar</w:t>
      </w:r>
      <w:r w:rsidRPr="0063119B">
        <w:rPr>
          <w:noProof/>
          <w:szCs w:val="22"/>
        </w:rPr>
        <w:t xml:space="preserve"> o perfil farmacocinético do rivaroxabano. A colocação ou remoção de um cateter epidural ou punção lombar é melhor realizada quando </w:t>
      </w:r>
      <w:r w:rsidR="00CD667C" w:rsidRPr="0063119B">
        <w:rPr>
          <w:noProof/>
          <w:szCs w:val="22"/>
        </w:rPr>
        <w:t>se</w:t>
      </w:r>
      <w:r w:rsidRPr="0063119B">
        <w:rPr>
          <w:noProof/>
          <w:szCs w:val="22"/>
        </w:rPr>
        <w:t xml:space="preserve"> estima que o efeito anticoagulante do rivaroxabano é baixo (ver secção 5.2).</w:t>
      </w:r>
    </w:p>
    <w:p w14:paraId="3994F4D9" w14:textId="77777777" w:rsidR="00337111" w:rsidRPr="0063119B" w:rsidRDefault="00A06F43" w:rsidP="00337111">
      <w:pPr>
        <w:suppressAutoHyphens/>
        <w:rPr>
          <w:noProof/>
          <w:szCs w:val="22"/>
        </w:rPr>
      </w:pPr>
      <w:r w:rsidRPr="0063119B">
        <w:rPr>
          <w:noProof/>
          <w:szCs w:val="22"/>
        </w:rPr>
        <w:t>Antes da remoção de um cateter epidural, devem ter decorrido pelo menos 18</w:t>
      </w:r>
      <w:r w:rsidR="006E7BFA" w:rsidRPr="0063119B">
        <w:rPr>
          <w:noProof/>
          <w:szCs w:val="22"/>
        </w:rPr>
        <w:t> </w:t>
      </w:r>
      <w:r w:rsidRPr="0063119B">
        <w:rPr>
          <w:noProof/>
          <w:szCs w:val="22"/>
        </w:rPr>
        <w:t>horas após a última administração de rivaroxabano. A seguir à remoção do cateter, devem decorrer pelo menos 6</w:t>
      </w:r>
      <w:r w:rsidR="006E7BFA" w:rsidRPr="0063119B">
        <w:rPr>
          <w:noProof/>
          <w:szCs w:val="22"/>
        </w:rPr>
        <w:t> </w:t>
      </w:r>
      <w:r w:rsidRPr="0063119B">
        <w:rPr>
          <w:noProof/>
          <w:szCs w:val="22"/>
        </w:rPr>
        <w:t>horas antes de ser administrada a dose seguinte de rivaroxabano.</w:t>
      </w:r>
    </w:p>
    <w:p w14:paraId="2281F616" w14:textId="77777777" w:rsidR="00337111" w:rsidRPr="0063119B" w:rsidRDefault="00337111" w:rsidP="00337111">
      <w:pPr>
        <w:suppressAutoHyphens/>
        <w:rPr>
          <w:noProof/>
          <w:szCs w:val="22"/>
        </w:rPr>
      </w:pPr>
      <w:r w:rsidRPr="0063119B">
        <w:rPr>
          <w:noProof/>
          <w:szCs w:val="22"/>
        </w:rPr>
        <w:t>Se ocorrer punção traumática, a administração do rivaroxabano deve ser adiada por 24 horas.</w:t>
      </w:r>
    </w:p>
    <w:p w14:paraId="6ECA67E1" w14:textId="77777777" w:rsidR="00337111" w:rsidRPr="0063119B" w:rsidRDefault="00337111" w:rsidP="00337111">
      <w:pPr>
        <w:suppressAutoHyphens/>
        <w:rPr>
          <w:noProof/>
          <w:szCs w:val="22"/>
        </w:rPr>
      </w:pPr>
    </w:p>
    <w:p w14:paraId="6600244A" w14:textId="77777777" w:rsidR="00F67B32" w:rsidRDefault="00F67B32" w:rsidP="00B316E9">
      <w:pPr>
        <w:keepNext/>
        <w:autoSpaceDE w:val="0"/>
        <w:autoSpaceDN w:val="0"/>
        <w:adjustRightInd w:val="0"/>
        <w:rPr>
          <w:szCs w:val="22"/>
          <w:u w:val="single"/>
        </w:rPr>
      </w:pPr>
      <w:r w:rsidRPr="0063119B">
        <w:rPr>
          <w:szCs w:val="22"/>
          <w:u w:val="single"/>
        </w:rPr>
        <w:t>Recomendações posológicas antes e depois de procedimentos invasivos e intervenções cirúrgicas que não artroplastia eletiva da anca ou joelho</w:t>
      </w:r>
    </w:p>
    <w:p w14:paraId="2E7D06F9" w14:textId="77777777" w:rsidR="00E25F09" w:rsidRPr="0063119B" w:rsidRDefault="00E25F09" w:rsidP="00B316E9">
      <w:pPr>
        <w:keepNext/>
        <w:autoSpaceDE w:val="0"/>
        <w:autoSpaceDN w:val="0"/>
        <w:adjustRightInd w:val="0"/>
        <w:rPr>
          <w:szCs w:val="22"/>
          <w:u w:val="single"/>
        </w:rPr>
      </w:pPr>
    </w:p>
    <w:p w14:paraId="0D813B01" w14:textId="77777777" w:rsidR="00F67B32" w:rsidRPr="0063119B" w:rsidRDefault="00F67B32" w:rsidP="00B316E9">
      <w:pPr>
        <w:keepNext/>
        <w:rPr>
          <w:szCs w:val="22"/>
        </w:rPr>
      </w:pPr>
      <w:r w:rsidRPr="0063119B">
        <w:rPr>
          <w:szCs w:val="22"/>
        </w:rPr>
        <w:t xml:space="preserve">No caso de ser necessário um procedimento invasivo ou uma intervenção cirúrgica, </w:t>
      </w:r>
      <w:r w:rsidR="00607DE4">
        <w:rPr>
          <w:szCs w:val="22"/>
        </w:rPr>
        <w:t>Rivaroxabano</w:t>
      </w:r>
      <w:r w:rsidR="00D31881" w:rsidRPr="0063119B">
        <w:rPr>
          <w:szCs w:val="22"/>
        </w:rPr>
        <w:t xml:space="preserve"> Accord</w:t>
      </w:r>
      <w:r w:rsidR="00FE4B71" w:rsidRPr="0063119B">
        <w:rPr>
          <w:szCs w:val="22"/>
        </w:rPr>
        <w:t xml:space="preserve"> 10</w:t>
      </w:r>
      <w:r w:rsidR="00D31881" w:rsidRPr="0063119B">
        <w:rPr>
          <w:szCs w:val="22"/>
        </w:rPr>
        <w:t> </w:t>
      </w:r>
      <w:r w:rsidR="00FE4B71" w:rsidRPr="0063119B">
        <w:rPr>
          <w:szCs w:val="22"/>
        </w:rPr>
        <w:t>mg</w:t>
      </w:r>
      <w:r w:rsidRPr="0063119B">
        <w:rPr>
          <w:szCs w:val="22"/>
        </w:rPr>
        <w:t xml:space="preserve"> deve ser interrompido pelo menos 24 horas antes da intervenção, se possível, e de acordo com o critério clínico do médico. </w:t>
      </w:r>
      <w:r w:rsidRPr="0063119B">
        <w:rPr>
          <w:bCs/>
          <w:szCs w:val="22"/>
        </w:rPr>
        <w:t>Se o procedimento não puder ser adiado, o risco acrescido de hemorragia deve ser avaliado em relação à urgência da intervenção.</w:t>
      </w:r>
    </w:p>
    <w:p w14:paraId="31C13FD9" w14:textId="77777777" w:rsidR="00F67B32" w:rsidRPr="0063119B" w:rsidRDefault="00607DE4" w:rsidP="00F67B32">
      <w:pPr>
        <w:suppressAutoHyphens/>
        <w:rPr>
          <w:noProof/>
          <w:szCs w:val="22"/>
        </w:rPr>
      </w:pPr>
      <w:r>
        <w:rPr>
          <w:bCs/>
          <w:szCs w:val="22"/>
        </w:rPr>
        <w:t>Rivaroxabano</w:t>
      </w:r>
      <w:r w:rsidR="00D31881" w:rsidRPr="0063119B">
        <w:rPr>
          <w:bCs/>
          <w:szCs w:val="22"/>
        </w:rPr>
        <w:t xml:space="preserve"> Accord</w:t>
      </w:r>
      <w:r w:rsidR="00F67B32" w:rsidRPr="0063119B">
        <w:rPr>
          <w:bCs/>
          <w:szCs w:val="22"/>
        </w:rPr>
        <w:t xml:space="preserve"> deve ser reiniciado </w:t>
      </w:r>
      <w:r w:rsidR="00EE3B07" w:rsidRPr="0063119B">
        <w:rPr>
          <w:bCs/>
          <w:szCs w:val="22"/>
        </w:rPr>
        <w:t xml:space="preserve">logo que possível </w:t>
      </w:r>
      <w:r w:rsidR="00F67B32" w:rsidRPr="0063119B">
        <w:rPr>
          <w:bCs/>
          <w:szCs w:val="22"/>
        </w:rPr>
        <w:t>após o procedimento invasivo ou a intervenção cirúrgica, desde que a situação clínica o permita e a hemostase adequada tenha sido estabelecida conforme determinado pelo médico assistente (ver secção 5.2).</w:t>
      </w:r>
    </w:p>
    <w:p w14:paraId="5DBB414C" w14:textId="77777777" w:rsidR="00F67B32" w:rsidRPr="0063119B" w:rsidRDefault="00F67B32" w:rsidP="00337111">
      <w:pPr>
        <w:suppressAutoHyphens/>
        <w:rPr>
          <w:noProof/>
          <w:szCs w:val="22"/>
          <w:u w:val="single"/>
        </w:rPr>
      </w:pPr>
    </w:p>
    <w:p w14:paraId="73C4D5CD" w14:textId="77777777" w:rsidR="00D034C4" w:rsidRDefault="00D034C4" w:rsidP="00D034C4">
      <w:pPr>
        <w:autoSpaceDE w:val="0"/>
        <w:autoSpaceDN w:val="0"/>
        <w:adjustRightInd w:val="0"/>
        <w:rPr>
          <w:noProof/>
          <w:szCs w:val="22"/>
          <w:u w:val="single"/>
        </w:rPr>
      </w:pPr>
      <w:r w:rsidRPr="0063119B">
        <w:rPr>
          <w:noProof/>
          <w:szCs w:val="22"/>
          <w:u w:val="single"/>
        </w:rPr>
        <w:t>População idosa</w:t>
      </w:r>
    </w:p>
    <w:p w14:paraId="614B0777" w14:textId="77777777" w:rsidR="00E25F09" w:rsidRPr="0063119B" w:rsidRDefault="00E25F09" w:rsidP="00D034C4">
      <w:pPr>
        <w:autoSpaceDE w:val="0"/>
        <w:autoSpaceDN w:val="0"/>
        <w:adjustRightInd w:val="0"/>
        <w:rPr>
          <w:noProof/>
          <w:szCs w:val="22"/>
        </w:rPr>
      </w:pPr>
    </w:p>
    <w:p w14:paraId="166A52F3" w14:textId="77777777" w:rsidR="00D034C4" w:rsidRPr="0063119B" w:rsidRDefault="0067778C" w:rsidP="00D034C4">
      <w:pPr>
        <w:autoSpaceDE w:val="0"/>
        <w:autoSpaceDN w:val="0"/>
        <w:adjustRightInd w:val="0"/>
        <w:rPr>
          <w:szCs w:val="22"/>
        </w:rPr>
      </w:pPr>
      <w:r w:rsidRPr="0063119B">
        <w:rPr>
          <w:szCs w:val="22"/>
        </w:rPr>
        <w:t>A idade avançada</w:t>
      </w:r>
      <w:r w:rsidR="00D034C4" w:rsidRPr="0063119B">
        <w:rPr>
          <w:szCs w:val="22"/>
        </w:rPr>
        <w:t xml:space="preserve"> pode aume</w:t>
      </w:r>
      <w:r w:rsidR="00903F8E" w:rsidRPr="0063119B">
        <w:rPr>
          <w:szCs w:val="22"/>
        </w:rPr>
        <w:t>n</w:t>
      </w:r>
      <w:r w:rsidR="00D034C4" w:rsidRPr="0063119B">
        <w:rPr>
          <w:szCs w:val="22"/>
        </w:rPr>
        <w:t>tar o risco de hemorragia (ver secção 5.2).</w:t>
      </w:r>
    </w:p>
    <w:p w14:paraId="07FCEB47" w14:textId="77777777" w:rsidR="00D034C4" w:rsidRPr="0063119B" w:rsidRDefault="00D034C4" w:rsidP="00337111">
      <w:pPr>
        <w:suppressAutoHyphens/>
        <w:rPr>
          <w:noProof/>
          <w:szCs w:val="22"/>
          <w:u w:val="single"/>
        </w:rPr>
      </w:pPr>
    </w:p>
    <w:p w14:paraId="0CDAC2B6" w14:textId="77777777" w:rsidR="00ED086D" w:rsidRDefault="00ED086D" w:rsidP="00ED086D">
      <w:pPr>
        <w:autoSpaceDE w:val="0"/>
        <w:autoSpaceDN w:val="0"/>
        <w:adjustRightInd w:val="0"/>
        <w:rPr>
          <w:szCs w:val="22"/>
          <w:u w:val="single"/>
        </w:rPr>
      </w:pPr>
      <w:r w:rsidRPr="0063119B">
        <w:rPr>
          <w:szCs w:val="22"/>
          <w:u w:val="single"/>
        </w:rPr>
        <w:t>Reações dermatológicas</w:t>
      </w:r>
    </w:p>
    <w:p w14:paraId="3F6C7145" w14:textId="77777777" w:rsidR="00E25F09" w:rsidRPr="0063119B" w:rsidRDefault="00E25F09" w:rsidP="00ED086D">
      <w:pPr>
        <w:autoSpaceDE w:val="0"/>
        <w:autoSpaceDN w:val="0"/>
        <w:adjustRightInd w:val="0"/>
        <w:rPr>
          <w:szCs w:val="22"/>
          <w:u w:val="single"/>
        </w:rPr>
      </w:pPr>
    </w:p>
    <w:p w14:paraId="3E4243E6" w14:textId="77777777" w:rsidR="00ED086D" w:rsidRPr="0063119B" w:rsidRDefault="00ED086D" w:rsidP="00ED086D">
      <w:pPr>
        <w:autoSpaceDE w:val="0"/>
        <w:autoSpaceDN w:val="0"/>
        <w:adjustRightInd w:val="0"/>
        <w:rPr>
          <w:szCs w:val="22"/>
        </w:rPr>
      </w:pPr>
      <w:r w:rsidRPr="0063119B">
        <w:rPr>
          <w:szCs w:val="22"/>
        </w:rPr>
        <w:t>Foram notificadas reações cutâneas graves, incluindo síndrome de Stevens-Johnson/</w:t>
      </w:r>
      <w:r w:rsidR="00977720" w:rsidRPr="0063119B">
        <w:rPr>
          <w:szCs w:val="22"/>
        </w:rPr>
        <w:t>n</w:t>
      </w:r>
      <w:r w:rsidRPr="0063119B">
        <w:rPr>
          <w:szCs w:val="22"/>
        </w:rPr>
        <w:t xml:space="preserve">ecrólise </w:t>
      </w:r>
      <w:r w:rsidR="00977720" w:rsidRPr="0063119B">
        <w:rPr>
          <w:szCs w:val="22"/>
        </w:rPr>
        <w:t>e</w:t>
      </w:r>
      <w:r w:rsidRPr="0063119B">
        <w:rPr>
          <w:szCs w:val="22"/>
        </w:rPr>
        <w:t xml:space="preserve">pidérmica </w:t>
      </w:r>
      <w:r w:rsidR="00977720" w:rsidRPr="0063119B">
        <w:rPr>
          <w:szCs w:val="22"/>
        </w:rPr>
        <w:t>t</w:t>
      </w:r>
      <w:r w:rsidRPr="0063119B">
        <w:rPr>
          <w:szCs w:val="22"/>
        </w:rPr>
        <w:t>óxica</w:t>
      </w:r>
      <w:r w:rsidR="00380D79" w:rsidRPr="0063119B">
        <w:rPr>
          <w:szCs w:val="22"/>
        </w:rPr>
        <w:t xml:space="preserve"> e síndrome de DRESS</w:t>
      </w:r>
      <w:r w:rsidRPr="0063119B">
        <w:rPr>
          <w:szCs w:val="22"/>
        </w:rPr>
        <w:t>, durante a vigilância pós-comercialização</w:t>
      </w:r>
      <w:r w:rsidR="00EC173D" w:rsidRPr="0063119B">
        <w:rPr>
          <w:szCs w:val="22"/>
        </w:rPr>
        <w:t>,</w:t>
      </w:r>
      <w:r w:rsidRPr="0063119B">
        <w:rPr>
          <w:szCs w:val="22"/>
        </w:rPr>
        <w:t xml:space="preserve"> associadas à utilização de rivaroxabano (ver secção 4.8). Os doentes parecem estar em maior risco para estas reações no início da terapêutica: o início da reação ocorre na maioria dos casos nas primeiras semanas de tratamento. O  rivaroxabano deve ser interrompido na primeira manifestação de uma erupção cutânea grave (ex.:</w:t>
      </w:r>
      <w:r w:rsidR="00EC173D" w:rsidRPr="0063119B">
        <w:rPr>
          <w:szCs w:val="22"/>
        </w:rPr>
        <w:t xml:space="preserve"> </w:t>
      </w:r>
      <w:r w:rsidRPr="0063119B">
        <w:rPr>
          <w:szCs w:val="22"/>
        </w:rPr>
        <w:t xml:space="preserve">disseminação intensa e/ou formação de bolhas) ou qualquer outro sinal de hipersensibilidade em associação com lesões da mucosa.  </w:t>
      </w:r>
    </w:p>
    <w:p w14:paraId="0F33B49C" w14:textId="77777777" w:rsidR="003D01B4" w:rsidRPr="0063119B" w:rsidRDefault="003D01B4" w:rsidP="00337111">
      <w:pPr>
        <w:suppressAutoHyphens/>
        <w:rPr>
          <w:noProof/>
          <w:szCs w:val="22"/>
          <w:u w:val="single"/>
        </w:rPr>
      </w:pPr>
    </w:p>
    <w:p w14:paraId="4DA48748" w14:textId="77777777" w:rsidR="00337111" w:rsidRDefault="00337111" w:rsidP="00337111">
      <w:pPr>
        <w:suppressAutoHyphens/>
        <w:rPr>
          <w:noProof/>
          <w:szCs w:val="22"/>
          <w:u w:val="single"/>
        </w:rPr>
      </w:pPr>
      <w:r w:rsidRPr="0063119B">
        <w:rPr>
          <w:noProof/>
          <w:szCs w:val="22"/>
          <w:u w:val="single"/>
        </w:rPr>
        <w:t>Informação sobre excipientes</w:t>
      </w:r>
    </w:p>
    <w:p w14:paraId="3BE6C15A" w14:textId="77777777" w:rsidR="00E25F09" w:rsidRPr="0063119B" w:rsidRDefault="00E25F09" w:rsidP="00337111">
      <w:pPr>
        <w:suppressAutoHyphens/>
        <w:rPr>
          <w:noProof/>
          <w:szCs w:val="22"/>
          <w:u w:val="single"/>
        </w:rPr>
      </w:pPr>
    </w:p>
    <w:p w14:paraId="1E947EA0" w14:textId="77777777" w:rsidR="00337111" w:rsidRPr="0063119B" w:rsidRDefault="00607DE4" w:rsidP="00337111">
      <w:pPr>
        <w:suppressAutoHyphens/>
        <w:rPr>
          <w:noProof/>
          <w:szCs w:val="22"/>
        </w:rPr>
      </w:pPr>
      <w:r>
        <w:rPr>
          <w:noProof/>
          <w:szCs w:val="22"/>
        </w:rPr>
        <w:t>Rivaroxabano</w:t>
      </w:r>
      <w:r w:rsidR="00D31881" w:rsidRPr="0063119B">
        <w:rPr>
          <w:noProof/>
          <w:szCs w:val="22"/>
        </w:rPr>
        <w:t xml:space="preserve"> Accord</w:t>
      </w:r>
      <w:r w:rsidR="00337111" w:rsidRPr="0063119B">
        <w:rPr>
          <w:noProof/>
          <w:szCs w:val="22"/>
        </w:rPr>
        <w:t xml:space="preserve"> contém lactose. Doentes com problemas hereditários raros de intolerância à galactose, deficiência </w:t>
      </w:r>
      <w:r w:rsidR="00977720" w:rsidRPr="0063119B">
        <w:rPr>
          <w:noProof/>
          <w:szCs w:val="22"/>
        </w:rPr>
        <w:t xml:space="preserve">total </w:t>
      </w:r>
      <w:r w:rsidR="00337111" w:rsidRPr="0063119B">
        <w:rPr>
          <w:noProof/>
          <w:szCs w:val="22"/>
        </w:rPr>
        <w:t>de lactase ou malabsorção de glucose-galactose não devem tomar este medicamento.</w:t>
      </w:r>
    </w:p>
    <w:p w14:paraId="41CA8D4D" w14:textId="77777777" w:rsidR="00D31881" w:rsidRPr="0063119B" w:rsidRDefault="00D31881" w:rsidP="00337111">
      <w:pPr>
        <w:suppressAutoHyphens/>
        <w:rPr>
          <w:noProof/>
          <w:szCs w:val="22"/>
        </w:rPr>
      </w:pPr>
      <w:r w:rsidRPr="0063119B">
        <w:rPr>
          <w:color w:val="000000"/>
          <w:szCs w:val="22"/>
          <w:lang w:eastAsia="en-GB"/>
        </w:rPr>
        <w:t>Este medicamento contém menos do que 1 mmol (23 mg) de sódio por comprimido, ou seja, é praticamente “isento de sódio”.</w:t>
      </w:r>
    </w:p>
    <w:p w14:paraId="129BA043" w14:textId="77777777" w:rsidR="00337111" w:rsidRPr="0063119B" w:rsidRDefault="00337111" w:rsidP="00337111">
      <w:pPr>
        <w:suppressAutoHyphens/>
        <w:rPr>
          <w:noProof/>
          <w:szCs w:val="22"/>
          <w:u w:val="single"/>
        </w:rPr>
      </w:pPr>
    </w:p>
    <w:p w14:paraId="775FE348" w14:textId="77777777" w:rsidR="00337111" w:rsidRPr="0063119B" w:rsidRDefault="00337111" w:rsidP="00337111">
      <w:pPr>
        <w:suppressAutoHyphens/>
        <w:ind w:left="567" w:hanging="567"/>
        <w:rPr>
          <w:noProof/>
          <w:szCs w:val="22"/>
        </w:rPr>
      </w:pPr>
      <w:r w:rsidRPr="00E72AFB">
        <w:rPr>
          <w:b/>
          <w:noProof/>
          <w:szCs w:val="22"/>
        </w:rPr>
        <w:t>4.5</w:t>
      </w:r>
      <w:r w:rsidRPr="00E72AFB">
        <w:rPr>
          <w:b/>
          <w:noProof/>
          <w:szCs w:val="22"/>
        </w:rPr>
        <w:tab/>
        <w:t>Interações medicamentosas e outras formas de interação</w:t>
      </w:r>
    </w:p>
    <w:p w14:paraId="349F4328" w14:textId="77777777" w:rsidR="00337111" w:rsidRPr="0063119B" w:rsidRDefault="00337111" w:rsidP="00337111">
      <w:pPr>
        <w:suppressAutoHyphens/>
        <w:rPr>
          <w:noProof/>
          <w:szCs w:val="22"/>
        </w:rPr>
      </w:pPr>
    </w:p>
    <w:p w14:paraId="5CE03510" w14:textId="77777777" w:rsidR="00337111" w:rsidRDefault="00337111" w:rsidP="00337111">
      <w:pPr>
        <w:suppressAutoHyphens/>
        <w:rPr>
          <w:noProof/>
          <w:szCs w:val="22"/>
          <w:u w:val="single"/>
        </w:rPr>
      </w:pPr>
      <w:r w:rsidRPr="0063119B">
        <w:rPr>
          <w:noProof/>
          <w:szCs w:val="22"/>
          <w:u w:val="single"/>
        </w:rPr>
        <w:t xml:space="preserve">Inibidores do CYP3A4 e da gp-P </w:t>
      </w:r>
    </w:p>
    <w:p w14:paraId="2060975B" w14:textId="77777777" w:rsidR="0007618E" w:rsidRPr="0063119B" w:rsidRDefault="0007618E" w:rsidP="00337111">
      <w:pPr>
        <w:suppressAutoHyphens/>
        <w:rPr>
          <w:noProof/>
          <w:szCs w:val="22"/>
          <w:u w:val="single"/>
        </w:rPr>
      </w:pPr>
    </w:p>
    <w:p w14:paraId="349B5128" w14:textId="77777777" w:rsidR="00337111" w:rsidRPr="0063119B" w:rsidRDefault="00337111" w:rsidP="00337111">
      <w:pPr>
        <w:suppressAutoHyphens/>
        <w:rPr>
          <w:noProof/>
          <w:szCs w:val="22"/>
        </w:rPr>
      </w:pPr>
      <w:r w:rsidRPr="0063119B">
        <w:rPr>
          <w:noProof/>
          <w:szCs w:val="22"/>
        </w:rPr>
        <w:t xml:space="preserve">A coadministração de rivaroxabano com cetoconazol (400 mg uma vez ao dia) ou ritonavir </w:t>
      </w:r>
    </w:p>
    <w:p w14:paraId="45852FDE" w14:textId="77777777" w:rsidR="00337111" w:rsidRPr="0063119B" w:rsidRDefault="00337111" w:rsidP="00337111">
      <w:pPr>
        <w:suppressAutoHyphens/>
        <w:rPr>
          <w:noProof/>
          <w:szCs w:val="22"/>
        </w:rPr>
      </w:pPr>
      <w:r w:rsidRPr="0063119B">
        <w:rPr>
          <w:noProof/>
          <w:szCs w:val="22"/>
        </w:rPr>
        <w:t>(600 mg duas vezes ao dia) originou um aumento de 2,6 vezes / 2,5 vezes da média da AUC do rivaroxabano e um aumento de 1,7 vezes / 1,6 vezes da média da C</w:t>
      </w:r>
      <w:r w:rsidRPr="0063119B">
        <w:rPr>
          <w:noProof/>
          <w:szCs w:val="22"/>
          <w:vertAlign w:val="subscript"/>
        </w:rPr>
        <w:t>max</w:t>
      </w:r>
      <w:r w:rsidRPr="0063119B">
        <w:rPr>
          <w:noProof/>
          <w:szCs w:val="22"/>
        </w:rPr>
        <w:t xml:space="preserve"> do rivaroxabano, com aumentos significativos nos efeitos farmacodinâmicos o que pode originar um </w:t>
      </w:r>
      <w:r w:rsidR="00426117" w:rsidRPr="0063119B">
        <w:rPr>
          <w:noProof/>
          <w:szCs w:val="22"/>
        </w:rPr>
        <w:t xml:space="preserve">risco </w:t>
      </w:r>
      <w:r w:rsidRPr="0063119B">
        <w:rPr>
          <w:noProof/>
          <w:szCs w:val="22"/>
        </w:rPr>
        <w:t>aument</w:t>
      </w:r>
      <w:r w:rsidR="00426117" w:rsidRPr="0063119B">
        <w:rPr>
          <w:noProof/>
          <w:szCs w:val="22"/>
        </w:rPr>
        <w:t>ado</w:t>
      </w:r>
      <w:r w:rsidRPr="0063119B">
        <w:rPr>
          <w:noProof/>
          <w:szCs w:val="22"/>
        </w:rPr>
        <w:t xml:space="preserve"> d</w:t>
      </w:r>
      <w:r w:rsidR="00426117" w:rsidRPr="0063119B">
        <w:rPr>
          <w:noProof/>
          <w:szCs w:val="22"/>
        </w:rPr>
        <w:t>e</w:t>
      </w:r>
      <w:r w:rsidRPr="0063119B">
        <w:rPr>
          <w:noProof/>
          <w:szCs w:val="22"/>
        </w:rPr>
        <w:t xml:space="preserve"> hemorr</w:t>
      </w:r>
      <w:r w:rsidR="00426117" w:rsidRPr="0063119B">
        <w:rPr>
          <w:noProof/>
          <w:szCs w:val="22"/>
        </w:rPr>
        <w:t>agia</w:t>
      </w:r>
      <w:r w:rsidRPr="0063119B">
        <w:rPr>
          <w:noProof/>
          <w:szCs w:val="22"/>
        </w:rPr>
        <w:t xml:space="preserve">. Deste modo, a utilização de </w:t>
      </w:r>
      <w:r w:rsidR="00D31881" w:rsidRPr="0063119B">
        <w:rPr>
          <w:noProof/>
          <w:szCs w:val="22"/>
        </w:rPr>
        <w:t>rivaroxabano</w:t>
      </w:r>
      <w:r w:rsidRPr="0063119B">
        <w:rPr>
          <w:noProof/>
          <w:szCs w:val="22"/>
        </w:rPr>
        <w:t xml:space="preserve"> não é recomendada em doentes submetidos a tratamento sistémico concomitante com antimicóticos azólicos tais como cetoconazol, itraconazol, voriconazol, posaconazol ou inibidores da protease do VIH. Estas substâncias ativas são potentes inibidores do CYP3A4 e da gp-P (ver secção 4.4).</w:t>
      </w:r>
    </w:p>
    <w:p w14:paraId="218A244D" w14:textId="77777777" w:rsidR="00337111" w:rsidRPr="0063119B" w:rsidRDefault="00337111" w:rsidP="00337111">
      <w:pPr>
        <w:suppressAutoHyphens/>
        <w:rPr>
          <w:noProof/>
          <w:szCs w:val="22"/>
        </w:rPr>
      </w:pPr>
      <w:r w:rsidRPr="0063119B">
        <w:rPr>
          <w:noProof/>
          <w:szCs w:val="22"/>
        </w:rPr>
        <w:t xml:space="preserve"> </w:t>
      </w:r>
    </w:p>
    <w:p w14:paraId="4B9F70D8" w14:textId="77777777" w:rsidR="00337111" w:rsidRPr="0063119B" w:rsidRDefault="00337111" w:rsidP="00337111">
      <w:pPr>
        <w:suppressAutoHyphens/>
        <w:rPr>
          <w:noProof/>
          <w:szCs w:val="22"/>
        </w:rPr>
      </w:pPr>
      <w:r w:rsidRPr="0063119B">
        <w:rPr>
          <w:noProof/>
          <w:szCs w:val="22"/>
        </w:rPr>
        <w:lastRenderedPageBreak/>
        <w:t>Prevê-se que substâncias ativas que inibam fortemente apenas uma das vias de eliminação de rivaroxabano, quer o CYP3A4 quer a gp-P, aumentem em menor grau as concentrações plasmáticas de rivaroxabano. A claritromicina (500 mg duas vezes ao dia), por exemplo, considerada como um potente inibidor do CYP3A4 e um inibidor moderado da gp-P, originou um aumento de 1,5 vezes da média da AUC do rivaroxabano e um aumento de 1,4 vezes na C</w:t>
      </w:r>
      <w:r w:rsidRPr="0063119B">
        <w:rPr>
          <w:noProof/>
          <w:szCs w:val="22"/>
          <w:vertAlign w:val="subscript"/>
        </w:rPr>
        <w:t>max</w:t>
      </w:r>
      <w:r w:rsidRPr="0063119B">
        <w:rPr>
          <w:noProof/>
          <w:szCs w:val="22"/>
        </w:rPr>
        <w:t xml:space="preserve">. </w:t>
      </w:r>
      <w:r w:rsidR="0021302F" w:rsidRPr="0063119B">
        <w:rPr>
          <w:szCs w:val="22"/>
        </w:rPr>
        <w:t>Provavelmente, a</w:t>
      </w:r>
      <w:r w:rsidR="0021302F" w:rsidRPr="0063119B">
        <w:rPr>
          <w:noProof/>
          <w:szCs w:val="22"/>
        </w:rPr>
        <w:t xml:space="preserve"> interação com a claritromicina não é clinicamente relevante na maioria dos doentes, mas pode ser potencialmente significativa em doentes de alto risco </w:t>
      </w:r>
      <w:r w:rsidR="00903F8E" w:rsidRPr="0063119B">
        <w:rPr>
          <w:noProof/>
          <w:szCs w:val="22"/>
        </w:rPr>
        <w:t>(</w:t>
      </w:r>
      <w:r w:rsidR="006850C0" w:rsidRPr="0063119B">
        <w:rPr>
          <w:noProof/>
          <w:szCs w:val="22"/>
        </w:rPr>
        <w:t>para</w:t>
      </w:r>
      <w:r w:rsidR="00903F8E" w:rsidRPr="0063119B">
        <w:rPr>
          <w:noProof/>
          <w:szCs w:val="22"/>
        </w:rPr>
        <w:t xml:space="preserve"> doentes com </w:t>
      </w:r>
      <w:r w:rsidR="00194AA4" w:rsidRPr="0063119B">
        <w:rPr>
          <w:noProof/>
          <w:szCs w:val="22"/>
        </w:rPr>
        <w:t>compromisso renal</w:t>
      </w:r>
      <w:r w:rsidR="00903F8E" w:rsidRPr="0063119B">
        <w:rPr>
          <w:noProof/>
          <w:szCs w:val="22"/>
        </w:rPr>
        <w:t>: ver secção 4.4)</w:t>
      </w:r>
      <w:r w:rsidRPr="0063119B">
        <w:rPr>
          <w:noProof/>
          <w:szCs w:val="22"/>
        </w:rPr>
        <w:t>.</w:t>
      </w:r>
    </w:p>
    <w:p w14:paraId="3EB8E443" w14:textId="77777777" w:rsidR="00337111" w:rsidRPr="0063119B" w:rsidRDefault="00337111" w:rsidP="00337111">
      <w:pPr>
        <w:suppressAutoHyphens/>
        <w:rPr>
          <w:noProof/>
          <w:szCs w:val="22"/>
        </w:rPr>
      </w:pPr>
    </w:p>
    <w:p w14:paraId="5619B75B" w14:textId="77777777" w:rsidR="00337111" w:rsidRPr="0063119B" w:rsidRDefault="00337111" w:rsidP="00337111">
      <w:pPr>
        <w:suppressAutoHyphens/>
        <w:rPr>
          <w:noProof/>
          <w:szCs w:val="22"/>
        </w:rPr>
      </w:pPr>
      <w:r w:rsidRPr="0063119B">
        <w:rPr>
          <w:noProof/>
          <w:szCs w:val="22"/>
        </w:rPr>
        <w:t>A eritromicina (500 mg três vezes ao dia)</w:t>
      </w:r>
      <w:r w:rsidR="009A0EE8" w:rsidRPr="0063119B">
        <w:rPr>
          <w:noProof/>
          <w:szCs w:val="22"/>
        </w:rPr>
        <w:t>,</w:t>
      </w:r>
      <w:r w:rsidRPr="0063119B">
        <w:rPr>
          <w:noProof/>
          <w:szCs w:val="22"/>
        </w:rPr>
        <w:t xml:space="preserve"> que inibe moderamente o CYP3A4 e a gp-P, originou um aumento de 1,3 vezes da média da AUC e da C</w:t>
      </w:r>
      <w:r w:rsidRPr="0063119B">
        <w:rPr>
          <w:noProof/>
          <w:szCs w:val="22"/>
          <w:vertAlign w:val="subscript"/>
        </w:rPr>
        <w:t>max</w:t>
      </w:r>
      <w:r w:rsidRPr="0063119B">
        <w:rPr>
          <w:noProof/>
          <w:szCs w:val="22"/>
        </w:rPr>
        <w:t xml:space="preserve"> do rivaroxabano. </w:t>
      </w:r>
      <w:r w:rsidR="0021302F" w:rsidRPr="0063119B">
        <w:rPr>
          <w:szCs w:val="22"/>
        </w:rPr>
        <w:t>Provavelmente, a</w:t>
      </w:r>
      <w:r w:rsidR="0021302F" w:rsidRPr="0063119B">
        <w:rPr>
          <w:noProof/>
          <w:szCs w:val="22"/>
        </w:rPr>
        <w:t xml:space="preserve"> interação com a eritromicina não é clinicamente relevante na maioria dos doentes, mas pode ser potencialmente significativa em doentes de alto risco.</w:t>
      </w:r>
      <w:r w:rsidRPr="0063119B">
        <w:rPr>
          <w:noProof/>
          <w:szCs w:val="22"/>
        </w:rPr>
        <w:t xml:space="preserve"> </w:t>
      </w:r>
    </w:p>
    <w:p w14:paraId="339BEFCE" w14:textId="77777777" w:rsidR="00F04A44" w:rsidRPr="0063119B" w:rsidRDefault="00F04A44" w:rsidP="00F04A44">
      <w:pPr>
        <w:suppressAutoHyphens/>
        <w:rPr>
          <w:noProof/>
          <w:szCs w:val="22"/>
        </w:rPr>
      </w:pPr>
      <w:r w:rsidRPr="0063119B">
        <w:rPr>
          <w:noProof/>
          <w:szCs w:val="22"/>
        </w:rPr>
        <w:t>A eritromicina (500 mg três vezes ao dia) originou um aumento de 1,8 vezes da média da AUC do rivaroxabano e de 1,6 vezes da C</w:t>
      </w:r>
      <w:r w:rsidRPr="0063119B">
        <w:rPr>
          <w:noProof/>
          <w:szCs w:val="22"/>
          <w:vertAlign w:val="subscript"/>
        </w:rPr>
        <w:t>max</w:t>
      </w:r>
      <w:r w:rsidRPr="0063119B">
        <w:rPr>
          <w:noProof/>
          <w:szCs w:val="22"/>
        </w:rPr>
        <w:t xml:space="preserve"> em indivíduos com </w:t>
      </w:r>
      <w:r w:rsidR="00B70ADD" w:rsidRPr="0063119B">
        <w:rPr>
          <w:noProof/>
          <w:szCs w:val="22"/>
        </w:rPr>
        <w:t>compromisso renal ligeiro</w:t>
      </w:r>
      <w:r w:rsidRPr="0063119B">
        <w:rPr>
          <w:noProof/>
          <w:szCs w:val="22"/>
        </w:rPr>
        <w:t xml:space="preserve"> quando comparados com indivíduos com função renal normal. Em indivíduos com </w:t>
      </w:r>
      <w:r w:rsidR="00B70ADD" w:rsidRPr="0063119B">
        <w:rPr>
          <w:noProof/>
          <w:szCs w:val="22"/>
        </w:rPr>
        <w:t>compromisso renal moderado</w:t>
      </w:r>
      <w:r w:rsidRPr="0063119B">
        <w:rPr>
          <w:noProof/>
          <w:szCs w:val="22"/>
        </w:rPr>
        <w:t>, a eritromicina originou um aumento de 2</w:t>
      </w:r>
      <w:r w:rsidR="002801F3" w:rsidRPr="0063119B">
        <w:rPr>
          <w:noProof/>
          <w:szCs w:val="22"/>
        </w:rPr>
        <w:t>,0</w:t>
      </w:r>
      <w:r w:rsidRPr="0063119B">
        <w:rPr>
          <w:noProof/>
          <w:szCs w:val="22"/>
        </w:rPr>
        <w:t> vezes da média da AUC do rivaroxabano e de 1,6 vezes na C</w:t>
      </w:r>
      <w:r w:rsidRPr="0063119B">
        <w:rPr>
          <w:noProof/>
          <w:szCs w:val="22"/>
          <w:vertAlign w:val="subscript"/>
        </w:rPr>
        <w:t>max</w:t>
      </w:r>
      <w:r w:rsidRPr="0063119B">
        <w:rPr>
          <w:noProof/>
          <w:szCs w:val="22"/>
        </w:rPr>
        <w:t xml:space="preserve"> quando comparados com indivíduos com função renal normal</w:t>
      </w:r>
      <w:r w:rsidR="007E31B4" w:rsidRPr="0063119B">
        <w:rPr>
          <w:noProof/>
          <w:szCs w:val="22"/>
        </w:rPr>
        <w:t>. O efeito da eritromicina é aditivo ao do compromisso renal</w:t>
      </w:r>
      <w:r w:rsidRPr="0063119B">
        <w:rPr>
          <w:noProof/>
          <w:szCs w:val="22"/>
        </w:rPr>
        <w:t xml:space="preserve"> (ver secção 4.4).</w:t>
      </w:r>
      <w:r w:rsidR="007E31B4" w:rsidRPr="0063119B">
        <w:rPr>
          <w:noProof/>
          <w:szCs w:val="22"/>
        </w:rPr>
        <w:t xml:space="preserve"> </w:t>
      </w:r>
    </w:p>
    <w:p w14:paraId="004B9233" w14:textId="77777777" w:rsidR="00337111" w:rsidRPr="0063119B" w:rsidRDefault="00337111" w:rsidP="00337111">
      <w:pPr>
        <w:rPr>
          <w:szCs w:val="22"/>
        </w:rPr>
      </w:pPr>
    </w:p>
    <w:p w14:paraId="6E345244" w14:textId="77777777" w:rsidR="007E31B4" w:rsidRPr="0063119B" w:rsidRDefault="00337111" w:rsidP="007E31B4">
      <w:pPr>
        <w:suppressAutoHyphens/>
        <w:rPr>
          <w:szCs w:val="22"/>
        </w:rPr>
      </w:pPr>
      <w:r w:rsidRPr="0063119B">
        <w:rPr>
          <w:szCs w:val="22"/>
          <w:lang w:eastAsia="de-DE"/>
        </w:rPr>
        <w:t>O fluconazol (400 mg uma vez por dia) considerado como um inibidor moderado da CYP3A4, originou um aumento de 1,4 vezes da AUC média do rivaroxabano e um aumento de 1,3 vezes da C</w:t>
      </w:r>
      <w:r w:rsidRPr="0063119B">
        <w:rPr>
          <w:szCs w:val="22"/>
          <w:vertAlign w:val="subscript"/>
          <w:lang w:eastAsia="de-DE"/>
        </w:rPr>
        <w:t>max</w:t>
      </w:r>
      <w:r w:rsidRPr="0063119B">
        <w:rPr>
          <w:szCs w:val="22"/>
          <w:lang w:eastAsia="de-DE"/>
        </w:rPr>
        <w:t xml:space="preserve"> média. </w:t>
      </w:r>
      <w:r w:rsidR="0021302F" w:rsidRPr="0063119B">
        <w:rPr>
          <w:szCs w:val="22"/>
        </w:rPr>
        <w:t>Provavelmente, a</w:t>
      </w:r>
      <w:r w:rsidR="0021302F" w:rsidRPr="0063119B">
        <w:rPr>
          <w:noProof/>
          <w:szCs w:val="22"/>
        </w:rPr>
        <w:t xml:space="preserve"> interação com o fluconazol não é clinicamente relevante na maioria dos doentes, mas pode ser potencialmente significativa em doentes de alto risco</w:t>
      </w:r>
      <w:r w:rsidR="0021302F" w:rsidRPr="0063119B" w:rsidDel="0021302F">
        <w:rPr>
          <w:szCs w:val="22"/>
          <w:lang w:eastAsia="de-DE"/>
        </w:rPr>
        <w:t xml:space="preserve"> </w:t>
      </w:r>
      <w:r w:rsidR="00A32F42" w:rsidRPr="0063119B">
        <w:rPr>
          <w:szCs w:val="22"/>
        </w:rPr>
        <w:t>(para</w:t>
      </w:r>
      <w:r w:rsidR="007E31B4" w:rsidRPr="0063119B">
        <w:rPr>
          <w:szCs w:val="22"/>
        </w:rPr>
        <w:t xml:space="preserve"> doentes com compromisso renal</w:t>
      </w:r>
      <w:r w:rsidR="00EF4BB1" w:rsidRPr="0063119B">
        <w:rPr>
          <w:szCs w:val="22"/>
        </w:rPr>
        <w:t>:</w:t>
      </w:r>
      <w:r w:rsidR="007E31B4" w:rsidRPr="0063119B">
        <w:rPr>
          <w:szCs w:val="22"/>
        </w:rPr>
        <w:t xml:space="preserve"> ver secção 4.4). </w:t>
      </w:r>
    </w:p>
    <w:p w14:paraId="6844ED31" w14:textId="77777777" w:rsidR="00337111" w:rsidRPr="0063119B" w:rsidRDefault="00337111" w:rsidP="00337111">
      <w:pPr>
        <w:suppressAutoHyphens/>
        <w:rPr>
          <w:noProof/>
          <w:szCs w:val="22"/>
        </w:rPr>
      </w:pPr>
    </w:p>
    <w:p w14:paraId="374C6E02" w14:textId="77777777" w:rsidR="00337111" w:rsidRPr="0063119B" w:rsidRDefault="00337111" w:rsidP="00337111">
      <w:pPr>
        <w:suppressAutoHyphens/>
        <w:rPr>
          <w:noProof/>
          <w:szCs w:val="22"/>
        </w:rPr>
      </w:pPr>
      <w:r w:rsidRPr="0063119B">
        <w:rPr>
          <w:noProof/>
          <w:szCs w:val="22"/>
        </w:rPr>
        <w:t>Face aos dados clínicos disponíveis com droderanona serem limitados, a coadministração com rivaroxabano deve ser evitada.</w:t>
      </w:r>
    </w:p>
    <w:p w14:paraId="0A250A36" w14:textId="77777777" w:rsidR="00D31881" w:rsidRPr="0063119B" w:rsidRDefault="00337111" w:rsidP="00337111">
      <w:pPr>
        <w:suppressAutoHyphens/>
        <w:rPr>
          <w:noProof/>
          <w:szCs w:val="22"/>
          <w:u w:val="single"/>
        </w:rPr>
      </w:pPr>
      <w:r w:rsidRPr="0063119B">
        <w:rPr>
          <w:noProof/>
          <w:szCs w:val="22"/>
        </w:rPr>
        <w:t xml:space="preserve"> </w:t>
      </w:r>
    </w:p>
    <w:p w14:paraId="4A057808" w14:textId="77777777" w:rsidR="0007618E" w:rsidRDefault="00337111" w:rsidP="00337111">
      <w:pPr>
        <w:suppressAutoHyphens/>
        <w:rPr>
          <w:noProof/>
          <w:szCs w:val="22"/>
          <w:u w:val="single"/>
        </w:rPr>
      </w:pPr>
      <w:r w:rsidRPr="0063119B">
        <w:rPr>
          <w:noProof/>
          <w:szCs w:val="22"/>
          <w:u w:val="single"/>
        </w:rPr>
        <w:t xml:space="preserve">Anticoagulantes </w:t>
      </w:r>
    </w:p>
    <w:p w14:paraId="4EDAB082" w14:textId="77777777" w:rsidR="0007618E" w:rsidRDefault="0007618E" w:rsidP="00337111">
      <w:pPr>
        <w:suppressAutoHyphens/>
        <w:rPr>
          <w:noProof/>
          <w:szCs w:val="22"/>
        </w:rPr>
      </w:pPr>
    </w:p>
    <w:p w14:paraId="36B250C1" w14:textId="77777777" w:rsidR="00337111" w:rsidRPr="0063119B" w:rsidRDefault="00337111" w:rsidP="00337111">
      <w:pPr>
        <w:suppressAutoHyphens/>
        <w:rPr>
          <w:noProof/>
          <w:szCs w:val="22"/>
        </w:rPr>
      </w:pPr>
      <w:r w:rsidRPr="0063119B">
        <w:rPr>
          <w:noProof/>
          <w:szCs w:val="22"/>
        </w:rPr>
        <w:t>Após a administração combinada de enoxaparina (dose única de 40 mg) com rivaroxabano (dose única de 10 mg), foi observado um efeito aditivo sobre a atividade do antifator</w:t>
      </w:r>
      <w:r w:rsidR="0020489B" w:rsidRPr="0063119B">
        <w:rPr>
          <w:noProof/>
          <w:szCs w:val="22"/>
        </w:rPr>
        <w:t xml:space="preserve"> </w:t>
      </w:r>
      <w:r w:rsidRPr="0063119B">
        <w:rPr>
          <w:noProof/>
          <w:szCs w:val="22"/>
        </w:rPr>
        <w:t>Xa, sem quaisquer efeitos adicionais sobre os testes de coagulação (TP, aPTT). A enoxaparina não afetou as propriedades farmacocinéticas do rivaroxabano.</w:t>
      </w:r>
    </w:p>
    <w:p w14:paraId="71D0DAAC" w14:textId="77777777" w:rsidR="00337111" w:rsidRPr="0063119B" w:rsidRDefault="00337111" w:rsidP="00337111">
      <w:pPr>
        <w:suppressAutoHyphens/>
        <w:rPr>
          <w:noProof/>
          <w:szCs w:val="22"/>
        </w:rPr>
      </w:pPr>
      <w:r w:rsidRPr="0063119B">
        <w:rPr>
          <w:noProof/>
          <w:szCs w:val="22"/>
        </w:rPr>
        <w:t xml:space="preserve">Devido ao </w:t>
      </w:r>
      <w:r w:rsidR="001C09A3" w:rsidRPr="0063119B">
        <w:rPr>
          <w:noProof/>
          <w:szCs w:val="22"/>
        </w:rPr>
        <w:t xml:space="preserve">risco </w:t>
      </w:r>
      <w:r w:rsidRPr="0063119B">
        <w:rPr>
          <w:noProof/>
          <w:szCs w:val="22"/>
        </w:rPr>
        <w:t>aument</w:t>
      </w:r>
      <w:r w:rsidR="001C09A3" w:rsidRPr="0063119B">
        <w:rPr>
          <w:noProof/>
          <w:szCs w:val="22"/>
        </w:rPr>
        <w:t>ad</w:t>
      </w:r>
      <w:r w:rsidRPr="0063119B">
        <w:rPr>
          <w:noProof/>
          <w:szCs w:val="22"/>
        </w:rPr>
        <w:t xml:space="preserve">o de hemorragia, deve ter-se precaução se os doentes são tratados concomitantemente com quaisquer outros anticoagulantes (ver </w:t>
      </w:r>
      <w:r w:rsidR="00DF7B90" w:rsidRPr="0063119B">
        <w:rPr>
          <w:noProof/>
          <w:szCs w:val="22"/>
        </w:rPr>
        <w:t xml:space="preserve">secções 4.3 e </w:t>
      </w:r>
      <w:r w:rsidRPr="0063119B">
        <w:rPr>
          <w:noProof/>
          <w:szCs w:val="22"/>
        </w:rPr>
        <w:t xml:space="preserve">4.4). </w:t>
      </w:r>
    </w:p>
    <w:p w14:paraId="7461DB29" w14:textId="77777777" w:rsidR="00337111" w:rsidRPr="0063119B" w:rsidRDefault="00337111" w:rsidP="00337111">
      <w:pPr>
        <w:suppressAutoHyphens/>
        <w:rPr>
          <w:noProof/>
          <w:szCs w:val="22"/>
        </w:rPr>
      </w:pPr>
    </w:p>
    <w:p w14:paraId="6921BCA3" w14:textId="77777777" w:rsidR="00337111" w:rsidRDefault="00337111" w:rsidP="00337111">
      <w:pPr>
        <w:keepNext/>
        <w:suppressAutoHyphens/>
        <w:rPr>
          <w:noProof/>
          <w:szCs w:val="22"/>
          <w:u w:val="single"/>
        </w:rPr>
      </w:pPr>
      <w:r w:rsidRPr="0063119B">
        <w:rPr>
          <w:noProof/>
          <w:szCs w:val="22"/>
          <w:u w:val="single"/>
        </w:rPr>
        <w:t>AINEs/ inibidores da agregação plaquetária</w:t>
      </w:r>
    </w:p>
    <w:p w14:paraId="4E4EA616" w14:textId="77777777" w:rsidR="0007618E" w:rsidRPr="0063119B" w:rsidRDefault="0007618E" w:rsidP="00337111">
      <w:pPr>
        <w:keepNext/>
        <w:suppressAutoHyphens/>
        <w:rPr>
          <w:noProof/>
          <w:szCs w:val="22"/>
          <w:u w:val="single"/>
        </w:rPr>
      </w:pPr>
    </w:p>
    <w:p w14:paraId="3A4670E9" w14:textId="77777777" w:rsidR="00337111" w:rsidRPr="0063119B" w:rsidRDefault="00337111" w:rsidP="00337111">
      <w:pPr>
        <w:keepNext/>
        <w:suppressAutoHyphens/>
        <w:rPr>
          <w:noProof/>
          <w:szCs w:val="22"/>
        </w:rPr>
      </w:pPr>
      <w:r w:rsidRPr="0063119B">
        <w:rPr>
          <w:noProof/>
          <w:szCs w:val="22"/>
        </w:rPr>
        <w:t xml:space="preserve">Não foi observado nenhum prolongamento, clinicamente relevante, do tempo de hemorragia, após a administração concomitante de rivaroxabano (15 mg) e de 500 mg de naproxeno. Contudo, poderão existir indivíduos com uma resposta farmacodinâmica mais pronunciada. </w:t>
      </w:r>
    </w:p>
    <w:p w14:paraId="3B666918" w14:textId="77777777" w:rsidR="00337111" w:rsidRPr="0063119B" w:rsidRDefault="00337111" w:rsidP="00A9161F">
      <w:pPr>
        <w:suppressAutoHyphens/>
        <w:rPr>
          <w:noProof/>
          <w:szCs w:val="22"/>
        </w:rPr>
      </w:pPr>
      <w:r w:rsidRPr="0063119B">
        <w:rPr>
          <w:noProof/>
          <w:szCs w:val="22"/>
        </w:rPr>
        <w:t xml:space="preserve">Não foram observadas interações farmacocinéticas nem farmacodinâmicas clinicamente </w:t>
      </w:r>
      <w:r w:rsidRPr="0063119B">
        <w:rPr>
          <w:noProof/>
          <w:szCs w:val="22"/>
        </w:rPr>
        <w:br/>
        <w:t>significativas quando rivaroxabano foi coadministrado com 500 mg de ácido acetilsalicílico.</w:t>
      </w:r>
    </w:p>
    <w:p w14:paraId="62DA9E60" w14:textId="77777777" w:rsidR="00337111" w:rsidRPr="0063119B" w:rsidRDefault="00337111" w:rsidP="00A9161F">
      <w:pPr>
        <w:suppressAutoHyphens/>
        <w:rPr>
          <w:noProof/>
          <w:szCs w:val="22"/>
        </w:rPr>
      </w:pPr>
      <w:r w:rsidRPr="0063119B">
        <w:rPr>
          <w:noProof/>
          <w:szCs w:val="22"/>
        </w:rPr>
        <w:t>O clopidogrel (dose de carga de 300 mg, seguida da dose de manutenção de 75 mg) não mostrou nenhuma interação farmacocinética com rivaroxabano (15 mg), contudo, foi observado um aumento relevante no tempo de hemorragia num subgrupo de doentes não correlacionado com a agregação plaquetária, nem com os níveis de P-selectina ou dos recetores GPIIb/IIIa.</w:t>
      </w:r>
    </w:p>
    <w:p w14:paraId="77FAAED9" w14:textId="77777777" w:rsidR="00337111" w:rsidRPr="0063119B" w:rsidRDefault="00337111" w:rsidP="00337111">
      <w:pPr>
        <w:rPr>
          <w:szCs w:val="22"/>
          <w:lang w:eastAsia="de-DE"/>
        </w:rPr>
      </w:pPr>
      <w:r w:rsidRPr="0063119B">
        <w:rPr>
          <w:noProof/>
          <w:szCs w:val="22"/>
        </w:rPr>
        <w:t>Deve ter-se precaução nos doentes tratados concomitantemente com AINEs (incluindo ácido acetilsalicílico) e inibidores da agregação plaquetária, porque estes medicamentos aumentam, normalmente, o risco de hemorragia (ver secção 4.4).</w:t>
      </w:r>
      <w:r w:rsidRPr="0063119B">
        <w:rPr>
          <w:szCs w:val="22"/>
          <w:lang w:eastAsia="de-DE"/>
        </w:rPr>
        <w:t xml:space="preserve"> </w:t>
      </w:r>
    </w:p>
    <w:p w14:paraId="6712C333" w14:textId="77777777" w:rsidR="00337111" w:rsidRPr="0063119B" w:rsidRDefault="00337111" w:rsidP="00337111">
      <w:pPr>
        <w:rPr>
          <w:szCs w:val="22"/>
        </w:rPr>
      </w:pPr>
    </w:p>
    <w:p w14:paraId="55D76BD8" w14:textId="77777777" w:rsidR="005450DB" w:rsidRDefault="005450DB" w:rsidP="005450DB">
      <w:pPr>
        <w:rPr>
          <w:szCs w:val="22"/>
          <w:u w:val="single"/>
        </w:rPr>
      </w:pPr>
      <w:r w:rsidRPr="0063119B">
        <w:rPr>
          <w:szCs w:val="22"/>
          <w:u w:val="single"/>
        </w:rPr>
        <w:t>ISRS/IRSN</w:t>
      </w:r>
    </w:p>
    <w:p w14:paraId="44512206" w14:textId="77777777" w:rsidR="0007618E" w:rsidRPr="0063119B" w:rsidRDefault="0007618E" w:rsidP="005450DB">
      <w:pPr>
        <w:rPr>
          <w:szCs w:val="22"/>
          <w:u w:val="single"/>
        </w:rPr>
      </w:pPr>
    </w:p>
    <w:p w14:paraId="779310E0" w14:textId="77777777" w:rsidR="005450DB" w:rsidRPr="0063119B" w:rsidRDefault="005450DB" w:rsidP="005450DB">
      <w:pPr>
        <w:rPr>
          <w:szCs w:val="22"/>
        </w:rPr>
      </w:pPr>
      <w:r w:rsidRPr="0063119B">
        <w:rPr>
          <w:szCs w:val="22"/>
        </w:rPr>
        <w:t xml:space="preserve">Assim como com outros anticoagulantes, poderá existir a possibilidade dos doentes apresentarem um maior risco de hemorragia em caso de utilização concomitante com ISRS ou IRSN, devido ao seu efeito relatado sobre as plaquetas. Quando utilizados concomitantemente no programa clínico do </w:t>
      </w:r>
      <w:r w:rsidRPr="0063119B">
        <w:rPr>
          <w:szCs w:val="22"/>
        </w:rPr>
        <w:lastRenderedPageBreak/>
        <w:t>rivaroxabano, observaram-se taxas numericamente superiores de hemorragias</w:t>
      </w:r>
      <w:r w:rsidR="00DE537C" w:rsidRPr="0063119B">
        <w:rPr>
          <w:szCs w:val="22"/>
        </w:rPr>
        <w:t xml:space="preserve"> </w:t>
      </w:r>
      <w:r w:rsidR="00417496" w:rsidRPr="0063119B">
        <w:rPr>
          <w:szCs w:val="22"/>
        </w:rPr>
        <w:t xml:space="preserve">principais </w:t>
      </w:r>
      <w:r w:rsidRPr="0063119B">
        <w:rPr>
          <w:szCs w:val="22"/>
        </w:rPr>
        <w:t xml:space="preserve">ou não </w:t>
      </w:r>
      <w:r w:rsidR="00417496" w:rsidRPr="0063119B">
        <w:rPr>
          <w:szCs w:val="22"/>
        </w:rPr>
        <w:t>principais</w:t>
      </w:r>
      <w:r w:rsidRPr="0063119B">
        <w:rPr>
          <w:szCs w:val="22"/>
        </w:rPr>
        <w:t>, clinicamente relevantes, em todos os grupos de tratamento.</w:t>
      </w:r>
    </w:p>
    <w:p w14:paraId="5FFB5344" w14:textId="77777777" w:rsidR="005450DB" w:rsidRPr="0063119B" w:rsidRDefault="005450DB" w:rsidP="005450DB">
      <w:pPr>
        <w:rPr>
          <w:szCs w:val="22"/>
        </w:rPr>
      </w:pPr>
    </w:p>
    <w:p w14:paraId="47B63523" w14:textId="77777777" w:rsidR="00337111" w:rsidRDefault="00337111" w:rsidP="00337111">
      <w:pPr>
        <w:keepNext/>
        <w:rPr>
          <w:szCs w:val="22"/>
          <w:u w:val="single"/>
        </w:rPr>
      </w:pPr>
      <w:r w:rsidRPr="0063119B">
        <w:rPr>
          <w:szCs w:val="22"/>
          <w:u w:val="single"/>
        </w:rPr>
        <w:t>Varfarina</w:t>
      </w:r>
    </w:p>
    <w:p w14:paraId="34216CF6" w14:textId="77777777" w:rsidR="0007618E" w:rsidRPr="0063119B" w:rsidRDefault="0007618E" w:rsidP="00337111">
      <w:pPr>
        <w:keepNext/>
        <w:rPr>
          <w:szCs w:val="22"/>
        </w:rPr>
      </w:pPr>
    </w:p>
    <w:p w14:paraId="015DECC4" w14:textId="77777777" w:rsidR="00337111" w:rsidRPr="0063119B" w:rsidRDefault="00337111" w:rsidP="00337111">
      <w:pPr>
        <w:tabs>
          <w:tab w:val="left" w:pos="1080"/>
        </w:tabs>
        <w:autoSpaceDE w:val="0"/>
        <w:autoSpaceDN w:val="0"/>
        <w:adjustRightInd w:val="0"/>
        <w:rPr>
          <w:szCs w:val="22"/>
        </w:rPr>
      </w:pPr>
      <w:r w:rsidRPr="0063119B">
        <w:rPr>
          <w:szCs w:val="22"/>
        </w:rPr>
        <w:t>A passagem de doentes da varfarina, um antagonista da vitamina K (INR 2,0 a 3,0) para rivaroxabano (20 mg) ou de rivaroxabano (20 mg) para varfarina (INR 2,0 a 3,0) aumentou o tempo de protrombina/INR (Neoplastin) de forma mais do que aditiva (podem observar-se valores individuais do INR até 12), enquanto que os efeitos sobre o aPTT, a inibição da atividade do fator Xa e o potencial da trombina endógena foram aditivos.</w:t>
      </w:r>
    </w:p>
    <w:p w14:paraId="0B50D50D" w14:textId="77777777" w:rsidR="00337111" w:rsidRPr="0063119B" w:rsidRDefault="00337111" w:rsidP="00337111">
      <w:pPr>
        <w:tabs>
          <w:tab w:val="left" w:pos="1080"/>
        </w:tabs>
        <w:autoSpaceDE w:val="0"/>
        <w:autoSpaceDN w:val="0"/>
        <w:adjustRightInd w:val="0"/>
        <w:rPr>
          <w:szCs w:val="22"/>
        </w:rPr>
      </w:pPr>
      <w:r w:rsidRPr="0063119B">
        <w:rPr>
          <w:szCs w:val="22"/>
        </w:rPr>
        <w:t xml:space="preserve">Se se desejar testar os efeitos farmacodinâmicos do rivaroxabano durante o período de passagem, podem utilizar-se a atividade antifator Xa, PiCT e Heptest dado que estes testes não foram afetados pela varfarina. No quarto dia após a última dose de varfarina, todos os testes (incluindo TP, aPTT, inibição da atividade do fator Xa e PTE) refletiram apenas o efeito do rivaroxabano. </w:t>
      </w:r>
    </w:p>
    <w:p w14:paraId="370A0FE4" w14:textId="77777777" w:rsidR="00337111" w:rsidRPr="0063119B" w:rsidRDefault="00337111" w:rsidP="00337111">
      <w:pPr>
        <w:autoSpaceDE w:val="0"/>
        <w:autoSpaceDN w:val="0"/>
        <w:adjustRightInd w:val="0"/>
        <w:rPr>
          <w:szCs w:val="22"/>
        </w:rPr>
      </w:pPr>
      <w:r w:rsidRPr="0063119B">
        <w:rPr>
          <w:szCs w:val="22"/>
        </w:rPr>
        <w:t>Se se desejar testar os efeitos farmacodinâmicos da varfarina durante o período de passagem, pode utilizar-se a determinação do INR na C</w:t>
      </w:r>
      <w:r w:rsidRPr="0063119B">
        <w:rPr>
          <w:szCs w:val="22"/>
          <w:vertAlign w:val="subscript"/>
        </w:rPr>
        <w:t>min</w:t>
      </w:r>
      <w:r w:rsidRPr="0063119B">
        <w:rPr>
          <w:szCs w:val="22"/>
        </w:rPr>
        <w:t xml:space="preserve"> do rivaroxabano (24 horas após a toma anterior de rivaroxabano) dado que este teste é minimamente afetado pelo rivaroxabano neste ponto.</w:t>
      </w:r>
    </w:p>
    <w:p w14:paraId="18107DB4" w14:textId="77777777" w:rsidR="00337111" w:rsidRPr="0063119B" w:rsidRDefault="00337111" w:rsidP="00A9161F">
      <w:pPr>
        <w:suppressAutoHyphens/>
        <w:rPr>
          <w:szCs w:val="22"/>
        </w:rPr>
      </w:pPr>
      <w:r w:rsidRPr="0063119B">
        <w:rPr>
          <w:szCs w:val="22"/>
        </w:rPr>
        <w:t>Não se observaram interações farmacocinéticas entre a varfarina e o rivaroxabano.</w:t>
      </w:r>
    </w:p>
    <w:p w14:paraId="4BB31258" w14:textId="77777777" w:rsidR="00337111" w:rsidRPr="0063119B" w:rsidRDefault="00337111" w:rsidP="00A9161F">
      <w:pPr>
        <w:suppressAutoHyphens/>
        <w:rPr>
          <w:szCs w:val="22"/>
        </w:rPr>
      </w:pPr>
    </w:p>
    <w:p w14:paraId="2FD39D66" w14:textId="77777777" w:rsidR="00337111" w:rsidRDefault="00337111" w:rsidP="00337111">
      <w:pPr>
        <w:suppressAutoHyphens/>
        <w:rPr>
          <w:noProof/>
          <w:szCs w:val="22"/>
          <w:u w:val="single"/>
        </w:rPr>
      </w:pPr>
      <w:r w:rsidRPr="0063119B">
        <w:rPr>
          <w:noProof/>
          <w:szCs w:val="22"/>
          <w:u w:val="single"/>
        </w:rPr>
        <w:t xml:space="preserve">Indutores do CYP3A4 </w:t>
      </w:r>
    </w:p>
    <w:p w14:paraId="644A2D51" w14:textId="77777777" w:rsidR="0007618E" w:rsidRPr="0063119B" w:rsidRDefault="0007618E" w:rsidP="00337111">
      <w:pPr>
        <w:suppressAutoHyphens/>
        <w:rPr>
          <w:noProof/>
          <w:szCs w:val="22"/>
        </w:rPr>
      </w:pPr>
    </w:p>
    <w:p w14:paraId="0CB95F69" w14:textId="77777777" w:rsidR="00337111" w:rsidRPr="0063119B" w:rsidRDefault="00337111" w:rsidP="00337111">
      <w:pPr>
        <w:suppressAutoHyphens/>
        <w:rPr>
          <w:noProof/>
          <w:szCs w:val="22"/>
        </w:rPr>
      </w:pPr>
      <w:r w:rsidRPr="0063119B">
        <w:rPr>
          <w:noProof/>
          <w:szCs w:val="22"/>
        </w:rPr>
        <w:t>A coadministração de rivaroxabano com rifampicina, um potente indutor do CYP3A4, originou uma diminuição aproximada de 50% da média da AUC do rivaroxabano, com diminuições paralelas nos seus efeitos farmacodinâmicos. O uso concomitante de rivaroxabano com outros indutores potentes do CYP3A4 (ex.: fenitoína, carbamazepina, fenobarbital ou hipericão</w:t>
      </w:r>
      <w:r w:rsidR="006D12FA" w:rsidRPr="0063119B">
        <w:rPr>
          <w:noProof/>
          <w:szCs w:val="22"/>
        </w:rPr>
        <w:t xml:space="preserve"> (</w:t>
      </w:r>
      <w:r w:rsidR="006D12FA" w:rsidRPr="0063119B">
        <w:rPr>
          <w:i/>
          <w:szCs w:val="22"/>
        </w:rPr>
        <w:t>Hypericum perforatum</w:t>
      </w:r>
      <w:r w:rsidRPr="0063119B">
        <w:rPr>
          <w:noProof/>
          <w:szCs w:val="22"/>
        </w:rPr>
        <w:t>)</w:t>
      </w:r>
      <w:r w:rsidR="006D12FA" w:rsidRPr="0063119B">
        <w:rPr>
          <w:noProof/>
          <w:szCs w:val="22"/>
        </w:rPr>
        <w:t>)</w:t>
      </w:r>
      <w:r w:rsidRPr="0063119B">
        <w:rPr>
          <w:noProof/>
          <w:szCs w:val="22"/>
        </w:rPr>
        <w:t xml:space="preserve"> pode originar também a redução das concentrações plasmáticas do rivaroxabano. </w:t>
      </w:r>
      <w:r w:rsidR="00C92297" w:rsidRPr="0063119B">
        <w:rPr>
          <w:noProof/>
          <w:szCs w:val="22"/>
        </w:rPr>
        <w:t>Por este motivo, a administração concomitante de</w:t>
      </w:r>
      <w:r w:rsidRPr="0063119B">
        <w:rPr>
          <w:noProof/>
          <w:szCs w:val="22"/>
        </w:rPr>
        <w:t xml:space="preserve"> indutores potentes do CYP3A4 deve ser </w:t>
      </w:r>
      <w:r w:rsidR="00BE0CC5" w:rsidRPr="0063119B">
        <w:rPr>
          <w:noProof/>
          <w:szCs w:val="22"/>
        </w:rPr>
        <w:t>evitad</w:t>
      </w:r>
      <w:r w:rsidR="00005361" w:rsidRPr="0063119B">
        <w:rPr>
          <w:noProof/>
          <w:szCs w:val="22"/>
        </w:rPr>
        <w:t>a</w:t>
      </w:r>
      <w:r w:rsidR="00BE0CC5" w:rsidRPr="0063119B">
        <w:rPr>
          <w:noProof/>
          <w:szCs w:val="22"/>
        </w:rPr>
        <w:t xml:space="preserve"> a menos que o doente seja observado atentamente quanto </w:t>
      </w:r>
      <w:r w:rsidR="00107F2F" w:rsidRPr="0063119B">
        <w:rPr>
          <w:noProof/>
          <w:szCs w:val="22"/>
        </w:rPr>
        <w:t>a sinais e sintomas de trombose</w:t>
      </w:r>
      <w:r w:rsidRPr="0063119B">
        <w:rPr>
          <w:noProof/>
          <w:szCs w:val="22"/>
        </w:rPr>
        <w:t>.</w:t>
      </w:r>
    </w:p>
    <w:p w14:paraId="3E8DF099" w14:textId="77777777" w:rsidR="00337111" w:rsidRPr="0063119B" w:rsidRDefault="00337111" w:rsidP="00337111">
      <w:pPr>
        <w:suppressAutoHyphens/>
        <w:rPr>
          <w:noProof/>
          <w:szCs w:val="22"/>
        </w:rPr>
      </w:pPr>
    </w:p>
    <w:p w14:paraId="6653F2EC" w14:textId="77777777" w:rsidR="00337111" w:rsidRDefault="00337111" w:rsidP="00337111">
      <w:pPr>
        <w:suppressAutoHyphens/>
        <w:rPr>
          <w:noProof/>
          <w:szCs w:val="22"/>
          <w:u w:val="single"/>
        </w:rPr>
      </w:pPr>
      <w:r w:rsidRPr="0063119B">
        <w:rPr>
          <w:noProof/>
          <w:szCs w:val="22"/>
          <w:u w:val="single"/>
        </w:rPr>
        <w:t xml:space="preserve">Outros tratamentos concomitantes </w:t>
      </w:r>
    </w:p>
    <w:p w14:paraId="3D9B43AB" w14:textId="77777777" w:rsidR="0007618E" w:rsidRPr="0063119B" w:rsidRDefault="0007618E" w:rsidP="00337111">
      <w:pPr>
        <w:suppressAutoHyphens/>
        <w:rPr>
          <w:noProof/>
          <w:szCs w:val="22"/>
        </w:rPr>
      </w:pPr>
    </w:p>
    <w:p w14:paraId="087FBB3C" w14:textId="77777777" w:rsidR="00337111" w:rsidRPr="0063119B" w:rsidRDefault="00337111" w:rsidP="00337111">
      <w:pPr>
        <w:suppressAutoHyphens/>
        <w:rPr>
          <w:noProof/>
          <w:szCs w:val="22"/>
        </w:rPr>
      </w:pPr>
      <w:r w:rsidRPr="0063119B">
        <w:rPr>
          <w:noProof/>
          <w:szCs w:val="22"/>
        </w:rPr>
        <w:t>Não foram observadas interações farmacocinéticas ou farmacodinâmicas clinicamente relevantes quando o rivaroxabano foi coadministrado com midazolam (substrato do CYP3A4), digoxina (substrato da gp-P), atorvastatina (substrato do CYP3A4 e da gp-P) ou omeprazol (inibidor da bomba de protões). O rivaroxabano não inibe nem induz nenhuma isoforma importante do CYP, como o CYP3A4.</w:t>
      </w:r>
    </w:p>
    <w:p w14:paraId="273EA48C" w14:textId="77777777" w:rsidR="00337111" w:rsidRPr="0063119B" w:rsidRDefault="00337111" w:rsidP="00337111">
      <w:pPr>
        <w:suppressAutoHyphens/>
        <w:rPr>
          <w:noProof/>
          <w:szCs w:val="22"/>
        </w:rPr>
      </w:pPr>
      <w:r w:rsidRPr="0063119B">
        <w:rPr>
          <w:noProof/>
          <w:szCs w:val="22"/>
        </w:rPr>
        <w:t>Não se observou nenhuma interação clinicamente relevante com os alimentos (ver secção 4.2).</w:t>
      </w:r>
    </w:p>
    <w:p w14:paraId="293B47BB" w14:textId="77777777" w:rsidR="00337111" w:rsidRPr="0063119B" w:rsidRDefault="00337111" w:rsidP="00337111">
      <w:pPr>
        <w:suppressAutoHyphens/>
        <w:rPr>
          <w:noProof/>
          <w:szCs w:val="22"/>
          <w:u w:val="single"/>
        </w:rPr>
      </w:pPr>
    </w:p>
    <w:p w14:paraId="623BA59A" w14:textId="77777777" w:rsidR="00337111" w:rsidRDefault="00337111" w:rsidP="00337111">
      <w:pPr>
        <w:suppressAutoHyphens/>
        <w:rPr>
          <w:noProof/>
          <w:szCs w:val="22"/>
          <w:u w:val="single"/>
        </w:rPr>
      </w:pPr>
      <w:r w:rsidRPr="0063119B">
        <w:rPr>
          <w:noProof/>
          <w:szCs w:val="22"/>
          <w:u w:val="single"/>
        </w:rPr>
        <w:t xml:space="preserve">Parâmetros laboratoriais </w:t>
      </w:r>
    </w:p>
    <w:p w14:paraId="254CE887" w14:textId="77777777" w:rsidR="0007618E" w:rsidRPr="0063119B" w:rsidRDefault="0007618E" w:rsidP="00337111">
      <w:pPr>
        <w:suppressAutoHyphens/>
        <w:rPr>
          <w:noProof/>
          <w:szCs w:val="22"/>
        </w:rPr>
      </w:pPr>
    </w:p>
    <w:p w14:paraId="128145E2" w14:textId="77777777" w:rsidR="00337111" w:rsidRPr="0063119B" w:rsidRDefault="00337111" w:rsidP="00337111">
      <w:pPr>
        <w:suppressAutoHyphens/>
        <w:rPr>
          <w:noProof/>
          <w:szCs w:val="22"/>
        </w:rPr>
      </w:pPr>
      <w:r w:rsidRPr="0063119B">
        <w:rPr>
          <w:noProof/>
          <w:szCs w:val="22"/>
        </w:rPr>
        <w:t xml:space="preserve">Os parâmetros de coagulação (ex.: TP, aPTT, HepTest) são afetados conforme esperado pelo modo de ação do rivaroxabano (ver secção 5.1). </w:t>
      </w:r>
    </w:p>
    <w:p w14:paraId="0462A37B" w14:textId="77777777" w:rsidR="00337111" w:rsidRPr="0063119B" w:rsidRDefault="00337111" w:rsidP="00337111">
      <w:pPr>
        <w:suppressAutoHyphens/>
        <w:rPr>
          <w:noProof/>
          <w:szCs w:val="22"/>
        </w:rPr>
      </w:pPr>
    </w:p>
    <w:p w14:paraId="572657E2" w14:textId="77777777" w:rsidR="00337111" w:rsidRPr="0063119B" w:rsidRDefault="00337111" w:rsidP="00B316E9">
      <w:pPr>
        <w:keepNext/>
        <w:suppressAutoHyphens/>
        <w:ind w:left="567" w:hanging="567"/>
        <w:rPr>
          <w:b/>
          <w:noProof/>
          <w:szCs w:val="22"/>
        </w:rPr>
      </w:pPr>
      <w:r w:rsidRPr="0063119B">
        <w:rPr>
          <w:b/>
          <w:noProof/>
          <w:szCs w:val="22"/>
        </w:rPr>
        <w:t>4.6 Fertilidade, gravidez e aleitamento</w:t>
      </w:r>
    </w:p>
    <w:p w14:paraId="75066DC3" w14:textId="77777777" w:rsidR="00337111" w:rsidRPr="0063119B" w:rsidRDefault="00337111" w:rsidP="00B316E9">
      <w:pPr>
        <w:keepNext/>
        <w:suppressAutoHyphens/>
        <w:rPr>
          <w:noProof/>
          <w:szCs w:val="22"/>
        </w:rPr>
      </w:pPr>
    </w:p>
    <w:p w14:paraId="12ADCAED" w14:textId="77777777" w:rsidR="00337111" w:rsidRDefault="00337111" w:rsidP="00B316E9">
      <w:pPr>
        <w:keepNext/>
        <w:suppressAutoHyphens/>
        <w:rPr>
          <w:noProof/>
          <w:szCs w:val="22"/>
          <w:u w:val="single"/>
        </w:rPr>
      </w:pPr>
      <w:r w:rsidRPr="0063119B">
        <w:rPr>
          <w:noProof/>
          <w:szCs w:val="22"/>
          <w:u w:val="single"/>
        </w:rPr>
        <w:t>Gravidez</w:t>
      </w:r>
    </w:p>
    <w:p w14:paraId="304EADF5" w14:textId="77777777" w:rsidR="0007618E" w:rsidRPr="0063119B" w:rsidRDefault="0007618E" w:rsidP="00B316E9">
      <w:pPr>
        <w:keepNext/>
        <w:suppressAutoHyphens/>
        <w:rPr>
          <w:noProof/>
          <w:szCs w:val="22"/>
          <w:u w:val="single"/>
        </w:rPr>
      </w:pPr>
    </w:p>
    <w:p w14:paraId="55744AE6" w14:textId="77777777" w:rsidR="00337111" w:rsidRPr="0063119B" w:rsidRDefault="00337111" w:rsidP="00B316E9">
      <w:pPr>
        <w:keepNext/>
        <w:suppressAutoHyphens/>
        <w:rPr>
          <w:noProof/>
          <w:szCs w:val="22"/>
        </w:rPr>
      </w:pPr>
      <w:r w:rsidRPr="0063119B">
        <w:rPr>
          <w:noProof/>
          <w:szCs w:val="22"/>
        </w:rPr>
        <w:t xml:space="preserve">A segurança e eficácia de </w:t>
      </w:r>
      <w:r w:rsidR="00D31881" w:rsidRPr="0063119B">
        <w:rPr>
          <w:noProof/>
          <w:szCs w:val="22"/>
        </w:rPr>
        <w:t>rivaroxabano</w:t>
      </w:r>
      <w:r w:rsidRPr="0063119B">
        <w:rPr>
          <w:noProof/>
          <w:szCs w:val="22"/>
        </w:rPr>
        <w:t xml:space="preserve"> não foram estabelecidas em mulheres grávidas. Os estudos em animais revelaram toxicidade reprodutiva (ver secção 5.3). Devido à potencial toxicidade reprodutiva, ao risco intrínseco de hemorragia e à evidência de que o rivaroxabano atravessa a placenta, </w:t>
      </w:r>
      <w:r w:rsidR="00D31881" w:rsidRPr="0063119B">
        <w:rPr>
          <w:noProof/>
          <w:szCs w:val="22"/>
        </w:rPr>
        <w:t xml:space="preserve">o rivaroxabano </w:t>
      </w:r>
      <w:r w:rsidRPr="0063119B">
        <w:rPr>
          <w:noProof/>
          <w:szCs w:val="22"/>
        </w:rPr>
        <w:t xml:space="preserve">é contraindicado durante a gravidez (ver secção 4.3). </w:t>
      </w:r>
    </w:p>
    <w:p w14:paraId="696A2A8D" w14:textId="77777777" w:rsidR="00337111" w:rsidRPr="0063119B" w:rsidRDefault="00337111" w:rsidP="00337111">
      <w:pPr>
        <w:suppressAutoHyphens/>
        <w:rPr>
          <w:noProof/>
          <w:szCs w:val="22"/>
        </w:rPr>
      </w:pPr>
      <w:r w:rsidRPr="0063119B">
        <w:rPr>
          <w:noProof/>
          <w:szCs w:val="22"/>
        </w:rPr>
        <w:t>As mulheres em idade fértil devem evitar engravidar durante o tratamento com rivaroxabano.</w:t>
      </w:r>
    </w:p>
    <w:p w14:paraId="28EF4AA0" w14:textId="77777777" w:rsidR="00337111" w:rsidRPr="0063119B" w:rsidRDefault="00337111" w:rsidP="00337111">
      <w:pPr>
        <w:suppressAutoHyphens/>
        <w:rPr>
          <w:noProof/>
          <w:szCs w:val="22"/>
        </w:rPr>
      </w:pPr>
    </w:p>
    <w:p w14:paraId="7F0EA913" w14:textId="77777777" w:rsidR="00337111" w:rsidRDefault="00337111" w:rsidP="00337111">
      <w:pPr>
        <w:suppressAutoHyphens/>
        <w:rPr>
          <w:noProof/>
          <w:szCs w:val="22"/>
          <w:u w:val="single"/>
        </w:rPr>
      </w:pPr>
      <w:r w:rsidRPr="0063119B">
        <w:rPr>
          <w:noProof/>
          <w:szCs w:val="22"/>
          <w:u w:val="single"/>
        </w:rPr>
        <w:t>Amamentação</w:t>
      </w:r>
    </w:p>
    <w:p w14:paraId="70792CA5" w14:textId="77777777" w:rsidR="0007618E" w:rsidRPr="0063119B" w:rsidRDefault="0007618E" w:rsidP="00337111">
      <w:pPr>
        <w:suppressAutoHyphens/>
        <w:rPr>
          <w:noProof/>
          <w:szCs w:val="22"/>
          <w:u w:val="single"/>
        </w:rPr>
      </w:pPr>
    </w:p>
    <w:p w14:paraId="73B2A1C3" w14:textId="77777777" w:rsidR="00337111" w:rsidRPr="0063119B" w:rsidRDefault="00337111" w:rsidP="00337111">
      <w:pPr>
        <w:suppressAutoHyphens/>
        <w:rPr>
          <w:noProof/>
          <w:szCs w:val="22"/>
        </w:rPr>
      </w:pPr>
      <w:r w:rsidRPr="0063119B">
        <w:rPr>
          <w:noProof/>
          <w:szCs w:val="22"/>
        </w:rPr>
        <w:t xml:space="preserve">A segurança e eficácia de </w:t>
      </w:r>
      <w:r w:rsidR="00D31881" w:rsidRPr="0063119B">
        <w:rPr>
          <w:noProof/>
          <w:szCs w:val="22"/>
        </w:rPr>
        <w:t>rivaroxabano</w:t>
      </w:r>
      <w:r w:rsidRPr="0063119B">
        <w:rPr>
          <w:noProof/>
          <w:szCs w:val="22"/>
        </w:rPr>
        <w:t xml:space="preserve"> não foram estabelecidas na mulher a amamentar. Os dados obtidos em animais indicam que rivaroxabano é excretado no leite. Deste modo, </w:t>
      </w:r>
      <w:r w:rsidR="00D31881" w:rsidRPr="0063119B">
        <w:rPr>
          <w:noProof/>
          <w:szCs w:val="22"/>
        </w:rPr>
        <w:t xml:space="preserve">o rivaroxabano </w:t>
      </w:r>
      <w:r w:rsidRPr="0063119B">
        <w:rPr>
          <w:noProof/>
          <w:szCs w:val="22"/>
        </w:rPr>
        <w:t xml:space="preserve">é </w:t>
      </w:r>
      <w:r w:rsidRPr="0063119B">
        <w:rPr>
          <w:noProof/>
          <w:szCs w:val="22"/>
        </w:rPr>
        <w:lastRenderedPageBreak/>
        <w:t xml:space="preserve">contraindicado durante a amamentação (ver secção 4.3). Tem de ser tomada uma decisão sobre a descontinuação da amamentação ou a descontinuação/abstenção da terapêutica. </w:t>
      </w:r>
    </w:p>
    <w:p w14:paraId="26F49E5E" w14:textId="77777777" w:rsidR="00337111" w:rsidRPr="0063119B" w:rsidRDefault="00337111" w:rsidP="00337111">
      <w:pPr>
        <w:suppressAutoHyphens/>
        <w:rPr>
          <w:noProof/>
          <w:szCs w:val="22"/>
        </w:rPr>
      </w:pPr>
    </w:p>
    <w:p w14:paraId="116C3E9D" w14:textId="77777777" w:rsidR="00337111" w:rsidRDefault="00337111" w:rsidP="00337111">
      <w:pPr>
        <w:suppressAutoHyphens/>
        <w:rPr>
          <w:noProof/>
          <w:szCs w:val="22"/>
          <w:u w:val="single"/>
        </w:rPr>
      </w:pPr>
      <w:r w:rsidRPr="0063119B">
        <w:rPr>
          <w:noProof/>
          <w:szCs w:val="22"/>
          <w:u w:val="single"/>
        </w:rPr>
        <w:t>Fertilidade</w:t>
      </w:r>
    </w:p>
    <w:p w14:paraId="00AAC4F0" w14:textId="77777777" w:rsidR="0007618E" w:rsidRPr="0063119B" w:rsidRDefault="0007618E" w:rsidP="00337111">
      <w:pPr>
        <w:suppressAutoHyphens/>
        <w:rPr>
          <w:noProof/>
          <w:szCs w:val="22"/>
          <w:u w:val="single"/>
        </w:rPr>
      </w:pPr>
    </w:p>
    <w:p w14:paraId="3251CBA2" w14:textId="77777777" w:rsidR="00337111" w:rsidRPr="0063119B" w:rsidRDefault="00337111" w:rsidP="00337111">
      <w:pPr>
        <w:suppressAutoHyphens/>
        <w:rPr>
          <w:noProof/>
          <w:szCs w:val="22"/>
        </w:rPr>
      </w:pPr>
      <w:r w:rsidRPr="0063119B">
        <w:rPr>
          <w:noProof/>
          <w:szCs w:val="22"/>
        </w:rPr>
        <w:t>Não se realizaram estudos específicos com rivaroxabano para avaliar os efeitos sobre a fertilidade no ser humano. Não se observaram quaisquer efeitos num estudo de fertilidade masculina e feminina realizado em ratos (ver secção 5.3).</w:t>
      </w:r>
    </w:p>
    <w:p w14:paraId="06FDD249" w14:textId="77777777" w:rsidR="00337111" w:rsidRPr="0063119B" w:rsidRDefault="00337111" w:rsidP="00337111">
      <w:pPr>
        <w:suppressAutoHyphens/>
        <w:rPr>
          <w:noProof/>
          <w:szCs w:val="22"/>
        </w:rPr>
      </w:pPr>
    </w:p>
    <w:p w14:paraId="5278DD9F" w14:textId="77777777" w:rsidR="00337111" w:rsidRPr="0063119B" w:rsidRDefault="00337111" w:rsidP="00337111">
      <w:pPr>
        <w:keepNext/>
        <w:suppressAutoHyphens/>
        <w:ind w:left="567" w:hanging="567"/>
        <w:rPr>
          <w:b/>
          <w:noProof/>
          <w:szCs w:val="22"/>
        </w:rPr>
      </w:pPr>
      <w:r w:rsidRPr="0063119B">
        <w:rPr>
          <w:b/>
          <w:noProof/>
          <w:szCs w:val="22"/>
        </w:rPr>
        <w:t>4.7</w:t>
      </w:r>
      <w:r w:rsidRPr="0063119B">
        <w:rPr>
          <w:b/>
          <w:noProof/>
          <w:szCs w:val="22"/>
        </w:rPr>
        <w:tab/>
        <w:t>Efeitos sobre a capacidade de conduzir e utilizar máquinas</w:t>
      </w:r>
    </w:p>
    <w:p w14:paraId="01DB0D92" w14:textId="77777777" w:rsidR="00337111" w:rsidRPr="0063119B" w:rsidRDefault="00337111" w:rsidP="00337111">
      <w:pPr>
        <w:keepNext/>
        <w:suppressAutoHyphens/>
        <w:rPr>
          <w:b/>
          <w:noProof/>
          <w:szCs w:val="22"/>
        </w:rPr>
      </w:pPr>
    </w:p>
    <w:p w14:paraId="4BA44BF1" w14:textId="77777777" w:rsidR="00332402" w:rsidRDefault="00D31881" w:rsidP="00533263">
      <w:pPr>
        <w:keepNext/>
        <w:suppressAutoHyphens/>
        <w:rPr>
          <w:noProof/>
          <w:szCs w:val="22"/>
        </w:rPr>
      </w:pPr>
      <w:r w:rsidRPr="0063119B">
        <w:rPr>
          <w:noProof/>
          <w:szCs w:val="22"/>
        </w:rPr>
        <w:t>Os efeitos do rivaroxabano</w:t>
      </w:r>
      <w:r w:rsidR="002C68B2" w:rsidRPr="0063119B">
        <w:rPr>
          <w:noProof/>
          <w:szCs w:val="22"/>
        </w:rPr>
        <w:t xml:space="preserve"> sobre </w:t>
      </w:r>
      <w:r w:rsidR="00337111" w:rsidRPr="0063119B">
        <w:rPr>
          <w:noProof/>
          <w:szCs w:val="22"/>
        </w:rPr>
        <w:t>a capacidade de conduzir e utilizar máquinas</w:t>
      </w:r>
      <w:r w:rsidR="002C68B2" w:rsidRPr="0063119B">
        <w:rPr>
          <w:noProof/>
          <w:szCs w:val="22"/>
        </w:rPr>
        <w:t xml:space="preserve"> são reduzidos</w:t>
      </w:r>
      <w:r w:rsidR="00337111" w:rsidRPr="0063119B">
        <w:rPr>
          <w:noProof/>
          <w:szCs w:val="22"/>
        </w:rPr>
        <w:t>.</w:t>
      </w:r>
      <w:r w:rsidR="00E84C8C" w:rsidRPr="0063119B">
        <w:rPr>
          <w:noProof/>
          <w:szCs w:val="22"/>
        </w:rPr>
        <w:t xml:space="preserve"> Foram notificadas </w:t>
      </w:r>
      <w:r w:rsidR="00337111" w:rsidRPr="0063119B">
        <w:rPr>
          <w:noProof/>
          <w:szCs w:val="22"/>
        </w:rPr>
        <w:t xml:space="preserve">reações adversas como síncope </w:t>
      </w:r>
      <w:r w:rsidR="00E84C8C" w:rsidRPr="0063119B">
        <w:rPr>
          <w:noProof/>
          <w:szCs w:val="22"/>
        </w:rPr>
        <w:t>(frequência: pouco frequente</w:t>
      </w:r>
      <w:r w:rsidR="00C92297" w:rsidRPr="0063119B">
        <w:rPr>
          <w:noProof/>
          <w:szCs w:val="22"/>
        </w:rPr>
        <w:t>s</w:t>
      </w:r>
      <w:r w:rsidR="00E84C8C" w:rsidRPr="0063119B">
        <w:rPr>
          <w:noProof/>
          <w:szCs w:val="22"/>
        </w:rPr>
        <w:t xml:space="preserve">) </w:t>
      </w:r>
      <w:r w:rsidR="00337111" w:rsidRPr="0063119B">
        <w:rPr>
          <w:noProof/>
          <w:szCs w:val="22"/>
        </w:rPr>
        <w:t xml:space="preserve">e tonturas </w:t>
      </w:r>
      <w:r w:rsidR="00E84C8C" w:rsidRPr="0063119B">
        <w:rPr>
          <w:noProof/>
          <w:szCs w:val="22"/>
        </w:rPr>
        <w:t>(frequência: frequente</w:t>
      </w:r>
      <w:r w:rsidR="00C92297" w:rsidRPr="0063119B">
        <w:rPr>
          <w:noProof/>
          <w:szCs w:val="22"/>
        </w:rPr>
        <w:t>s</w:t>
      </w:r>
      <w:r w:rsidR="00E84C8C" w:rsidRPr="0063119B">
        <w:rPr>
          <w:noProof/>
          <w:szCs w:val="22"/>
        </w:rPr>
        <w:t xml:space="preserve">) </w:t>
      </w:r>
      <w:r w:rsidR="00337111" w:rsidRPr="0063119B">
        <w:rPr>
          <w:noProof/>
          <w:szCs w:val="22"/>
        </w:rPr>
        <w:t>(ver secção 4.8).</w:t>
      </w:r>
      <w:r w:rsidR="00533263" w:rsidRPr="0063119B">
        <w:rPr>
          <w:noProof/>
          <w:szCs w:val="22"/>
        </w:rPr>
        <w:t xml:space="preserve"> </w:t>
      </w:r>
    </w:p>
    <w:p w14:paraId="79023557" w14:textId="77777777" w:rsidR="00337111" w:rsidRPr="0063119B" w:rsidRDefault="00337111" w:rsidP="00533263">
      <w:pPr>
        <w:keepNext/>
        <w:suppressAutoHyphens/>
        <w:rPr>
          <w:noProof/>
          <w:szCs w:val="22"/>
        </w:rPr>
      </w:pPr>
      <w:r w:rsidRPr="0063119B">
        <w:rPr>
          <w:noProof/>
          <w:szCs w:val="22"/>
        </w:rPr>
        <w:t>Os doentes com estas reações adversas não devem conduzir ou utilizar máquinas.</w:t>
      </w:r>
    </w:p>
    <w:p w14:paraId="64C544D0" w14:textId="77777777" w:rsidR="00337111" w:rsidRPr="0063119B" w:rsidRDefault="00337111" w:rsidP="00337111">
      <w:pPr>
        <w:suppressAutoHyphens/>
        <w:ind w:left="567" w:hanging="567"/>
        <w:rPr>
          <w:b/>
          <w:noProof/>
          <w:szCs w:val="22"/>
        </w:rPr>
      </w:pPr>
    </w:p>
    <w:p w14:paraId="7EEDC34A" w14:textId="77777777" w:rsidR="00337111" w:rsidRPr="0063119B" w:rsidRDefault="00337111" w:rsidP="00337111">
      <w:pPr>
        <w:suppressAutoHyphens/>
        <w:ind w:left="567" w:hanging="567"/>
        <w:rPr>
          <w:b/>
          <w:noProof/>
          <w:szCs w:val="22"/>
        </w:rPr>
      </w:pPr>
      <w:r w:rsidRPr="0063119B">
        <w:rPr>
          <w:b/>
          <w:noProof/>
          <w:szCs w:val="22"/>
        </w:rPr>
        <w:t>4.8</w:t>
      </w:r>
      <w:r w:rsidRPr="0063119B">
        <w:rPr>
          <w:b/>
          <w:noProof/>
          <w:szCs w:val="22"/>
        </w:rPr>
        <w:tab/>
        <w:t>Efeitos indesejáveis</w:t>
      </w:r>
    </w:p>
    <w:p w14:paraId="0269E506" w14:textId="77777777" w:rsidR="00337111" w:rsidRPr="0063119B" w:rsidRDefault="00337111" w:rsidP="00337111">
      <w:pPr>
        <w:suppressAutoHyphens/>
        <w:rPr>
          <w:noProof/>
          <w:szCs w:val="22"/>
        </w:rPr>
      </w:pPr>
    </w:p>
    <w:p w14:paraId="3383C377" w14:textId="77777777" w:rsidR="00337111" w:rsidRDefault="00337111" w:rsidP="00337111">
      <w:pPr>
        <w:suppressAutoHyphens/>
        <w:rPr>
          <w:noProof/>
          <w:szCs w:val="22"/>
          <w:u w:val="single"/>
        </w:rPr>
      </w:pPr>
      <w:r w:rsidRPr="0063119B">
        <w:rPr>
          <w:noProof/>
          <w:szCs w:val="22"/>
          <w:u w:val="single"/>
        </w:rPr>
        <w:t>Resumo do perfil de segurança</w:t>
      </w:r>
    </w:p>
    <w:p w14:paraId="60EE6D1E" w14:textId="77777777" w:rsidR="00561F70" w:rsidRPr="0063119B" w:rsidRDefault="00561F70" w:rsidP="00337111">
      <w:pPr>
        <w:suppressAutoHyphens/>
        <w:rPr>
          <w:noProof/>
          <w:szCs w:val="22"/>
          <w:u w:val="single"/>
        </w:rPr>
      </w:pPr>
    </w:p>
    <w:p w14:paraId="35DD1448" w14:textId="77777777" w:rsidR="00561F70" w:rsidRDefault="00337111" w:rsidP="00951279">
      <w:pPr>
        <w:rPr>
          <w:szCs w:val="22"/>
        </w:rPr>
      </w:pPr>
      <w:r w:rsidRPr="0063119B">
        <w:rPr>
          <w:szCs w:val="22"/>
        </w:rPr>
        <w:t xml:space="preserve">A segurança do rivaroxabano foi avaliada em </w:t>
      </w:r>
      <w:r w:rsidR="00226BAA" w:rsidRPr="0063119B">
        <w:rPr>
          <w:szCs w:val="22"/>
        </w:rPr>
        <w:t>tre</w:t>
      </w:r>
      <w:r w:rsidR="00601FE5" w:rsidRPr="0063119B">
        <w:rPr>
          <w:szCs w:val="22"/>
        </w:rPr>
        <w:t xml:space="preserve">ze </w:t>
      </w:r>
      <w:r w:rsidRPr="0063119B">
        <w:rPr>
          <w:szCs w:val="22"/>
        </w:rPr>
        <w:t xml:space="preserve">estudos </w:t>
      </w:r>
      <w:r w:rsidR="00561F70">
        <w:rPr>
          <w:szCs w:val="22"/>
        </w:rPr>
        <w:t xml:space="preserve">de referência </w:t>
      </w:r>
      <w:r w:rsidRPr="0063119B">
        <w:rPr>
          <w:szCs w:val="22"/>
        </w:rPr>
        <w:t xml:space="preserve">de fase III </w:t>
      </w:r>
      <w:r w:rsidR="00561F70">
        <w:rPr>
          <w:szCs w:val="22"/>
        </w:rPr>
        <w:t>(ver Quadro 1).</w:t>
      </w:r>
    </w:p>
    <w:p w14:paraId="7D5FD5B6" w14:textId="77777777" w:rsidR="00561F70" w:rsidRDefault="00561F70" w:rsidP="00951279">
      <w:pPr>
        <w:rPr>
          <w:szCs w:val="22"/>
        </w:rPr>
      </w:pPr>
    </w:p>
    <w:p w14:paraId="609692DD" w14:textId="1ED8CAC3" w:rsidR="00337111" w:rsidRPr="0063119B" w:rsidRDefault="00561F70" w:rsidP="00951279">
      <w:pPr>
        <w:rPr>
          <w:szCs w:val="22"/>
        </w:rPr>
      </w:pPr>
      <w:r>
        <w:rPr>
          <w:szCs w:val="22"/>
        </w:rPr>
        <w:t>Globalmente, foram expostos ao rivaroxabano 69.608</w:t>
      </w:r>
      <w:r w:rsidR="00337111" w:rsidRPr="0063119B">
        <w:rPr>
          <w:szCs w:val="22"/>
        </w:rPr>
        <w:t xml:space="preserve"> doentes </w:t>
      </w:r>
      <w:r>
        <w:rPr>
          <w:szCs w:val="22"/>
        </w:rPr>
        <w:t>adultos em dezanove estudos de fase III e 4</w:t>
      </w:r>
      <w:r w:rsidR="00320623">
        <w:rPr>
          <w:szCs w:val="22"/>
        </w:rPr>
        <w:t>88</w:t>
      </w:r>
      <w:r>
        <w:rPr>
          <w:szCs w:val="22"/>
        </w:rPr>
        <w:t xml:space="preserve"> doentes pediátricos </w:t>
      </w:r>
      <w:r w:rsidR="008D0333">
        <w:rPr>
          <w:szCs w:val="22"/>
        </w:rPr>
        <w:t xml:space="preserve">e em dois estudos pediátricos de fase II e </w:t>
      </w:r>
      <w:r w:rsidR="00320623">
        <w:rPr>
          <w:szCs w:val="22"/>
        </w:rPr>
        <w:t xml:space="preserve">dois estudos </w:t>
      </w:r>
      <w:r w:rsidR="008D0333">
        <w:rPr>
          <w:szCs w:val="22"/>
        </w:rPr>
        <w:t>de fase III</w:t>
      </w:r>
      <w:r>
        <w:rPr>
          <w:szCs w:val="22"/>
        </w:rPr>
        <w:t>.</w:t>
      </w:r>
    </w:p>
    <w:p w14:paraId="0B8D09EC" w14:textId="77777777" w:rsidR="00337111" w:rsidRPr="0063119B" w:rsidRDefault="00337111" w:rsidP="00951279">
      <w:pPr>
        <w:rPr>
          <w:szCs w:val="22"/>
        </w:rPr>
      </w:pPr>
    </w:p>
    <w:p w14:paraId="3CC249D9" w14:textId="77777777" w:rsidR="00337111" w:rsidRDefault="00337111" w:rsidP="00951279">
      <w:pPr>
        <w:keepNext/>
        <w:rPr>
          <w:b/>
          <w:bCs/>
          <w:szCs w:val="22"/>
        </w:rPr>
      </w:pPr>
      <w:r w:rsidRPr="0063119B">
        <w:rPr>
          <w:b/>
          <w:szCs w:val="22"/>
        </w:rPr>
        <w:t xml:space="preserve">Quadro 1: Número de doentes estudados, dose diária </w:t>
      </w:r>
      <w:r w:rsidR="00E554AF" w:rsidRPr="0063119B">
        <w:rPr>
          <w:b/>
          <w:szCs w:val="22"/>
        </w:rPr>
        <w:t xml:space="preserve">total </w:t>
      </w:r>
      <w:r w:rsidRPr="0063119B">
        <w:rPr>
          <w:b/>
          <w:szCs w:val="22"/>
        </w:rPr>
        <w:t xml:space="preserve">e duração </w:t>
      </w:r>
      <w:r w:rsidR="00E554AF" w:rsidRPr="0063119B">
        <w:rPr>
          <w:b/>
          <w:szCs w:val="22"/>
        </w:rPr>
        <w:t xml:space="preserve">máxima </w:t>
      </w:r>
      <w:r w:rsidRPr="0063119B">
        <w:rPr>
          <w:b/>
          <w:szCs w:val="22"/>
        </w:rPr>
        <w:t>do tratamento em estudos de fase III</w:t>
      </w:r>
      <w:r w:rsidR="008122AC">
        <w:rPr>
          <w:b/>
          <w:szCs w:val="22"/>
        </w:rPr>
        <w:t xml:space="preserve"> </w:t>
      </w:r>
      <w:r w:rsidR="008122AC">
        <w:rPr>
          <w:b/>
          <w:bCs/>
          <w:szCs w:val="22"/>
        </w:rPr>
        <w:t>em doentes adultos e pediátricos</w:t>
      </w:r>
    </w:p>
    <w:p w14:paraId="0497DCA2" w14:textId="77777777" w:rsidR="008122AC" w:rsidRPr="0063119B" w:rsidRDefault="008122AC" w:rsidP="00951279">
      <w:pPr>
        <w:keepNext/>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1206"/>
        <w:gridCol w:w="6"/>
        <w:gridCol w:w="2148"/>
        <w:gridCol w:w="10"/>
        <w:gridCol w:w="2084"/>
        <w:gridCol w:w="13"/>
      </w:tblGrid>
      <w:tr w:rsidR="00337111" w:rsidRPr="0063119B" w14:paraId="7E877A08" w14:textId="77777777" w:rsidTr="00226BAA">
        <w:trPr>
          <w:gridAfter w:val="1"/>
          <w:wAfter w:w="13" w:type="dxa"/>
          <w:tblHeader/>
        </w:trPr>
        <w:tc>
          <w:tcPr>
            <w:tcW w:w="3820" w:type="dxa"/>
          </w:tcPr>
          <w:p w14:paraId="50F7DB50" w14:textId="77777777" w:rsidR="00337111" w:rsidRPr="0063119B" w:rsidRDefault="00337111" w:rsidP="0044301C">
            <w:pPr>
              <w:keepNext/>
              <w:rPr>
                <w:szCs w:val="22"/>
              </w:rPr>
            </w:pPr>
            <w:r w:rsidRPr="0063119B">
              <w:rPr>
                <w:b/>
                <w:szCs w:val="22"/>
              </w:rPr>
              <w:t>Indicações</w:t>
            </w:r>
          </w:p>
        </w:tc>
        <w:tc>
          <w:tcPr>
            <w:tcW w:w="1206" w:type="dxa"/>
          </w:tcPr>
          <w:p w14:paraId="4FA56933" w14:textId="77777777" w:rsidR="00337111" w:rsidRPr="0063119B" w:rsidRDefault="00337111" w:rsidP="0044301C">
            <w:pPr>
              <w:keepNext/>
              <w:rPr>
                <w:szCs w:val="22"/>
              </w:rPr>
            </w:pPr>
            <w:r w:rsidRPr="0063119B">
              <w:rPr>
                <w:b/>
                <w:szCs w:val="22"/>
              </w:rPr>
              <w:t>Número de doentes*</w:t>
            </w:r>
          </w:p>
        </w:tc>
        <w:tc>
          <w:tcPr>
            <w:tcW w:w="2154" w:type="dxa"/>
            <w:gridSpan w:val="2"/>
          </w:tcPr>
          <w:p w14:paraId="17C19AE7" w14:textId="77777777" w:rsidR="00337111" w:rsidRPr="0063119B" w:rsidRDefault="00337111" w:rsidP="00E554AF">
            <w:pPr>
              <w:keepNext/>
              <w:rPr>
                <w:szCs w:val="22"/>
              </w:rPr>
            </w:pPr>
            <w:r w:rsidRPr="0063119B">
              <w:rPr>
                <w:b/>
                <w:szCs w:val="22"/>
              </w:rPr>
              <w:t xml:space="preserve">Dose diária </w:t>
            </w:r>
            <w:r w:rsidR="00E554AF" w:rsidRPr="0063119B">
              <w:rPr>
                <w:b/>
                <w:szCs w:val="22"/>
              </w:rPr>
              <w:t>total</w:t>
            </w:r>
          </w:p>
        </w:tc>
        <w:tc>
          <w:tcPr>
            <w:tcW w:w="2094" w:type="dxa"/>
            <w:gridSpan w:val="2"/>
          </w:tcPr>
          <w:p w14:paraId="79604D6E" w14:textId="77777777" w:rsidR="00337111" w:rsidRPr="0063119B" w:rsidRDefault="00337111" w:rsidP="0044301C">
            <w:pPr>
              <w:keepNext/>
              <w:rPr>
                <w:szCs w:val="22"/>
              </w:rPr>
            </w:pPr>
            <w:r w:rsidRPr="0063119B">
              <w:rPr>
                <w:b/>
                <w:szCs w:val="22"/>
              </w:rPr>
              <w:t>Duração máxima do tratamento</w:t>
            </w:r>
          </w:p>
        </w:tc>
      </w:tr>
      <w:tr w:rsidR="00337111" w:rsidRPr="0063119B" w14:paraId="2CA351C1" w14:textId="77777777" w:rsidTr="00226BAA">
        <w:trPr>
          <w:gridAfter w:val="1"/>
          <w:wAfter w:w="13" w:type="dxa"/>
        </w:trPr>
        <w:tc>
          <w:tcPr>
            <w:tcW w:w="3820" w:type="dxa"/>
          </w:tcPr>
          <w:p w14:paraId="2E617586" w14:textId="77777777" w:rsidR="00337111" w:rsidRPr="0063119B" w:rsidRDefault="00337111" w:rsidP="0044301C">
            <w:pPr>
              <w:keepNext/>
              <w:rPr>
                <w:szCs w:val="22"/>
              </w:rPr>
            </w:pPr>
            <w:r w:rsidRPr="0063119B">
              <w:rPr>
                <w:szCs w:val="22"/>
              </w:rPr>
              <w:t>Prevenção do tromboembolismo venoso (TEV) em doentes adultos submetidos a artroplastia eletiva da anca ou joelho</w:t>
            </w:r>
          </w:p>
        </w:tc>
        <w:tc>
          <w:tcPr>
            <w:tcW w:w="1206" w:type="dxa"/>
          </w:tcPr>
          <w:p w14:paraId="6BE66FD1" w14:textId="77777777" w:rsidR="00337111" w:rsidRPr="0063119B" w:rsidRDefault="00337111" w:rsidP="0044301C">
            <w:pPr>
              <w:keepNext/>
              <w:rPr>
                <w:szCs w:val="22"/>
              </w:rPr>
            </w:pPr>
            <w:r w:rsidRPr="0063119B">
              <w:rPr>
                <w:szCs w:val="22"/>
              </w:rPr>
              <w:t>6.097</w:t>
            </w:r>
          </w:p>
        </w:tc>
        <w:tc>
          <w:tcPr>
            <w:tcW w:w="2154" w:type="dxa"/>
            <w:gridSpan w:val="2"/>
          </w:tcPr>
          <w:p w14:paraId="025C927A" w14:textId="77777777" w:rsidR="00337111" w:rsidRPr="0063119B" w:rsidRDefault="00337111" w:rsidP="0044301C">
            <w:pPr>
              <w:keepNext/>
              <w:rPr>
                <w:szCs w:val="22"/>
              </w:rPr>
            </w:pPr>
            <w:r w:rsidRPr="0063119B">
              <w:rPr>
                <w:szCs w:val="22"/>
              </w:rPr>
              <w:t>10 mg</w:t>
            </w:r>
          </w:p>
        </w:tc>
        <w:tc>
          <w:tcPr>
            <w:tcW w:w="2094" w:type="dxa"/>
            <w:gridSpan w:val="2"/>
          </w:tcPr>
          <w:p w14:paraId="346BF503" w14:textId="77777777" w:rsidR="00337111" w:rsidRPr="0063119B" w:rsidRDefault="00337111" w:rsidP="0044301C">
            <w:pPr>
              <w:keepNext/>
              <w:rPr>
                <w:szCs w:val="22"/>
              </w:rPr>
            </w:pPr>
            <w:r w:rsidRPr="0063119B">
              <w:rPr>
                <w:szCs w:val="22"/>
              </w:rPr>
              <w:t>39 dias</w:t>
            </w:r>
          </w:p>
        </w:tc>
      </w:tr>
      <w:tr w:rsidR="00F055A5" w:rsidRPr="0063119B" w14:paraId="62CB7CD9" w14:textId="77777777" w:rsidTr="00226BAA">
        <w:tc>
          <w:tcPr>
            <w:tcW w:w="3820" w:type="dxa"/>
          </w:tcPr>
          <w:p w14:paraId="1084258B" w14:textId="77777777" w:rsidR="00F055A5" w:rsidRPr="0063119B" w:rsidRDefault="00F055A5" w:rsidP="00A407A9">
            <w:pPr>
              <w:keepNext/>
              <w:rPr>
                <w:szCs w:val="22"/>
              </w:rPr>
            </w:pPr>
            <w:r w:rsidRPr="0063119B">
              <w:rPr>
                <w:szCs w:val="22"/>
              </w:rPr>
              <w:t>Prevenção d</w:t>
            </w:r>
            <w:r w:rsidR="00927492" w:rsidRPr="0063119B">
              <w:rPr>
                <w:szCs w:val="22"/>
              </w:rPr>
              <w:t>o</w:t>
            </w:r>
            <w:r w:rsidRPr="0063119B">
              <w:rPr>
                <w:szCs w:val="22"/>
              </w:rPr>
              <w:t xml:space="preserve"> </w:t>
            </w:r>
            <w:r w:rsidR="00A407A9" w:rsidRPr="0063119B">
              <w:rPr>
                <w:szCs w:val="22"/>
              </w:rPr>
              <w:t>TEV</w:t>
            </w:r>
            <w:r w:rsidRPr="0063119B">
              <w:rPr>
                <w:szCs w:val="22"/>
              </w:rPr>
              <w:t xml:space="preserve"> em </w:t>
            </w:r>
            <w:r w:rsidR="00927492" w:rsidRPr="0063119B">
              <w:rPr>
                <w:szCs w:val="22"/>
              </w:rPr>
              <w:t>doentes</w:t>
            </w:r>
            <w:r w:rsidR="0041068F" w:rsidRPr="0063119B">
              <w:rPr>
                <w:szCs w:val="22"/>
              </w:rPr>
              <w:t xml:space="preserve"> </w:t>
            </w:r>
            <w:r w:rsidR="00C92297" w:rsidRPr="0063119B">
              <w:rPr>
                <w:szCs w:val="22"/>
              </w:rPr>
              <w:t>não cirúrgicos</w:t>
            </w:r>
          </w:p>
        </w:tc>
        <w:tc>
          <w:tcPr>
            <w:tcW w:w="1212" w:type="dxa"/>
            <w:gridSpan w:val="2"/>
          </w:tcPr>
          <w:p w14:paraId="38A10376" w14:textId="77777777" w:rsidR="00F055A5" w:rsidRPr="0063119B" w:rsidRDefault="00F055A5" w:rsidP="00C7549A">
            <w:pPr>
              <w:keepNext/>
              <w:rPr>
                <w:szCs w:val="22"/>
              </w:rPr>
            </w:pPr>
            <w:r w:rsidRPr="0063119B">
              <w:rPr>
                <w:szCs w:val="22"/>
              </w:rPr>
              <w:t>3</w:t>
            </w:r>
            <w:r w:rsidR="00C7549A" w:rsidRPr="0063119B">
              <w:rPr>
                <w:szCs w:val="22"/>
              </w:rPr>
              <w:t>.</w:t>
            </w:r>
            <w:r w:rsidRPr="0063119B">
              <w:rPr>
                <w:szCs w:val="22"/>
              </w:rPr>
              <w:t>997</w:t>
            </w:r>
          </w:p>
        </w:tc>
        <w:tc>
          <w:tcPr>
            <w:tcW w:w="2158" w:type="dxa"/>
            <w:gridSpan w:val="2"/>
          </w:tcPr>
          <w:p w14:paraId="140EA807" w14:textId="77777777" w:rsidR="00F055A5" w:rsidRPr="0063119B" w:rsidRDefault="00F055A5" w:rsidP="0000164F">
            <w:pPr>
              <w:keepNext/>
              <w:rPr>
                <w:szCs w:val="22"/>
              </w:rPr>
            </w:pPr>
            <w:r w:rsidRPr="0063119B">
              <w:rPr>
                <w:szCs w:val="22"/>
              </w:rPr>
              <w:t>10 mg</w:t>
            </w:r>
          </w:p>
        </w:tc>
        <w:tc>
          <w:tcPr>
            <w:tcW w:w="2097" w:type="dxa"/>
            <w:gridSpan w:val="2"/>
          </w:tcPr>
          <w:p w14:paraId="1150C613" w14:textId="77777777" w:rsidR="00F055A5" w:rsidRPr="0063119B" w:rsidRDefault="00F055A5" w:rsidP="00C7549A">
            <w:pPr>
              <w:keepNext/>
              <w:rPr>
                <w:szCs w:val="22"/>
              </w:rPr>
            </w:pPr>
            <w:r w:rsidRPr="0063119B">
              <w:rPr>
                <w:szCs w:val="22"/>
              </w:rPr>
              <w:t>39 d</w:t>
            </w:r>
            <w:r w:rsidR="00C7549A" w:rsidRPr="0063119B">
              <w:rPr>
                <w:szCs w:val="22"/>
              </w:rPr>
              <w:t>i</w:t>
            </w:r>
            <w:r w:rsidRPr="0063119B">
              <w:rPr>
                <w:szCs w:val="22"/>
              </w:rPr>
              <w:t>as</w:t>
            </w:r>
          </w:p>
        </w:tc>
      </w:tr>
      <w:tr w:rsidR="00337111" w:rsidRPr="0063119B" w14:paraId="25EA70D4" w14:textId="77777777" w:rsidTr="00226BAA">
        <w:trPr>
          <w:gridAfter w:val="1"/>
          <w:wAfter w:w="13" w:type="dxa"/>
        </w:trPr>
        <w:tc>
          <w:tcPr>
            <w:tcW w:w="3820" w:type="dxa"/>
          </w:tcPr>
          <w:p w14:paraId="338188A5" w14:textId="3E4CB566" w:rsidR="00337111" w:rsidRPr="0063119B" w:rsidRDefault="00337111" w:rsidP="00C7549A">
            <w:pPr>
              <w:keepNext/>
              <w:rPr>
                <w:szCs w:val="22"/>
              </w:rPr>
            </w:pPr>
            <w:r w:rsidRPr="0063119B">
              <w:rPr>
                <w:szCs w:val="22"/>
              </w:rPr>
              <w:t xml:space="preserve">Tratamento da </w:t>
            </w:r>
            <w:r w:rsidR="000536F1">
              <w:rPr>
                <w:szCs w:val="22"/>
              </w:rPr>
              <w:t>trombose venosa profunda (</w:t>
            </w:r>
            <w:r w:rsidRPr="0063119B">
              <w:rPr>
                <w:szCs w:val="22"/>
              </w:rPr>
              <w:t>TVP</w:t>
            </w:r>
            <w:r w:rsidR="000536F1">
              <w:rPr>
                <w:szCs w:val="22"/>
              </w:rPr>
              <w:t>)</w:t>
            </w:r>
            <w:r w:rsidR="00C7549A" w:rsidRPr="0063119B">
              <w:rPr>
                <w:szCs w:val="22"/>
              </w:rPr>
              <w:t xml:space="preserve">, </w:t>
            </w:r>
            <w:r w:rsidR="000536F1">
              <w:rPr>
                <w:szCs w:val="22"/>
              </w:rPr>
              <w:t>embolismo pulmonar (</w:t>
            </w:r>
            <w:r w:rsidR="00C7549A" w:rsidRPr="0063119B">
              <w:rPr>
                <w:szCs w:val="22"/>
              </w:rPr>
              <w:t>EP</w:t>
            </w:r>
            <w:r w:rsidR="000536F1">
              <w:rPr>
                <w:szCs w:val="22"/>
              </w:rPr>
              <w:t>)</w:t>
            </w:r>
            <w:r w:rsidRPr="0063119B">
              <w:rPr>
                <w:szCs w:val="22"/>
              </w:rPr>
              <w:t xml:space="preserve"> e prevenção da </w:t>
            </w:r>
            <w:r w:rsidR="00C7549A" w:rsidRPr="0063119B">
              <w:rPr>
                <w:szCs w:val="22"/>
              </w:rPr>
              <w:t>recorrência</w:t>
            </w:r>
          </w:p>
        </w:tc>
        <w:tc>
          <w:tcPr>
            <w:tcW w:w="1206" w:type="dxa"/>
          </w:tcPr>
          <w:p w14:paraId="0B63E66E" w14:textId="77777777" w:rsidR="00337111" w:rsidRPr="0063119B" w:rsidRDefault="00C7549A" w:rsidP="0044301C">
            <w:pPr>
              <w:keepNext/>
              <w:rPr>
                <w:szCs w:val="22"/>
              </w:rPr>
            </w:pPr>
            <w:r w:rsidRPr="0063119B">
              <w:rPr>
                <w:szCs w:val="22"/>
              </w:rPr>
              <w:t>6</w:t>
            </w:r>
            <w:r w:rsidR="00E554AF" w:rsidRPr="0063119B">
              <w:rPr>
                <w:szCs w:val="22"/>
              </w:rPr>
              <w:t>.790</w:t>
            </w:r>
          </w:p>
        </w:tc>
        <w:tc>
          <w:tcPr>
            <w:tcW w:w="2154" w:type="dxa"/>
            <w:gridSpan w:val="2"/>
          </w:tcPr>
          <w:p w14:paraId="128BBE30" w14:textId="77777777" w:rsidR="00337111" w:rsidRPr="0063119B" w:rsidRDefault="00337111" w:rsidP="0044301C">
            <w:pPr>
              <w:keepNext/>
              <w:rPr>
                <w:szCs w:val="22"/>
              </w:rPr>
            </w:pPr>
            <w:r w:rsidRPr="0063119B">
              <w:rPr>
                <w:szCs w:val="22"/>
              </w:rPr>
              <w:t>Dia 1 </w:t>
            </w:r>
            <w:r w:rsidRPr="0063119B">
              <w:rPr>
                <w:szCs w:val="22"/>
              </w:rPr>
              <w:noBreakHyphen/>
              <w:t> 21: 30 mg</w:t>
            </w:r>
          </w:p>
          <w:p w14:paraId="160C0212" w14:textId="77777777" w:rsidR="00337111" w:rsidRPr="0063119B" w:rsidRDefault="00337111" w:rsidP="0044301C">
            <w:pPr>
              <w:keepNext/>
              <w:rPr>
                <w:szCs w:val="22"/>
              </w:rPr>
            </w:pPr>
            <w:r w:rsidRPr="0063119B">
              <w:rPr>
                <w:szCs w:val="22"/>
              </w:rPr>
              <w:t>Dia 22 e seguintes: 20 mg</w:t>
            </w:r>
          </w:p>
          <w:p w14:paraId="65B81CB7" w14:textId="77777777" w:rsidR="00E554AF" w:rsidRPr="0063119B" w:rsidRDefault="00E554AF" w:rsidP="0044301C">
            <w:pPr>
              <w:keepNext/>
              <w:rPr>
                <w:szCs w:val="22"/>
              </w:rPr>
            </w:pPr>
            <w:r w:rsidRPr="0063119B">
              <w:rPr>
                <w:szCs w:val="22"/>
              </w:rPr>
              <w:t>Depois de pelo menos 6 meses: 10 mg ou 20 mg</w:t>
            </w:r>
          </w:p>
        </w:tc>
        <w:tc>
          <w:tcPr>
            <w:tcW w:w="2094" w:type="dxa"/>
            <w:gridSpan w:val="2"/>
          </w:tcPr>
          <w:p w14:paraId="633290D0" w14:textId="77777777" w:rsidR="00337111" w:rsidRPr="0063119B" w:rsidRDefault="00337111" w:rsidP="0044301C">
            <w:pPr>
              <w:keepNext/>
              <w:rPr>
                <w:szCs w:val="22"/>
              </w:rPr>
            </w:pPr>
            <w:r w:rsidRPr="0063119B">
              <w:rPr>
                <w:szCs w:val="22"/>
              </w:rPr>
              <w:t>21 meses</w:t>
            </w:r>
          </w:p>
        </w:tc>
      </w:tr>
      <w:tr w:rsidR="008122AC" w:rsidRPr="0063119B" w14:paraId="434010DC" w14:textId="77777777" w:rsidTr="00226BAA">
        <w:trPr>
          <w:gridAfter w:val="1"/>
          <w:wAfter w:w="13" w:type="dxa"/>
        </w:trPr>
        <w:tc>
          <w:tcPr>
            <w:tcW w:w="3820" w:type="dxa"/>
          </w:tcPr>
          <w:p w14:paraId="2DF732C2" w14:textId="77777777" w:rsidR="008122AC" w:rsidRPr="00EF3721" w:rsidRDefault="008122AC" w:rsidP="00EF3721">
            <w:pPr>
              <w:pStyle w:val="Default"/>
              <w:rPr>
                <w:szCs w:val="22"/>
                <w:lang w:val="pt-PT"/>
              </w:rPr>
            </w:pPr>
            <w:r w:rsidRPr="00EF3721">
              <w:rPr>
                <w:sz w:val="22"/>
                <w:szCs w:val="22"/>
                <w:lang w:val="pt-PT"/>
              </w:rPr>
              <w:t xml:space="preserve">Tratamento do TEV e prevenção da recorrência de TEV em recém-nascidos de termo e em crianças com menos de 18 anos de idade após o início do tratamento anticoagulante padrão </w:t>
            </w:r>
          </w:p>
        </w:tc>
        <w:tc>
          <w:tcPr>
            <w:tcW w:w="1206" w:type="dxa"/>
          </w:tcPr>
          <w:p w14:paraId="7F6309B9" w14:textId="77777777" w:rsidR="008122AC" w:rsidRPr="0063119B" w:rsidRDefault="008122AC" w:rsidP="0044301C">
            <w:pPr>
              <w:keepNext/>
              <w:rPr>
                <w:szCs w:val="22"/>
              </w:rPr>
            </w:pPr>
            <w:r>
              <w:rPr>
                <w:szCs w:val="22"/>
              </w:rPr>
              <w:t>329</w:t>
            </w:r>
          </w:p>
        </w:tc>
        <w:tc>
          <w:tcPr>
            <w:tcW w:w="2154" w:type="dxa"/>
            <w:gridSpan w:val="2"/>
          </w:tcPr>
          <w:p w14:paraId="157908D4" w14:textId="77777777" w:rsidR="008122AC" w:rsidRPr="00EF3721" w:rsidRDefault="008122AC" w:rsidP="00EF3721">
            <w:pPr>
              <w:pStyle w:val="Default"/>
              <w:rPr>
                <w:szCs w:val="22"/>
                <w:lang w:val="pt-PT"/>
              </w:rPr>
            </w:pPr>
            <w:r w:rsidRPr="00EF3721">
              <w:rPr>
                <w:sz w:val="22"/>
                <w:szCs w:val="22"/>
                <w:lang w:val="pt-PT"/>
              </w:rPr>
              <w:t>Dose ajustada em função do peso corporal de modo a se atingir uma exposição semelhante à observada em adultos tratados para TVP com 20 mg de rivaroxabano uma vez por dia</w:t>
            </w:r>
          </w:p>
        </w:tc>
        <w:tc>
          <w:tcPr>
            <w:tcW w:w="2094" w:type="dxa"/>
            <w:gridSpan w:val="2"/>
          </w:tcPr>
          <w:p w14:paraId="5F5461FD" w14:textId="77777777" w:rsidR="008122AC" w:rsidRPr="0063119B" w:rsidRDefault="008122AC" w:rsidP="0044301C">
            <w:pPr>
              <w:keepNext/>
              <w:rPr>
                <w:szCs w:val="22"/>
              </w:rPr>
            </w:pPr>
            <w:r>
              <w:rPr>
                <w:szCs w:val="22"/>
              </w:rPr>
              <w:t>12 meses</w:t>
            </w:r>
          </w:p>
        </w:tc>
      </w:tr>
      <w:tr w:rsidR="00337111" w:rsidRPr="0063119B" w14:paraId="308BD7A4" w14:textId="77777777" w:rsidTr="00226BAA">
        <w:trPr>
          <w:gridAfter w:val="1"/>
          <w:wAfter w:w="13" w:type="dxa"/>
        </w:trPr>
        <w:tc>
          <w:tcPr>
            <w:tcW w:w="3820" w:type="dxa"/>
          </w:tcPr>
          <w:p w14:paraId="0BD39B9F" w14:textId="77777777" w:rsidR="00337111" w:rsidRPr="0063119B" w:rsidRDefault="00337111" w:rsidP="0044301C">
            <w:pPr>
              <w:keepNext/>
              <w:rPr>
                <w:szCs w:val="22"/>
              </w:rPr>
            </w:pPr>
            <w:r w:rsidRPr="0063119B">
              <w:rPr>
                <w:szCs w:val="22"/>
              </w:rPr>
              <w:lastRenderedPageBreak/>
              <w:t>Prevenção do AVC e do embolismo sistémico em doentes com fibrilhação auricular não-valvular</w:t>
            </w:r>
          </w:p>
        </w:tc>
        <w:tc>
          <w:tcPr>
            <w:tcW w:w="1206" w:type="dxa"/>
          </w:tcPr>
          <w:p w14:paraId="5005D21E" w14:textId="77777777" w:rsidR="00337111" w:rsidRPr="0063119B" w:rsidRDefault="00337111" w:rsidP="0044301C">
            <w:pPr>
              <w:keepNext/>
              <w:rPr>
                <w:szCs w:val="22"/>
              </w:rPr>
            </w:pPr>
            <w:r w:rsidRPr="0063119B">
              <w:rPr>
                <w:szCs w:val="22"/>
              </w:rPr>
              <w:t>7.750</w:t>
            </w:r>
          </w:p>
        </w:tc>
        <w:tc>
          <w:tcPr>
            <w:tcW w:w="2154" w:type="dxa"/>
            <w:gridSpan w:val="2"/>
          </w:tcPr>
          <w:p w14:paraId="0A5A9AF3" w14:textId="77777777" w:rsidR="00337111" w:rsidRPr="0063119B" w:rsidRDefault="00337111" w:rsidP="0044301C">
            <w:pPr>
              <w:keepNext/>
              <w:rPr>
                <w:szCs w:val="22"/>
              </w:rPr>
            </w:pPr>
            <w:r w:rsidRPr="0063119B">
              <w:rPr>
                <w:szCs w:val="22"/>
              </w:rPr>
              <w:t>20 mg</w:t>
            </w:r>
          </w:p>
        </w:tc>
        <w:tc>
          <w:tcPr>
            <w:tcW w:w="2094" w:type="dxa"/>
            <w:gridSpan w:val="2"/>
          </w:tcPr>
          <w:p w14:paraId="50F70BC8" w14:textId="77777777" w:rsidR="00337111" w:rsidRPr="0063119B" w:rsidRDefault="00337111" w:rsidP="0044301C">
            <w:pPr>
              <w:keepNext/>
              <w:rPr>
                <w:szCs w:val="22"/>
              </w:rPr>
            </w:pPr>
            <w:r w:rsidRPr="0063119B">
              <w:rPr>
                <w:szCs w:val="22"/>
              </w:rPr>
              <w:t>41 meses</w:t>
            </w:r>
          </w:p>
        </w:tc>
      </w:tr>
      <w:tr w:rsidR="00622657" w:rsidRPr="0063119B" w14:paraId="3F0003CC" w14:textId="77777777" w:rsidTr="00226BAA">
        <w:tc>
          <w:tcPr>
            <w:tcW w:w="3820" w:type="dxa"/>
          </w:tcPr>
          <w:p w14:paraId="7FDC7C33" w14:textId="77777777" w:rsidR="00622657" w:rsidRPr="0063119B" w:rsidRDefault="00622657" w:rsidP="00B37008">
            <w:pPr>
              <w:keepNext/>
              <w:rPr>
                <w:szCs w:val="22"/>
              </w:rPr>
            </w:pPr>
            <w:r w:rsidRPr="0063119B">
              <w:rPr>
                <w:szCs w:val="22"/>
              </w:rPr>
              <w:t xml:space="preserve">Prevenção de acontecimentos aterotrombóticos em doentes após </w:t>
            </w:r>
            <w:r w:rsidR="0028216D" w:rsidRPr="0063119B">
              <w:rPr>
                <w:szCs w:val="22"/>
              </w:rPr>
              <w:t>um</w:t>
            </w:r>
            <w:r w:rsidR="00B37008" w:rsidRPr="0063119B">
              <w:rPr>
                <w:szCs w:val="22"/>
              </w:rPr>
              <w:t>a</w:t>
            </w:r>
            <w:r w:rsidR="00A407A9" w:rsidRPr="0063119B">
              <w:rPr>
                <w:szCs w:val="22"/>
              </w:rPr>
              <w:t xml:space="preserve"> síndrome coronári</w:t>
            </w:r>
            <w:r w:rsidR="00B37008" w:rsidRPr="0063119B">
              <w:rPr>
                <w:szCs w:val="22"/>
              </w:rPr>
              <w:t>a</w:t>
            </w:r>
            <w:r w:rsidR="00A407A9" w:rsidRPr="0063119B">
              <w:rPr>
                <w:szCs w:val="22"/>
              </w:rPr>
              <w:t xml:space="preserve"> agúd</w:t>
            </w:r>
            <w:r w:rsidR="00B37008" w:rsidRPr="0063119B">
              <w:rPr>
                <w:szCs w:val="22"/>
              </w:rPr>
              <w:t>a</w:t>
            </w:r>
            <w:r w:rsidR="00A407A9" w:rsidRPr="0063119B">
              <w:rPr>
                <w:szCs w:val="22"/>
              </w:rPr>
              <w:t xml:space="preserve"> (</w:t>
            </w:r>
            <w:r w:rsidRPr="0063119B">
              <w:rPr>
                <w:szCs w:val="22"/>
              </w:rPr>
              <w:t>SCA</w:t>
            </w:r>
            <w:r w:rsidR="00A407A9" w:rsidRPr="0063119B">
              <w:rPr>
                <w:szCs w:val="22"/>
              </w:rPr>
              <w:t>)</w:t>
            </w:r>
          </w:p>
        </w:tc>
        <w:tc>
          <w:tcPr>
            <w:tcW w:w="1212" w:type="dxa"/>
            <w:gridSpan w:val="2"/>
          </w:tcPr>
          <w:p w14:paraId="4895B79F" w14:textId="77777777" w:rsidR="00622657" w:rsidRPr="0063119B" w:rsidRDefault="00622657" w:rsidP="00622657">
            <w:pPr>
              <w:keepNext/>
              <w:rPr>
                <w:szCs w:val="22"/>
              </w:rPr>
            </w:pPr>
            <w:r w:rsidRPr="0063119B">
              <w:rPr>
                <w:szCs w:val="22"/>
              </w:rPr>
              <w:t>10.225</w:t>
            </w:r>
          </w:p>
        </w:tc>
        <w:tc>
          <w:tcPr>
            <w:tcW w:w="2158" w:type="dxa"/>
            <w:gridSpan w:val="2"/>
          </w:tcPr>
          <w:p w14:paraId="32B23BC9" w14:textId="77777777" w:rsidR="00622657" w:rsidRPr="0063119B" w:rsidRDefault="00622657" w:rsidP="0028216D">
            <w:pPr>
              <w:keepNext/>
              <w:rPr>
                <w:szCs w:val="22"/>
              </w:rPr>
            </w:pPr>
            <w:r w:rsidRPr="0063119B">
              <w:rPr>
                <w:szCs w:val="22"/>
              </w:rPr>
              <w:t xml:space="preserve">5 mg ou 10 mg, respetivamente, </w:t>
            </w:r>
            <w:r w:rsidR="0028216D" w:rsidRPr="0063119B">
              <w:rPr>
                <w:szCs w:val="22"/>
              </w:rPr>
              <w:t>co</w:t>
            </w:r>
            <w:r w:rsidRPr="0063119B">
              <w:rPr>
                <w:szCs w:val="22"/>
              </w:rPr>
              <w:t>administrados com AAS ou AAS mais clopidogrel ou ticlopidina</w:t>
            </w:r>
          </w:p>
        </w:tc>
        <w:tc>
          <w:tcPr>
            <w:tcW w:w="2097" w:type="dxa"/>
            <w:gridSpan w:val="2"/>
          </w:tcPr>
          <w:p w14:paraId="7AAC4C82" w14:textId="77777777" w:rsidR="00622657" w:rsidRPr="0063119B" w:rsidRDefault="00622657" w:rsidP="00622657">
            <w:pPr>
              <w:keepNext/>
              <w:rPr>
                <w:szCs w:val="22"/>
              </w:rPr>
            </w:pPr>
            <w:r w:rsidRPr="0063119B">
              <w:rPr>
                <w:szCs w:val="22"/>
              </w:rPr>
              <w:t>31 meses</w:t>
            </w:r>
          </w:p>
        </w:tc>
      </w:tr>
      <w:tr w:rsidR="00561F70" w:rsidRPr="0063119B" w14:paraId="0A62CBBA" w14:textId="77777777" w:rsidTr="00226BAA">
        <w:tc>
          <w:tcPr>
            <w:tcW w:w="3820" w:type="dxa"/>
            <w:vMerge w:val="restart"/>
          </w:tcPr>
          <w:p w14:paraId="7E9E8A96" w14:textId="77777777" w:rsidR="00561F70" w:rsidRPr="0063119B" w:rsidRDefault="00561F70" w:rsidP="00226BAA">
            <w:pPr>
              <w:keepNext/>
              <w:rPr>
                <w:szCs w:val="22"/>
              </w:rPr>
            </w:pPr>
            <w:r w:rsidRPr="0063119B">
              <w:rPr>
                <w:szCs w:val="22"/>
              </w:rPr>
              <w:t>Prevenção de acontecimentos aterotrombóticos em doentes com DAC/DAP</w:t>
            </w:r>
          </w:p>
        </w:tc>
        <w:tc>
          <w:tcPr>
            <w:tcW w:w="1212" w:type="dxa"/>
            <w:gridSpan w:val="2"/>
          </w:tcPr>
          <w:p w14:paraId="2337A8C3" w14:textId="77777777" w:rsidR="00561F70" w:rsidRPr="0063119B" w:rsidRDefault="00561F70" w:rsidP="00226BAA">
            <w:pPr>
              <w:keepNext/>
              <w:rPr>
                <w:szCs w:val="22"/>
              </w:rPr>
            </w:pPr>
            <w:r w:rsidRPr="0063119B">
              <w:rPr>
                <w:szCs w:val="22"/>
              </w:rPr>
              <w:t>18.244</w:t>
            </w:r>
          </w:p>
        </w:tc>
        <w:tc>
          <w:tcPr>
            <w:tcW w:w="2158" w:type="dxa"/>
            <w:gridSpan w:val="2"/>
          </w:tcPr>
          <w:p w14:paraId="2951F584" w14:textId="77777777" w:rsidR="00561F70" w:rsidRPr="0063119B" w:rsidRDefault="00561F70" w:rsidP="00226BAA">
            <w:pPr>
              <w:keepNext/>
              <w:rPr>
                <w:szCs w:val="22"/>
              </w:rPr>
            </w:pPr>
            <w:r w:rsidRPr="0063119B">
              <w:rPr>
                <w:szCs w:val="22"/>
              </w:rPr>
              <w:t>5 mg coadministrados com AAS ou 10 mg isoladamente</w:t>
            </w:r>
          </w:p>
        </w:tc>
        <w:tc>
          <w:tcPr>
            <w:tcW w:w="2097" w:type="dxa"/>
            <w:gridSpan w:val="2"/>
          </w:tcPr>
          <w:p w14:paraId="48449707" w14:textId="77777777" w:rsidR="00561F70" w:rsidRPr="0063119B" w:rsidRDefault="00561F70" w:rsidP="00226BAA">
            <w:pPr>
              <w:keepNext/>
              <w:rPr>
                <w:szCs w:val="22"/>
              </w:rPr>
            </w:pPr>
            <w:r w:rsidRPr="0063119B">
              <w:rPr>
                <w:szCs w:val="22"/>
              </w:rPr>
              <w:t>47 meses</w:t>
            </w:r>
          </w:p>
        </w:tc>
      </w:tr>
      <w:tr w:rsidR="00561F70" w:rsidRPr="0063119B" w14:paraId="5A8905E5" w14:textId="77777777" w:rsidTr="00226BAA">
        <w:tc>
          <w:tcPr>
            <w:tcW w:w="3820" w:type="dxa"/>
            <w:vMerge/>
          </w:tcPr>
          <w:p w14:paraId="0B2E4C6E" w14:textId="77777777" w:rsidR="00561F70" w:rsidRPr="0063119B" w:rsidRDefault="00561F70" w:rsidP="00561F70">
            <w:pPr>
              <w:keepNext/>
              <w:rPr>
                <w:szCs w:val="22"/>
              </w:rPr>
            </w:pPr>
          </w:p>
        </w:tc>
        <w:tc>
          <w:tcPr>
            <w:tcW w:w="1212" w:type="dxa"/>
            <w:gridSpan w:val="2"/>
          </w:tcPr>
          <w:p w14:paraId="0A36D1BC" w14:textId="77777777" w:rsidR="00561F70" w:rsidRPr="0063119B" w:rsidRDefault="00561F70" w:rsidP="00561F70">
            <w:pPr>
              <w:keepNext/>
              <w:rPr>
                <w:szCs w:val="22"/>
              </w:rPr>
            </w:pPr>
            <w:r>
              <w:rPr>
                <w:szCs w:val="22"/>
              </w:rPr>
              <w:t>3.256**</w:t>
            </w:r>
          </w:p>
        </w:tc>
        <w:tc>
          <w:tcPr>
            <w:tcW w:w="2158" w:type="dxa"/>
            <w:gridSpan w:val="2"/>
          </w:tcPr>
          <w:p w14:paraId="7418CE7E" w14:textId="77777777" w:rsidR="00561F70" w:rsidRPr="0063119B" w:rsidRDefault="00561F70" w:rsidP="00561F70">
            <w:pPr>
              <w:keepNext/>
              <w:rPr>
                <w:szCs w:val="22"/>
              </w:rPr>
            </w:pPr>
            <w:r>
              <w:rPr>
                <w:szCs w:val="22"/>
              </w:rPr>
              <w:t>5 mg coadministrados com AAS</w:t>
            </w:r>
          </w:p>
        </w:tc>
        <w:tc>
          <w:tcPr>
            <w:tcW w:w="2097" w:type="dxa"/>
            <w:gridSpan w:val="2"/>
          </w:tcPr>
          <w:p w14:paraId="76B6B6A0" w14:textId="77777777" w:rsidR="00561F70" w:rsidRPr="0063119B" w:rsidRDefault="00561F70" w:rsidP="00561F70">
            <w:pPr>
              <w:keepNext/>
              <w:rPr>
                <w:szCs w:val="22"/>
              </w:rPr>
            </w:pPr>
            <w:r>
              <w:rPr>
                <w:szCs w:val="22"/>
              </w:rPr>
              <w:t>42 meses</w:t>
            </w:r>
          </w:p>
        </w:tc>
      </w:tr>
    </w:tbl>
    <w:p w14:paraId="55B40013" w14:textId="77777777" w:rsidR="00337111" w:rsidRDefault="00337111" w:rsidP="00337111">
      <w:pPr>
        <w:keepNext/>
        <w:rPr>
          <w:szCs w:val="22"/>
        </w:rPr>
      </w:pPr>
      <w:r w:rsidRPr="0063119B">
        <w:rPr>
          <w:szCs w:val="22"/>
        </w:rPr>
        <w:t>*Doentes expostos a pelo menos uma dose de rivaroxabano</w:t>
      </w:r>
    </w:p>
    <w:p w14:paraId="7573C997" w14:textId="77777777" w:rsidR="00561F70" w:rsidRPr="0063119B" w:rsidRDefault="00561F70" w:rsidP="007E1ED7">
      <w:pPr>
        <w:rPr>
          <w:szCs w:val="22"/>
        </w:rPr>
      </w:pPr>
      <w:r>
        <w:rPr>
          <w:szCs w:val="22"/>
        </w:rPr>
        <w:t>** Do estudo VOYAGER PAD</w:t>
      </w:r>
    </w:p>
    <w:p w14:paraId="7609AD3F" w14:textId="77777777" w:rsidR="00337111" w:rsidRPr="0063119B" w:rsidRDefault="00337111" w:rsidP="00337111">
      <w:pPr>
        <w:rPr>
          <w:szCs w:val="22"/>
        </w:rPr>
      </w:pPr>
    </w:p>
    <w:p w14:paraId="6C4852C7" w14:textId="77777777" w:rsidR="007A21D2" w:rsidRPr="0063119B" w:rsidRDefault="007A21D2" w:rsidP="00533263">
      <w:pPr>
        <w:suppressAutoHyphens/>
        <w:rPr>
          <w:rFonts w:eastAsia="SimSun"/>
          <w:szCs w:val="22"/>
        </w:rPr>
      </w:pPr>
      <w:r w:rsidRPr="0063119B">
        <w:rPr>
          <w:rFonts w:eastAsia="SimSun"/>
          <w:szCs w:val="22"/>
        </w:rPr>
        <w:t xml:space="preserve">As </w:t>
      </w:r>
      <w:r w:rsidR="00C9556C" w:rsidRPr="0063119B">
        <w:rPr>
          <w:rFonts w:eastAsia="SimSun"/>
          <w:szCs w:val="22"/>
        </w:rPr>
        <w:t>reações</w:t>
      </w:r>
      <w:r w:rsidRPr="0063119B">
        <w:rPr>
          <w:rFonts w:eastAsia="SimSun"/>
          <w:szCs w:val="22"/>
        </w:rPr>
        <w:t xml:space="preserve"> adversas notificadas com maior frequência em doentes a</w:t>
      </w:r>
      <w:r w:rsidR="00C92297" w:rsidRPr="0063119B">
        <w:rPr>
          <w:rFonts w:eastAsia="SimSun"/>
          <w:szCs w:val="22"/>
        </w:rPr>
        <w:t xml:space="preserve">os quais foi administrado </w:t>
      </w:r>
      <w:r w:rsidRPr="0063119B">
        <w:rPr>
          <w:rFonts w:eastAsia="SimSun"/>
          <w:szCs w:val="22"/>
        </w:rPr>
        <w:t>rivaroxabano foram hemorragias</w:t>
      </w:r>
      <w:r w:rsidR="00A407A9" w:rsidRPr="0063119B">
        <w:rPr>
          <w:rFonts w:eastAsia="SimSun"/>
          <w:szCs w:val="22"/>
        </w:rPr>
        <w:t xml:space="preserve"> (Quadro</w:t>
      </w:r>
      <w:r w:rsidR="00BC7A4A" w:rsidRPr="0063119B">
        <w:rPr>
          <w:rFonts w:eastAsia="SimSun"/>
          <w:szCs w:val="22"/>
        </w:rPr>
        <w:t> </w:t>
      </w:r>
      <w:r w:rsidR="00A407A9" w:rsidRPr="0063119B">
        <w:rPr>
          <w:rFonts w:eastAsia="SimSun"/>
          <w:szCs w:val="22"/>
        </w:rPr>
        <w:t xml:space="preserve">2) </w:t>
      </w:r>
      <w:r w:rsidRPr="0063119B">
        <w:rPr>
          <w:rFonts w:eastAsia="SimSun"/>
          <w:szCs w:val="22"/>
        </w:rPr>
        <w:t xml:space="preserve">(ver </w:t>
      </w:r>
      <w:r w:rsidR="00A407A9" w:rsidRPr="0063119B">
        <w:rPr>
          <w:rFonts w:eastAsia="SimSun"/>
          <w:szCs w:val="22"/>
        </w:rPr>
        <w:t xml:space="preserve">também </w:t>
      </w:r>
      <w:r w:rsidRPr="0063119B">
        <w:rPr>
          <w:rFonts w:eastAsia="SimSun"/>
          <w:szCs w:val="22"/>
        </w:rPr>
        <w:t xml:space="preserve">secção 4.4 e </w:t>
      </w:r>
      <w:r w:rsidR="00C92297" w:rsidRPr="0063119B">
        <w:rPr>
          <w:rFonts w:eastAsia="SimSun"/>
          <w:szCs w:val="22"/>
        </w:rPr>
        <w:t>“</w:t>
      </w:r>
      <w:r w:rsidRPr="0063119B">
        <w:rPr>
          <w:noProof/>
          <w:szCs w:val="22"/>
        </w:rPr>
        <w:t>Descrição das reações adversas selecionadas</w:t>
      </w:r>
      <w:r w:rsidR="00C92297" w:rsidRPr="0063119B">
        <w:rPr>
          <w:noProof/>
          <w:szCs w:val="22"/>
        </w:rPr>
        <w:t>”</w:t>
      </w:r>
      <w:r w:rsidRPr="0063119B">
        <w:rPr>
          <w:noProof/>
          <w:szCs w:val="22"/>
        </w:rPr>
        <w:t xml:space="preserve"> abaixo). As hemorragias notificadas com maior frequência </w:t>
      </w:r>
      <w:r w:rsidRPr="0063119B">
        <w:rPr>
          <w:szCs w:val="22"/>
        </w:rPr>
        <w:t>foram epistaxe (</w:t>
      </w:r>
      <w:r w:rsidR="00226BAA" w:rsidRPr="0063119B">
        <w:rPr>
          <w:szCs w:val="22"/>
        </w:rPr>
        <w:t>4,5</w:t>
      </w:r>
      <w:r w:rsidRPr="0063119B">
        <w:rPr>
          <w:szCs w:val="22"/>
        </w:rPr>
        <w:t>%) e hemorragia do trato gastrointestinal (</w:t>
      </w:r>
      <w:r w:rsidR="00226BAA" w:rsidRPr="0063119B">
        <w:rPr>
          <w:szCs w:val="22"/>
        </w:rPr>
        <w:t>3,8</w:t>
      </w:r>
      <w:r w:rsidRPr="0063119B">
        <w:rPr>
          <w:szCs w:val="22"/>
        </w:rPr>
        <w:t>%).</w:t>
      </w:r>
    </w:p>
    <w:p w14:paraId="2D9C971A" w14:textId="77777777" w:rsidR="00E554AF" w:rsidRPr="0063119B" w:rsidRDefault="00E554AF" w:rsidP="00337111">
      <w:pPr>
        <w:suppressAutoHyphens/>
        <w:rPr>
          <w:noProof/>
          <w:szCs w:val="22"/>
        </w:rPr>
      </w:pPr>
    </w:p>
    <w:p w14:paraId="6B5D8F31" w14:textId="77777777" w:rsidR="002F4FE5" w:rsidRPr="0063119B" w:rsidRDefault="002F4FE5" w:rsidP="002F4FE5">
      <w:pPr>
        <w:keepNext/>
        <w:rPr>
          <w:b/>
          <w:szCs w:val="22"/>
        </w:rPr>
      </w:pPr>
      <w:r w:rsidRPr="0063119B">
        <w:rPr>
          <w:b/>
          <w:szCs w:val="22"/>
        </w:rPr>
        <w:t>Quadro 2</w:t>
      </w:r>
      <w:r w:rsidR="0021302F" w:rsidRPr="0063119B">
        <w:rPr>
          <w:b/>
          <w:szCs w:val="22"/>
        </w:rPr>
        <w:t>:</w:t>
      </w:r>
      <w:r w:rsidRPr="0063119B">
        <w:rPr>
          <w:b/>
          <w:szCs w:val="22"/>
        </w:rPr>
        <w:t xml:space="preserve"> </w:t>
      </w:r>
      <w:r w:rsidR="00104B9D" w:rsidRPr="0063119B">
        <w:rPr>
          <w:b/>
          <w:szCs w:val="22"/>
        </w:rPr>
        <w:t>Taxas de acontecimentos hemorrá</w:t>
      </w:r>
      <w:r w:rsidRPr="0063119B">
        <w:rPr>
          <w:b/>
          <w:szCs w:val="22"/>
        </w:rPr>
        <w:t>gi</w:t>
      </w:r>
      <w:r w:rsidR="00104B9D" w:rsidRPr="0063119B">
        <w:rPr>
          <w:b/>
          <w:szCs w:val="22"/>
        </w:rPr>
        <w:t>cos</w:t>
      </w:r>
      <w:r w:rsidR="00226BAA" w:rsidRPr="0063119B">
        <w:rPr>
          <w:b/>
          <w:szCs w:val="22"/>
        </w:rPr>
        <w:t>*</w:t>
      </w:r>
      <w:r w:rsidRPr="0063119B">
        <w:rPr>
          <w:b/>
          <w:szCs w:val="22"/>
        </w:rPr>
        <w:t xml:space="preserve"> e anemia em doentes expostos ao rivaroxabano nos estudos de fase III </w:t>
      </w:r>
      <w:r w:rsidR="008122AC">
        <w:rPr>
          <w:b/>
          <w:bCs/>
          <w:szCs w:val="22"/>
        </w:rPr>
        <w:t xml:space="preserve">em doentes adultos e pediátricos </w:t>
      </w:r>
      <w:r w:rsidRPr="0063119B">
        <w:rPr>
          <w:b/>
          <w:szCs w:val="22"/>
        </w:rPr>
        <w:t>concluídos</w:t>
      </w:r>
    </w:p>
    <w:p w14:paraId="7F4B4754" w14:textId="77777777" w:rsidR="002F4FE5" w:rsidRPr="0063119B" w:rsidRDefault="002F4FE5" w:rsidP="002F4FE5">
      <w:pPr>
        <w:keepNext/>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2F4FE5" w:rsidRPr="0063119B" w14:paraId="00AFC2BC" w14:textId="77777777" w:rsidTr="002F4FE5">
        <w:trPr>
          <w:tblHeader/>
        </w:trPr>
        <w:tc>
          <w:tcPr>
            <w:tcW w:w="3544" w:type="dxa"/>
          </w:tcPr>
          <w:p w14:paraId="05FC5D87" w14:textId="77777777" w:rsidR="002F4FE5" w:rsidRPr="0063119B" w:rsidRDefault="002F4FE5" w:rsidP="002F4FE5">
            <w:pPr>
              <w:keepNext/>
              <w:rPr>
                <w:b/>
                <w:szCs w:val="22"/>
              </w:rPr>
            </w:pPr>
            <w:r w:rsidRPr="0063119B">
              <w:rPr>
                <w:b/>
                <w:szCs w:val="22"/>
              </w:rPr>
              <w:t>Indicação</w:t>
            </w:r>
          </w:p>
        </w:tc>
        <w:tc>
          <w:tcPr>
            <w:tcW w:w="1985" w:type="dxa"/>
          </w:tcPr>
          <w:p w14:paraId="3D9CA8D5" w14:textId="77777777" w:rsidR="002F4FE5" w:rsidRPr="0063119B" w:rsidRDefault="002F4FE5" w:rsidP="002F4FE5">
            <w:pPr>
              <w:keepNext/>
              <w:rPr>
                <w:szCs w:val="22"/>
              </w:rPr>
            </w:pPr>
            <w:r w:rsidRPr="0063119B">
              <w:rPr>
                <w:b/>
                <w:szCs w:val="22"/>
              </w:rPr>
              <w:t>Qualquer hemorragia</w:t>
            </w:r>
          </w:p>
        </w:tc>
        <w:tc>
          <w:tcPr>
            <w:tcW w:w="2126" w:type="dxa"/>
          </w:tcPr>
          <w:p w14:paraId="3E05D456" w14:textId="77777777" w:rsidR="002F4FE5" w:rsidRPr="0063119B" w:rsidRDefault="002F4FE5" w:rsidP="002F4FE5">
            <w:pPr>
              <w:keepNext/>
              <w:rPr>
                <w:b/>
                <w:szCs w:val="22"/>
              </w:rPr>
            </w:pPr>
            <w:r w:rsidRPr="0063119B">
              <w:rPr>
                <w:b/>
                <w:szCs w:val="22"/>
              </w:rPr>
              <w:t>Anemia</w:t>
            </w:r>
          </w:p>
        </w:tc>
      </w:tr>
      <w:tr w:rsidR="002F4FE5" w:rsidRPr="0063119B" w14:paraId="1F3071EB" w14:textId="77777777" w:rsidTr="002F4FE5">
        <w:tc>
          <w:tcPr>
            <w:tcW w:w="3544" w:type="dxa"/>
          </w:tcPr>
          <w:p w14:paraId="71CE5174" w14:textId="77777777" w:rsidR="002F4FE5" w:rsidRPr="0063119B" w:rsidRDefault="002F4FE5" w:rsidP="00B45C8F">
            <w:pPr>
              <w:keepNext/>
              <w:rPr>
                <w:szCs w:val="22"/>
              </w:rPr>
            </w:pPr>
            <w:r w:rsidRPr="0063119B">
              <w:rPr>
                <w:szCs w:val="22"/>
              </w:rPr>
              <w:t>Prevenção d</w:t>
            </w:r>
            <w:r w:rsidR="00B45C8F" w:rsidRPr="0063119B">
              <w:rPr>
                <w:szCs w:val="22"/>
              </w:rPr>
              <w:t>o</w:t>
            </w:r>
            <w:r w:rsidRPr="0063119B">
              <w:rPr>
                <w:szCs w:val="22"/>
              </w:rPr>
              <w:t xml:space="preserve"> </w:t>
            </w:r>
            <w:r w:rsidR="00BE519A">
              <w:rPr>
                <w:szCs w:val="22"/>
              </w:rPr>
              <w:t>tromboembolismo venoso (</w:t>
            </w:r>
            <w:r w:rsidRPr="0063119B">
              <w:rPr>
                <w:szCs w:val="22"/>
              </w:rPr>
              <w:t>TE</w:t>
            </w:r>
            <w:r w:rsidR="004075A4" w:rsidRPr="0063119B">
              <w:rPr>
                <w:szCs w:val="22"/>
              </w:rPr>
              <w:t>V</w:t>
            </w:r>
            <w:r w:rsidR="00BE519A">
              <w:rPr>
                <w:szCs w:val="22"/>
              </w:rPr>
              <w:t>)</w:t>
            </w:r>
            <w:r w:rsidRPr="0063119B">
              <w:rPr>
                <w:szCs w:val="22"/>
              </w:rPr>
              <w:t xml:space="preserve"> em doentes adultos submetidos a artroplastia eletiva da anca ou joelho</w:t>
            </w:r>
          </w:p>
        </w:tc>
        <w:tc>
          <w:tcPr>
            <w:tcW w:w="1985" w:type="dxa"/>
          </w:tcPr>
          <w:p w14:paraId="1317C0F6" w14:textId="77777777" w:rsidR="002F4FE5" w:rsidRPr="0063119B" w:rsidRDefault="002F4FE5" w:rsidP="002F4FE5">
            <w:pPr>
              <w:keepNext/>
              <w:rPr>
                <w:szCs w:val="22"/>
              </w:rPr>
            </w:pPr>
            <w:r w:rsidRPr="0063119B">
              <w:rPr>
                <w:szCs w:val="22"/>
              </w:rPr>
              <w:t>6,8% dos doentes</w:t>
            </w:r>
          </w:p>
        </w:tc>
        <w:tc>
          <w:tcPr>
            <w:tcW w:w="2126" w:type="dxa"/>
          </w:tcPr>
          <w:p w14:paraId="11525917" w14:textId="77777777" w:rsidR="002F4FE5" w:rsidRPr="0063119B" w:rsidRDefault="002F4FE5" w:rsidP="002F4FE5">
            <w:pPr>
              <w:keepNext/>
              <w:rPr>
                <w:szCs w:val="22"/>
              </w:rPr>
            </w:pPr>
            <w:r w:rsidRPr="0063119B">
              <w:rPr>
                <w:szCs w:val="22"/>
              </w:rPr>
              <w:t>5,9% dos doentes</w:t>
            </w:r>
          </w:p>
        </w:tc>
      </w:tr>
      <w:tr w:rsidR="002F4FE5" w:rsidRPr="0063119B" w14:paraId="40B02CAF" w14:textId="77777777" w:rsidTr="002F4FE5">
        <w:tc>
          <w:tcPr>
            <w:tcW w:w="3544" w:type="dxa"/>
          </w:tcPr>
          <w:p w14:paraId="208EFE71" w14:textId="2ED97DE8" w:rsidR="002F4FE5" w:rsidRPr="0063119B" w:rsidRDefault="002F4FE5" w:rsidP="000E46B1">
            <w:pPr>
              <w:keepNext/>
              <w:rPr>
                <w:szCs w:val="22"/>
              </w:rPr>
            </w:pPr>
            <w:r w:rsidRPr="0063119B">
              <w:rPr>
                <w:szCs w:val="22"/>
              </w:rPr>
              <w:t>Prevenção d</w:t>
            </w:r>
            <w:r w:rsidR="000E46B1" w:rsidRPr="0063119B">
              <w:rPr>
                <w:szCs w:val="22"/>
              </w:rPr>
              <w:t>o</w:t>
            </w:r>
            <w:r w:rsidRPr="0063119B">
              <w:rPr>
                <w:szCs w:val="22"/>
              </w:rPr>
              <w:t xml:space="preserve"> </w:t>
            </w:r>
            <w:r w:rsidR="000536F1">
              <w:rPr>
                <w:szCs w:val="22"/>
              </w:rPr>
              <w:t>tromboembolismo venoso</w:t>
            </w:r>
            <w:r w:rsidR="000536F1" w:rsidRPr="0063119B">
              <w:rPr>
                <w:szCs w:val="22"/>
              </w:rPr>
              <w:t xml:space="preserve"> </w:t>
            </w:r>
            <w:r w:rsidRPr="0063119B">
              <w:rPr>
                <w:szCs w:val="22"/>
              </w:rPr>
              <w:t xml:space="preserve">em doentes </w:t>
            </w:r>
            <w:r w:rsidR="00AB54CD" w:rsidRPr="0063119B">
              <w:rPr>
                <w:szCs w:val="22"/>
              </w:rPr>
              <w:t>com patologias médicas</w:t>
            </w:r>
          </w:p>
        </w:tc>
        <w:tc>
          <w:tcPr>
            <w:tcW w:w="1985" w:type="dxa"/>
          </w:tcPr>
          <w:p w14:paraId="28C40620" w14:textId="77777777" w:rsidR="002F4FE5" w:rsidRPr="0063119B" w:rsidRDefault="002F4FE5" w:rsidP="002F4FE5">
            <w:pPr>
              <w:keepNext/>
              <w:rPr>
                <w:szCs w:val="22"/>
              </w:rPr>
            </w:pPr>
            <w:r w:rsidRPr="0063119B">
              <w:rPr>
                <w:szCs w:val="22"/>
              </w:rPr>
              <w:t>12,6% dos doentes</w:t>
            </w:r>
          </w:p>
        </w:tc>
        <w:tc>
          <w:tcPr>
            <w:tcW w:w="2126" w:type="dxa"/>
          </w:tcPr>
          <w:p w14:paraId="032BC1A3" w14:textId="77777777" w:rsidR="002F4FE5" w:rsidRPr="0063119B" w:rsidRDefault="002F4FE5" w:rsidP="002F4FE5">
            <w:pPr>
              <w:keepNext/>
              <w:rPr>
                <w:szCs w:val="22"/>
              </w:rPr>
            </w:pPr>
            <w:r w:rsidRPr="0063119B">
              <w:rPr>
                <w:szCs w:val="22"/>
              </w:rPr>
              <w:t>2,1% dos doentes</w:t>
            </w:r>
          </w:p>
        </w:tc>
      </w:tr>
      <w:tr w:rsidR="002F4FE5" w:rsidRPr="0063119B" w14:paraId="5D7AE6DF" w14:textId="77777777" w:rsidTr="002F4FE5">
        <w:tc>
          <w:tcPr>
            <w:tcW w:w="3544" w:type="dxa"/>
          </w:tcPr>
          <w:p w14:paraId="41AEFE55" w14:textId="77777777" w:rsidR="002F4FE5" w:rsidRPr="0063119B" w:rsidRDefault="002F4FE5" w:rsidP="004075A4">
            <w:pPr>
              <w:keepNext/>
              <w:rPr>
                <w:szCs w:val="22"/>
              </w:rPr>
            </w:pPr>
            <w:r w:rsidRPr="0063119B">
              <w:rPr>
                <w:szCs w:val="22"/>
              </w:rPr>
              <w:t xml:space="preserve">Tratamento da </w:t>
            </w:r>
            <w:r w:rsidR="0051410B" w:rsidRPr="0063119B">
              <w:rPr>
                <w:szCs w:val="22"/>
              </w:rPr>
              <w:t xml:space="preserve">TVP, </w:t>
            </w:r>
            <w:r w:rsidRPr="0063119B">
              <w:rPr>
                <w:szCs w:val="22"/>
              </w:rPr>
              <w:t>EP e prevenção de recorrências</w:t>
            </w:r>
          </w:p>
        </w:tc>
        <w:tc>
          <w:tcPr>
            <w:tcW w:w="1985" w:type="dxa"/>
          </w:tcPr>
          <w:p w14:paraId="715FDBAB" w14:textId="77777777" w:rsidR="002F4FE5" w:rsidRPr="0063119B" w:rsidRDefault="002F4FE5" w:rsidP="002F4FE5">
            <w:pPr>
              <w:keepNext/>
              <w:rPr>
                <w:szCs w:val="22"/>
              </w:rPr>
            </w:pPr>
            <w:r w:rsidRPr="0063119B">
              <w:rPr>
                <w:szCs w:val="22"/>
              </w:rPr>
              <w:t>23% dos doentes</w:t>
            </w:r>
          </w:p>
        </w:tc>
        <w:tc>
          <w:tcPr>
            <w:tcW w:w="2126" w:type="dxa"/>
          </w:tcPr>
          <w:p w14:paraId="057B1254" w14:textId="77777777" w:rsidR="002F4FE5" w:rsidRPr="0063119B" w:rsidRDefault="002F4FE5" w:rsidP="002F4FE5">
            <w:pPr>
              <w:keepNext/>
              <w:rPr>
                <w:szCs w:val="22"/>
              </w:rPr>
            </w:pPr>
            <w:r w:rsidRPr="0063119B">
              <w:rPr>
                <w:szCs w:val="22"/>
              </w:rPr>
              <w:t>1,6% dos doentes</w:t>
            </w:r>
          </w:p>
        </w:tc>
      </w:tr>
      <w:tr w:rsidR="008122AC" w:rsidRPr="0063119B" w14:paraId="31FA940E" w14:textId="77777777" w:rsidTr="002F4FE5">
        <w:tc>
          <w:tcPr>
            <w:tcW w:w="3544" w:type="dxa"/>
          </w:tcPr>
          <w:p w14:paraId="4EF7E85B" w14:textId="77777777" w:rsidR="008122AC" w:rsidRPr="00EF3721" w:rsidRDefault="008122AC" w:rsidP="00EF3721">
            <w:pPr>
              <w:pStyle w:val="Default"/>
              <w:rPr>
                <w:szCs w:val="22"/>
                <w:lang w:val="pt-PT"/>
              </w:rPr>
            </w:pPr>
            <w:r w:rsidRPr="00EF3721">
              <w:rPr>
                <w:sz w:val="22"/>
                <w:szCs w:val="22"/>
                <w:lang w:val="pt-PT"/>
              </w:rPr>
              <w:t xml:space="preserve">Tratamento do TEV e prevenção da recorrência de TEV em recém-nascidos de termo e em crianças com menos de 18 anos de idade após o início do tratamento anticoagulante padrão </w:t>
            </w:r>
          </w:p>
        </w:tc>
        <w:tc>
          <w:tcPr>
            <w:tcW w:w="1985" w:type="dxa"/>
          </w:tcPr>
          <w:p w14:paraId="1799C1C1" w14:textId="77777777" w:rsidR="008122AC" w:rsidRPr="0063119B" w:rsidRDefault="008122AC" w:rsidP="00EF3721">
            <w:pPr>
              <w:pStyle w:val="Default"/>
              <w:rPr>
                <w:szCs w:val="22"/>
              </w:rPr>
            </w:pPr>
            <w:r>
              <w:rPr>
                <w:sz w:val="22"/>
                <w:szCs w:val="22"/>
              </w:rPr>
              <w:t xml:space="preserve">39,5% dos </w:t>
            </w:r>
            <w:proofErr w:type="spellStart"/>
            <w:r>
              <w:rPr>
                <w:sz w:val="22"/>
                <w:szCs w:val="22"/>
              </w:rPr>
              <w:t>doentes</w:t>
            </w:r>
            <w:proofErr w:type="spellEnd"/>
            <w:r>
              <w:rPr>
                <w:sz w:val="22"/>
                <w:szCs w:val="22"/>
              </w:rPr>
              <w:t xml:space="preserve"> </w:t>
            </w:r>
          </w:p>
        </w:tc>
        <w:tc>
          <w:tcPr>
            <w:tcW w:w="2126" w:type="dxa"/>
          </w:tcPr>
          <w:p w14:paraId="00AAC2AA" w14:textId="77777777" w:rsidR="008122AC" w:rsidRPr="0063119B" w:rsidRDefault="008122AC" w:rsidP="00EF3721">
            <w:pPr>
              <w:pStyle w:val="Default"/>
              <w:rPr>
                <w:szCs w:val="22"/>
              </w:rPr>
            </w:pPr>
            <w:r>
              <w:rPr>
                <w:sz w:val="22"/>
                <w:szCs w:val="22"/>
              </w:rPr>
              <w:t xml:space="preserve">4,6% dos </w:t>
            </w:r>
            <w:proofErr w:type="spellStart"/>
            <w:r>
              <w:rPr>
                <w:sz w:val="22"/>
                <w:szCs w:val="22"/>
              </w:rPr>
              <w:t>doentes</w:t>
            </w:r>
            <w:proofErr w:type="spellEnd"/>
            <w:r>
              <w:rPr>
                <w:sz w:val="22"/>
                <w:szCs w:val="22"/>
              </w:rPr>
              <w:t xml:space="preserve"> </w:t>
            </w:r>
          </w:p>
        </w:tc>
      </w:tr>
      <w:tr w:rsidR="002F4FE5" w:rsidRPr="0063119B" w14:paraId="6B256A3D" w14:textId="77777777" w:rsidTr="002F4FE5">
        <w:tc>
          <w:tcPr>
            <w:tcW w:w="3544" w:type="dxa"/>
          </w:tcPr>
          <w:p w14:paraId="750E9B93" w14:textId="77777777" w:rsidR="002F4FE5" w:rsidRPr="0063119B" w:rsidRDefault="002F4FE5" w:rsidP="002F4FE5">
            <w:pPr>
              <w:keepNext/>
              <w:rPr>
                <w:szCs w:val="22"/>
              </w:rPr>
            </w:pPr>
            <w:r w:rsidRPr="0063119B">
              <w:rPr>
                <w:szCs w:val="22"/>
              </w:rPr>
              <w:lastRenderedPageBreak/>
              <w:t>Prevenção de AVC e embolismo sistémico em doentes com fibrilhação auricular não valvular</w:t>
            </w:r>
          </w:p>
        </w:tc>
        <w:tc>
          <w:tcPr>
            <w:tcW w:w="1985" w:type="dxa"/>
          </w:tcPr>
          <w:p w14:paraId="4C734E79" w14:textId="77777777" w:rsidR="002F4FE5" w:rsidRPr="0063119B" w:rsidRDefault="002F4FE5" w:rsidP="002F4FE5">
            <w:pPr>
              <w:keepNext/>
              <w:rPr>
                <w:szCs w:val="22"/>
              </w:rPr>
            </w:pPr>
            <w:r w:rsidRPr="0063119B">
              <w:rPr>
                <w:szCs w:val="22"/>
              </w:rPr>
              <w:t>28 por 100 </w:t>
            </w:r>
            <w:r w:rsidR="00561F70" w:rsidRPr="0063119B" w:rsidDel="00561F70">
              <w:rPr>
                <w:szCs w:val="22"/>
              </w:rPr>
              <w:t xml:space="preserve"> </w:t>
            </w:r>
            <w:r w:rsidRPr="0063119B">
              <w:rPr>
                <w:szCs w:val="22"/>
              </w:rPr>
              <w:t>doente</w:t>
            </w:r>
            <w:r w:rsidR="00561F70">
              <w:rPr>
                <w:szCs w:val="22"/>
              </w:rPr>
              <w:t>s-ano</w:t>
            </w:r>
          </w:p>
        </w:tc>
        <w:tc>
          <w:tcPr>
            <w:tcW w:w="2126" w:type="dxa"/>
          </w:tcPr>
          <w:p w14:paraId="7E96681F" w14:textId="77777777" w:rsidR="002F4FE5" w:rsidRPr="0063119B" w:rsidRDefault="002F4FE5" w:rsidP="002F4FE5">
            <w:pPr>
              <w:keepNext/>
              <w:rPr>
                <w:szCs w:val="22"/>
              </w:rPr>
            </w:pPr>
            <w:r w:rsidRPr="0063119B">
              <w:rPr>
                <w:szCs w:val="22"/>
              </w:rPr>
              <w:t>2,5 por 100 </w:t>
            </w:r>
            <w:r w:rsidR="00561F70" w:rsidRPr="0063119B" w:rsidDel="00561F70">
              <w:rPr>
                <w:szCs w:val="22"/>
              </w:rPr>
              <w:t xml:space="preserve"> </w:t>
            </w:r>
            <w:r w:rsidRPr="0063119B">
              <w:rPr>
                <w:szCs w:val="22"/>
              </w:rPr>
              <w:t>doente</w:t>
            </w:r>
            <w:r w:rsidR="00561F70">
              <w:rPr>
                <w:szCs w:val="22"/>
              </w:rPr>
              <w:t>s-ano</w:t>
            </w:r>
          </w:p>
        </w:tc>
      </w:tr>
      <w:tr w:rsidR="002F4FE5" w:rsidRPr="0063119B" w14:paraId="0C8FCAE1" w14:textId="77777777" w:rsidTr="002F4FE5">
        <w:tc>
          <w:tcPr>
            <w:tcW w:w="3544" w:type="dxa"/>
          </w:tcPr>
          <w:p w14:paraId="1569A577" w14:textId="77777777" w:rsidR="002F4FE5" w:rsidRPr="0063119B" w:rsidRDefault="002F4FE5" w:rsidP="002F4FE5">
            <w:pPr>
              <w:keepNext/>
              <w:rPr>
                <w:szCs w:val="22"/>
              </w:rPr>
            </w:pPr>
            <w:r w:rsidRPr="0063119B">
              <w:rPr>
                <w:szCs w:val="22"/>
              </w:rPr>
              <w:t>Prevenção de acontecimentos aterotrombótic</w:t>
            </w:r>
            <w:r w:rsidR="00E554AF" w:rsidRPr="0063119B">
              <w:rPr>
                <w:szCs w:val="22"/>
              </w:rPr>
              <w:t xml:space="preserve">os em doentes após </w:t>
            </w:r>
            <w:r w:rsidRPr="0063119B">
              <w:rPr>
                <w:szCs w:val="22"/>
              </w:rPr>
              <w:t>um SCA</w:t>
            </w:r>
          </w:p>
        </w:tc>
        <w:tc>
          <w:tcPr>
            <w:tcW w:w="1985" w:type="dxa"/>
          </w:tcPr>
          <w:p w14:paraId="10FD9116" w14:textId="77777777" w:rsidR="002F4FE5" w:rsidRPr="0063119B" w:rsidRDefault="002F4FE5" w:rsidP="002F4FE5">
            <w:pPr>
              <w:keepNext/>
              <w:rPr>
                <w:szCs w:val="22"/>
              </w:rPr>
            </w:pPr>
            <w:r w:rsidRPr="0063119B">
              <w:rPr>
                <w:szCs w:val="22"/>
              </w:rPr>
              <w:t>22 por 100 </w:t>
            </w:r>
            <w:r w:rsidR="00561F70" w:rsidRPr="0063119B" w:rsidDel="00561F70">
              <w:rPr>
                <w:szCs w:val="22"/>
              </w:rPr>
              <w:t xml:space="preserve"> </w:t>
            </w:r>
            <w:r w:rsidRPr="0063119B">
              <w:rPr>
                <w:szCs w:val="22"/>
              </w:rPr>
              <w:t>doente</w:t>
            </w:r>
            <w:r w:rsidR="00561F70">
              <w:rPr>
                <w:szCs w:val="22"/>
              </w:rPr>
              <w:t>s-ano</w:t>
            </w:r>
          </w:p>
        </w:tc>
        <w:tc>
          <w:tcPr>
            <w:tcW w:w="2126" w:type="dxa"/>
          </w:tcPr>
          <w:p w14:paraId="6AB3BE13" w14:textId="77777777" w:rsidR="002F4FE5" w:rsidRPr="0063119B" w:rsidRDefault="002F4FE5" w:rsidP="002F4FE5">
            <w:pPr>
              <w:keepNext/>
              <w:rPr>
                <w:szCs w:val="22"/>
              </w:rPr>
            </w:pPr>
            <w:r w:rsidRPr="0063119B">
              <w:rPr>
                <w:szCs w:val="22"/>
              </w:rPr>
              <w:t>1,4 por 100 </w:t>
            </w:r>
            <w:r w:rsidR="00561F70" w:rsidRPr="0063119B" w:rsidDel="00561F70">
              <w:rPr>
                <w:szCs w:val="22"/>
              </w:rPr>
              <w:t xml:space="preserve"> </w:t>
            </w:r>
            <w:r w:rsidRPr="0063119B">
              <w:rPr>
                <w:szCs w:val="22"/>
              </w:rPr>
              <w:t>doente</w:t>
            </w:r>
            <w:r w:rsidR="00561F70">
              <w:rPr>
                <w:szCs w:val="22"/>
              </w:rPr>
              <w:t>s-ano</w:t>
            </w:r>
          </w:p>
        </w:tc>
      </w:tr>
      <w:tr w:rsidR="00561F70" w:rsidRPr="0063119B" w14:paraId="3FCA2B1D" w14:textId="77777777" w:rsidTr="00F03D43">
        <w:tc>
          <w:tcPr>
            <w:tcW w:w="3544" w:type="dxa"/>
            <w:vMerge w:val="restart"/>
          </w:tcPr>
          <w:p w14:paraId="0366C367" w14:textId="77777777" w:rsidR="00561F70" w:rsidRPr="0063119B" w:rsidRDefault="00561F70" w:rsidP="00226BAA">
            <w:pPr>
              <w:keepNext/>
              <w:rPr>
                <w:szCs w:val="22"/>
              </w:rPr>
            </w:pPr>
            <w:r w:rsidRPr="0063119B">
              <w:rPr>
                <w:szCs w:val="22"/>
              </w:rPr>
              <w:t>Prevenção de acontecimentos aterotrombóticos em doentes com DAC/DAP</w:t>
            </w:r>
          </w:p>
        </w:tc>
        <w:tc>
          <w:tcPr>
            <w:tcW w:w="1985" w:type="dxa"/>
            <w:tcBorders>
              <w:bottom w:val="single" w:sz="4" w:space="0" w:color="auto"/>
            </w:tcBorders>
          </w:tcPr>
          <w:p w14:paraId="1862F999" w14:textId="77777777" w:rsidR="00561F70" w:rsidRPr="0063119B" w:rsidRDefault="00561F70" w:rsidP="00186506">
            <w:pPr>
              <w:keepNext/>
              <w:rPr>
                <w:szCs w:val="22"/>
              </w:rPr>
            </w:pPr>
            <w:r w:rsidRPr="0063119B">
              <w:rPr>
                <w:szCs w:val="22"/>
              </w:rPr>
              <w:t>6,7 por 100 </w:t>
            </w:r>
            <w:r w:rsidRPr="0063119B" w:rsidDel="00561F70">
              <w:rPr>
                <w:szCs w:val="22"/>
              </w:rPr>
              <w:t xml:space="preserve"> </w:t>
            </w:r>
            <w:r w:rsidRPr="0063119B">
              <w:rPr>
                <w:szCs w:val="22"/>
              </w:rPr>
              <w:t>doente</w:t>
            </w:r>
            <w:r>
              <w:rPr>
                <w:szCs w:val="22"/>
              </w:rPr>
              <w:t>s-ano</w:t>
            </w:r>
          </w:p>
        </w:tc>
        <w:tc>
          <w:tcPr>
            <w:tcW w:w="2126" w:type="dxa"/>
            <w:tcBorders>
              <w:bottom w:val="single" w:sz="4" w:space="0" w:color="auto"/>
            </w:tcBorders>
          </w:tcPr>
          <w:p w14:paraId="280E1862" w14:textId="77777777" w:rsidR="00561F70" w:rsidRPr="0063119B" w:rsidRDefault="00561F70" w:rsidP="00186506">
            <w:pPr>
              <w:keepNext/>
              <w:rPr>
                <w:szCs w:val="22"/>
              </w:rPr>
            </w:pPr>
            <w:r w:rsidRPr="0063119B">
              <w:rPr>
                <w:szCs w:val="22"/>
              </w:rPr>
              <w:t>0,15 por 100 </w:t>
            </w:r>
            <w:r w:rsidRPr="0063119B" w:rsidDel="00561F70">
              <w:rPr>
                <w:szCs w:val="22"/>
              </w:rPr>
              <w:t xml:space="preserve"> </w:t>
            </w:r>
            <w:r w:rsidRPr="0063119B">
              <w:rPr>
                <w:szCs w:val="22"/>
              </w:rPr>
              <w:t>doente</w:t>
            </w:r>
            <w:r>
              <w:rPr>
                <w:szCs w:val="22"/>
              </w:rPr>
              <w:t>s-ano</w:t>
            </w:r>
            <w:r w:rsidRPr="0063119B">
              <w:rPr>
                <w:szCs w:val="22"/>
              </w:rPr>
              <w:t xml:space="preserve">** </w:t>
            </w:r>
          </w:p>
        </w:tc>
      </w:tr>
      <w:tr w:rsidR="00561F70" w:rsidRPr="0063119B" w14:paraId="5C2D7EFD" w14:textId="77777777" w:rsidTr="0056664B">
        <w:tc>
          <w:tcPr>
            <w:tcW w:w="3544" w:type="dxa"/>
            <w:vMerge/>
            <w:tcBorders>
              <w:bottom w:val="single" w:sz="4" w:space="0" w:color="auto"/>
            </w:tcBorders>
          </w:tcPr>
          <w:p w14:paraId="49E4C443" w14:textId="77777777" w:rsidR="00561F70" w:rsidRPr="0063119B" w:rsidRDefault="00561F70" w:rsidP="00561F70">
            <w:pPr>
              <w:keepNext/>
              <w:rPr>
                <w:szCs w:val="22"/>
              </w:rPr>
            </w:pPr>
          </w:p>
        </w:tc>
        <w:tc>
          <w:tcPr>
            <w:tcW w:w="1985" w:type="dxa"/>
            <w:tcBorders>
              <w:bottom w:val="single" w:sz="4" w:space="0" w:color="auto"/>
            </w:tcBorders>
          </w:tcPr>
          <w:p w14:paraId="684A182D" w14:textId="77777777" w:rsidR="00561F70" w:rsidRPr="0063119B" w:rsidRDefault="00561F70" w:rsidP="00561F70">
            <w:pPr>
              <w:keepNext/>
              <w:rPr>
                <w:szCs w:val="22"/>
              </w:rPr>
            </w:pPr>
            <w:r>
              <w:rPr>
                <w:szCs w:val="22"/>
              </w:rPr>
              <w:t>8</w:t>
            </w:r>
            <w:r w:rsidRPr="0063119B">
              <w:rPr>
                <w:szCs w:val="22"/>
              </w:rPr>
              <w:t>,</w:t>
            </w:r>
            <w:r>
              <w:rPr>
                <w:szCs w:val="22"/>
              </w:rPr>
              <w:t>38</w:t>
            </w:r>
            <w:r w:rsidRPr="0063119B">
              <w:rPr>
                <w:szCs w:val="22"/>
              </w:rPr>
              <w:t xml:space="preserve"> por 100 doente</w:t>
            </w:r>
            <w:r>
              <w:rPr>
                <w:szCs w:val="22"/>
              </w:rPr>
              <w:t>s-ano</w:t>
            </w:r>
            <w:r w:rsidRPr="003848C1">
              <w:rPr>
                <w:szCs w:val="22"/>
                <w:vertAlign w:val="superscript"/>
              </w:rPr>
              <w:t>#</w:t>
            </w:r>
          </w:p>
        </w:tc>
        <w:tc>
          <w:tcPr>
            <w:tcW w:w="2126" w:type="dxa"/>
            <w:tcBorders>
              <w:bottom w:val="single" w:sz="4" w:space="0" w:color="auto"/>
            </w:tcBorders>
          </w:tcPr>
          <w:p w14:paraId="7D8E6E61" w14:textId="77777777" w:rsidR="00561F70" w:rsidRPr="0063119B" w:rsidRDefault="00561F70" w:rsidP="00561F70">
            <w:pPr>
              <w:keepNext/>
              <w:rPr>
                <w:szCs w:val="22"/>
              </w:rPr>
            </w:pPr>
            <w:r>
              <w:rPr>
                <w:szCs w:val="22"/>
              </w:rPr>
              <w:t>0</w:t>
            </w:r>
            <w:r w:rsidRPr="0063119B">
              <w:rPr>
                <w:szCs w:val="22"/>
              </w:rPr>
              <w:t>,7</w:t>
            </w:r>
            <w:r>
              <w:rPr>
                <w:szCs w:val="22"/>
              </w:rPr>
              <w:t>4</w:t>
            </w:r>
            <w:r w:rsidRPr="0063119B">
              <w:rPr>
                <w:szCs w:val="22"/>
              </w:rPr>
              <w:t xml:space="preserve"> por 100 doente</w:t>
            </w:r>
            <w:r>
              <w:rPr>
                <w:szCs w:val="22"/>
              </w:rPr>
              <w:t>s-ano***</w:t>
            </w:r>
            <w:r w:rsidRPr="003848C1">
              <w:rPr>
                <w:szCs w:val="22"/>
                <w:vertAlign w:val="superscript"/>
              </w:rPr>
              <w:t>#</w:t>
            </w:r>
          </w:p>
        </w:tc>
      </w:tr>
      <w:tr w:rsidR="00561F70" w:rsidRPr="0063119B" w14:paraId="49E714F1" w14:textId="77777777" w:rsidTr="0056664B">
        <w:tc>
          <w:tcPr>
            <w:tcW w:w="7655" w:type="dxa"/>
            <w:gridSpan w:val="3"/>
            <w:tcBorders>
              <w:top w:val="single" w:sz="4" w:space="0" w:color="auto"/>
              <w:left w:val="nil"/>
              <w:bottom w:val="nil"/>
              <w:right w:val="nil"/>
            </w:tcBorders>
          </w:tcPr>
          <w:p w14:paraId="586DA493" w14:textId="77777777" w:rsidR="00561F70" w:rsidRPr="0063119B" w:rsidRDefault="00561F70" w:rsidP="00561F70">
            <w:pPr>
              <w:keepNext/>
              <w:tabs>
                <w:tab w:val="left" w:pos="459"/>
              </w:tabs>
              <w:rPr>
                <w:szCs w:val="22"/>
              </w:rPr>
            </w:pPr>
            <w:r w:rsidRPr="0063119B">
              <w:rPr>
                <w:szCs w:val="22"/>
              </w:rPr>
              <w:t>*</w:t>
            </w:r>
            <w:r w:rsidRPr="0063119B">
              <w:rPr>
                <w:szCs w:val="22"/>
              </w:rPr>
              <w:tab/>
              <w:t>Para todos os estudos com rivaroxabano foram recolhidos, notificados e adjudicados todos os acontecimentos hemorrágicos.</w:t>
            </w:r>
          </w:p>
          <w:p w14:paraId="014F6E21" w14:textId="77777777" w:rsidR="00561F70" w:rsidRDefault="00561F70" w:rsidP="00561F70">
            <w:pPr>
              <w:keepNext/>
              <w:tabs>
                <w:tab w:val="left" w:pos="459"/>
              </w:tabs>
              <w:rPr>
                <w:szCs w:val="22"/>
              </w:rPr>
            </w:pPr>
            <w:r w:rsidRPr="0063119B">
              <w:rPr>
                <w:szCs w:val="22"/>
              </w:rPr>
              <w:t>**</w:t>
            </w:r>
            <w:r w:rsidRPr="0063119B">
              <w:rPr>
                <w:szCs w:val="22"/>
              </w:rPr>
              <w:tab/>
              <w:t>No estudo COMPASS, existe uma incidência baixa de anemia dado ter sido utilizada uma abordagem seletiva para recolha de acontecimentos adversos</w:t>
            </w:r>
          </w:p>
          <w:p w14:paraId="5F40897B" w14:textId="77777777" w:rsidR="00561F70" w:rsidRPr="0063119B" w:rsidRDefault="00561F70" w:rsidP="00561F70">
            <w:pPr>
              <w:keepNext/>
              <w:tabs>
                <w:tab w:val="left" w:pos="459"/>
              </w:tabs>
              <w:rPr>
                <w:szCs w:val="22"/>
              </w:rPr>
            </w:pPr>
            <w:r>
              <w:rPr>
                <w:szCs w:val="22"/>
              </w:rPr>
              <w:t>***</w:t>
            </w:r>
            <w:r w:rsidRPr="0063119B">
              <w:rPr>
                <w:szCs w:val="22"/>
              </w:rPr>
              <w:tab/>
            </w:r>
            <w:r>
              <w:rPr>
                <w:szCs w:val="22"/>
              </w:rPr>
              <w:t xml:space="preserve"> </w:t>
            </w:r>
            <w:r>
              <w:t>Aplicou-se uma abordagem seletiva para recolha de acontecimentos adversos #</w:t>
            </w:r>
            <w:r w:rsidRPr="0063119B">
              <w:rPr>
                <w:szCs w:val="22"/>
              </w:rPr>
              <w:tab/>
            </w:r>
            <w:r>
              <w:t>Do estudo VOYAGER PAD</w:t>
            </w:r>
          </w:p>
        </w:tc>
      </w:tr>
    </w:tbl>
    <w:p w14:paraId="411B3E03" w14:textId="77777777" w:rsidR="00337111" w:rsidRPr="0063119B" w:rsidRDefault="00337111" w:rsidP="00337111">
      <w:pPr>
        <w:suppressAutoHyphens/>
        <w:rPr>
          <w:noProof/>
          <w:szCs w:val="22"/>
        </w:rPr>
      </w:pPr>
    </w:p>
    <w:p w14:paraId="4D26D879" w14:textId="77777777" w:rsidR="00337111" w:rsidRPr="0063119B" w:rsidRDefault="00337111" w:rsidP="003345A8">
      <w:pPr>
        <w:keepNext/>
        <w:rPr>
          <w:noProof/>
          <w:szCs w:val="22"/>
          <w:u w:val="single"/>
        </w:rPr>
      </w:pPr>
      <w:r w:rsidRPr="0063119B">
        <w:rPr>
          <w:noProof/>
          <w:szCs w:val="22"/>
          <w:u w:val="single"/>
        </w:rPr>
        <w:t>Lista tabelada de reações adversas</w:t>
      </w:r>
    </w:p>
    <w:p w14:paraId="664B7C90" w14:textId="77777777" w:rsidR="00337111" w:rsidRPr="0063119B" w:rsidRDefault="00337111" w:rsidP="00337111">
      <w:pPr>
        <w:suppressAutoHyphens/>
        <w:rPr>
          <w:noProof/>
          <w:szCs w:val="22"/>
        </w:rPr>
      </w:pPr>
      <w:r w:rsidRPr="0063119B">
        <w:rPr>
          <w:noProof/>
          <w:szCs w:val="22"/>
        </w:rPr>
        <w:t xml:space="preserve">As frequências das reações adversas notificadas com </w:t>
      </w:r>
      <w:r w:rsidR="002C68B2" w:rsidRPr="0063119B">
        <w:rPr>
          <w:noProof/>
          <w:szCs w:val="22"/>
        </w:rPr>
        <w:t xml:space="preserve">o rivaroxabano </w:t>
      </w:r>
      <w:r w:rsidR="008122AC">
        <w:rPr>
          <w:szCs w:val="22"/>
        </w:rPr>
        <w:t xml:space="preserve">em doentes adultos e pediátricos </w:t>
      </w:r>
      <w:r w:rsidRPr="0063119B">
        <w:rPr>
          <w:noProof/>
          <w:szCs w:val="22"/>
        </w:rPr>
        <w:t xml:space="preserve">estão resumidas abaixo no </w:t>
      </w:r>
      <w:r w:rsidR="00A407A9" w:rsidRPr="0063119B">
        <w:rPr>
          <w:noProof/>
          <w:szCs w:val="22"/>
        </w:rPr>
        <w:t>Q</w:t>
      </w:r>
      <w:r w:rsidRPr="0063119B">
        <w:rPr>
          <w:noProof/>
          <w:szCs w:val="22"/>
        </w:rPr>
        <w:t>uadro </w:t>
      </w:r>
      <w:r w:rsidR="00E554AF" w:rsidRPr="0063119B">
        <w:rPr>
          <w:noProof/>
          <w:szCs w:val="22"/>
        </w:rPr>
        <w:t>3</w:t>
      </w:r>
      <w:r w:rsidRPr="0063119B">
        <w:rPr>
          <w:noProof/>
          <w:szCs w:val="22"/>
        </w:rPr>
        <w:t xml:space="preserve">, por classe de sistema de órgãos (em MedDRA) e por frequência. </w:t>
      </w:r>
    </w:p>
    <w:p w14:paraId="78F67BA6" w14:textId="77777777" w:rsidR="00337111" w:rsidRPr="0063119B" w:rsidRDefault="00337111" w:rsidP="00337111">
      <w:pPr>
        <w:suppressAutoHyphens/>
        <w:rPr>
          <w:b/>
          <w:noProof/>
          <w:szCs w:val="22"/>
        </w:rPr>
      </w:pPr>
    </w:p>
    <w:p w14:paraId="22F27941" w14:textId="77777777" w:rsidR="00337111" w:rsidRPr="0063119B" w:rsidRDefault="00337111" w:rsidP="00337111">
      <w:pPr>
        <w:suppressAutoHyphens/>
        <w:jc w:val="both"/>
        <w:rPr>
          <w:noProof/>
          <w:szCs w:val="22"/>
        </w:rPr>
      </w:pPr>
      <w:r w:rsidRPr="0063119B">
        <w:rPr>
          <w:noProof/>
          <w:szCs w:val="22"/>
        </w:rPr>
        <w:t>As frequências são definidas como:</w:t>
      </w:r>
    </w:p>
    <w:p w14:paraId="4B228675" w14:textId="77777777" w:rsidR="00621FE5" w:rsidRPr="0063119B" w:rsidRDefault="00621FE5" w:rsidP="00621FE5">
      <w:pPr>
        <w:suppressAutoHyphens/>
        <w:jc w:val="both"/>
        <w:rPr>
          <w:noProof/>
          <w:szCs w:val="22"/>
        </w:rPr>
      </w:pPr>
      <w:r w:rsidRPr="0063119B">
        <w:rPr>
          <w:noProof/>
          <w:szCs w:val="22"/>
        </w:rPr>
        <w:t>muito frequentes (≥</w:t>
      </w:r>
      <w:r w:rsidR="00BD2B46" w:rsidRPr="0063119B">
        <w:rPr>
          <w:noProof/>
          <w:szCs w:val="22"/>
        </w:rPr>
        <w:t> </w:t>
      </w:r>
      <w:r w:rsidRPr="0063119B">
        <w:rPr>
          <w:noProof/>
          <w:szCs w:val="22"/>
        </w:rPr>
        <w:t>1/10)</w:t>
      </w:r>
    </w:p>
    <w:p w14:paraId="068D1A2A" w14:textId="77777777" w:rsidR="00337111" w:rsidRPr="0063119B" w:rsidRDefault="00337111" w:rsidP="00337111">
      <w:pPr>
        <w:suppressAutoHyphens/>
        <w:jc w:val="both"/>
        <w:rPr>
          <w:noProof/>
          <w:szCs w:val="22"/>
        </w:rPr>
      </w:pPr>
      <w:r w:rsidRPr="0063119B">
        <w:rPr>
          <w:noProof/>
          <w:szCs w:val="22"/>
        </w:rPr>
        <w:t>frequentes (≥</w:t>
      </w:r>
      <w:r w:rsidR="00BD2B46" w:rsidRPr="0063119B">
        <w:rPr>
          <w:noProof/>
          <w:szCs w:val="22"/>
        </w:rPr>
        <w:t> </w:t>
      </w:r>
      <w:r w:rsidRPr="0063119B">
        <w:rPr>
          <w:noProof/>
          <w:szCs w:val="22"/>
        </w:rPr>
        <w:t>1/100, &lt;</w:t>
      </w:r>
      <w:r w:rsidR="00BD2B46" w:rsidRPr="0063119B">
        <w:rPr>
          <w:noProof/>
          <w:szCs w:val="22"/>
        </w:rPr>
        <w:t> </w:t>
      </w:r>
      <w:r w:rsidRPr="0063119B">
        <w:rPr>
          <w:noProof/>
          <w:szCs w:val="22"/>
        </w:rPr>
        <w:t>1/10)</w:t>
      </w:r>
    </w:p>
    <w:p w14:paraId="6E3160B2" w14:textId="77777777" w:rsidR="00337111" w:rsidRPr="0063119B" w:rsidRDefault="00337111" w:rsidP="00337111">
      <w:pPr>
        <w:suppressAutoHyphens/>
        <w:jc w:val="both"/>
        <w:rPr>
          <w:noProof/>
          <w:szCs w:val="22"/>
        </w:rPr>
      </w:pPr>
      <w:r w:rsidRPr="0063119B">
        <w:rPr>
          <w:noProof/>
          <w:szCs w:val="22"/>
        </w:rPr>
        <w:t>pouco frequentes</w:t>
      </w:r>
      <w:r w:rsidR="00621FE5" w:rsidRPr="0063119B">
        <w:rPr>
          <w:noProof/>
          <w:szCs w:val="22"/>
        </w:rPr>
        <w:t xml:space="preserve"> </w:t>
      </w:r>
      <w:r w:rsidRPr="0063119B">
        <w:rPr>
          <w:noProof/>
          <w:szCs w:val="22"/>
        </w:rPr>
        <w:t>(≥</w:t>
      </w:r>
      <w:r w:rsidR="00BD2B46" w:rsidRPr="0063119B">
        <w:rPr>
          <w:noProof/>
          <w:szCs w:val="22"/>
        </w:rPr>
        <w:t> </w:t>
      </w:r>
      <w:r w:rsidRPr="0063119B">
        <w:rPr>
          <w:noProof/>
          <w:szCs w:val="22"/>
        </w:rPr>
        <w:t>1/1.000, &lt;</w:t>
      </w:r>
      <w:r w:rsidR="00BD2B46" w:rsidRPr="0063119B">
        <w:rPr>
          <w:noProof/>
          <w:szCs w:val="22"/>
        </w:rPr>
        <w:t> </w:t>
      </w:r>
      <w:r w:rsidRPr="0063119B">
        <w:rPr>
          <w:noProof/>
          <w:szCs w:val="22"/>
        </w:rPr>
        <w:t>1/100)</w:t>
      </w:r>
    </w:p>
    <w:p w14:paraId="775789A4" w14:textId="77777777" w:rsidR="00337111" w:rsidRPr="0063119B" w:rsidRDefault="00337111" w:rsidP="00337111">
      <w:pPr>
        <w:suppressAutoHyphens/>
        <w:jc w:val="both"/>
        <w:rPr>
          <w:noProof/>
          <w:szCs w:val="22"/>
        </w:rPr>
      </w:pPr>
      <w:r w:rsidRPr="0063119B">
        <w:rPr>
          <w:noProof/>
          <w:szCs w:val="22"/>
        </w:rPr>
        <w:t>raros (≥</w:t>
      </w:r>
      <w:r w:rsidR="00BD2B46" w:rsidRPr="0063119B">
        <w:rPr>
          <w:noProof/>
          <w:szCs w:val="22"/>
        </w:rPr>
        <w:t> </w:t>
      </w:r>
      <w:r w:rsidRPr="0063119B">
        <w:rPr>
          <w:noProof/>
          <w:szCs w:val="22"/>
        </w:rPr>
        <w:t>1/10.000, &lt;</w:t>
      </w:r>
      <w:r w:rsidR="00BD2B46" w:rsidRPr="0063119B">
        <w:rPr>
          <w:noProof/>
          <w:szCs w:val="22"/>
        </w:rPr>
        <w:t> </w:t>
      </w:r>
      <w:r w:rsidRPr="0063119B">
        <w:rPr>
          <w:noProof/>
          <w:szCs w:val="22"/>
        </w:rPr>
        <w:t>1/1.000)</w:t>
      </w:r>
    </w:p>
    <w:p w14:paraId="744857E1" w14:textId="77777777" w:rsidR="00621FE5" w:rsidRPr="0063119B" w:rsidRDefault="00621FE5" w:rsidP="00621FE5">
      <w:pPr>
        <w:suppressAutoHyphens/>
        <w:jc w:val="both"/>
        <w:rPr>
          <w:noProof/>
          <w:szCs w:val="22"/>
        </w:rPr>
      </w:pPr>
      <w:r w:rsidRPr="0063119B">
        <w:rPr>
          <w:noProof/>
          <w:szCs w:val="22"/>
        </w:rPr>
        <w:t>muito raros (&lt;</w:t>
      </w:r>
      <w:r w:rsidR="00BD2B46" w:rsidRPr="0063119B">
        <w:rPr>
          <w:noProof/>
          <w:szCs w:val="22"/>
        </w:rPr>
        <w:t> </w:t>
      </w:r>
      <w:r w:rsidRPr="0063119B">
        <w:rPr>
          <w:noProof/>
          <w:szCs w:val="22"/>
        </w:rPr>
        <w:t>1/10.000)</w:t>
      </w:r>
    </w:p>
    <w:p w14:paraId="166043F5" w14:textId="77777777" w:rsidR="00337111" w:rsidRPr="0063119B" w:rsidRDefault="00621FE5" w:rsidP="00337111">
      <w:pPr>
        <w:suppressAutoHyphens/>
        <w:rPr>
          <w:noProof/>
          <w:szCs w:val="22"/>
        </w:rPr>
      </w:pPr>
      <w:r w:rsidRPr="0063119B">
        <w:rPr>
          <w:noProof/>
          <w:szCs w:val="22"/>
        </w:rPr>
        <w:t>d</w:t>
      </w:r>
      <w:r w:rsidR="00337111" w:rsidRPr="0063119B">
        <w:rPr>
          <w:noProof/>
          <w:szCs w:val="22"/>
        </w:rPr>
        <w:t>esconhecido</w:t>
      </w:r>
      <w:r w:rsidRPr="0063119B">
        <w:rPr>
          <w:noProof/>
          <w:szCs w:val="22"/>
        </w:rPr>
        <w:t xml:space="preserve"> (</w:t>
      </w:r>
      <w:r w:rsidR="00337111" w:rsidRPr="0063119B">
        <w:rPr>
          <w:noProof/>
          <w:szCs w:val="22"/>
        </w:rPr>
        <w:t>não pode ser calculada a partir dos dados disponíveis</w:t>
      </w:r>
      <w:r w:rsidRPr="0063119B">
        <w:rPr>
          <w:noProof/>
          <w:szCs w:val="22"/>
        </w:rPr>
        <w:t>)</w:t>
      </w:r>
    </w:p>
    <w:p w14:paraId="061BD32B" w14:textId="77777777" w:rsidR="00337111" w:rsidRPr="0063119B" w:rsidRDefault="00337111" w:rsidP="00337111">
      <w:pPr>
        <w:keepNext/>
        <w:rPr>
          <w:b/>
          <w:szCs w:val="22"/>
        </w:rPr>
      </w:pPr>
    </w:p>
    <w:p w14:paraId="7480BED5" w14:textId="68C00851" w:rsidR="00337111" w:rsidRPr="0063119B" w:rsidRDefault="00337111" w:rsidP="00337111">
      <w:pPr>
        <w:keepNext/>
        <w:rPr>
          <w:szCs w:val="22"/>
        </w:rPr>
      </w:pPr>
      <w:r w:rsidRPr="0063119B">
        <w:rPr>
          <w:b/>
          <w:szCs w:val="22"/>
        </w:rPr>
        <w:t>Quadro </w:t>
      </w:r>
      <w:r w:rsidR="00E554AF" w:rsidRPr="0063119B">
        <w:rPr>
          <w:b/>
          <w:szCs w:val="22"/>
        </w:rPr>
        <w:t>3</w:t>
      </w:r>
      <w:r w:rsidR="00DE537C" w:rsidRPr="0063119B">
        <w:rPr>
          <w:b/>
          <w:szCs w:val="22"/>
        </w:rPr>
        <w:t>:</w:t>
      </w:r>
      <w:r w:rsidRPr="0063119B">
        <w:rPr>
          <w:b/>
          <w:szCs w:val="22"/>
        </w:rPr>
        <w:t xml:space="preserve"> </w:t>
      </w:r>
      <w:r w:rsidR="0021302F" w:rsidRPr="0063119B">
        <w:rPr>
          <w:b/>
          <w:szCs w:val="22"/>
        </w:rPr>
        <w:t xml:space="preserve">Todas as reações adversas notificadas em doentes </w:t>
      </w:r>
      <w:r w:rsidR="008122AC">
        <w:rPr>
          <w:b/>
          <w:szCs w:val="22"/>
        </w:rPr>
        <w:t xml:space="preserve">adultos </w:t>
      </w:r>
      <w:r w:rsidR="0021302F" w:rsidRPr="0063119B">
        <w:rPr>
          <w:b/>
          <w:szCs w:val="22"/>
        </w:rPr>
        <w:t xml:space="preserve">em </w:t>
      </w:r>
      <w:r w:rsidR="00A76E6A">
        <w:rPr>
          <w:b/>
          <w:szCs w:val="22"/>
        </w:rPr>
        <w:t>estudos</w:t>
      </w:r>
      <w:r w:rsidR="0021302F" w:rsidRPr="0063119B">
        <w:rPr>
          <w:b/>
          <w:szCs w:val="22"/>
        </w:rPr>
        <w:t xml:space="preserve"> clínicos de fase III ou por utilização pós-comercialização</w:t>
      </w:r>
      <w:r w:rsidR="00226BAA" w:rsidRPr="0063119B">
        <w:rPr>
          <w:b/>
          <w:szCs w:val="22"/>
        </w:rPr>
        <w:t>*</w:t>
      </w:r>
      <w:r w:rsidR="00A76E6A">
        <w:rPr>
          <w:b/>
          <w:szCs w:val="22"/>
        </w:rPr>
        <w:t xml:space="preserve"> </w:t>
      </w:r>
      <w:r w:rsidR="00A76E6A">
        <w:rPr>
          <w:b/>
          <w:bCs/>
          <w:szCs w:val="22"/>
        </w:rPr>
        <w:t xml:space="preserve">e em dois estudos de fase II e </w:t>
      </w:r>
      <w:r w:rsidR="00320623">
        <w:rPr>
          <w:b/>
          <w:bCs/>
          <w:szCs w:val="22"/>
        </w:rPr>
        <w:t>dois estudos</w:t>
      </w:r>
      <w:r w:rsidR="00A76E6A">
        <w:rPr>
          <w:b/>
          <w:bCs/>
          <w:szCs w:val="22"/>
        </w:rPr>
        <w:t xml:space="preserve"> de fase III em doentes pediátricos</w:t>
      </w:r>
    </w:p>
    <w:p w14:paraId="0A25E3A6" w14:textId="77777777" w:rsidR="00337111" w:rsidRPr="0063119B" w:rsidRDefault="00337111" w:rsidP="00337111">
      <w:pPr>
        <w:keepNext/>
        <w:rPr>
          <w:b/>
          <w:strike/>
          <w:szCs w:val="22"/>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27"/>
        <w:gridCol w:w="2006"/>
        <w:gridCol w:w="1821"/>
        <w:gridCol w:w="1701"/>
        <w:gridCol w:w="1843"/>
      </w:tblGrid>
      <w:tr w:rsidR="0021302F" w:rsidRPr="0063119B" w14:paraId="178C55FA" w14:textId="77777777" w:rsidTr="00D733A1">
        <w:trPr>
          <w:cantSplit/>
          <w:trHeight w:val="233"/>
          <w:tblHeader/>
        </w:trPr>
        <w:tc>
          <w:tcPr>
            <w:tcW w:w="2127" w:type="dxa"/>
            <w:shd w:val="clear" w:color="auto" w:fill="B3B3B3"/>
            <w:vAlign w:val="center"/>
          </w:tcPr>
          <w:p w14:paraId="6A9B0AEE" w14:textId="77777777" w:rsidR="0021302F" w:rsidRPr="0063119B" w:rsidRDefault="0021302F" w:rsidP="0044301C">
            <w:pPr>
              <w:keepNext/>
              <w:rPr>
                <w:szCs w:val="22"/>
              </w:rPr>
            </w:pPr>
            <w:r w:rsidRPr="0063119B">
              <w:rPr>
                <w:b/>
                <w:szCs w:val="22"/>
              </w:rPr>
              <w:t>Frequentes</w:t>
            </w:r>
            <w:r w:rsidRPr="0063119B">
              <w:rPr>
                <w:szCs w:val="22"/>
              </w:rPr>
              <w:br/>
            </w:r>
          </w:p>
        </w:tc>
        <w:tc>
          <w:tcPr>
            <w:tcW w:w="2006" w:type="dxa"/>
            <w:shd w:val="clear" w:color="auto" w:fill="B3B3B3"/>
            <w:vAlign w:val="center"/>
          </w:tcPr>
          <w:p w14:paraId="58FF2C11" w14:textId="77777777" w:rsidR="0021302F" w:rsidRPr="0063119B" w:rsidRDefault="0021302F" w:rsidP="0044301C">
            <w:pPr>
              <w:keepNext/>
              <w:rPr>
                <w:szCs w:val="22"/>
              </w:rPr>
            </w:pPr>
            <w:r w:rsidRPr="0063119B">
              <w:rPr>
                <w:b/>
                <w:szCs w:val="22"/>
              </w:rPr>
              <w:t>Pouco frequentes</w:t>
            </w:r>
            <w:r w:rsidRPr="0063119B">
              <w:rPr>
                <w:szCs w:val="22"/>
              </w:rPr>
              <w:br/>
            </w:r>
          </w:p>
        </w:tc>
        <w:tc>
          <w:tcPr>
            <w:tcW w:w="1821" w:type="dxa"/>
            <w:shd w:val="clear" w:color="auto" w:fill="B3B3B3"/>
            <w:vAlign w:val="center"/>
          </w:tcPr>
          <w:p w14:paraId="504A7FB0" w14:textId="77777777" w:rsidR="0021302F" w:rsidRPr="0063119B" w:rsidRDefault="0021302F" w:rsidP="0044301C">
            <w:pPr>
              <w:keepNext/>
              <w:rPr>
                <w:szCs w:val="22"/>
              </w:rPr>
            </w:pPr>
            <w:r w:rsidRPr="0063119B">
              <w:rPr>
                <w:b/>
                <w:szCs w:val="22"/>
              </w:rPr>
              <w:t>Raros</w:t>
            </w:r>
            <w:r w:rsidRPr="0063119B">
              <w:rPr>
                <w:szCs w:val="22"/>
              </w:rPr>
              <w:br/>
            </w:r>
          </w:p>
        </w:tc>
        <w:tc>
          <w:tcPr>
            <w:tcW w:w="1701" w:type="dxa"/>
            <w:shd w:val="clear" w:color="auto" w:fill="B3B3B3"/>
          </w:tcPr>
          <w:p w14:paraId="551151E9" w14:textId="77777777" w:rsidR="0021302F" w:rsidRPr="0063119B" w:rsidRDefault="009F126A" w:rsidP="0044301C">
            <w:pPr>
              <w:keepNext/>
              <w:rPr>
                <w:b/>
                <w:szCs w:val="22"/>
              </w:rPr>
            </w:pPr>
            <w:r w:rsidRPr="0063119B">
              <w:rPr>
                <w:b/>
                <w:noProof/>
                <w:szCs w:val="22"/>
              </w:rPr>
              <w:t>Muito raros</w:t>
            </w:r>
          </w:p>
        </w:tc>
        <w:tc>
          <w:tcPr>
            <w:tcW w:w="1843" w:type="dxa"/>
            <w:shd w:val="clear" w:color="auto" w:fill="B3B3B3"/>
            <w:vAlign w:val="center"/>
          </w:tcPr>
          <w:p w14:paraId="148042B8" w14:textId="77777777" w:rsidR="0021302F" w:rsidRPr="0063119B" w:rsidRDefault="0021302F" w:rsidP="0044301C">
            <w:pPr>
              <w:keepNext/>
              <w:rPr>
                <w:szCs w:val="22"/>
              </w:rPr>
            </w:pPr>
            <w:r w:rsidRPr="0063119B">
              <w:rPr>
                <w:b/>
                <w:szCs w:val="22"/>
              </w:rPr>
              <w:t>Desconhecido</w:t>
            </w:r>
            <w:r w:rsidRPr="0063119B">
              <w:rPr>
                <w:szCs w:val="22"/>
              </w:rPr>
              <w:br/>
            </w:r>
          </w:p>
        </w:tc>
      </w:tr>
      <w:tr w:rsidR="0021302F" w:rsidRPr="0063119B" w14:paraId="731B21A8" w14:textId="77777777" w:rsidTr="00D733A1">
        <w:trPr>
          <w:cantSplit/>
          <w:trHeight w:val="233"/>
        </w:trPr>
        <w:tc>
          <w:tcPr>
            <w:tcW w:w="9498" w:type="dxa"/>
            <w:gridSpan w:val="5"/>
          </w:tcPr>
          <w:p w14:paraId="7DCB1615" w14:textId="77777777" w:rsidR="0021302F" w:rsidRPr="0063119B" w:rsidRDefault="0021302F" w:rsidP="0044301C">
            <w:pPr>
              <w:keepNext/>
              <w:rPr>
                <w:szCs w:val="22"/>
              </w:rPr>
            </w:pPr>
            <w:r w:rsidRPr="0063119B">
              <w:rPr>
                <w:b/>
                <w:szCs w:val="22"/>
              </w:rPr>
              <w:t>Doenças do sangue e do sistema linfático</w:t>
            </w:r>
          </w:p>
        </w:tc>
      </w:tr>
      <w:tr w:rsidR="0021302F" w:rsidRPr="0063119B" w14:paraId="799F80F3" w14:textId="77777777" w:rsidTr="00D733A1">
        <w:trPr>
          <w:cantSplit/>
          <w:trHeight w:val="233"/>
        </w:trPr>
        <w:tc>
          <w:tcPr>
            <w:tcW w:w="2127" w:type="dxa"/>
          </w:tcPr>
          <w:p w14:paraId="72E717F3" w14:textId="77777777" w:rsidR="0021302F" w:rsidRPr="0063119B" w:rsidRDefault="0021302F" w:rsidP="0044301C">
            <w:pPr>
              <w:keepNext/>
              <w:rPr>
                <w:szCs w:val="22"/>
              </w:rPr>
            </w:pPr>
            <w:r w:rsidRPr="0063119B">
              <w:rPr>
                <w:szCs w:val="22"/>
              </w:rPr>
              <w:t>Anemia (incl. parâmetros laboratoriais respetivos)</w:t>
            </w:r>
          </w:p>
        </w:tc>
        <w:tc>
          <w:tcPr>
            <w:tcW w:w="2006" w:type="dxa"/>
          </w:tcPr>
          <w:p w14:paraId="268EB11A" w14:textId="77777777" w:rsidR="0021302F" w:rsidRPr="0063119B" w:rsidRDefault="0021302F" w:rsidP="00E554AF">
            <w:pPr>
              <w:keepNext/>
              <w:rPr>
                <w:szCs w:val="22"/>
              </w:rPr>
            </w:pPr>
            <w:r w:rsidRPr="0063119B">
              <w:rPr>
                <w:szCs w:val="22"/>
              </w:rPr>
              <w:t>Trombocitose (incl. aumento da contagem de plaquetas)</w:t>
            </w:r>
            <w:r w:rsidRPr="0063119B">
              <w:rPr>
                <w:szCs w:val="22"/>
                <w:vertAlign w:val="superscript"/>
              </w:rPr>
              <w:t>A</w:t>
            </w:r>
            <w:r w:rsidR="009F126A" w:rsidRPr="0063119B">
              <w:rPr>
                <w:szCs w:val="22"/>
              </w:rPr>
              <w:t xml:space="preserve">, </w:t>
            </w:r>
            <w:r w:rsidR="009F126A" w:rsidRPr="0063119B">
              <w:rPr>
                <w:rStyle w:val="shorttext"/>
                <w:szCs w:val="22"/>
              </w:rPr>
              <w:t>Trombocitopenia</w:t>
            </w:r>
          </w:p>
        </w:tc>
        <w:tc>
          <w:tcPr>
            <w:tcW w:w="1821" w:type="dxa"/>
          </w:tcPr>
          <w:p w14:paraId="4B2CF49B" w14:textId="77777777" w:rsidR="0021302F" w:rsidRPr="0063119B" w:rsidRDefault="0021302F" w:rsidP="0044301C">
            <w:pPr>
              <w:keepNext/>
              <w:rPr>
                <w:szCs w:val="22"/>
              </w:rPr>
            </w:pPr>
          </w:p>
        </w:tc>
        <w:tc>
          <w:tcPr>
            <w:tcW w:w="1701" w:type="dxa"/>
          </w:tcPr>
          <w:p w14:paraId="16B0C710" w14:textId="77777777" w:rsidR="0021302F" w:rsidRPr="0063119B" w:rsidRDefault="0021302F" w:rsidP="0044301C">
            <w:pPr>
              <w:keepNext/>
              <w:rPr>
                <w:szCs w:val="22"/>
              </w:rPr>
            </w:pPr>
          </w:p>
        </w:tc>
        <w:tc>
          <w:tcPr>
            <w:tcW w:w="1843" w:type="dxa"/>
          </w:tcPr>
          <w:p w14:paraId="16D161BE" w14:textId="77777777" w:rsidR="0021302F" w:rsidRPr="0063119B" w:rsidRDefault="0021302F" w:rsidP="0044301C">
            <w:pPr>
              <w:keepNext/>
              <w:rPr>
                <w:szCs w:val="22"/>
              </w:rPr>
            </w:pPr>
          </w:p>
        </w:tc>
      </w:tr>
      <w:tr w:rsidR="0021302F" w:rsidRPr="0063119B" w14:paraId="0F795A3B" w14:textId="77777777" w:rsidTr="00D733A1">
        <w:trPr>
          <w:cantSplit/>
          <w:trHeight w:val="233"/>
        </w:trPr>
        <w:tc>
          <w:tcPr>
            <w:tcW w:w="9498" w:type="dxa"/>
            <w:gridSpan w:val="5"/>
          </w:tcPr>
          <w:p w14:paraId="7722DCB1" w14:textId="77777777" w:rsidR="0021302F" w:rsidRPr="0063119B" w:rsidRDefault="0021302F" w:rsidP="0044301C">
            <w:pPr>
              <w:keepNext/>
              <w:rPr>
                <w:szCs w:val="22"/>
              </w:rPr>
            </w:pPr>
            <w:r w:rsidRPr="0063119B">
              <w:rPr>
                <w:b/>
                <w:szCs w:val="22"/>
              </w:rPr>
              <w:t>Doenças do sistema imunitário</w:t>
            </w:r>
          </w:p>
        </w:tc>
      </w:tr>
      <w:tr w:rsidR="0021302F" w:rsidRPr="0063119B" w14:paraId="26E017B5" w14:textId="77777777" w:rsidTr="00D733A1">
        <w:trPr>
          <w:cantSplit/>
          <w:trHeight w:val="233"/>
        </w:trPr>
        <w:tc>
          <w:tcPr>
            <w:tcW w:w="2127" w:type="dxa"/>
          </w:tcPr>
          <w:p w14:paraId="3D873A83" w14:textId="77777777" w:rsidR="0021302F" w:rsidRPr="0063119B" w:rsidRDefault="0021302F" w:rsidP="0044301C">
            <w:pPr>
              <w:keepNext/>
              <w:rPr>
                <w:szCs w:val="22"/>
              </w:rPr>
            </w:pPr>
          </w:p>
        </w:tc>
        <w:tc>
          <w:tcPr>
            <w:tcW w:w="2006" w:type="dxa"/>
          </w:tcPr>
          <w:p w14:paraId="07DC8C75" w14:textId="77777777" w:rsidR="0021302F" w:rsidRPr="0063119B" w:rsidRDefault="0021302F" w:rsidP="0044301C">
            <w:pPr>
              <w:keepNext/>
              <w:rPr>
                <w:szCs w:val="22"/>
              </w:rPr>
            </w:pPr>
            <w:r w:rsidRPr="0063119B">
              <w:rPr>
                <w:szCs w:val="22"/>
              </w:rPr>
              <w:t>Reação alérgica, dermatite alérgica</w:t>
            </w:r>
            <w:r w:rsidR="009F126A" w:rsidRPr="0063119B">
              <w:rPr>
                <w:szCs w:val="22"/>
              </w:rPr>
              <w:t xml:space="preserve">, </w:t>
            </w:r>
            <w:r w:rsidR="009F126A" w:rsidRPr="0063119B">
              <w:rPr>
                <w:rStyle w:val="shorttext"/>
                <w:szCs w:val="22"/>
              </w:rPr>
              <w:t>Angioedema e edema alérgico</w:t>
            </w:r>
          </w:p>
        </w:tc>
        <w:tc>
          <w:tcPr>
            <w:tcW w:w="1821" w:type="dxa"/>
          </w:tcPr>
          <w:p w14:paraId="33052851" w14:textId="77777777" w:rsidR="0021302F" w:rsidRPr="0063119B" w:rsidRDefault="0021302F" w:rsidP="0044301C">
            <w:pPr>
              <w:keepNext/>
              <w:rPr>
                <w:strike/>
                <w:szCs w:val="22"/>
              </w:rPr>
            </w:pPr>
          </w:p>
        </w:tc>
        <w:tc>
          <w:tcPr>
            <w:tcW w:w="1701" w:type="dxa"/>
          </w:tcPr>
          <w:p w14:paraId="67E86DA9" w14:textId="77777777" w:rsidR="0021302F" w:rsidRPr="0063119B" w:rsidRDefault="009F126A" w:rsidP="0044301C">
            <w:pPr>
              <w:keepNext/>
              <w:rPr>
                <w:szCs w:val="22"/>
              </w:rPr>
            </w:pPr>
            <w:r w:rsidRPr="0063119B">
              <w:rPr>
                <w:szCs w:val="22"/>
              </w:rPr>
              <w:t>Reações anafiláticas, incluindo choque anafilático</w:t>
            </w:r>
          </w:p>
        </w:tc>
        <w:tc>
          <w:tcPr>
            <w:tcW w:w="1843" w:type="dxa"/>
          </w:tcPr>
          <w:p w14:paraId="5AC3DC1C" w14:textId="77777777" w:rsidR="0021302F" w:rsidRPr="0063119B" w:rsidRDefault="0021302F" w:rsidP="0044301C">
            <w:pPr>
              <w:keepNext/>
              <w:rPr>
                <w:szCs w:val="22"/>
              </w:rPr>
            </w:pPr>
          </w:p>
        </w:tc>
      </w:tr>
      <w:tr w:rsidR="0021302F" w:rsidRPr="0063119B" w14:paraId="055E75FC" w14:textId="77777777" w:rsidTr="00D733A1">
        <w:trPr>
          <w:cantSplit/>
          <w:trHeight w:val="233"/>
        </w:trPr>
        <w:tc>
          <w:tcPr>
            <w:tcW w:w="9498" w:type="dxa"/>
            <w:gridSpan w:val="5"/>
          </w:tcPr>
          <w:p w14:paraId="7DFA460E" w14:textId="77777777" w:rsidR="0021302F" w:rsidRPr="0063119B" w:rsidRDefault="0021302F" w:rsidP="0044301C">
            <w:pPr>
              <w:keepNext/>
              <w:rPr>
                <w:szCs w:val="22"/>
              </w:rPr>
            </w:pPr>
            <w:r w:rsidRPr="0063119B">
              <w:rPr>
                <w:b/>
                <w:szCs w:val="22"/>
              </w:rPr>
              <w:t>Doenças do sistema nervoso</w:t>
            </w:r>
          </w:p>
        </w:tc>
      </w:tr>
      <w:tr w:rsidR="0021302F" w:rsidRPr="0063119B" w14:paraId="31B2FACB" w14:textId="77777777" w:rsidTr="00D733A1">
        <w:trPr>
          <w:cantSplit/>
          <w:trHeight w:val="233"/>
        </w:trPr>
        <w:tc>
          <w:tcPr>
            <w:tcW w:w="2127" w:type="dxa"/>
          </w:tcPr>
          <w:p w14:paraId="13E0F16F" w14:textId="77777777" w:rsidR="0021302F" w:rsidRPr="0063119B" w:rsidRDefault="0021302F" w:rsidP="00231768">
            <w:pPr>
              <w:rPr>
                <w:szCs w:val="22"/>
              </w:rPr>
            </w:pPr>
            <w:r w:rsidRPr="0063119B">
              <w:rPr>
                <w:szCs w:val="22"/>
              </w:rPr>
              <w:t>Tonturas, cefaleias</w:t>
            </w:r>
          </w:p>
        </w:tc>
        <w:tc>
          <w:tcPr>
            <w:tcW w:w="2006" w:type="dxa"/>
          </w:tcPr>
          <w:p w14:paraId="379ADB3C" w14:textId="77777777" w:rsidR="0021302F" w:rsidRPr="0063119B" w:rsidRDefault="0021302F" w:rsidP="0044301C">
            <w:pPr>
              <w:rPr>
                <w:szCs w:val="22"/>
              </w:rPr>
            </w:pPr>
            <w:r w:rsidRPr="0063119B">
              <w:rPr>
                <w:szCs w:val="22"/>
              </w:rPr>
              <w:t>Hemorragia cerebral e intracraniana, síncope</w:t>
            </w:r>
          </w:p>
        </w:tc>
        <w:tc>
          <w:tcPr>
            <w:tcW w:w="1821" w:type="dxa"/>
          </w:tcPr>
          <w:p w14:paraId="4AD95135" w14:textId="77777777" w:rsidR="0021302F" w:rsidRPr="0063119B" w:rsidRDefault="0021302F" w:rsidP="0044301C">
            <w:pPr>
              <w:rPr>
                <w:szCs w:val="22"/>
              </w:rPr>
            </w:pPr>
          </w:p>
        </w:tc>
        <w:tc>
          <w:tcPr>
            <w:tcW w:w="1701" w:type="dxa"/>
          </w:tcPr>
          <w:p w14:paraId="0E0D31E1" w14:textId="77777777" w:rsidR="0021302F" w:rsidRPr="0063119B" w:rsidRDefault="0021302F" w:rsidP="0044301C">
            <w:pPr>
              <w:rPr>
                <w:szCs w:val="22"/>
              </w:rPr>
            </w:pPr>
          </w:p>
        </w:tc>
        <w:tc>
          <w:tcPr>
            <w:tcW w:w="1843" w:type="dxa"/>
          </w:tcPr>
          <w:p w14:paraId="2B3F2D20" w14:textId="77777777" w:rsidR="0021302F" w:rsidRPr="0063119B" w:rsidRDefault="0021302F" w:rsidP="0044301C">
            <w:pPr>
              <w:rPr>
                <w:szCs w:val="22"/>
              </w:rPr>
            </w:pPr>
          </w:p>
        </w:tc>
      </w:tr>
      <w:tr w:rsidR="0021302F" w:rsidRPr="0063119B" w14:paraId="138AEEAB" w14:textId="77777777" w:rsidTr="00D733A1">
        <w:trPr>
          <w:cantSplit/>
          <w:trHeight w:val="233"/>
        </w:trPr>
        <w:tc>
          <w:tcPr>
            <w:tcW w:w="9498" w:type="dxa"/>
            <w:gridSpan w:val="5"/>
          </w:tcPr>
          <w:p w14:paraId="3A4C133D" w14:textId="77777777" w:rsidR="0021302F" w:rsidRPr="0063119B" w:rsidRDefault="0021302F" w:rsidP="0044301C">
            <w:pPr>
              <w:rPr>
                <w:szCs w:val="22"/>
              </w:rPr>
            </w:pPr>
            <w:r w:rsidRPr="0063119B">
              <w:rPr>
                <w:b/>
                <w:szCs w:val="22"/>
              </w:rPr>
              <w:t>Afeções oculares</w:t>
            </w:r>
          </w:p>
        </w:tc>
      </w:tr>
      <w:tr w:rsidR="0021302F" w:rsidRPr="0063119B" w14:paraId="6CE8393E" w14:textId="77777777" w:rsidTr="00D733A1">
        <w:trPr>
          <w:cantSplit/>
          <w:trHeight w:val="233"/>
        </w:trPr>
        <w:tc>
          <w:tcPr>
            <w:tcW w:w="2127" w:type="dxa"/>
          </w:tcPr>
          <w:p w14:paraId="53F2D1FD" w14:textId="77777777" w:rsidR="0021302F" w:rsidRPr="0063119B" w:rsidRDefault="0021302F" w:rsidP="0044301C">
            <w:pPr>
              <w:rPr>
                <w:szCs w:val="22"/>
              </w:rPr>
            </w:pPr>
            <w:r w:rsidRPr="0063119B">
              <w:rPr>
                <w:szCs w:val="22"/>
              </w:rPr>
              <w:t>Hemorragia ocular (incl. hemorragia conjuntival)</w:t>
            </w:r>
          </w:p>
        </w:tc>
        <w:tc>
          <w:tcPr>
            <w:tcW w:w="2006" w:type="dxa"/>
          </w:tcPr>
          <w:p w14:paraId="256EB5C5" w14:textId="77777777" w:rsidR="0021302F" w:rsidRPr="0063119B" w:rsidRDefault="0021302F" w:rsidP="0044301C">
            <w:pPr>
              <w:rPr>
                <w:szCs w:val="22"/>
              </w:rPr>
            </w:pPr>
          </w:p>
        </w:tc>
        <w:tc>
          <w:tcPr>
            <w:tcW w:w="1821" w:type="dxa"/>
          </w:tcPr>
          <w:p w14:paraId="23401EC2" w14:textId="77777777" w:rsidR="0021302F" w:rsidRPr="0063119B" w:rsidRDefault="0021302F" w:rsidP="0044301C">
            <w:pPr>
              <w:rPr>
                <w:szCs w:val="22"/>
              </w:rPr>
            </w:pPr>
          </w:p>
        </w:tc>
        <w:tc>
          <w:tcPr>
            <w:tcW w:w="1701" w:type="dxa"/>
          </w:tcPr>
          <w:p w14:paraId="6DE8CA4C" w14:textId="77777777" w:rsidR="0021302F" w:rsidRPr="0063119B" w:rsidRDefault="0021302F" w:rsidP="0044301C">
            <w:pPr>
              <w:rPr>
                <w:szCs w:val="22"/>
              </w:rPr>
            </w:pPr>
          </w:p>
        </w:tc>
        <w:tc>
          <w:tcPr>
            <w:tcW w:w="1843" w:type="dxa"/>
          </w:tcPr>
          <w:p w14:paraId="16A5ACF0" w14:textId="77777777" w:rsidR="0021302F" w:rsidRPr="0063119B" w:rsidRDefault="0021302F" w:rsidP="0044301C">
            <w:pPr>
              <w:rPr>
                <w:szCs w:val="22"/>
              </w:rPr>
            </w:pPr>
          </w:p>
        </w:tc>
      </w:tr>
      <w:tr w:rsidR="0021302F" w:rsidRPr="0063119B" w14:paraId="3BB2FF63" w14:textId="77777777" w:rsidTr="00D733A1">
        <w:trPr>
          <w:cantSplit/>
          <w:trHeight w:val="233"/>
        </w:trPr>
        <w:tc>
          <w:tcPr>
            <w:tcW w:w="9498" w:type="dxa"/>
            <w:gridSpan w:val="5"/>
          </w:tcPr>
          <w:p w14:paraId="23E8F95C" w14:textId="77777777" w:rsidR="0021302F" w:rsidRPr="0063119B" w:rsidRDefault="0021302F" w:rsidP="0044301C">
            <w:pPr>
              <w:rPr>
                <w:szCs w:val="22"/>
              </w:rPr>
            </w:pPr>
            <w:r w:rsidRPr="0063119B">
              <w:rPr>
                <w:b/>
                <w:szCs w:val="22"/>
              </w:rPr>
              <w:t>Cardiopatias</w:t>
            </w:r>
          </w:p>
        </w:tc>
      </w:tr>
      <w:tr w:rsidR="0021302F" w:rsidRPr="0063119B" w14:paraId="63ECA382" w14:textId="77777777" w:rsidTr="00D733A1">
        <w:trPr>
          <w:cantSplit/>
          <w:trHeight w:val="233"/>
        </w:trPr>
        <w:tc>
          <w:tcPr>
            <w:tcW w:w="2127" w:type="dxa"/>
          </w:tcPr>
          <w:p w14:paraId="5CFC3EF2" w14:textId="77777777" w:rsidR="0021302F" w:rsidRPr="0063119B" w:rsidRDefault="0021302F" w:rsidP="0044301C">
            <w:pPr>
              <w:rPr>
                <w:szCs w:val="22"/>
              </w:rPr>
            </w:pPr>
          </w:p>
        </w:tc>
        <w:tc>
          <w:tcPr>
            <w:tcW w:w="2006" w:type="dxa"/>
          </w:tcPr>
          <w:p w14:paraId="5407BCC7" w14:textId="77777777" w:rsidR="0021302F" w:rsidRPr="0063119B" w:rsidRDefault="0021302F" w:rsidP="0044301C">
            <w:pPr>
              <w:rPr>
                <w:strike/>
                <w:szCs w:val="22"/>
              </w:rPr>
            </w:pPr>
            <w:r w:rsidRPr="0063119B">
              <w:rPr>
                <w:szCs w:val="22"/>
              </w:rPr>
              <w:t>Taquicardia</w:t>
            </w:r>
          </w:p>
        </w:tc>
        <w:tc>
          <w:tcPr>
            <w:tcW w:w="1821" w:type="dxa"/>
          </w:tcPr>
          <w:p w14:paraId="47E20997" w14:textId="77777777" w:rsidR="0021302F" w:rsidRPr="0063119B" w:rsidRDefault="0021302F" w:rsidP="0044301C">
            <w:pPr>
              <w:rPr>
                <w:szCs w:val="22"/>
              </w:rPr>
            </w:pPr>
          </w:p>
        </w:tc>
        <w:tc>
          <w:tcPr>
            <w:tcW w:w="1701" w:type="dxa"/>
          </w:tcPr>
          <w:p w14:paraId="4596C3E4" w14:textId="77777777" w:rsidR="0021302F" w:rsidRPr="0063119B" w:rsidRDefault="0021302F" w:rsidP="0044301C">
            <w:pPr>
              <w:rPr>
                <w:szCs w:val="22"/>
              </w:rPr>
            </w:pPr>
          </w:p>
        </w:tc>
        <w:tc>
          <w:tcPr>
            <w:tcW w:w="1843" w:type="dxa"/>
          </w:tcPr>
          <w:p w14:paraId="43E5DA18" w14:textId="77777777" w:rsidR="0021302F" w:rsidRPr="0063119B" w:rsidRDefault="0021302F" w:rsidP="0044301C">
            <w:pPr>
              <w:rPr>
                <w:szCs w:val="22"/>
              </w:rPr>
            </w:pPr>
          </w:p>
        </w:tc>
      </w:tr>
      <w:tr w:rsidR="0021302F" w:rsidRPr="0063119B" w14:paraId="09F689AF" w14:textId="77777777" w:rsidTr="00D733A1">
        <w:trPr>
          <w:cantSplit/>
          <w:trHeight w:val="233"/>
        </w:trPr>
        <w:tc>
          <w:tcPr>
            <w:tcW w:w="9498" w:type="dxa"/>
            <w:gridSpan w:val="5"/>
          </w:tcPr>
          <w:p w14:paraId="0849956F" w14:textId="77777777" w:rsidR="0021302F" w:rsidRPr="0063119B" w:rsidRDefault="0021302F" w:rsidP="0044301C">
            <w:pPr>
              <w:rPr>
                <w:szCs w:val="22"/>
              </w:rPr>
            </w:pPr>
            <w:r w:rsidRPr="0063119B">
              <w:rPr>
                <w:b/>
                <w:szCs w:val="22"/>
              </w:rPr>
              <w:t>Vasculopatias</w:t>
            </w:r>
          </w:p>
        </w:tc>
      </w:tr>
      <w:tr w:rsidR="0021302F" w:rsidRPr="0063119B" w14:paraId="22595957" w14:textId="77777777" w:rsidTr="00D733A1">
        <w:trPr>
          <w:cantSplit/>
          <w:trHeight w:val="233"/>
        </w:trPr>
        <w:tc>
          <w:tcPr>
            <w:tcW w:w="2127" w:type="dxa"/>
          </w:tcPr>
          <w:p w14:paraId="520CC78E" w14:textId="77777777" w:rsidR="0021302F" w:rsidRPr="0063119B" w:rsidRDefault="0021302F" w:rsidP="0044301C">
            <w:pPr>
              <w:rPr>
                <w:szCs w:val="22"/>
              </w:rPr>
            </w:pPr>
            <w:r w:rsidRPr="0063119B">
              <w:rPr>
                <w:szCs w:val="22"/>
              </w:rPr>
              <w:t>Hipotensão, hematoma</w:t>
            </w:r>
          </w:p>
        </w:tc>
        <w:tc>
          <w:tcPr>
            <w:tcW w:w="2006" w:type="dxa"/>
          </w:tcPr>
          <w:p w14:paraId="4F506947" w14:textId="77777777" w:rsidR="0021302F" w:rsidRPr="0063119B" w:rsidRDefault="0021302F" w:rsidP="0044301C">
            <w:pPr>
              <w:rPr>
                <w:szCs w:val="22"/>
              </w:rPr>
            </w:pPr>
          </w:p>
        </w:tc>
        <w:tc>
          <w:tcPr>
            <w:tcW w:w="1821" w:type="dxa"/>
          </w:tcPr>
          <w:p w14:paraId="5AE3A8B3" w14:textId="77777777" w:rsidR="0021302F" w:rsidRPr="0063119B" w:rsidRDefault="0021302F" w:rsidP="0044301C">
            <w:pPr>
              <w:rPr>
                <w:szCs w:val="22"/>
              </w:rPr>
            </w:pPr>
          </w:p>
        </w:tc>
        <w:tc>
          <w:tcPr>
            <w:tcW w:w="1701" w:type="dxa"/>
          </w:tcPr>
          <w:p w14:paraId="6ACBC80C" w14:textId="77777777" w:rsidR="0021302F" w:rsidRPr="0063119B" w:rsidRDefault="0021302F" w:rsidP="004423D0">
            <w:pPr>
              <w:rPr>
                <w:szCs w:val="22"/>
              </w:rPr>
            </w:pPr>
          </w:p>
        </w:tc>
        <w:tc>
          <w:tcPr>
            <w:tcW w:w="1843" w:type="dxa"/>
          </w:tcPr>
          <w:p w14:paraId="26C65937" w14:textId="77777777" w:rsidR="0021302F" w:rsidRPr="0063119B" w:rsidRDefault="0021302F" w:rsidP="004423D0">
            <w:pPr>
              <w:rPr>
                <w:szCs w:val="22"/>
              </w:rPr>
            </w:pPr>
          </w:p>
        </w:tc>
      </w:tr>
      <w:tr w:rsidR="0021302F" w:rsidRPr="0063119B" w14:paraId="1E8C7C30" w14:textId="77777777" w:rsidTr="00D733A1">
        <w:trPr>
          <w:cantSplit/>
          <w:trHeight w:val="233"/>
        </w:trPr>
        <w:tc>
          <w:tcPr>
            <w:tcW w:w="9498" w:type="dxa"/>
            <w:gridSpan w:val="5"/>
          </w:tcPr>
          <w:p w14:paraId="58C52796" w14:textId="77777777" w:rsidR="0021302F" w:rsidRPr="0063119B" w:rsidRDefault="0021302F" w:rsidP="0044301C">
            <w:pPr>
              <w:rPr>
                <w:szCs w:val="22"/>
              </w:rPr>
            </w:pPr>
            <w:r w:rsidRPr="0063119B">
              <w:rPr>
                <w:b/>
                <w:szCs w:val="22"/>
              </w:rPr>
              <w:t>Doenças respiratórias, torácicas e do mediastino</w:t>
            </w:r>
          </w:p>
        </w:tc>
      </w:tr>
      <w:tr w:rsidR="0021302F" w:rsidRPr="0063119B" w14:paraId="2DAF7B9C" w14:textId="77777777" w:rsidTr="00D733A1">
        <w:trPr>
          <w:cantSplit/>
          <w:trHeight w:val="233"/>
        </w:trPr>
        <w:tc>
          <w:tcPr>
            <w:tcW w:w="2127" w:type="dxa"/>
          </w:tcPr>
          <w:p w14:paraId="0E84F6FC" w14:textId="77777777" w:rsidR="0021302F" w:rsidRPr="0063119B" w:rsidRDefault="0021302F" w:rsidP="004423D0">
            <w:pPr>
              <w:rPr>
                <w:szCs w:val="22"/>
              </w:rPr>
            </w:pPr>
            <w:r w:rsidRPr="0063119B">
              <w:rPr>
                <w:szCs w:val="22"/>
              </w:rPr>
              <w:t xml:space="preserve">Epistaxe, </w:t>
            </w:r>
          </w:p>
          <w:p w14:paraId="1E03E835" w14:textId="77777777" w:rsidR="0021302F" w:rsidRPr="0063119B" w:rsidRDefault="0021302F" w:rsidP="004423D0">
            <w:pPr>
              <w:rPr>
                <w:szCs w:val="22"/>
              </w:rPr>
            </w:pPr>
            <w:r w:rsidRPr="0063119B">
              <w:rPr>
                <w:szCs w:val="22"/>
              </w:rPr>
              <w:t>hemoptise</w:t>
            </w:r>
          </w:p>
        </w:tc>
        <w:tc>
          <w:tcPr>
            <w:tcW w:w="2006" w:type="dxa"/>
          </w:tcPr>
          <w:p w14:paraId="16EFF7BF" w14:textId="77777777" w:rsidR="0021302F" w:rsidRPr="0063119B" w:rsidRDefault="0021302F" w:rsidP="0044301C">
            <w:pPr>
              <w:rPr>
                <w:szCs w:val="22"/>
              </w:rPr>
            </w:pPr>
          </w:p>
        </w:tc>
        <w:tc>
          <w:tcPr>
            <w:tcW w:w="1821" w:type="dxa"/>
          </w:tcPr>
          <w:p w14:paraId="0F002099" w14:textId="77777777" w:rsidR="0021302F" w:rsidRPr="0063119B" w:rsidRDefault="0021302F" w:rsidP="0044301C">
            <w:pPr>
              <w:rPr>
                <w:szCs w:val="22"/>
              </w:rPr>
            </w:pPr>
          </w:p>
        </w:tc>
        <w:tc>
          <w:tcPr>
            <w:tcW w:w="1701" w:type="dxa"/>
          </w:tcPr>
          <w:p w14:paraId="12EF48A1" w14:textId="21E0CE93" w:rsidR="0021302F" w:rsidRPr="0063119B" w:rsidRDefault="000536F1" w:rsidP="0044301C">
            <w:pPr>
              <w:rPr>
                <w:szCs w:val="22"/>
              </w:rPr>
            </w:pPr>
            <w:r>
              <w:rPr>
                <w:szCs w:val="22"/>
              </w:rPr>
              <w:t>Pneumonia eosinofilica</w:t>
            </w:r>
          </w:p>
        </w:tc>
        <w:tc>
          <w:tcPr>
            <w:tcW w:w="1843" w:type="dxa"/>
          </w:tcPr>
          <w:p w14:paraId="00C20110" w14:textId="77777777" w:rsidR="0021302F" w:rsidRPr="0063119B" w:rsidRDefault="0021302F" w:rsidP="0044301C">
            <w:pPr>
              <w:rPr>
                <w:szCs w:val="22"/>
              </w:rPr>
            </w:pPr>
          </w:p>
        </w:tc>
      </w:tr>
      <w:tr w:rsidR="0021302F" w:rsidRPr="0063119B" w14:paraId="07AA78B8" w14:textId="77777777" w:rsidTr="00D733A1">
        <w:trPr>
          <w:cantSplit/>
          <w:trHeight w:val="233"/>
        </w:trPr>
        <w:tc>
          <w:tcPr>
            <w:tcW w:w="9498" w:type="dxa"/>
            <w:gridSpan w:val="5"/>
          </w:tcPr>
          <w:p w14:paraId="4025DD60" w14:textId="77777777" w:rsidR="0021302F" w:rsidRPr="0063119B" w:rsidRDefault="0021302F" w:rsidP="0044301C">
            <w:pPr>
              <w:rPr>
                <w:szCs w:val="22"/>
              </w:rPr>
            </w:pPr>
            <w:r w:rsidRPr="0063119B">
              <w:rPr>
                <w:b/>
                <w:szCs w:val="22"/>
              </w:rPr>
              <w:t>Doenças gastrointestinais</w:t>
            </w:r>
          </w:p>
        </w:tc>
      </w:tr>
      <w:tr w:rsidR="0021302F" w:rsidRPr="0063119B" w14:paraId="356E6B04" w14:textId="77777777" w:rsidTr="00D733A1">
        <w:trPr>
          <w:cantSplit/>
          <w:trHeight w:val="233"/>
        </w:trPr>
        <w:tc>
          <w:tcPr>
            <w:tcW w:w="2127" w:type="dxa"/>
          </w:tcPr>
          <w:p w14:paraId="31E5D58E" w14:textId="77777777" w:rsidR="0021302F" w:rsidRPr="0063119B" w:rsidRDefault="0021302F" w:rsidP="0045515D">
            <w:pPr>
              <w:rPr>
                <w:szCs w:val="22"/>
                <w:vertAlign w:val="superscript"/>
              </w:rPr>
            </w:pPr>
            <w:r w:rsidRPr="0063119B">
              <w:rPr>
                <w:bCs/>
                <w:szCs w:val="22"/>
              </w:rPr>
              <w:t>Hemorragia gengival, hemorragia do trato gastrointestinal (incl. hemorragia retal), dores gastrointestinais e dores abdominais, dispepsia, náuseas, obstipação</w:t>
            </w:r>
            <w:r w:rsidRPr="0063119B">
              <w:rPr>
                <w:bCs/>
                <w:szCs w:val="22"/>
                <w:vertAlign w:val="superscript"/>
              </w:rPr>
              <w:t>A</w:t>
            </w:r>
            <w:r w:rsidRPr="0063119B">
              <w:rPr>
                <w:bCs/>
                <w:szCs w:val="22"/>
              </w:rPr>
              <w:t>, diarreia, vómitos</w:t>
            </w:r>
            <w:r w:rsidRPr="0063119B">
              <w:rPr>
                <w:bCs/>
                <w:szCs w:val="22"/>
                <w:vertAlign w:val="superscript"/>
              </w:rPr>
              <w:t>A</w:t>
            </w:r>
          </w:p>
        </w:tc>
        <w:tc>
          <w:tcPr>
            <w:tcW w:w="2006" w:type="dxa"/>
          </w:tcPr>
          <w:p w14:paraId="593E7097" w14:textId="77777777" w:rsidR="0021302F" w:rsidRPr="0063119B" w:rsidRDefault="0021302F" w:rsidP="0044301C">
            <w:pPr>
              <w:rPr>
                <w:szCs w:val="22"/>
              </w:rPr>
            </w:pPr>
            <w:r w:rsidRPr="0063119B">
              <w:rPr>
                <w:szCs w:val="22"/>
              </w:rPr>
              <w:t>Xerostomia</w:t>
            </w:r>
          </w:p>
        </w:tc>
        <w:tc>
          <w:tcPr>
            <w:tcW w:w="1821" w:type="dxa"/>
          </w:tcPr>
          <w:p w14:paraId="4B72400C" w14:textId="77777777" w:rsidR="0021302F" w:rsidRPr="0063119B" w:rsidRDefault="0021302F" w:rsidP="0044301C">
            <w:pPr>
              <w:rPr>
                <w:szCs w:val="22"/>
              </w:rPr>
            </w:pPr>
          </w:p>
        </w:tc>
        <w:tc>
          <w:tcPr>
            <w:tcW w:w="1701" w:type="dxa"/>
          </w:tcPr>
          <w:p w14:paraId="790FFB7A" w14:textId="77777777" w:rsidR="0021302F" w:rsidRPr="0063119B" w:rsidRDefault="0021302F" w:rsidP="0044301C">
            <w:pPr>
              <w:rPr>
                <w:szCs w:val="22"/>
              </w:rPr>
            </w:pPr>
          </w:p>
        </w:tc>
        <w:tc>
          <w:tcPr>
            <w:tcW w:w="1843" w:type="dxa"/>
          </w:tcPr>
          <w:p w14:paraId="752F5F78" w14:textId="77777777" w:rsidR="0021302F" w:rsidRPr="0063119B" w:rsidRDefault="0021302F" w:rsidP="0044301C">
            <w:pPr>
              <w:rPr>
                <w:szCs w:val="22"/>
              </w:rPr>
            </w:pPr>
          </w:p>
        </w:tc>
      </w:tr>
      <w:tr w:rsidR="0021302F" w:rsidRPr="0063119B" w14:paraId="3ACC63C8" w14:textId="77777777" w:rsidTr="00D733A1">
        <w:trPr>
          <w:cantSplit/>
          <w:trHeight w:val="233"/>
        </w:trPr>
        <w:tc>
          <w:tcPr>
            <w:tcW w:w="9498" w:type="dxa"/>
            <w:gridSpan w:val="5"/>
          </w:tcPr>
          <w:p w14:paraId="680C4BFF" w14:textId="77777777" w:rsidR="0021302F" w:rsidRPr="0063119B" w:rsidRDefault="0021302F" w:rsidP="0044301C">
            <w:pPr>
              <w:rPr>
                <w:szCs w:val="22"/>
              </w:rPr>
            </w:pPr>
            <w:r w:rsidRPr="0063119B">
              <w:rPr>
                <w:b/>
                <w:szCs w:val="22"/>
              </w:rPr>
              <w:t>Afeções hepatobiliares</w:t>
            </w:r>
          </w:p>
        </w:tc>
      </w:tr>
      <w:tr w:rsidR="0021302F" w:rsidRPr="0063119B" w14:paraId="6BA23D1F" w14:textId="77777777" w:rsidTr="00D733A1">
        <w:trPr>
          <w:cantSplit/>
          <w:trHeight w:val="233"/>
        </w:trPr>
        <w:tc>
          <w:tcPr>
            <w:tcW w:w="2127" w:type="dxa"/>
          </w:tcPr>
          <w:p w14:paraId="4E1CC9F2" w14:textId="77777777" w:rsidR="0021302F" w:rsidRPr="0063119B" w:rsidRDefault="009F126A" w:rsidP="0044301C">
            <w:pPr>
              <w:rPr>
                <w:szCs w:val="22"/>
              </w:rPr>
            </w:pPr>
            <w:r w:rsidRPr="0063119B">
              <w:rPr>
                <w:noProof/>
                <w:szCs w:val="22"/>
              </w:rPr>
              <w:t>Aumento das transaminases</w:t>
            </w:r>
          </w:p>
        </w:tc>
        <w:tc>
          <w:tcPr>
            <w:tcW w:w="2006" w:type="dxa"/>
          </w:tcPr>
          <w:p w14:paraId="417C1E08" w14:textId="77777777" w:rsidR="0021302F" w:rsidRPr="0063119B" w:rsidRDefault="0021302F" w:rsidP="006E75B5">
            <w:pPr>
              <w:rPr>
                <w:szCs w:val="22"/>
              </w:rPr>
            </w:pPr>
            <w:r w:rsidRPr="0063119B">
              <w:rPr>
                <w:noProof/>
                <w:szCs w:val="22"/>
              </w:rPr>
              <w:t>Compromisso</w:t>
            </w:r>
            <w:r w:rsidRPr="0063119B">
              <w:rPr>
                <w:szCs w:val="22"/>
              </w:rPr>
              <w:t xml:space="preserve"> hepático</w:t>
            </w:r>
            <w:r w:rsidR="009F126A" w:rsidRPr="0063119B">
              <w:rPr>
                <w:szCs w:val="22"/>
              </w:rPr>
              <w:t>,</w:t>
            </w:r>
          </w:p>
          <w:p w14:paraId="5198FFEF" w14:textId="77777777" w:rsidR="009F126A" w:rsidRPr="0063119B" w:rsidRDefault="009F126A" w:rsidP="006E75B5">
            <w:pPr>
              <w:rPr>
                <w:szCs w:val="22"/>
              </w:rPr>
            </w:pPr>
            <w:r w:rsidRPr="0063119B">
              <w:rPr>
                <w:szCs w:val="22"/>
              </w:rPr>
              <w:t>Aumento da bilirrubina, aumento da fosfatase alcalina sérica</w:t>
            </w:r>
            <w:r w:rsidRPr="0063119B">
              <w:rPr>
                <w:szCs w:val="22"/>
                <w:vertAlign w:val="superscript"/>
              </w:rPr>
              <w:t>A</w:t>
            </w:r>
            <w:r w:rsidRPr="0063119B">
              <w:rPr>
                <w:szCs w:val="22"/>
              </w:rPr>
              <w:t>, aumento da GGT</w:t>
            </w:r>
            <w:r w:rsidRPr="0063119B">
              <w:rPr>
                <w:szCs w:val="22"/>
                <w:vertAlign w:val="superscript"/>
              </w:rPr>
              <w:t>A</w:t>
            </w:r>
          </w:p>
        </w:tc>
        <w:tc>
          <w:tcPr>
            <w:tcW w:w="1821" w:type="dxa"/>
          </w:tcPr>
          <w:p w14:paraId="759F444B" w14:textId="77777777" w:rsidR="0021302F" w:rsidRPr="0063119B" w:rsidRDefault="0021302F" w:rsidP="0044301C">
            <w:pPr>
              <w:rPr>
                <w:szCs w:val="22"/>
              </w:rPr>
            </w:pPr>
            <w:r w:rsidRPr="0063119B">
              <w:rPr>
                <w:szCs w:val="22"/>
              </w:rPr>
              <w:t>Icterícia</w:t>
            </w:r>
            <w:r w:rsidR="009F126A" w:rsidRPr="0063119B">
              <w:rPr>
                <w:szCs w:val="22"/>
              </w:rPr>
              <w:t>,</w:t>
            </w:r>
          </w:p>
          <w:p w14:paraId="7A0BF498" w14:textId="77777777" w:rsidR="009F126A" w:rsidRPr="0063119B" w:rsidRDefault="009F126A" w:rsidP="00AE1814">
            <w:pPr>
              <w:rPr>
                <w:szCs w:val="22"/>
              </w:rPr>
            </w:pPr>
            <w:r w:rsidRPr="0063119B">
              <w:rPr>
                <w:szCs w:val="22"/>
              </w:rPr>
              <w:t>Bilirrubina conjugada aumentada (com ou sem aumento concomitante da ALT)</w:t>
            </w:r>
            <w:r w:rsidR="00BA7F7B" w:rsidRPr="0063119B">
              <w:rPr>
                <w:szCs w:val="22"/>
              </w:rPr>
              <w:t>,</w:t>
            </w:r>
            <w:r w:rsidR="00BA7F7B" w:rsidRPr="0063119B">
              <w:rPr>
                <w:szCs w:val="22"/>
              </w:rPr>
              <w:br/>
              <w:t>Colestase, Hepatite (incl.</w:t>
            </w:r>
            <w:r w:rsidR="00AE1814" w:rsidRPr="0063119B">
              <w:rPr>
                <w:szCs w:val="22"/>
              </w:rPr>
              <w:t xml:space="preserve"> Lesão </w:t>
            </w:r>
            <w:r w:rsidRPr="0063119B">
              <w:rPr>
                <w:szCs w:val="22"/>
              </w:rPr>
              <w:t>hepatocelular)</w:t>
            </w:r>
          </w:p>
        </w:tc>
        <w:tc>
          <w:tcPr>
            <w:tcW w:w="1701" w:type="dxa"/>
          </w:tcPr>
          <w:p w14:paraId="37B35518" w14:textId="77777777" w:rsidR="0021302F" w:rsidRPr="0063119B" w:rsidRDefault="0021302F" w:rsidP="0044301C">
            <w:pPr>
              <w:rPr>
                <w:szCs w:val="22"/>
              </w:rPr>
            </w:pPr>
          </w:p>
        </w:tc>
        <w:tc>
          <w:tcPr>
            <w:tcW w:w="1843" w:type="dxa"/>
          </w:tcPr>
          <w:p w14:paraId="75D44684" w14:textId="77777777" w:rsidR="0021302F" w:rsidRPr="0063119B" w:rsidRDefault="0021302F" w:rsidP="0044301C">
            <w:pPr>
              <w:rPr>
                <w:szCs w:val="22"/>
              </w:rPr>
            </w:pPr>
          </w:p>
        </w:tc>
      </w:tr>
      <w:tr w:rsidR="0021302F" w:rsidRPr="0063119B" w14:paraId="5999122F" w14:textId="77777777" w:rsidTr="00D733A1">
        <w:trPr>
          <w:cantSplit/>
          <w:trHeight w:val="233"/>
        </w:trPr>
        <w:tc>
          <w:tcPr>
            <w:tcW w:w="9498" w:type="dxa"/>
            <w:gridSpan w:val="5"/>
          </w:tcPr>
          <w:p w14:paraId="4A0FC22D" w14:textId="77777777" w:rsidR="0021302F" w:rsidRPr="0063119B" w:rsidRDefault="0021302F" w:rsidP="0044301C">
            <w:pPr>
              <w:keepNext/>
              <w:rPr>
                <w:szCs w:val="22"/>
              </w:rPr>
            </w:pPr>
            <w:r w:rsidRPr="0063119B">
              <w:rPr>
                <w:b/>
                <w:szCs w:val="22"/>
              </w:rPr>
              <w:t>Afeções dos tecidos cutâneos e subcutâneos</w:t>
            </w:r>
          </w:p>
        </w:tc>
      </w:tr>
      <w:tr w:rsidR="0021302F" w:rsidRPr="0063119B" w14:paraId="381B7B58" w14:textId="77777777" w:rsidTr="00D733A1">
        <w:trPr>
          <w:cantSplit/>
          <w:trHeight w:val="233"/>
        </w:trPr>
        <w:tc>
          <w:tcPr>
            <w:tcW w:w="2127" w:type="dxa"/>
          </w:tcPr>
          <w:p w14:paraId="605B8D1C" w14:textId="77777777" w:rsidR="0021302F" w:rsidRPr="0063119B" w:rsidRDefault="0021302F" w:rsidP="0044301C">
            <w:pPr>
              <w:keepNext/>
              <w:rPr>
                <w:szCs w:val="22"/>
              </w:rPr>
            </w:pPr>
            <w:r w:rsidRPr="0063119B">
              <w:rPr>
                <w:szCs w:val="22"/>
              </w:rPr>
              <w:t>Prurido (incl. casos pouco frequentes de prurido generalizado), exantema cutâneo, equimose, hemorragia cutânea e subcutânea</w:t>
            </w:r>
          </w:p>
        </w:tc>
        <w:tc>
          <w:tcPr>
            <w:tcW w:w="2006" w:type="dxa"/>
          </w:tcPr>
          <w:p w14:paraId="33414490" w14:textId="77777777" w:rsidR="0021302F" w:rsidRPr="0063119B" w:rsidRDefault="0021302F" w:rsidP="00197692">
            <w:pPr>
              <w:keepNext/>
              <w:rPr>
                <w:szCs w:val="22"/>
              </w:rPr>
            </w:pPr>
            <w:r w:rsidRPr="0063119B">
              <w:rPr>
                <w:szCs w:val="22"/>
              </w:rPr>
              <w:t>Urticária</w:t>
            </w:r>
          </w:p>
        </w:tc>
        <w:tc>
          <w:tcPr>
            <w:tcW w:w="1821" w:type="dxa"/>
          </w:tcPr>
          <w:p w14:paraId="69F01689" w14:textId="77777777" w:rsidR="0021302F" w:rsidRPr="0063119B" w:rsidRDefault="0021302F" w:rsidP="0044301C">
            <w:pPr>
              <w:keepNext/>
              <w:rPr>
                <w:szCs w:val="22"/>
              </w:rPr>
            </w:pPr>
          </w:p>
        </w:tc>
        <w:tc>
          <w:tcPr>
            <w:tcW w:w="1701" w:type="dxa"/>
          </w:tcPr>
          <w:p w14:paraId="3A9D77E3" w14:textId="77777777" w:rsidR="00AE1814" w:rsidRPr="0063119B" w:rsidRDefault="00103650" w:rsidP="00AE1814">
            <w:pPr>
              <w:keepNext/>
              <w:rPr>
                <w:szCs w:val="22"/>
              </w:rPr>
            </w:pPr>
            <w:r w:rsidRPr="0063119B">
              <w:rPr>
                <w:szCs w:val="22"/>
              </w:rPr>
              <w:t>Síndrome de Stevens-Johnson/</w:t>
            </w:r>
            <w:r w:rsidR="00AE1814" w:rsidRPr="0063119B">
              <w:rPr>
                <w:szCs w:val="22"/>
              </w:rPr>
              <w:t xml:space="preserve"> Necrólise Epidérmica Tóxica,</w:t>
            </w:r>
          </w:p>
          <w:p w14:paraId="460D0B71" w14:textId="77777777" w:rsidR="0021302F" w:rsidRPr="0063119B" w:rsidRDefault="00103650" w:rsidP="00AE1814">
            <w:pPr>
              <w:keepNext/>
              <w:rPr>
                <w:szCs w:val="22"/>
              </w:rPr>
            </w:pPr>
            <w:r w:rsidRPr="0063119B">
              <w:rPr>
                <w:szCs w:val="22"/>
              </w:rPr>
              <w:t>Síndrome de DRESS</w:t>
            </w:r>
          </w:p>
        </w:tc>
        <w:tc>
          <w:tcPr>
            <w:tcW w:w="1843" w:type="dxa"/>
          </w:tcPr>
          <w:p w14:paraId="7D7CCEEE" w14:textId="77777777" w:rsidR="0021302F" w:rsidRPr="0063119B" w:rsidRDefault="0021302F" w:rsidP="0044301C">
            <w:pPr>
              <w:keepNext/>
              <w:rPr>
                <w:szCs w:val="22"/>
              </w:rPr>
            </w:pPr>
          </w:p>
        </w:tc>
      </w:tr>
      <w:tr w:rsidR="0021302F" w:rsidRPr="0063119B" w14:paraId="6CB8B61C" w14:textId="77777777" w:rsidTr="00D733A1">
        <w:trPr>
          <w:cantSplit/>
          <w:trHeight w:val="233"/>
        </w:trPr>
        <w:tc>
          <w:tcPr>
            <w:tcW w:w="9498" w:type="dxa"/>
            <w:gridSpan w:val="5"/>
          </w:tcPr>
          <w:p w14:paraId="1157B49D" w14:textId="77777777" w:rsidR="0021302F" w:rsidRPr="0063119B" w:rsidRDefault="0021302F" w:rsidP="0044301C">
            <w:pPr>
              <w:keepNext/>
              <w:rPr>
                <w:szCs w:val="22"/>
              </w:rPr>
            </w:pPr>
            <w:r w:rsidRPr="0063119B">
              <w:rPr>
                <w:b/>
                <w:szCs w:val="22"/>
              </w:rPr>
              <w:t>Afeções musculosqueléticas e dos tecidos conjuntivos</w:t>
            </w:r>
          </w:p>
        </w:tc>
      </w:tr>
      <w:tr w:rsidR="0021302F" w:rsidRPr="0063119B" w14:paraId="054F5763" w14:textId="77777777" w:rsidTr="00D733A1">
        <w:trPr>
          <w:cantSplit/>
          <w:trHeight w:val="233"/>
        </w:trPr>
        <w:tc>
          <w:tcPr>
            <w:tcW w:w="2127" w:type="dxa"/>
          </w:tcPr>
          <w:p w14:paraId="052F5087" w14:textId="77777777" w:rsidR="0021302F" w:rsidRPr="0063119B" w:rsidRDefault="0021302F" w:rsidP="0044301C">
            <w:pPr>
              <w:rPr>
                <w:szCs w:val="22"/>
                <w:vertAlign w:val="superscript"/>
              </w:rPr>
            </w:pPr>
            <w:r w:rsidRPr="0063119B">
              <w:rPr>
                <w:szCs w:val="22"/>
              </w:rPr>
              <w:t>Dor nas extremidades</w:t>
            </w:r>
            <w:r w:rsidRPr="0063119B">
              <w:rPr>
                <w:szCs w:val="22"/>
                <w:vertAlign w:val="superscript"/>
              </w:rPr>
              <w:t>A</w:t>
            </w:r>
          </w:p>
        </w:tc>
        <w:tc>
          <w:tcPr>
            <w:tcW w:w="2006" w:type="dxa"/>
          </w:tcPr>
          <w:p w14:paraId="0331045E" w14:textId="77777777" w:rsidR="0021302F" w:rsidRPr="0063119B" w:rsidRDefault="0021302F" w:rsidP="0044301C">
            <w:pPr>
              <w:rPr>
                <w:szCs w:val="22"/>
              </w:rPr>
            </w:pPr>
            <w:r w:rsidRPr="0063119B">
              <w:rPr>
                <w:szCs w:val="22"/>
              </w:rPr>
              <w:t>Hemartrose</w:t>
            </w:r>
          </w:p>
        </w:tc>
        <w:tc>
          <w:tcPr>
            <w:tcW w:w="1821" w:type="dxa"/>
          </w:tcPr>
          <w:p w14:paraId="0A813BE8" w14:textId="77777777" w:rsidR="0021302F" w:rsidRPr="0063119B" w:rsidRDefault="0021302F" w:rsidP="0044301C">
            <w:pPr>
              <w:rPr>
                <w:szCs w:val="22"/>
              </w:rPr>
            </w:pPr>
            <w:r w:rsidRPr="0063119B">
              <w:rPr>
                <w:szCs w:val="22"/>
              </w:rPr>
              <w:t>Hemorragia muscular</w:t>
            </w:r>
          </w:p>
        </w:tc>
        <w:tc>
          <w:tcPr>
            <w:tcW w:w="1701" w:type="dxa"/>
          </w:tcPr>
          <w:p w14:paraId="1AE3D7C7" w14:textId="77777777" w:rsidR="0021302F" w:rsidRPr="0063119B" w:rsidRDefault="0021302F" w:rsidP="0044301C">
            <w:pPr>
              <w:rPr>
                <w:szCs w:val="22"/>
              </w:rPr>
            </w:pPr>
          </w:p>
        </w:tc>
        <w:tc>
          <w:tcPr>
            <w:tcW w:w="1843" w:type="dxa"/>
          </w:tcPr>
          <w:p w14:paraId="31D9A302" w14:textId="77777777" w:rsidR="0021302F" w:rsidRPr="0063119B" w:rsidRDefault="0021302F" w:rsidP="0044301C">
            <w:pPr>
              <w:rPr>
                <w:szCs w:val="22"/>
              </w:rPr>
            </w:pPr>
            <w:r w:rsidRPr="0063119B">
              <w:rPr>
                <w:szCs w:val="22"/>
              </w:rPr>
              <w:t>Síndrome compartimental secundária a hemorragia</w:t>
            </w:r>
          </w:p>
        </w:tc>
      </w:tr>
      <w:tr w:rsidR="0021302F" w:rsidRPr="0063119B" w14:paraId="33B6F0BE" w14:textId="77777777" w:rsidTr="00D733A1">
        <w:trPr>
          <w:cantSplit/>
          <w:trHeight w:val="233"/>
        </w:trPr>
        <w:tc>
          <w:tcPr>
            <w:tcW w:w="9498" w:type="dxa"/>
            <w:gridSpan w:val="5"/>
          </w:tcPr>
          <w:p w14:paraId="4FD83004" w14:textId="77777777" w:rsidR="0021302F" w:rsidRPr="0063119B" w:rsidRDefault="0021302F" w:rsidP="0044301C">
            <w:pPr>
              <w:rPr>
                <w:szCs w:val="22"/>
              </w:rPr>
            </w:pPr>
            <w:r w:rsidRPr="0063119B">
              <w:rPr>
                <w:b/>
                <w:szCs w:val="22"/>
              </w:rPr>
              <w:t>Doenças renais e urinárias</w:t>
            </w:r>
          </w:p>
        </w:tc>
      </w:tr>
      <w:tr w:rsidR="0021302F" w:rsidRPr="0063119B" w14:paraId="1C9307C0" w14:textId="77777777" w:rsidTr="00D733A1">
        <w:trPr>
          <w:cantSplit/>
          <w:trHeight w:val="233"/>
        </w:trPr>
        <w:tc>
          <w:tcPr>
            <w:tcW w:w="2127" w:type="dxa"/>
          </w:tcPr>
          <w:p w14:paraId="0C3E7EBF" w14:textId="77777777" w:rsidR="0021302F" w:rsidRPr="0063119B" w:rsidRDefault="0021302F" w:rsidP="00197692">
            <w:pPr>
              <w:rPr>
                <w:szCs w:val="22"/>
              </w:rPr>
            </w:pPr>
            <w:r w:rsidRPr="0063119B">
              <w:rPr>
                <w:szCs w:val="22"/>
              </w:rPr>
              <w:t>Hemorragia do trato urogenital (incl. hematúria e menorragia</w:t>
            </w:r>
            <w:r w:rsidRPr="0063119B">
              <w:rPr>
                <w:szCs w:val="22"/>
                <w:vertAlign w:val="superscript"/>
              </w:rPr>
              <w:t>B</w:t>
            </w:r>
            <w:r w:rsidRPr="0063119B">
              <w:rPr>
                <w:szCs w:val="22"/>
              </w:rPr>
              <w:t>), compromisso renal (incl. aumento da creatinina no sangue, aumento da ureia no sangue)</w:t>
            </w:r>
          </w:p>
        </w:tc>
        <w:tc>
          <w:tcPr>
            <w:tcW w:w="2006" w:type="dxa"/>
          </w:tcPr>
          <w:p w14:paraId="54911112" w14:textId="77777777" w:rsidR="0021302F" w:rsidRPr="0063119B" w:rsidRDefault="0021302F" w:rsidP="00197692">
            <w:pPr>
              <w:rPr>
                <w:szCs w:val="22"/>
              </w:rPr>
            </w:pPr>
          </w:p>
        </w:tc>
        <w:tc>
          <w:tcPr>
            <w:tcW w:w="1821" w:type="dxa"/>
          </w:tcPr>
          <w:p w14:paraId="5C48B568" w14:textId="77777777" w:rsidR="0021302F" w:rsidRPr="0063119B" w:rsidRDefault="0021302F" w:rsidP="0044301C">
            <w:pPr>
              <w:rPr>
                <w:szCs w:val="22"/>
              </w:rPr>
            </w:pPr>
          </w:p>
        </w:tc>
        <w:tc>
          <w:tcPr>
            <w:tcW w:w="1701" w:type="dxa"/>
          </w:tcPr>
          <w:p w14:paraId="6C6436C3" w14:textId="77777777" w:rsidR="0021302F" w:rsidRPr="0063119B" w:rsidRDefault="0021302F" w:rsidP="0044301C">
            <w:pPr>
              <w:rPr>
                <w:szCs w:val="22"/>
              </w:rPr>
            </w:pPr>
          </w:p>
        </w:tc>
        <w:tc>
          <w:tcPr>
            <w:tcW w:w="1843" w:type="dxa"/>
          </w:tcPr>
          <w:p w14:paraId="5B95CAD4" w14:textId="75B4F3F0" w:rsidR="0021302F" w:rsidRPr="0063119B" w:rsidRDefault="0021302F" w:rsidP="0044301C">
            <w:pPr>
              <w:rPr>
                <w:szCs w:val="22"/>
              </w:rPr>
            </w:pPr>
            <w:r w:rsidRPr="0063119B">
              <w:rPr>
                <w:szCs w:val="22"/>
              </w:rPr>
              <w:t>Insuficiência renal/insuficiência renal aguda secundária a uma hemorragia suficiente para causar hipoperfusão</w:t>
            </w:r>
            <w:r w:rsidR="00347A76">
              <w:rPr>
                <w:szCs w:val="22"/>
              </w:rPr>
              <w:t xml:space="preserve">, </w:t>
            </w:r>
            <w:r w:rsidR="00347A76">
              <w:t>Nefropatia relacionada com anticoagulante</w:t>
            </w:r>
          </w:p>
        </w:tc>
      </w:tr>
      <w:tr w:rsidR="0021302F" w:rsidRPr="0063119B" w14:paraId="5894F5C3" w14:textId="77777777" w:rsidTr="00D733A1">
        <w:trPr>
          <w:cantSplit/>
          <w:trHeight w:val="167"/>
        </w:trPr>
        <w:tc>
          <w:tcPr>
            <w:tcW w:w="9498" w:type="dxa"/>
            <w:gridSpan w:val="5"/>
          </w:tcPr>
          <w:p w14:paraId="4F9D1755" w14:textId="77777777" w:rsidR="0021302F" w:rsidRPr="0063119B" w:rsidRDefault="0021302F" w:rsidP="0044301C">
            <w:pPr>
              <w:rPr>
                <w:szCs w:val="22"/>
              </w:rPr>
            </w:pPr>
            <w:r w:rsidRPr="0063119B">
              <w:rPr>
                <w:b/>
                <w:szCs w:val="22"/>
              </w:rPr>
              <w:t>Perturbações gerais e alterações no local de administração</w:t>
            </w:r>
          </w:p>
        </w:tc>
      </w:tr>
      <w:tr w:rsidR="0021302F" w:rsidRPr="0063119B" w14:paraId="01BF8B6E" w14:textId="77777777" w:rsidTr="00D733A1">
        <w:trPr>
          <w:cantSplit/>
          <w:trHeight w:val="466"/>
        </w:trPr>
        <w:tc>
          <w:tcPr>
            <w:tcW w:w="2127" w:type="dxa"/>
          </w:tcPr>
          <w:p w14:paraId="65A52A88" w14:textId="77777777" w:rsidR="0021302F" w:rsidRPr="0063119B" w:rsidRDefault="0021302F" w:rsidP="00A32F42">
            <w:pPr>
              <w:rPr>
                <w:szCs w:val="22"/>
              </w:rPr>
            </w:pPr>
            <w:r w:rsidRPr="0063119B">
              <w:rPr>
                <w:szCs w:val="22"/>
              </w:rPr>
              <w:lastRenderedPageBreak/>
              <w:t>Febre</w:t>
            </w:r>
            <w:r w:rsidRPr="0063119B">
              <w:rPr>
                <w:szCs w:val="22"/>
                <w:vertAlign w:val="superscript"/>
              </w:rPr>
              <w:t>A</w:t>
            </w:r>
            <w:r w:rsidRPr="0063119B">
              <w:rPr>
                <w:szCs w:val="22"/>
              </w:rPr>
              <w:t>, edema periférico, diminuição da força e energia de um modo geral (incl. fadiga e astenia)</w:t>
            </w:r>
          </w:p>
        </w:tc>
        <w:tc>
          <w:tcPr>
            <w:tcW w:w="2006" w:type="dxa"/>
          </w:tcPr>
          <w:p w14:paraId="0C5D8471" w14:textId="77777777" w:rsidR="0021302F" w:rsidRPr="0063119B" w:rsidRDefault="0021302F" w:rsidP="00197692">
            <w:pPr>
              <w:rPr>
                <w:szCs w:val="22"/>
              </w:rPr>
            </w:pPr>
            <w:r w:rsidRPr="0063119B">
              <w:rPr>
                <w:bCs/>
                <w:szCs w:val="22"/>
              </w:rPr>
              <w:t>Sensação de mal-estar</w:t>
            </w:r>
          </w:p>
        </w:tc>
        <w:tc>
          <w:tcPr>
            <w:tcW w:w="1821" w:type="dxa"/>
          </w:tcPr>
          <w:p w14:paraId="7AAE9F24" w14:textId="77777777" w:rsidR="0021302F" w:rsidRPr="0063119B" w:rsidRDefault="0021302F" w:rsidP="00197692">
            <w:pPr>
              <w:rPr>
                <w:strike/>
                <w:szCs w:val="22"/>
              </w:rPr>
            </w:pPr>
            <w:r w:rsidRPr="0063119B">
              <w:rPr>
                <w:bCs/>
                <w:szCs w:val="22"/>
              </w:rPr>
              <w:t>Edema localizado</w:t>
            </w:r>
            <w:r w:rsidRPr="0063119B">
              <w:rPr>
                <w:szCs w:val="22"/>
                <w:vertAlign w:val="superscript"/>
              </w:rPr>
              <w:t>A</w:t>
            </w:r>
          </w:p>
        </w:tc>
        <w:tc>
          <w:tcPr>
            <w:tcW w:w="1701" w:type="dxa"/>
          </w:tcPr>
          <w:p w14:paraId="181C1BD8" w14:textId="77777777" w:rsidR="0021302F" w:rsidRPr="0063119B" w:rsidRDefault="0021302F" w:rsidP="0044301C">
            <w:pPr>
              <w:rPr>
                <w:szCs w:val="22"/>
              </w:rPr>
            </w:pPr>
          </w:p>
        </w:tc>
        <w:tc>
          <w:tcPr>
            <w:tcW w:w="1843" w:type="dxa"/>
          </w:tcPr>
          <w:p w14:paraId="0964F960" w14:textId="77777777" w:rsidR="0021302F" w:rsidRPr="0063119B" w:rsidRDefault="0021302F" w:rsidP="0044301C">
            <w:pPr>
              <w:rPr>
                <w:szCs w:val="22"/>
              </w:rPr>
            </w:pPr>
          </w:p>
        </w:tc>
      </w:tr>
      <w:tr w:rsidR="0021302F" w:rsidRPr="0063119B" w14:paraId="4786D26E" w14:textId="77777777" w:rsidTr="00D733A1">
        <w:trPr>
          <w:cantSplit/>
          <w:trHeight w:val="233"/>
        </w:trPr>
        <w:tc>
          <w:tcPr>
            <w:tcW w:w="9498" w:type="dxa"/>
            <w:gridSpan w:val="5"/>
          </w:tcPr>
          <w:p w14:paraId="2C54AD3D" w14:textId="77777777" w:rsidR="0021302F" w:rsidRPr="0063119B" w:rsidRDefault="0021302F" w:rsidP="0044301C">
            <w:pPr>
              <w:rPr>
                <w:szCs w:val="22"/>
              </w:rPr>
            </w:pPr>
            <w:r w:rsidRPr="0063119B">
              <w:rPr>
                <w:b/>
                <w:szCs w:val="22"/>
              </w:rPr>
              <w:t>Exames complementares de diagnóstico</w:t>
            </w:r>
          </w:p>
        </w:tc>
      </w:tr>
      <w:tr w:rsidR="0021302F" w:rsidRPr="0063119B" w14:paraId="685E7A19" w14:textId="77777777" w:rsidTr="00D733A1">
        <w:trPr>
          <w:cantSplit/>
          <w:trHeight w:val="233"/>
        </w:trPr>
        <w:tc>
          <w:tcPr>
            <w:tcW w:w="2127" w:type="dxa"/>
          </w:tcPr>
          <w:p w14:paraId="1A43AB91" w14:textId="77777777" w:rsidR="0021302F" w:rsidRPr="0063119B" w:rsidRDefault="0021302F" w:rsidP="0044301C">
            <w:pPr>
              <w:rPr>
                <w:szCs w:val="22"/>
              </w:rPr>
            </w:pPr>
          </w:p>
        </w:tc>
        <w:tc>
          <w:tcPr>
            <w:tcW w:w="2006" w:type="dxa"/>
          </w:tcPr>
          <w:p w14:paraId="311998D7" w14:textId="77777777" w:rsidR="0021302F" w:rsidRPr="0063119B" w:rsidRDefault="00103650" w:rsidP="00103650">
            <w:pPr>
              <w:rPr>
                <w:szCs w:val="22"/>
              </w:rPr>
            </w:pPr>
            <w:r w:rsidRPr="0063119B">
              <w:rPr>
                <w:szCs w:val="22"/>
              </w:rPr>
              <w:t>A</w:t>
            </w:r>
            <w:r w:rsidR="0021302F" w:rsidRPr="0063119B">
              <w:rPr>
                <w:szCs w:val="22"/>
              </w:rPr>
              <w:t>umento da HDL</w:t>
            </w:r>
            <w:r w:rsidR="0021302F" w:rsidRPr="0063119B">
              <w:rPr>
                <w:szCs w:val="22"/>
                <w:vertAlign w:val="superscript"/>
              </w:rPr>
              <w:t>A</w:t>
            </w:r>
            <w:r w:rsidR="0021302F" w:rsidRPr="0063119B">
              <w:rPr>
                <w:szCs w:val="22"/>
              </w:rPr>
              <w:t>, aumento da lipase</w:t>
            </w:r>
            <w:r w:rsidR="0021302F" w:rsidRPr="0063119B">
              <w:rPr>
                <w:szCs w:val="22"/>
                <w:vertAlign w:val="superscript"/>
              </w:rPr>
              <w:t>A</w:t>
            </w:r>
            <w:r w:rsidR="0021302F" w:rsidRPr="0063119B">
              <w:rPr>
                <w:szCs w:val="22"/>
              </w:rPr>
              <w:t>, aumento da amilase</w:t>
            </w:r>
            <w:r w:rsidR="0021302F" w:rsidRPr="0063119B">
              <w:rPr>
                <w:szCs w:val="22"/>
                <w:vertAlign w:val="superscript"/>
              </w:rPr>
              <w:t>A</w:t>
            </w:r>
          </w:p>
        </w:tc>
        <w:tc>
          <w:tcPr>
            <w:tcW w:w="1821" w:type="dxa"/>
          </w:tcPr>
          <w:p w14:paraId="3E094EAA" w14:textId="77777777" w:rsidR="0021302F" w:rsidRPr="0063119B" w:rsidRDefault="0021302F" w:rsidP="0044301C">
            <w:pPr>
              <w:rPr>
                <w:szCs w:val="22"/>
              </w:rPr>
            </w:pPr>
          </w:p>
        </w:tc>
        <w:tc>
          <w:tcPr>
            <w:tcW w:w="1701" w:type="dxa"/>
          </w:tcPr>
          <w:p w14:paraId="061BB271" w14:textId="77777777" w:rsidR="0021302F" w:rsidRPr="0063119B" w:rsidRDefault="0021302F" w:rsidP="0044301C">
            <w:pPr>
              <w:rPr>
                <w:szCs w:val="22"/>
              </w:rPr>
            </w:pPr>
          </w:p>
        </w:tc>
        <w:tc>
          <w:tcPr>
            <w:tcW w:w="1843" w:type="dxa"/>
          </w:tcPr>
          <w:p w14:paraId="6F9954FE" w14:textId="77777777" w:rsidR="0021302F" w:rsidRPr="0063119B" w:rsidRDefault="0021302F" w:rsidP="0044301C">
            <w:pPr>
              <w:rPr>
                <w:szCs w:val="22"/>
              </w:rPr>
            </w:pPr>
          </w:p>
        </w:tc>
      </w:tr>
      <w:tr w:rsidR="0021302F" w:rsidRPr="0063119B" w14:paraId="23EC7906" w14:textId="77777777" w:rsidTr="00D733A1">
        <w:trPr>
          <w:cantSplit/>
          <w:trHeight w:val="233"/>
        </w:trPr>
        <w:tc>
          <w:tcPr>
            <w:tcW w:w="9498" w:type="dxa"/>
            <w:gridSpan w:val="5"/>
          </w:tcPr>
          <w:p w14:paraId="0B7F0B98" w14:textId="77777777" w:rsidR="0021302F" w:rsidRPr="0063119B" w:rsidRDefault="0021302F" w:rsidP="0044301C">
            <w:pPr>
              <w:rPr>
                <w:szCs w:val="22"/>
              </w:rPr>
            </w:pPr>
            <w:r w:rsidRPr="0063119B">
              <w:rPr>
                <w:b/>
                <w:szCs w:val="22"/>
              </w:rPr>
              <w:t>Complicações de intervenções relacionadas com lesões e intoxicações</w:t>
            </w:r>
          </w:p>
        </w:tc>
      </w:tr>
      <w:tr w:rsidR="0021302F" w:rsidRPr="0063119B" w14:paraId="0E8AC93E" w14:textId="77777777" w:rsidTr="00D733A1">
        <w:trPr>
          <w:cantSplit/>
          <w:trHeight w:val="233"/>
        </w:trPr>
        <w:tc>
          <w:tcPr>
            <w:tcW w:w="2127" w:type="dxa"/>
          </w:tcPr>
          <w:p w14:paraId="41EB9480" w14:textId="77777777" w:rsidR="0021302F" w:rsidRPr="0063119B" w:rsidRDefault="0021302F" w:rsidP="0044301C">
            <w:pPr>
              <w:rPr>
                <w:szCs w:val="22"/>
              </w:rPr>
            </w:pPr>
            <w:r w:rsidRPr="0063119B">
              <w:rPr>
                <w:szCs w:val="22"/>
              </w:rPr>
              <w:t>Hemorragia pós-procedimento (incl. anemia pós-operatória e hemorragia da ferida), contusão, secreção da ferida</w:t>
            </w:r>
            <w:r w:rsidRPr="0063119B">
              <w:rPr>
                <w:szCs w:val="22"/>
                <w:vertAlign w:val="superscript"/>
              </w:rPr>
              <w:t>A</w:t>
            </w:r>
          </w:p>
        </w:tc>
        <w:tc>
          <w:tcPr>
            <w:tcW w:w="2006" w:type="dxa"/>
          </w:tcPr>
          <w:p w14:paraId="05ACCA9F" w14:textId="77777777" w:rsidR="0021302F" w:rsidRPr="0063119B" w:rsidRDefault="0021302F" w:rsidP="0044301C">
            <w:pPr>
              <w:rPr>
                <w:strike/>
                <w:szCs w:val="22"/>
              </w:rPr>
            </w:pPr>
          </w:p>
        </w:tc>
        <w:tc>
          <w:tcPr>
            <w:tcW w:w="1821" w:type="dxa"/>
          </w:tcPr>
          <w:p w14:paraId="50E5DA40" w14:textId="77777777" w:rsidR="0021302F" w:rsidRPr="0063119B" w:rsidRDefault="0021302F" w:rsidP="0044301C">
            <w:pPr>
              <w:rPr>
                <w:szCs w:val="22"/>
              </w:rPr>
            </w:pPr>
            <w:r w:rsidRPr="0063119B">
              <w:rPr>
                <w:szCs w:val="22"/>
              </w:rPr>
              <w:t>Pseudoaneurisma vascular</w:t>
            </w:r>
            <w:r w:rsidRPr="0063119B">
              <w:rPr>
                <w:szCs w:val="22"/>
                <w:vertAlign w:val="superscript"/>
              </w:rPr>
              <w:t>C</w:t>
            </w:r>
          </w:p>
        </w:tc>
        <w:tc>
          <w:tcPr>
            <w:tcW w:w="1701" w:type="dxa"/>
          </w:tcPr>
          <w:p w14:paraId="1CF2B4B3" w14:textId="77777777" w:rsidR="0021302F" w:rsidRPr="0063119B" w:rsidRDefault="0021302F" w:rsidP="0044301C">
            <w:pPr>
              <w:rPr>
                <w:szCs w:val="22"/>
              </w:rPr>
            </w:pPr>
          </w:p>
        </w:tc>
        <w:tc>
          <w:tcPr>
            <w:tcW w:w="1843" w:type="dxa"/>
          </w:tcPr>
          <w:p w14:paraId="260AFCA3" w14:textId="77777777" w:rsidR="0021302F" w:rsidRPr="0063119B" w:rsidRDefault="0021302F" w:rsidP="0044301C">
            <w:pPr>
              <w:rPr>
                <w:szCs w:val="22"/>
              </w:rPr>
            </w:pPr>
          </w:p>
        </w:tc>
      </w:tr>
    </w:tbl>
    <w:p w14:paraId="7D5702B2" w14:textId="77777777" w:rsidR="00337111" w:rsidRPr="0063119B" w:rsidRDefault="00337111" w:rsidP="00337111">
      <w:pPr>
        <w:rPr>
          <w:szCs w:val="22"/>
        </w:rPr>
      </w:pPr>
      <w:r w:rsidRPr="0063119B">
        <w:rPr>
          <w:szCs w:val="22"/>
        </w:rPr>
        <w:t xml:space="preserve">A: observados na </w:t>
      </w:r>
      <w:r w:rsidR="00244203" w:rsidRPr="0063119B">
        <w:rPr>
          <w:szCs w:val="22"/>
        </w:rPr>
        <w:t>prevenção d</w:t>
      </w:r>
      <w:r w:rsidR="000E46B1" w:rsidRPr="0063119B">
        <w:rPr>
          <w:szCs w:val="22"/>
        </w:rPr>
        <w:t>o</w:t>
      </w:r>
      <w:r w:rsidR="00244203" w:rsidRPr="0063119B">
        <w:rPr>
          <w:szCs w:val="22"/>
        </w:rPr>
        <w:t xml:space="preserve"> TEV em doentes adultos </w:t>
      </w:r>
      <w:r w:rsidR="00244203" w:rsidRPr="0063119B">
        <w:rPr>
          <w:noProof/>
          <w:szCs w:val="22"/>
        </w:rPr>
        <w:t xml:space="preserve">submetidos a </w:t>
      </w:r>
      <w:r w:rsidR="00244203" w:rsidRPr="0063119B">
        <w:rPr>
          <w:szCs w:val="22"/>
        </w:rPr>
        <w:t>artroplastia eletiva da anca ou joelho</w:t>
      </w:r>
    </w:p>
    <w:p w14:paraId="0E0F6931" w14:textId="77777777" w:rsidR="00337111" w:rsidRPr="0063119B" w:rsidRDefault="00337111" w:rsidP="00337111">
      <w:pPr>
        <w:rPr>
          <w:szCs w:val="22"/>
        </w:rPr>
      </w:pPr>
      <w:r w:rsidRPr="0063119B">
        <w:rPr>
          <w:szCs w:val="22"/>
        </w:rPr>
        <w:t>B: observado</w:t>
      </w:r>
      <w:r w:rsidR="00207D7E" w:rsidRPr="0063119B">
        <w:rPr>
          <w:szCs w:val="22"/>
        </w:rPr>
        <w:t>s</w:t>
      </w:r>
      <w:r w:rsidRPr="0063119B">
        <w:rPr>
          <w:szCs w:val="22"/>
        </w:rPr>
        <w:t xml:space="preserve"> no </w:t>
      </w:r>
      <w:r w:rsidR="00207D7E" w:rsidRPr="0063119B">
        <w:rPr>
          <w:szCs w:val="22"/>
        </w:rPr>
        <w:t>tratamento d</w:t>
      </w:r>
      <w:r w:rsidR="004621F5" w:rsidRPr="0063119B">
        <w:rPr>
          <w:szCs w:val="22"/>
        </w:rPr>
        <w:t>a TVP</w:t>
      </w:r>
      <w:r w:rsidR="00207D7E" w:rsidRPr="0063119B">
        <w:rPr>
          <w:szCs w:val="22"/>
        </w:rPr>
        <w:t>, EP e na prevenção de recorrência</w:t>
      </w:r>
      <w:r w:rsidRPr="0063119B">
        <w:rPr>
          <w:szCs w:val="22"/>
        </w:rPr>
        <w:t xml:space="preserve"> como muito frequentes em mulheres com &lt;55 anos</w:t>
      </w:r>
    </w:p>
    <w:p w14:paraId="00434077" w14:textId="77777777" w:rsidR="00207D7E" w:rsidRPr="0063119B" w:rsidRDefault="00207D7E" w:rsidP="00207D7E">
      <w:pPr>
        <w:rPr>
          <w:szCs w:val="22"/>
        </w:rPr>
      </w:pPr>
      <w:r w:rsidRPr="0063119B">
        <w:rPr>
          <w:szCs w:val="22"/>
        </w:rPr>
        <w:t>C: observados</w:t>
      </w:r>
      <w:r w:rsidR="004621F5" w:rsidRPr="0063119B">
        <w:rPr>
          <w:szCs w:val="22"/>
        </w:rPr>
        <w:t xml:space="preserve"> como pouco frequentes </w:t>
      </w:r>
      <w:r w:rsidRPr="0063119B">
        <w:rPr>
          <w:szCs w:val="22"/>
        </w:rPr>
        <w:t xml:space="preserve">na prevenção </w:t>
      </w:r>
      <w:r w:rsidR="004621F5" w:rsidRPr="0063119B">
        <w:rPr>
          <w:szCs w:val="22"/>
        </w:rPr>
        <w:t>de acontecimentos aterotrombóticos em doentes após uma SCA</w:t>
      </w:r>
      <w:r w:rsidRPr="0063119B">
        <w:rPr>
          <w:szCs w:val="22"/>
        </w:rPr>
        <w:t xml:space="preserve"> (após intervenção </w:t>
      </w:r>
      <w:r w:rsidR="004621F5" w:rsidRPr="0063119B">
        <w:rPr>
          <w:szCs w:val="22"/>
        </w:rPr>
        <w:t xml:space="preserve">coronária </w:t>
      </w:r>
      <w:r w:rsidRPr="0063119B">
        <w:rPr>
          <w:szCs w:val="22"/>
        </w:rPr>
        <w:t>percutânea)</w:t>
      </w:r>
      <w:r w:rsidR="00BC0C00" w:rsidRPr="0063119B">
        <w:rPr>
          <w:szCs w:val="22"/>
        </w:rPr>
        <w:t xml:space="preserve"> </w:t>
      </w:r>
    </w:p>
    <w:p w14:paraId="2F0CC988" w14:textId="77777777" w:rsidR="00226BAA" w:rsidRPr="0063119B" w:rsidRDefault="00145B36" w:rsidP="00145B36">
      <w:pPr>
        <w:tabs>
          <w:tab w:val="left" w:pos="284"/>
        </w:tabs>
        <w:rPr>
          <w:szCs w:val="22"/>
        </w:rPr>
      </w:pPr>
      <w:bookmarkStart w:id="2" w:name="_Hlk519071337"/>
      <w:r w:rsidRPr="0063119B">
        <w:rPr>
          <w:szCs w:val="22"/>
        </w:rPr>
        <w:t>*</w:t>
      </w:r>
      <w:r w:rsidR="00226BAA" w:rsidRPr="0063119B">
        <w:rPr>
          <w:szCs w:val="22"/>
        </w:rPr>
        <w:tab/>
      </w:r>
      <w:r w:rsidR="00561F70">
        <w:t>Aplicou-se uma abordagem seletiva pré-especificada para a recolha de acontecimentos adversos em estudos de fase III selecionados. A incidência de reações adversas não aumentou e não foi identificada nenhuma reação adversa medicamentosa nova após a análise destes estudos.</w:t>
      </w:r>
    </w:p>
    <w:bookmarkEnd w:id="2"/>
    <w:p w14:paraId="189C3802" w14:textId="77777777" w:rsidR="00207D7E" w:rsidRPr="0063119B" w:rsidRDefault="00207D7E" w:rsidP="00337111">
      <w:pPr>
        <w:suppressAutoHyphens/>
        <w:rPr>
          <w:noProof/>
          <w:szCs w:val="22"/>
        </w:rPr>
      </w:pPr>
    </w:p>
    <w:p w14:paraId="3C1D5F2C" w14:textId="77777777" w:rsidR="00337111" w:rsidRDefault="00337111" w:rsidP="003311FD">
      <w:pPr>
        <w:keepNext/>
        <w:suppressAutoHyphens/>
        <w:rPr>
          <w:noProof/>
          <w:szCs w:val="22"/>
          <w:u w:val="single"/>
        </w:rPr>
      </w:pPr>
      <w:r w:rsidRPr="0063119B">
        <w:rPr>
          <w:noProof/>
          <w:szCs w:val="22"/>
          <w:u w:val="single"/>
        </w:rPr>
        <w:t>Descrição das reações adversas selecionadas</w:t>
      </w:r>
    </w:p>
    <w:p w14:paraId="4DD8E889" w14:textId="77777777" w:rsidR="0007618E" w:rsidRPr="0063119B" w:rsidRDefault="0007618E" w:rsidP="003311FD">
      <w:pPr>
        <w:keepNext/>
        <w:suppressAutoHyphens/>
        <w:rPr>
          <w:noProof/>
          <w:szCs w:val="22"/>
          <w:u w:val="single"/>
        </w:rPr>
      </w:pPr>
    </w:p>
    <w:p w14:paraId="155DA989" w14:textId="77777777" w:rsidR="00337111" w:rsidRPr="0063119B" w:rsidRDefault="00337111" w:rsidP="00337111">
      <w:pPr>
        <w:suppressAutoHyphens/>
        <w:rPr>
          <w:noProof/>
          <w:szCs w:val="22"/>
        </w:rPr>
      </w:pPr>
      <w:r w:rsidRPr="0063119B">
        <w:rPr>
          <w:noProof/>
          <w:szCs w:val="22"/>
        </w:rPr>
        <w:t xml:space="preserve">Devido ao modo de ação farmacológico, a utilização de </w:t>
      </w:r>
      <w:r w:rsidR="002C68B2" w:rsidRPr="0063119B">
        <w:rPr>
          <w:noProof/>
          <w:szCs w:val="22"/>
        </w:rPr>
        <w:t>rivaroxabano</w:t>
      </w:r>
      <w:r w:rsidRPr="0063119B">
        <w:rPr>
          <w:noProof/>
          <w:szCs w:val="22"/>
        </w:rPr>
        <w:t xml:space="preserve"> pode estar associada a um risco acrescido de hemorragia, oculta ou evidente, de qualquer tecido ou órgão, que pode resultar em anemia pós-hemorrágica. Os sinais, sintomas e gravidade (incluindo um desfecho fatal) irão variar de acordo com a localização e o grau ou a extensão da hemorragia e/ou anemia </w:t>
      </w:r>
      <w:r w:rsidRPr="0063119B">
        <w:rPr>
          <w:szCs w:val="22"/>
        </w:rPr>
        <w:t xml:space="preserve">(ver secção 4.9 Controlo da hemorragia). </w:t>
      </w:r>
      <w:r w:rsidR="00CD3E37" w:rsidRPr="0063119B">
        <w:rPr>
          <w:szCs w:val="22"/>
        </w:rPr>
        <w:t>Nos</w:t>
      </w:r>
      <w:r w:rsidRPr="0063119B">
        <w:rPr>
          <w:szCs w:val="22"/>
        </w:rPr>
        <w:t xml:space="preserve"> estudos clínicos, foram observadas com maior frequência hemorragias das mucosas (ex.: epistaxe, gengival, gastrointestinal, genitourinária</w:t>
      </w:r>
      <w:r w:rsidR="00E554AF" w:rsidRPr="0063119B">
        <w:rPr>
          <w:szCs w:val="22"/>
        </w:rPr>
        <w:t xml:space="preserve"> incluindo hemorragia vaginal anormal ou menstrual aumentada</w:t>
      </w:r>
      <w:r w:rsidRPr="0063119B">
        <w:rPr>
          <w:szCs w:val="22"/>
        </w:rPr>
        <w:t>) e anemia durante o tratamento prolongado com rivaroxabano, comparativamente ao tratamento com AVK. Assim, para além de uma vigilância clínica adequada, testes laboratoriais de hemoglobina/hematócrito podem ser uma mais</w:t>
      </w:r>
      <w:r w:rsidR="00FE6F39" w:rsidRPr="0063119B">
        <w:rPr>
          <w:szCs w:val="22"/>
        </w:rPr>
        <w:t>-</w:t>
      </w:r>
      <w:r w:rsidRPr="0063119B">
        <w:rPr>
          <w:szCs w:val="22"/>
        </w:rPr>
        <w:t>valia para detetar hemorragias ocultas</w:t>
      </w:r>
      <w:r w:rsidR="00390935" w:rsidRPr="0063119B">
        <w:rPr>
          <w:szCs w:val="22"/>
        </w:rPr>
        <w:t xml:space="preserve"> e quantificar a relevância clínica de uma hemorragia óbvia</w:t>
      </w:r>
      <w:r w:rsidRPr="0063119B">
        <w:rPr>
          <w:szCs w:val="22"/>
        </w:rPr>
        <w:t>, quando considerado necessário</w:t>
      </w:r>
      <w:r w:rsidRPr="0063119B">
        <w:rPr>
          <w:noProof/>
          <w:szCs w:val="22"/>
        </w:rPr>
        <w:t xml:space="preserve">. O risco de hemorragias pode estar aumentado em certos grupos de doentes, como por exemplo, os doentes com hipertensão arterial grave não controlada e/ou em tratamento concomitante afetando a hemostase (ver </w:t>
      </w:r>
      <w:r w:rsidR="00A407A9" w:rsidRPr="0063119B">
        <w:rPr>
          <w:noProof/>
          <w:szCs w:val="22"/>
        </w:rPr>
        <w:t>secção 4.4 “</w:t>
      </w:r>
      <w:r w:rsidRPr="0063119B">
        <w:rPr>
          <w:noProof/>
          <w:szCs w:val="22"/>
        </w:rPr>
        <w:t>Risco hemorrágico</w:t>
      </w:r>
      <w:r w:rsidR="00A407A9" w:rsidRPr="0063119B">
        <w:rPr>
          <w:noProof/>
          <w:szCs w:val="22"/>
        </w:rPr>
        <w:t>”</w:t>
      </w:r>
      <w:r w:rsidRPr="0063119B">
        <w:rPr>
          <w:noProof/>
          <w:szCs w:val="22"/>
        </w:rPr>
        <w:t>). A hemorragia menstrual pode estar intensificada e/ou prolongada. As complicações hemorrágicas poderão apresentar-se como fraqueza, palidez, tonturas, cefaleias ou edema inexplicável, dispneia e choque inexplicável. Em alguns casos, observaram-se como consequência da anemia, sintomas de isquémia cardíaca como dor no peito ou angina de peito.</w:t>
      </w:r>
    </w:p>
    <w:p w14:paraId="453DB779" w14:textId="49C1D4CC" w:rsidR="00337111" w:rsidRPr="0063119B" w:rsidRDefault="00337111" w:rsidP="00337111">
      <w:pPr>
        <w:suppressAutoHyphens/>
        <w:rPr>
          <w:noProof/>
          <w:szCs w:val="22"/>
        </w:rPr>
      </w:pPr>
      <w:r w:rsidRPr="0063119B">
        <w:rPr>
          <w:noProof/>
          <w:szCs w:val="22"/>
        </w:rPr>
        <w:t xml:space="preserve">Foram notificadas com </w:t>
      </w:r>
      <w:r w:rsidR="002C68B2" w:rsidRPr="0063119B">
        <w:rPr>
          <w:noProof/>
          <w:szCs w:val="22"/>
        </w:rPr>
        <w:t xml:space="preserve">o rivaroxabano </w:t>
      </w:r>
      <w:r w:rsidRPr="0063119B">
        <w:rPr>
          <w:noProof/>
          <w:szCs w:val="22"/>
        </w:rPr>
        <w:t>complicações secundárias conhecidas à hemorragia grave, tais como síndrome compartimental e insuficiência renal, devidas à hipoperfusão</w:t>
      </w:r>
      <w:r w:rsidR="00347A76">
        <w:rPr>
          <w:noProof/>
          <w:szCs w:val="22"/>
        </w:rPr>
        <w:t xml:space="preserve"> </w:t>
      </w:r>
      <w:r w:rsidR="00347A76">
        <w:t>ou nefropatia relacionada com anticoagulante</w:t>
      </w:r>
      <w:r w:rsidRPr="0063119B">
        <w:rPr>
          <w:noProof/>
          <w:szCs w:val="22"/>
        </w:rPr>
        <w:t>. Por este motivo, ao avaliar-se o estado de qualquer doente tratado com anticoagulantes, deverá ser considerada a possibilidade de hemorragia.</w:t>
      </w:r>
    </w:p>
    <w:p w14:paraId="6BB47A77" w14:textId="77777777" w:rsidR="00216222" w:rsidRPr="0063119B" w:rsidRDefault="00216222" w:rsidP="00216222">
      <w:pPr>
        <w:rPr>
          <w:szCs w:val="22"/>
        </w:rPr>
      </w:pPr>
    </w:p>
    <w:p w14:paraId="05CB1B73" w14:textId="77777777" w:rsidR="00392EA8" w:rsidRDefault="00392EA8" w:rsidP="00392EA8">
      <w:pPr>
        <w:suppressAutoHyphens/>
        <w:rPr>
          <w:noProof/>
          <w:szCs w:val="22"/>
          <w:u w:val="single"/>
        </w:rPr>
      </w:pPr>
      <w:r w:rsidRPr="0063119B">
        <w:rPr>
          <w:noProof/>
          <w:szCs w:val="22"/>
          <w:u w:val="single"/>
        </w:rPr>
        <w:t>Notificação de suspeitas de reações adversas</w:t>
      </w:r>
    </w:p>
    <w:p w14:paraId="5BE8B3C3" w14:textId="77777777" w:rsidR="00B60DD5" w:rsidRPr="0063119B" w:rsidRDefault="00B60DD5" w:rsidP="00392EA8">
      <w:pPr>
        <w:suppressAutoHyphens/>
        <w:rPr>
          <w:szCs w:val="22"/>
          <w:u w:val="single"/>
        </w:rPr>
      </w:pPr>
    </w:p>
    <w:p w14:paraId="09452765" w14:textId="77777777" w:rsidR="00216222" w:rsidRPr="0063119B" w:rsidRDefault="00392EA8" w:rsidP="00392EA8">
      <w:pPr>
        <w:suppressAutoHyphens/>
        <w:rPr>
          <w:szCs w:val="22"/>
        </w:rPr>
      </w:pPr>
      <w:r w:rsidRPr="0063119B">
        <w:rPr>
          <w:noProof/>
          <w:szCs w:val="22"/>
        </w:rPr>
        <w:t>A notificação de suspeitas de reações adversas após a autorização do medicamento é importante, uma vez que permite uma monitorização contínua da relação benefício-risco do medicamento.</w:t>
      </w:r>
      <w:r w:rsidRPr="0063119B">
        <w:rPr>
          <w:szCs w:val="22"/>
        </w:rPr>
        <w:t xml:space="preserve"> Pede-se aos </w:t>
      </w:r>
      <w:r w:rsidRPr="0063119B">
        <w:rPr>
          <w:szCs w:val="22"/>
        </w:rPr>
        <w:lastRenderedPageBreak/>
        <w:t xml:space="preserve">profissionais de saúde que notifiquem quaisquer suspeitas de reações adversas através </w:t>
      </w:r>
      <w:r w:rsidRPr="0063119B">
        <w:rPr>
          <w:szCs w:val="22"/>
          <w:highlight w:val="lightGray"/>
        </w:rPr>
        <w:t xml:space="preserve">do sistema nacional de notificação mencionado no </w:t>
      </w:r>
      <w:hyperlink r:id="rId16" w:history="1">
        <w:r w:rsidRPr="0063119B">
          <w:rPr>
            <w:rStyle w:val="Hyperlink"/>
            <w:szCs w:val="22"/>
            <w:highlight w:val="lightGray"/>
          </w:rPr>
          <w:t>Apêndice V</w:t>
        </w:r>
      </w:hyperlink>
      <w:r w:rsidRPr="0063119B">
        <w:rPr>
          <w:szCs w:val="22"/>
        </w:rPr>
        <w:t>.</w:t>
      </w:r>
    </w:p>
    <w:p w14:paraId="3D050237" w14:textId="77777777" w:rsidR="00F258F0" w:rsidRPr="0063119B" w:rsidRDefault="00F258F0" w:rsidP="00392EA8">
      <w:pPr>
        <w:suppressAutoHyphens/>
        <w:rPr>
          <w:noProof/>
          <w:szCs w:val="22"/>
        </w:rPr>
      </w:pPr>
    </w:p>
    <w:p w14:paraId="0432DE7D" w14:textId="77777777" w:rsidR="00337111" w:rsidRPr="0063119B" w:rsidRDefault="00337111" w:rsidP="00A9161F">
      <w:pPr>
        <w:keepNext/>
        <w:suppressAutoHyphens/>
        <w:ind w:left="567" w:hanging="567"/>
        <w:rPr>
          <w:noProof/>
          <w:szCs w:val="22"/>
        </w:rPr>
      </w:pPr>
      <w:r w:rsidRPr="0063119B">
        <w:rPr>
          <w:b/>
          <w:noProof/>
          <w:szCs w:val="22"/>
        </w:rPr>
        <w:t>4.9</w:t>
      </w:r>
      <w:r w:rsidRPr="0063119B">
        <w:rPr>
          <w:b/>
          <w:noProof/>
          <w:szCs w:val="22"/>
        </w:rPr>
        <w:tab/>
        <w:t>Sobredosagem</w:t>
      </w:r>
    </w:p>
    <w:p w14:paraId="2E8E011B" w14:textId="77777777" w:rsidR="00337111" w:rsidRPr="0063119B" w:rsidRDefault="00337111" w:rsidP="00A9161F">
      <w:pPr>
        <w:keepNext/>
        <w:suppressAutoHyphens/>
        <w:rPr>
          <w:noProof/>
          <w:szCs w:val="22"/>
        </w:rPr>
      </w:pPr>
    </w:p>
    <w:p w14:paraId="18CD3C48" w14:textId="77777777" w:rsidR="009B5619" w:rsidRPr="0063119B" w:rsidRDefault="00337111" w:rsidP="00337111">
      <w:pPr>
        <w:rPr>
          <w:szCs w:val="22"/>
        </w:rPr>
      </w:pPr>
      <w:r w:rsidRPr="0063119B">
        <w:rPr>
          <w:szCs w:val="22"/>
        </w:rPr>
        <w:t xml:space="preserve">Foram notificados casos raros de sobredosagem com doses até </w:t>
      </w:r>
      <w:r w:rsidR="00A76E6A">
        <w:rPr>
          <w:szCs w:val="22"/>
        </w:rPr>
        <w:t>10</w:t>
      </w:r>
      <w:r w:rsidRPr="0063119B">
        <w:rPr>
          <w:szCs w:val="22"/>
        </w:rPr>
        <w:t>60 mg</w:t>
      </w:r>
      <w:r w:rsidR="00A76E6A">
        <w:rPr>
          <w:szCs w:val="22"/>
        </w:rPr>
        <w:t>.</w:t>
      </w:r>
      <w:r w:rsidRPr="0063119B">
        <w:rPr>
          <w:szCs w:val="22"/>
        </w:rPr>
        <w:t xml:space="preserve"> </w:t>
      </w:r>
      <w:r w:rsidR="00A76E6A">
        <w:rPr>
          <w:szCs w:val="22"/>
        </w:rPr>
        <w:t>Em casos de sobredosagem, o doente deve ser cuidadosamente observado quanto a</w:t>
      </w:r>
      <w:r w:rsidRPr="0063119B">
        <w:rPr>
          <w:szCs w:val="22"/>
        </w:rPr>
        <w:t xml:space="preserve"> complicações hemorrágicas ou outras reações adversas</w:t>
      </w:r>
      <w:r w:rsidR="00A76E6A">
        <w:rPr>
          <w:szCs w:val="22"/>
        </w:rPr>
        <w:t xml:space="preserve"> (ver secção “Controlo da hemorragia”)</w:t>
      </w:r>
      <w:r w:rsidRPr="0063119B">
        <w:rPr>
          <w:szCs w:val="22"/>
        </w:rPr>
        <w:t xml:space="preserve">. Devido à absorção limitada, prevê-se um efeito máximo sem aumento adicional da exposição plasmática média em doses supraterapêuticas de 50 mg ou mais de rivaroxabano. </w:t>
      </w:r>
    </w:p>
    <w:p w14:paraId="148E56F9" w14:textId="77777777" w:rsidR="00882FBD" w:rsidRPr="0063119B" w:rsidRDefault="009B5619" w:rsidP="00337111">
      <w:pPr>
        <w:rPr>
          <w:szCs w:val="22"/>
        </w:rPr>
      </w:pPr>
      <w:r w:rsidRPr="0063119B">
        <w:rPr>
          <w:szCs w:val="22"/>
        </w:rPr>
        <w:t>Está</w:t>
      </w:r>
      <w:r w:rsidR="00337111" w:rsidRPr="0063119B">
        <w:rPr>
          <w:szCs w:val="22"/>
        </w:rPr>
        <w:t xml:space="preserve"> disponível um </w:t>
      </w:r>
      <w:r w:rsidRPr="0063119B">
        <w:rPr>
          <w:szCs w:val="22"/>
        </w:rPr>
        <w:t>agente de reversão</w:t>
      </w:r>
      <w:r w:rsidR="00337111" w:rsidRPr="0063119B">
        <w:rPr>
          <w:szCs w:val="22"/>
        </w:rPr>
        <w:t xml:space="preserve"> específico </w:t>
      </w:r>
      <w:r w:rsidRPr="0063119B">
        <w:rPr>
          <w:szCs w:val="22"/>
        </w:rPr>
        <w:t xml:space="preserve">(andexanet alfa) </w:t>
      </w:r>
      <w:r w:rsidR="00337111" w:rsidRPr="0063119B">
        <w:rPr>
          <w:szCs w:val="22"/>
        </w:rPr>
        <w:t>que antagoniz</w:t>
      </w:r>
      <w:r w:rsidR="00882FBD" w:rsidRPr="0063119B">
        <w:rPr>
          <w:szCs w:val="22"/>
        </w:rPr>
        <w:t>a</w:t>
      </w:r>
      <w:r w:rsidR="00337111" w:rsidRPr="0063119B">
        <w:rPr>
          <w:szCs w:val="22"/>
        </w:rPr>
        <w:t xml:space="preserve"> o efeito farmacodinâmico do rivaroxabano</w:t>
      </w:r>
      <w:r w:rsidR="00882FBD" w:rsidRPr="0063119B">
        <w:rPr>
          <w:szCs w:val="22"/>
        </w:rPr>
        <w:t xml:space="preserve"> </w:t>
      </w:r>
      <w:r w:rsidR="00882FBD" w:rsidRPr="0063119B">
        <w:rPr>
          <w:noProof/>
          <w:szCs w:val="22"/>
        </w:rPr>
        <w:t>(ver o Resumo das Características do Medicamento andexanet alfa)</w:t>
      </w:r>
      <w:r w:rsidR="00337111" w:rsidRPr="0063119B">
        <w:rPr>
          <w:szCs w:val="22"/>
        </w:rPr>
        <w:t xml:space="preserve">. </w:t>
      </w:r>
    </w:p>
    <w:p w14:paraId="33AB4681" w14:textId="77777777" w:rsidR="00337111" w:rsidRPr="0063119B" w:rsidRDefault="00337111" w:rsidP="00337111">
      <w:pPr>
        <w:rPr>
          <w:szCs w:val="22"/>
        </w:rPr>
      </w:pPr>
      <w:r w:rsidRPr="0063119B">
        <w:rPr>
          <w:szCs w:val="22"/>
        </w:rPr>
        <w:t xml:space="preserve">Em caso de sobredosagem com rivaroxabano poderá ser considerada a utilização de carvão ativado para reduzir a absorção. </w:t>
      </w:r>
    </w:p>
    <w:p w14:paraId="4CBC979B" w14:textId="77777777" w:rsidR="00337111" w:rsidRPr="0063119B" w:rsidRDefault="00337111" w:rsidP="00337111">
      <w:pPr>
        <w:rPr>
          <w:szCs w:val="22"/>
        </w:rPr>
      </w:pPr>
    </w:p>
    <w:p w14:paraId="7A10FFDA" w14:textId="77777777" w:rsidR="00337111" w:rsidRDefault="00337111" w:rsidP="00337111">
      <w:pPr>
        <w:rPr>
          <w:szCs w:val="22"/>
          <w:u w:val="single"/>
        </w:rPr>
      </w:pPr>
      <w:r w:rsidRPr="0063119B">
        <w:rPr>
          <w:szCs w:val="22"/>
          <w:u w:val="single"/>
        </w:rPr>
        <w:t>Controlo da hemorragia</w:t>
      </w:r>
    </w:p>
    <w:p w14:paraId="793459A2" w14:textId="77777777" w:rsidR="0007618E" w:rsidRPr="0063119B" w:rsidRDefault="0007618E" w:rsidP="00337111">
      <w:pPr>
        <w:rPr>
          <w:szCs w:val="22"/>
        </w:rPr>
      </w:pPr>
    </w:p>
    <w:p w14:paraId="685F9D67" w14:textId="77777777" w:rsidR="00337111" w:rsidRPr="0063119B" w:rsidRDefault="00337111" w:rsidP="00337111">
      <w:pPr>
        <w:rPr>
          <w:szCs w:val="22"/>
        </w:rPr>
      </w:pPr>
      <w:r w:rsidRPr="0063119B">
        <w:rPr>
          <w:szCs w:val="22"/>
        </w:rPr>
        <w:t>Se ocorrer uma complicação hemorrágica num doente tratado com rivaroxabano, a administração seguinte de rivaroxabano deve ser adiada ou o tratamento interrompido, se se considerar adequado. O rivaroxabano tem uma semivida de aproximadamente 5 a 13 horas (ver secção 5.2). O tratamento deve ser individualizado de acordo com a gravidade e a localização da hemorragia. Pode utilizar-se o tratamento sintomático apropriado conforme necessário, como por exemplo compressão mecânica (ex.: na epistaxe grave), hemostase cirúrgica com procedimentos de controlo da hemorragia, reposição hídrica e suporte hemodinâmico, produtos derivados do sangue (concentrado de eritrócitos ou plasma fresco congelado, dependendo se está associada uma anemia ou coagulopatia) ou plaquetas.</w:t>
      </w:r>
    </w:p>
    <w:p w14:paraId="37265481" w14:textId="2A0BFFDE" w:rsidR="00B60DD5" w:rsidRDefault="00337111" w:rsidP="00061192">
      <w:pPr>
        <w:rPr>
          <w:szCs w:val="22"/>
        </w:rPr>
      </w:pPr>
      <w:r w:rsidRPr="0063119B">
        <w:rPr>
          <w:szCs w:val="22"/>
        </w:rPr>
        <w:t xml:space="preserve">Se a hemorragia não puder ser controlada com as medidas anteriores, deve considerar-se a administração </w:t>
      </w:r>
      <w:r w:rsidR="00882FBD" w:rsidRPr="0063119B">
        <w:rPr>
          <w:noProof/>
          <w:szCs w:val="22"/>
        </w:rPr>
        <w:t xml:space="preserve"> de um agente de reversão do inibidor do factor Xa </w:t>
      </w:r>
      <w:r w:rsidR="007E0DE9" w:rsidRPr="0063119B">
        <w:rPr>
          <w:noProof/>
          <w:szCs w:val="22"/>
        </w:rPr>
        <w:t xml:space="preserve">específico </w:t>
      </w:r>
      <w:r w:rsidR="00882FBD" w:rsidRPr="0063119B">
        <w:rPr>
          <w:noProof/>
          <w:szCs w:val="22"/>
        </w:rPr>
        <w:t xml:space="preserve">(andexanet alfa), que antagoniza o efeito farmacodinâmico do rivaroxabano ou </w:t>
      </w:r>
      <w:r w:rsidRPr="0063119B">
        <w:rPr>
          <w:szCs w:val="22"/>
        </w:rPr>
        <w:t xml:space="preserve">de um agente procoagulante específico, como por exemplo, concentrado de complexo de protrombina (CCP), concentrado de complexo de protrombina ativado (PCCA) ou fator VIIa recombinante (FVIIa-r). Contudo, existe atualmente experiência clínica muito limitada com a utilização destes </w:t>
      </w:r>
      <w:r w:rsidR="00226BAA" w:rsidRPr="0063119B">
        <w:rPr>
          <w:szCs w:val="22"/>
        </w:rPr>
        <w:t xml:space="preserve">medicamentos </w:t>
      </w:r>
      <w:r w:rsidRPr="0063119B">
        <w:rPr>
          <w:szCs w:val="22"/>
        </w:rPr>
        <w:t>em indivíduos tratados com rivaroxabano. A recomendação também é baseada nos</w:t>
      </w:r>
      <w:r w:rsidRPr="0063119B">
        <w:rPr>
          <w:noProof/>
          <w:szCs w:val="22"/>
        </w:rPr>
        <w:t xml:space="preserve"> </w:t>
      </w:r>
      <w:r w:rsidRPr="0063119B">
        <w:rPr>
          <w:szCs w:val="22"/>
        </w:rPr>
        <w:t xml:space="preserve">dados não clínicos limitados. </w:t>
      </w:r>
      <w:r w:rsidRPr="0063119B">
        <w:rPr>
          <w:noProof/>
          <w:szCs w:val="22"/>
        </w:rPr>
        <w:t>O ajuste da dose de fator VIIa recombinate deve ser considerado e titulado em função da melhoria da hemorragia</w:t>
      </w:r>
      <w:r w:rsidRPr="0063119B">
        <w:rPr>
          <w:szCs w:val="22"/>
        </w:rPr>
        <w:t>.</w:t>
      </w:r>
      <w:r w:rsidR="006850C0" w:rsidRPr="0063119B">
        <w:rPr>
          <w:szCs w:val="22"/>
        </w:rPr>
        <w:t xml:space="preserve"> </w:t>
      </w:r>
    </w:p>
    <w:p w14:paraId="5484BBC5" w14:textId="77777777" w:rsidR="00337111" w:rsidRPr="0063119B" w:rsidRDefault="006850C0" w:rsidP="00061192">
      <w:pPr>
        <w:rPr>
          <w:noProof/>
          <w:szCs w:val="22"/>
        </w:rPr>
      </w:pPr>
      <w:r w:rsidRPr="0063119B">
        <w:rPr>
          <w:noProof/>
          <w:szCs w:val="22"/>
        </w:rPr>
        <w:t>Dependendo da disponibilidade local, em caso de grandes hemorragias deve considerar-se a consulta de um especialista em coagulação</w:t>
      </w:r>
      <w:r w:rsidR="00A6235C" w:rsidRPr="0063119B">
        <w:rPr>
          <w:noProof/>
          <w:szCs w:val="22"/>
        </w:rPr>
        <w:t xml:space="preserve"> (secção 5.1)</w:t>
      </w:r>
      <w:r w:rsidRPr="0063119B">
        <w:rPr>
          <w:noProof/>
          <w:szCs w:val="22"/>
        </w:rPr>
        <w:t>.</w:t>
      </w:r>
    </w:p>
    <w:p w14:paraId="0324456B" w14:textId="77777777" w:rsidR="00337111" w:rsidRPr="0063119B" w:rsidRDefault="00337111" w:rsidP="00337111">
      <w:pPr>
        <w:rPr>
          <w:szCs w:val="22"/>
        </w:rPr>
      </w:pPr>
    </w:p>
    <w:p w14:paraId="2187CCF9" w14:textId="77777777" w:rsidR="00337111" w:rsidRPr="0063119B" w:rsidRDefault="00337111" w:rsidP="00337111">
      <w:pPr>
        <w:suppressAutoHyphens/>
        <w:rPr>
          <w:noProof/>
          <w:szCs w:val="22"/>
        </w:rPr>
      </w:pPr>
      <w:r w:rsidRPr="0063119B">
        <w:rPr>
          <w:szCs w:val="22"/>
        </w:rPr>
        <w:t xml:space="preserve">Não se espera que o sulfato de protamina e a vitamina K afetem a atividade anticoagulante do rivaroxabano. </w:t>
      </w:r>
      <w:r w:rsidR="00A6235C" w:rsidRPr="0063119B">
        <w:rPr>
          <w:szCs w:val="22"/>
        </w:rPr>
        <w:t>E</w:t>
      </w:r>
      <w:r w:rsidRPr="0063119B">
        <w:rPr>
          <w:szCs w:val="22"/>
        </w:rPr>
        <w:t xml:space="preserve">xiste </w:t>
      </w:r>
      <w:r w:rsidR="00A6235C" w:rsidRPr="0063119B">
        <w:rPr>
          <w:szCs w:val="22"/>
        </w:rPr>
        <w:t xml:space="preserve">uma </w:t>
      </w:r>
      <w:r w:rsidRPr="0063119B">
        <w:rPr>
          <w:szCs w:val="22"/>
        </w:rPr>
        <w:t xml:space="preserve">experiência </w:t>
      </w:r>
      <w:r w:rsidR="007E10C5" w:rsidRPr="0063119B">
        <w:rPr>
          <w:szCs w:val="22"/>
        </w:rPr>
        <w:t xml:space="preserve">limitada </w:t>
      </w:r>
      <w:r w:rsidRPr="0063119B">
        <w:rPr>
          <w:szCs w:val="22"/>
        </w:rPr>
        <w:t>com ácido tranexâmico</w:t>
      </w:r>
      <w:r w:rsidR="007E10C5" w:rsidRPr="0063119B">
        <w:rPr>
          <w:szCs w:val="22"/>
        </w:rPr>
        <w:t xml:space="preserve"> e não existe experiência com</w:t>
      </w:r>
      <w:r w:rsidRPr="0063119B">
        <w:rPr>
          <w:szCs w:val="22"/>
        </w:rPr>
        <w:t xml:space="preserve"> ácido aminocapróico</w:t>
      </w:r>
      <w:r w:rsidR="007E10C5" w:rsidRPr="0063119B">
        <w:rPr>
          <w:szCs w:val="22"/>
        </w:rPr>
        <w:t xml:space="preserve"> e aprotinina</w:t>
      </w:r>
      <w:r w:rsidRPr="0063119B">
        <w:rPr>
          <w:szCs w:val="22"/>
        </w:rPr>
        <w:t xml:space="preserve"> em indivíduos tratados com rivaroxabano. Não existe nem uma justificação clínica sobre o benefício nem experiência com a utilização d</w:t>
      </w:r>
      <w:r w:rsidR="007E10C5" w:rsidRPr="0063119B">
        <w:rPr>
          <w:szCs w:val="22"/>
        </w:rPr>
        <w:t>o</w:t>
      </w:r>
      <w:r w:rsidRPr="0063119B">
        <w:rPr>
          <w:szCs w:val="22"/>
        </w:rPr>
        <w:t xml:space="preserve"> hemostático sistémico</w:t>
      </w:r>
      <w:r w:rsidR="007E10C5" w:rsidRPr="0063119B">
        <w:rPr>
          <w:szCs w:val="22"/>
        </w:rPr>
        <w:t xml:space="preserve"> </w:t>
      </w:r>
      <w:r w:rsidRPr="0063119B">
        <w:rPr>
          <w:szCs w:val="22"/>
        </w:rPr>
        <w:t>desmopressina em indivíduos tratados com rivaroxabano. Devido à elevada ligação às proteínas plasmáticas, não é esperado que o rivaroxabano seja dialisável.</w:t>
      </w:r>
    </w:p>
    <w:p w14:paraId="71CF41A6" w14:textId="77777777" w:rsidR="00337111" w:rsidRPr="0063119B" w:rsidRDefault="00337111" w:rsidP="00337111">
      <w:pPr>
        <w:suppressAutoHyphens/>
        <w:rPr>
          <w:noProof/>
          <w:szCs w:val="22"/>
        </w:rPr>
      </w:pPr>
    </w:p>
    <w:p w14:paraId="3716824E" w14:textId="77777777" w:rsidR="00337111" w:rsidRPr="0063119B" w:rsidRDefault="00337111" w:rsidP="00337111">
      <w:pPr>
        <w:suppressAutoHyphens/>
        <w:rPr>
          <w:noProof/>
          <w:szCs w:val="22"/>
        </w:rPr>
      </w:pPr>
    </w:p>
    <w:p w14:paraId="7591ADB2" w14:textId="77777777" w:rsidR="00337111" w:rsidRPr="0063119B" w:rsidRDefault="00337111" w:rsidP="00337111">
      <w:pPr>
        <w:suppressAutoHyphens/>
        <w:ind w:left="567" w:hanging="567"/>
        <w:rPr>
          <w:noProof/>
          <w:szCs w:val="22"/>
        </w:rPr>
      </w:pPr>
      <w:r w:rsidRPr="0063119B">
        <w:rPr>
          <w:b/>
          <w:noProof/>
          <w:szCs w:val="22"/>
        </w:rPr>
        <w:t>5.</w:t>
      </w:r>
      <w:r w:rsidRPr="0063119B">
        <w:rPr>
          <w:b/>
          <w:noProof/>
          <w:szCs w:val="22"/>
        </w:rPr>
        <w:tab/>
        <w:t>PROPRIEDADES FARMACOLÓGICAS</w:t>
      </w:r>
    </w:p>
    <w:p w14:paraId="70C16AD1" w14:textId="77777777" w:rsidR="00337111" w:rsidRPr="0063119B" w:rsidRDefault="00337111" w:rsidP="00337111">
      <w:pPr>
        <w:suppressAutoHyphens/>
        <w:rPr>
          <w:noProof/>
          <w:szCs w:val="22"/>
        </w:rPr>
      </w:pPr>
    </w:p>
    <w:p w14:paraId="472BB628" w14:textId="77777777" w:rsidR="00337111" w:rsidRPr="0063119B" w:rsidRDefault="00337111" w:rsidP="00337111">
      <w:pPr>
        <w:suppressAutoHyphens/>
        <w:ind w:left="567" w:hanging="567"/>
        <w:rPr>
          <w:noProof/>
          <w:szCs w:val="22"/>
        </w:rPr>
      </w:pPr>
      <w:r w:rsidRPr="0063119B">
        <w:rPr>
          <w:b/>
          <w:noProof/>
          <w:szCs w:val="22"/>
        </w:rPr>
        <w:t>5.1</w:t>
      </w:r>
      <w:r w:rsidRPr="0063119B">
        <w:rPr>
          <w:b/>
          <w:noProof/>
          <w:szCs w:val="22"/>
        </w:rPr>
        <w:tab/>
        <w:t>Propriedades farmacodinâmicas</w:t>
      </w:r>
    </w:p>
    <w:p w14:paraId="72F7FB76" w14:textId="77777777" w:rsidR="00337111" w:rsidRPr="0063119B" w:rsidRDefault="00337111" w:rsidP="00337111">
      <w:pPr>
        <w:suppressAutoHyphens/>
        <w:rPr>
          <w:noProof/>
          <w:szCs w:val="22"/>
        </w:rPr>
      </w:pPr>
    </w:p>
    <w:p w14:paraId="2E76E364" w14:textId="77777777" w:rsidR="00337111" w:rsidRPr="0063119B" w:rsidRDefault="00337111" w:rsidP="00337111">
      <w:pPr>
        <w:suppressAutoHyphens/>
        <w:rPr>
          <w:noProof/>
          <w:szCs w:val="22"/>
        </w:rPr>
      </w:pPr>
      <w:r w:rsidRPr="0063119B">
        <w:rPr>
          <w:noProof/>
          <w:szCs w:val="22"/>
        </w:rPr>
        <w:t xml:space="preserve">Grupo farmacoterapêutico: </w:t>
      </w:r>
      <w:r w:rsidR="00A407A9" w:rsidRPr="0063119B">
        <w:rPr>
          <w:noProof/>
          <w:szCs w:val="22"/>
        </w:rPr>
        <w:t>Agentes antitrombóticos, i</w:t>
      </w:r>
      <w:r w:rsidR="00621FE5" w:rsidRPr="0063119B">
        <w:rPr>
          <w:noProof/>
          <w:szCs w:val="22"/>
        </w:rPr>
        <w:t>nibidores diretos do fator Xa</w:t>
      </w:r>
      <w:r w:rsidRPr="0063119B">
        <w:rPr>
          <w:noProof/>
          <w:szCs w:val="22"/>
        </w:rPr>
        <w:t xml:space="preserve">, código ATC: </w:t>
      </w:r>
      <w:r w:rsidR="00621FE5" w:rsidRPr="0063119B">
        <w:rPr>
          <w:noProof/>
          <w:szCs w:val="22"/>
        </w:rPr>
        <w:t>B01AF01</w:t>
      </w:r>
    </w:p>
    <w:p w14:paraId="21FE412E" w14:textId="77777777" w:rsidR="00337111" w:rsidRPr="0063119B" w:rsidRDefault="00337111" w:rsidP="00337111">
      <w:pPr>
        <w:suppressAutoHyphens/>
        <w:rPr>
          <w:noProof/>
          <w:szCs w:val="22"/>
        </w:rPr>
      </w:pPr>
    </w:p>
    <w:p w14:paraId="321750FC" w14:textId="77777777" w:rsidR="00337111" w:rsidRDefault="00337111" w:rsidP="00DE7D95">
      <w:pPr>
        <w:keepNext/>
        <w:suppressAutoHyphens/>
        <w:rPr>
          <w:noProof/>
          <w:szCs w:val="22"/>
          <w:u w:val="single"/>
        </w:rPr>
      </w:pPr>
      <w:r w:rsidRPr="0063119B">
        <w:rPr>
          <w:noProof/>
          <w:szCs w:val="22"/>
          <w:u w:val="single"/>
        </w:rPr>
        <w:t>Mecanismo de ação</w:t>
      </w:r>
    </w:p>
    <w:p w14:paraId="438AB421" w14:textId="77777777" w:rsidR="00B60DD5" w:rsidRPr="0063119B" w:rsidRDefault="00B60DD5" w:rsidP="00DE7D95">
      <w:pPr>
        <w:keepNext/>
        <w:suppressAutoHyphens/>
        <w:rPr>
          <w:noProof/>
          <w:szCs w:val="22"/>
          <w:u w:val="single"/>
        </w:rPr>
      </w:pPr>
    </w:p>
    <w:p w14:paraId="3B2D34FF" w14:textId="77777777" w:rsidR="00337111" w:rsidRPr="0063119B" w:rsidRDefault="00337111" w:rsidP="00337111">
      <w:pPr>
        <w:suppressAutoHyphens/>
        <w:rPr>
          <w:noProof/>
          <w:szCs w:val="22"/>
        </w:rPr>
      </w:pPr>
      <w:r w:rsidRPr="0063119B">
        <w:rPr>
          <w:noProof/>
          <w:szCs w:val="22"/>
        </w:rPr>
        <w:t>O rivaroxabano é um inibidor direto do fator</w:t>
      </w:r>
      <w:r w:rsidR="000C55B9" w:rsidRPr="0063119B">
        <w:rPr>
          <w:noProof/>
          <w:szCs w:val="22"/>
        </w:rPr>
        <w:t> </w:t>
      </w:r>
      <w:r w:rsidRPr="0063119B">
        <w:rPr>
          <w:noProof/>
          <w:szCs w:val="22"/>
        </w:rPr>
        <w:t xml:space="preserve">Xa, altamente seletivo, com biodisponibilidade oral. A inibição do </w:t>
      </w:r>
      <w:r w:rsidR="006E1E6E" w:rsidRPr="0063119B">
        <w:rPr>
          <w:noProof/>
          <w:szCs w:val="22"/>
        </w:rPr>
        <w:t>fator </w:t>
      </w:r>
      <w:r w:rsidRPr="0063119B">
        <w:rPr>
          <w:noProof/>
          <w:szCs w:val="22"/>
        </w:rPr>
        <w:t xml:space="preserve">Xa interrompe as vias intrínseca e extrínseca da cascata de coagulação sanguínea, </w:t>
      </w:r>
      <w:r w:rsidRPr="0063119B">
        <w:rPr>
          <w:noProof/>
          <w:szCs w:val="22"/>
        </w:rPr>
        <w:lastRenderedPageBreak/>
        <w:t>inibindo a formação de trombina e o desenvolvimento de trombos. O rivaroxabano não inibe a trombina (</w:t>
      </w:r>
      <w:r w:rsidR="000C55B9" w:rsidRPr="0063119B">
        <w:rPr>
          <w:noProof/>
          <w:szCs w:val="22"/>
        </w:rPr>
        <w:t>f</w:t>
      </w:r>
      <w:r w:rsidRPr="0063119B">
        <w:rPr>
          <w:noProof/>
          <w:szCs w:val="22"/>
        </w:rPr>
        <w:t>ator</w:t>
      </w:r>
      <w:r w:rsidR="000C55B9" w:rsidRPr="0063119B">
        <w:rPr>
          <w:noProof/>
          <w:szCs w:val="22"/>
        </w:rPr>
        <w:t> </w:t>
      </w:r>
      <w:r w:rsidRPr="0063119B">
        <w:rPr>
          <w:noProof/>
          <w:szCs w:val="22"/>
        </w:rPr>
        <w:t>II ativado) e não foram demonstrados efeitos sobre as plaquetas.</w:t>
      </w:r>
    </w:p>
    <w:p w14:paraId="505700C3" w14:textId="77777777" w:rsidR="00337111" w:rsidRPr="0063119B" w:rsidRDefault="00337111" w:rsidP="00337111">
      <w:pPr>
        <w:rPr>
          <w:i/>
          <w:noProof/>
          <w:szCs w:val="22"/>
          <w:u w:val="single"/>
        </w:rPr>
      </w:pPr>
    </w:p>
    <w:p w14:paraId="34C528C9" w14:textId="77777777" w:rsidR="00337111" w:rsidRDefault="00337111" w:rsidP="00B316E9">
      <w:pPr>
        <w:keepNext/>
        <w:rPr>
          <w:noProof/>
          <w:szCs w:val="22"/>
          <w:u w:val="single"/>
        </w:rPr>
      </w:pPr>
      <w:r w:rsidRPr="0063119B">
        <w:rPr>
          <w:noProof/>
          <w:szCs w:val="22"/>
          <w:u w:val="single"/>
        </w:rPr>
        <w:t xml:space="preserve">Efeitos farmacodinâmicos </w:t>
      </w:r>
    </w:p>
    <w:p w14:paraId="0ABA68BC" w14:textId="77777777" w:rsidR="00B60DD5" w:rsidRPr="0063119B" w:rsidRDefault="00B60DD5" w:rsidP="00B316E9">
      <w:pPr>
        <w:keepNext/>
        <w:rPr>
          <w:noProof/>
          <w:szCs w:val="22"/>
        </w:rPr>
      </w:pPr>
    </w:p>
    <w:p w14:paraId="2C50B33D" w14:textId="77777777" w:rsidR="007E10C5" w:rsidRPr="0063119B" w:rsidRDefault="00337111" w:rsidP="00B316E9">
      <w:pPr>
        <w:keepNext/>
        <w:rPr>
          <w:noProof/>
          <w:szCs w:val="22"/>
        </w:rPr>
      </w:pPr>
      <w:r w:rsidRPr="0063119B">
        <w:rPr>
          <w:noProof/>
          <w:szCs w:val="22"/>
        </w:rPr>
        <w:t xml:space="preserve">No ser humano foi observada inibição dose-dependente da atividade do </w:t>
      </w:r>
      <w:r w:rsidR="000C55B9" w:rsidRPr="0063119B">
        <w:rPr>
          <w:noProof/>
          <w:szCs w:val="22"/>
        </w:rPr>
        <w:t>f</w:t>
      </w:r>
      <w:r w:rsidRPr="0063119B">
        <w:rPr>
          <w:noProof/>
          <w:szCs w:val="22"/>
        </w:rPr>
        <w:t>ator</w:t>
      </w:r>
      <w:r w:rsidR="000C55B9" w:rsidRPr="0063119B">
        <w:rPr>
          <w:noProof/>
          <w:szCs w:val="22"/>
        </w:rPr>
        <w:t> </w:t>
      </w:r>
      <w:r w:rsidRPr="0063119B">
        <w:rPr>
          <w:noProof/>
          <w:szCs w:val="22"/>
        </w:rPr>
        <w:t xml:space="preserve">Xa. O tempo de protrombina (TP) é influenciado pelo rivaroxabano de uma forma dependente da dose, com uma estreita correlação com as concentrações plasmáticas (valor r igual a 0,98) quando se emprega Neoplastin para o ensaio. Outros reagentes originariam resultados diferentes. A leitura do TP deve ser feita em segundos, porque o INR está apenas calibrado e validado para os cumarínicos e não pode ser usado para nenhum outro anticoagulante. Em doentes submetidos a grande cirurgia ortopédica, os percentis 5/95 de TP (Neoplastin) 2 - 4 horas após a ingestão do comprimido (ou seja, no momento do efeito máximo) variaram de 13 a 25 seg. (valores basais antes da cirurgia 12 a 15 seg.). </w:t>
      </w:r>
    </w:p>
    <w:p w14:paraId="2EF8F4D1" w14:textId="77777777" w:rsidR="00BD44CC" w:rsidRPr="0063119B" w:rsidRDefault="00BD44CC" w:rsidP="00337111">
      <w:pPr>
        <w:rPr>
          <w:noProof/>
          <w:szCs w:val="22"/>
        </w:rPr>
      </w:pPr>
      <w:r w:rsidRPr="0063119B">
        <w:rPr>
          <w:noProof/>
          <w:szCs w:val="22"/>
        </w:rPr>
        <w:t>Num estudo de farmacologia clínica sobre a farmacodinâmica de reversão do rivaroxabano em doentes adultos saudáveis (n=22), foram avaliados os efeitos de doses únicas (50 UI/Kg) de dois tipos diferentes de CCPs, um CCP de 3 fatores (Fatores II, IX e X) e um CCP de 4 fatores (Fatores II, VII, IX e X). O CCP de 3 fatores reduziu os valores médios de TP de Neoplastin de aproximadamente 1,0 segundo em 30 minutos em comparação com reduções de aproximadamente 3,5 segundos observadas com o CCP de 4 fatores. Por outro lado, o CCP de 3 fatores teve um melhor e mais rápido efeito global na reversão das alterações na formação da trombina endógena que o CCP de 4 fatores (ver secção 4.9).</w:t>
      </w:r>
    </w:p>
    <w:p w14:paraId="1FD4BE9C" w14:textId="77777777" w:rsidR="00337111" w:rsidRPr="0063119B" w:rsidRDefault="00337111" w:rsidP="00337111">
      <w:pPr>
        <w:rPr>
          <w:noProof/>
          <w:szCs w:val="22"/>
        </w:rPr>
      </w:pPr>
      <w:r w:rsidRPr="0063119B">
        <w:rPr>
          <w:noProof/>
          <w:szCs w:val="22"/>
        </w:rPr>
        <w:t>O tempo de tromboplastina parcial ativada (aPTT) e o HepTest são igualmente prolongados, de forma dose-dependente; contudo, não são recomendados para avaliar o efeito farmacodinâmico do rivaroxabano. Não há necessidade de monitorização dos parâmetros da coagulação durante o tratamento com rivaroxabano na prática clínica. Contudo, se clinicamente indicado, podem determinar-se os níveis de rivaroxabano através de testes quantitativos calibrados de antifator</w:t>
      </w:r>
      <w:r w:rsidR="00B1186E" w:rsidRPr="0063119B">
        <w:rPr>
          <w:noProof/>
          <w:szCs w:val="22"/>
        </w:rPr>
        <w:t xml:space="preserve"> </w:t>
      </w:r>
      <w:r w:rsidRPr="0063119B">
        <w:rPr>
          <w:noProof/>
          <w:szCs w:val="22"/>
        </w:rPr>
        <w:t>Xa (ver secção 5.2).</w:t>
      </w:r>
    </w:p>
    <w:p w14:paraId="3FA1217E" w14:textId="77777777" w:rsidR="00337111" w:rsidRPr="0063119B" w:rsidRDefault="00337111" w:rsidP="00337111">
      <w:pPr>
        <w:rPr>
          <w:noProof/>
          <w:szCs w:val="22"/>
        </w:rPr>
      </w:pPr>
    </w:p>
    <w:p w14:paraId="238EA8CE" w14:textId="77777777" w:rsidR="00337111" w:rsidRDefault="00337111" w:rsidP="003345A8">
      <w:pPr>
        <w:keepNext/>
        <w:rPr>
          <w:noProof/>
          <w:szCs w:val="22"/>
          <w:u w:val="single"/>
        </w:rPr>
      </w:pPr>
      <w:r w:rsidRPr="0063119B">
        <w:rPr>
          <w:noProof/>
          <w:szCs w:val="22"/>
          <w:u w:val="single"/>
        </w:rPr>
        <w:t xml:space="preserve">Eficácia e segurança </w:t>
      </w:r>
      <w:r w:rsidR="005C7155" w:rsidRPr="0063119B">
        <w:rPr>
          <w:noProof/>
          <w:szCs w:val="22"/>
          <w:u w:val="single"/>
        </w:rPr>
        <w:t>clínicas</w:t>
      </w:r>
    </w:p>
    <w:p w14:paraId="32EEABFF" w14:textId="77777777" w:rsidR="00B60DD5" w:rsidRPr="0063119B" w:rsidRDefault="00B60DD5" w:rsidP="003345A8">
      <w:pPr>
        <w:keepNext/>
        <w:rPr>
          <w:noProof/>
          <w:szCs w:val="22"/>
        </w:rPr>
      </w:pPr>
    </w:p>
    <w:p w14:paraId="09492238" w14:textId="77777777" w:rsidR="00390935" w:rsidRPr="0063119B" w:rsidRDefault="00390935" w:rsidP="003345A8">
      <w:pPr>
        <w:keepNext/>
        <w:rPr>
          <w:noProof/>
          <w:szCs w:val="22"/>
        </w:rPr>
      </w:pPr>
      <w:r w:rsidRPr="0063119B">
        <w:rPr>
          <w:i/>
          <w:szCs w:val="22"/>
        </w:rPr>
        <w:t>Prevenção d</w:t>
      </w:r>
      <w:r w:rsidR="00B45C8F" w:rsidRPr="0063119B">
        <w:rPr>
          <w:i/>
          <w:szCs w:val="22"/>
        </w:rPr>
        <w:t>o</w:t>
      </w:r>
      <w:r w:rsidRPr="0063119B">
        <w:rPr>
          <w:i/>
          <w:szCs w:val="22"/>
        </w:rPr>
        <w:t xml:space="preserve"> TEV em doentes adultos submetidos a artroplastia eletiva da anca ou joelho</w:t>
      </w:r>
    </w:p>
    <w:p w14:paraId="55B263E2" w14:textId="77777777" w:rsidR="00337111" w:rsidRPr="0063119B" w:rsidRDefault="00337111" w:rsidP="00337111">
      <w:pPr>
        <w:rPr>
          <w:noProof/>
          <w:szCs w:val="22"/>
        </w:rPr>
      </w:pPr>
      <w:r w:rsidRPr="0063119B">
        <w:rPr>
          <w:noProof/>
          <w:szCs w:val="22"/>
        </w:rPr>
        <w:t xml:space="preserve">O programa clínico de rivaroxabano foi concebido para demonstrar a eficácia de rivaroxabano para a prevenção de TEV, ou seja, trombose venosa profunda proximal e distal (TVP) e embolismo pulmonar (EP), em doentes submetidos a grande cirurgia ortopédica dos membros inferiores. Mais de 9.500 doentes (7.050 submetidos a cirurgia de substituição total da anca e 2.531 submetidos a cirurgia de substituição total do joelho) foram estudados em estudos clínicos de fase III, controlados, aleatorizados, e de dupla ocultação, o programa RECORD. </w:t>
      </w:r>
    </w:p>
    <w:p w14:paraId="37AEAF04" w14:textId="77777777" w:rsidR="00337111" w:rsidRPr="0063119B" w:rsidRDefault="00337111" w:rsidP="00337111">
      <w:pPr>
        <w:rPr>
          <w:noProof/>
          <w:szCs w:val="22"/>
        </w:rPr>
      </w:pPr>
      <w:r w:rsidRPr="0063119B">
        <w:rPr>
          <w:noProof/>
          <w:szCs w:val="22"/>
        </w:rPr>
        <w:t>O rivaroxabano 10 mg uma vez por dia (1 x ao dia), iniciado não antes de 6 horas após a intervenção foi comparado com a enoxaparina 40 mg, uma vez ao dia, iniciada 12 horas antes da intervenção.</w:t>
      </w:r>
    </w:p>
    <w:p w14:paraId="437D0518" w14:textId="77777777" w:rsidR="00337111" w:rsidRPr="0063119B" w:rsidRDefault="00337111" w:rsidP="00337111">
      <w:pPr>
        <w:rPr>
          <w:noProof/>
          <w:szCs w:val="22"/>
        </w:rPr>
      </w:pPr>
      <w:r w:rsidRPr="0063119B">
        <w:rPr>
          <w:noProof/>
          <w:szCs w:val="22"/>
        </w:rPr>
        <w:t>Em todos os três estudos de fase III (ver quadro</w:t>
      </w:r>
      <w:r w:rsidR="00390935" w:rsidRPr="0063119B">
        <w:rPr>
          <w:noProof/>
          <w:szCs w:val="22"/>
        </w:rPr>
        <w:t> 4</w:t>
      </w:r>
      <w:r w:rsidRPr="0063119B">
        <w:rPr>
          <w:noProof/>
          <w:szCs w:val="22"/>
        </w:rPr>
        <w:t>) rivaroxabano reduziu significativamente a taxa global de TEV (qualquer TVP, EP venograficamente detetada ou sintomática não</w:t>
      </w:r>
      <w:r w:rsidR="00B236C2" w:rsidRPr="0063119B">
        <w:rPr>
          <w:noProof/>
          <w:szCs w:val="22"/>
        </w:rPr>
        <w:t>-</w:t>
      </w:r>
      <w:r w:rsidRPr="0063119B">
        <w:rPr>
          <w:noProof/>
          <w:szCs w:val="22"/>
        </w:rPr>
        <w:t>fatal e morte) e TEV grave (TVP proximal, EP não</w:t>
      </w:r>
      <w:r w:rsidR="005C7155" w:rsidRPr="0063119B">
        <w:rPr>
          <w:noProof/>
          <w:szCs w:val="22"/>
        </w:rPr>
        <w:t>-</w:t>
      </w:r>
      <w:r w:rsidRPr="0063119B">
        <w:rPr>
          <w:noProof/>
          <w:szCs w:val="22"/>
        </w:rPr>
        <w:t xml:space="preserve">fatal e TEV relacionado com a morte), os principais </w:t>
      </w:r>
      <w:r w:rsidRPr="0063119B">
        <w:rPr>
          <w:i/>
          <w:noProof/>
          <w:szCs w:val="22"/>
        </w:rPr>
        <w:t>endpoints</w:t>
      </w:r>
      <w:r w:rsidRPr="0063119B">
        <w:rPr>
          <w:noProof/>
          <w:szCs w:val="22"/>
        </w:rPr>
        <w:t xml:space="preserve"> pré-definidos de eficácia primária e secundária. Além disso, nos três estudos, a taxa de TEV sintomática (TVP sintomática, EP não fatais, TEV relacionado com a morte) foi menor nos doentes tratados com rivaroxabano, em comparação com os doentes tratados com enoxaparina. </w:t>
      </w:r>
    </w:p>
    <w:p w14:paraId="2E393EFD" w14:textId="77777777" w:rsidR="00337111" w:rsidRPr="0063119B" w:rsidRDefault="00337111" w:rsidP="00337111">
      <w:pPr>
        <w:rPr>
          <w:noProof/>
          <w:szCs w:val="22"/>
        </w:rPr>
      </w:pPr>
      <w:r w:rsidRPr="0063119B">
        <w:rPr>
          <w:noProof/>
          <w:szCs w:val="22"/>
        </w:rPr>
        <w:t xml:space="preserve">O principal </w:t>
      </w:r>
      <w:r w:rsidRPr="0063119B">
        <w:rPr>
          <w:i/>
          <w:noProof/>
          <w:szCs w:val="22"/>
        </w:rPr>
        <w:t>endpoint</w:t>
      </w:r>
      <w:r w:rsidRPr="0063119B">
        <w:rPr>
          <w:noProof/>
          <w:szCs w:val="22"/>
        </w:rPr>
        <w:t xml:space="preserve"> de segurança, hemorragia grave, apresentou taxas comparáveis para os doentes tratados com 10 mg de rivaroxabano comparado com 40 mg de enoxaparina.</w:t>
      </w:r>
    </w:p>
    <w:p w14:paraId="65323E82" w14:textId="77777777" w:rsidR="00337111" w:rsidRPr="0063119B" w:rsidRDefault="00337111" w:rsidP="00337111">
      <w:pPr>
        <w:suppressAutoHyphens/>
        <w:rPr>
          <w:noProof/>
          <w:szCs w:val="22"/>
        </w:rPr>
      </w:pPr>
    </w:p>
    <w:p w14:paraId="5394EFD2" w14:textId="77777777" w:rsidR="00337111" w:rsidRPr="0063119B" w:rsidRDefault="00337111" w:rsidP="00DE7D95">
      <w:pPr>
        <w:keepNext/>
        <w:suppressAutoHyphens/>
        <w:rPr>
          <w:b/>
          <w:noProof/>
          <w:szCs w:val="22"/>
        </w:rPr>
      </w:pPr>
      <w:r w:rsidRPr="0063119B">
        <w:rPr>
          <w:b/>
          <w:noProof/>
          <w:szCs w:val="22"/>
        </w:rPr>
        <w:lastRenderedPageBreak/>
        <w:t>Quadro</w:t>
      </w:r>
      <w:r w:rsidR="00390935" w:rsidRPr="0063119B">
        <w:rPr>
          <w:b/>
          <w:noProof/>
          <w:szCs w:val="22"/>
        </w:rPr>
        <w:t> 4</w:t>
      </w:r>
      <w:r w:rsidRPr="0063119B">
        <w:rPr>
          <w:b/>
          <w:noProof/>
          <w:szCs w:val="22"/>
        </w:rPr>
        <w:t>: Resultados de segurança e eficácia dos estudos clínicos de fase III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1056"/>
        <w:gridCol w:w="973"/>
        <w:gridCol w:w="638"/>
        <w:gridCol w:w="1057"/>
        <w:gridCol w:w="973"/>
        <w:gridCol w:w="638"/>
        <w:gridCol w:w="979"/>
        <w:gridCol w:w="147"/>
        <w:gridCol w:w="973"/>
        <w:gridCol w:w="638"/>
      </w:tblGrid>
      <w:tr w:rsidR="00337111" w:rsidRPr="0063119B" w14:paraId="1C4284B3" w14:textId="77777777" w:rsidTr="00453DA7">
        <w:trPr>
          <w:cantSplit/>
          <w:jc w:val="center"/>
        </w:trPr>
        <w:tc>
          <w:tcPr>
            <w:tcW w:w="561" w:type="pct"/>
          </w:tcPr>
          <w:p w14:paraId="13C12907" w14:textId="77777777" w:rsidR="00337111" w:rsidRPr="0063119B" w:rsidRDefault="00337111" w:rsidP="0044301C">
            <w:pPr>
              <w:pStyle w:val="Default"/>
              <w:keepNext/>
              <w:widowControl/>
              <w:rPr>
                <w:noProof/>
                <w:color w:val="auto"/>
                <w:sz w:val="22"/>
                <w:szCs w:val="22"/>
                <w:lang w:val="pt-PT"/>
              </w:rPr>
            </w:pPr>
          </w:p>
        </w:tc>
        <w:tc>
          <w:tcPr>
            <w:tcW w:w="1463" w:type="pct"/>
            <w:gridSpan w:val="3"/>
          </w:tcPr>
          <w:p w14:paraId="744FADEF" w14:textId="77777777" w:rsidR="00337111" w:rsidRPr="001B6FEC" w:rsidRDefault="00337111" w:rsidP="0044301C">
            <w:pPr>
              <w:pStyle w:val="Default"/>
              <w:keepNext/>
              <w:widowControl/>
              <w:rPr>
                <w:b/>
                <w:bCs/>
                <w:noProof/>
                <w:color w:val="auto"/>
                <w:sz w:val="22"/>
                <w:szCs w:val="22"/>
                <w:lang w:val="pt-PT"/>
              </w:rPr>
            </w:pPr>
            <w:r w:rsidRPr="001B6FEC">
              <w:rPr>
                <w:b/>
                <w:bCs/>
                <w:noProof/>
                <w:color w:val="auto"/>
                <w:sz w:val="22"/>
                <w:szCs w:val="22"/>
                <w:lang w:val="pt-PT"/>
              </w:rPr>
              <w:t>RECORD 1</w:t>
            </w:r>
          </w:p>
        </w:tc>
        <w:tc>
          <w:tcPr>
            <w:tcW w:w="1498" w:type="pct"/>
            <w:gridSpan w:val="3"/>
          </w:tcPr>
          <w:p w14:paraId="2FD0931A" w14:textId="77777777" w:rsidR="00337111" w:rsidRPr="001B6FEC" w:rsidRDefault="00337111" w:rsidP="0044301C">
            <w:pPr>
              <w:pStyle w:val="Default"/>
              <w:keepNext/>
              <w:widowControl/>
              <w:rPr>
                <w:b/>
                <w:bCs/>
                <w:noProof/>
                <w:color w:val="auto"/>
                <w:sz w:val="22"/>
                <w:szCs w:val="22"/>
                <w:lang w:val="pt-PT"/>
              </w:rPr>
            </w:pPr>
            <w:r w:rsidRPr="001B6FEC">
              <w:rPr>
                <w:b/>
                <w:bCs/>
                <w:noProof/>
                <w:color w:val="auto"/>
                <w:sz w:val="22"/>
                <w:szCs w:val="22"/>
                <w:lang w:val="pt-PT"/>
              </w:rPr>
              <w:t>RECORD 2</w:t>
            </w:r>
          </w:p>
        </w:tc>
        <w:tc>
          <w:tcPr>
            <w:tcW w:w="1479" w:type="pct"/>
            <w:gridSpan w:val="4"/>
          </w:tcPr>
          <w:p w14:paraId="6FA807DC" w14:textId="77777777" w:rsidR="00337111" w:rsidRPr="001B6FEC" w:rsidRDefault="00337111" w:rsidP="0044301C">
            <w:pPr>
              <w:pStyle w:val="Default"/>
              <w:keepNext/>
              <w:widowControl/>
              <w:rPr>
                <w:b/>
                <w:bCs/>
                <w:noProof/>
                <w:color w:val="auto"/>
                <w:sz w:val="22"/>
                <w:szCs w:val="22"/>
                <w:lang w:val="pt-PT"/>
              </w:rPr>
            </w:pPr>
            <w:r w:rsidRPr="001B6FEC">
              <w:rPr>
                <w:b/>
                <w:bCs/>
                <w:noProof/>
                <w:color w:val="auto"/>
                <w:sz w:val="22"/>
                <w:szCs w:val="22"/>
                <w:lang w:val="pt-PT"/>
              </w:rPr>
              <w:t>RECORD 3</w:t>
            </w:r>
          </w:p>
        </w:tc>
      </w:tr>
      <w:tr w:rsidR="00337111" w:rsidRPr="0063119B" w14:paraId="0F5E56AB" w14:textId="77777777" w:rsidTr="00453DA7">
        <w:trPr>
          <w:cantSplit/>
          <w:jc w:val="center"/>
        </w:trPr>
        <w:tc>
          <w:tcPr>
            <w:tcW w:w="561" w:type="pct"/>
          </w:tcPr>
          <w:p w14:paraId="3EE99195" w14:textId="77777777" w:rsidR="00337111" w:rsidRPr="001B6FEC" w:rsidRDefault="00337111" w:rsidP="0044301C">
            <w:pPr>
              <w:pStyle w:val="Default"/>
              <w:keepNext/>
              <w:widowControl/>
              <w:rPr>
                <w:b/>
                <w:bCs/>
                <w:noProof/>
                <w:color w:val="auto"/>
                <w:sz w:val="22"/>
                <w:szCs w:val="22"/>
                <w:lang w:val="pt-PT"/>
              </w:rPr>
            </w:pPr>
            <w:r w:rsidRPr="001B6FEC">
              <w:rPr>
                <w:b/>
                <w:bCs/>
                <w:noProof/>
                <w:color w:val="auto"/>
                <w:sz w:val="22"/>
                <w:szCs w:val="22"/>
                <w:lang w:val="pt-PT"/>
              </w:rPr>
              <w:t>População do estudo</w:t>
            </w:r>
          </w:p>
        </w:tc>
        <w:tc>
          <w:tcPr>
            <w:tcW w:w="1463" w:type="pct"/>
            <w:gridSpan w:val="3"/>
          </w:tcPr>
          <w:p w14:paraId="2182D0B4" w14:textId="77777777" w:rsidR="00337111" w:rsidRPr="001B6FEC" w:rsidRDefault="00337111" w:rsidP="0044301C">
            <w:pPr>
              <w:pStyle w:val="Default"/>
              <w:keepNext/>
              <w:widowControl/>
              <w:rPr>
                <w:b/>
                <w:bCs/>
                <w:noProof/>
                <w:color w:val="auto"/>
                <w:sz w:val="22"/>
                <w:szCs w:val="22"/>
                <w:lang w:val="pt-PT"/>
              </w:rPr>
            </w:pPr>
            <w:r w:rsidRPr="001B6FEC">
              <w:rPr>
                <w:b/>
                <w:bCs/>
                <w:noProof/>
                <w:color w:val="auto"/>
                <w:sz w:val="22"/>
                <w:szCs w:val="22"/>
                <w:lang w:val="pt-PT"/>
              </w:rPr>
              <w:t>4</w:t>
            </w:r>
            <w:r w:rsidR="00497F22" w:rsidRPr="001B6FEC">
              <w:rPr>
                <w:b/>
                <w:bCs/>
                <w:noProof/>
                <w:color w:val="auto"/>
                <w:sz w:val="22"/>
                <w:szCs w:val="22"/>
                <w:lang w:val="pt-PT"/>
              </w:rPr>
              <w:t>.</w:t>
            </w:r>
            <w:r w:rsidRPr="001B6FEC">
              <w:rPr>
                <w:b/>
                <w:bCs/>
                <w:noProof/>
                <w:color w:val="auto"/>
                <w:sz w:val="22"/>
                <w:szCs w:val="22"/>
                <w:lang w:val="pt-PT"/>
              </w:rPr>
              <w:t>541 doentes submetidos a cirurgia de substituição total da anca</w:t>
            </w:r>
          </w:p>
        </w:tc>
        <w:tc>
          <w:tcPr>
            <w:tcW w:w="1498" w:type="pct"/>
            <w:gridSpan w:val="3"/>
            <w:tcBorders>
              <w:bottom w:val="single" w:sz="4" w:space="0" w:color="auto"/>
            </w:tcBorders>
          </w:tcPr>
          <w:p w14:paraId="328D5F7C" w14:textId="77777777" w:rsidR="00337111" w:rsidRPr="001B6FEC" w:rsidRDefault="00337111" w:rsidP="0044301C">
            <w:pPr>
              <w:pStyle w:val="Default"/>
              <w:keepNext/>
              <w:widowControl/>
              <w:rPr>
                <w:b/>
                <w:bCs/>
                <w:noProof/>
                <w:color w:val="auto"/>
                <w:sz w:val="22"/>
                <w:szCs w:val="22"/>
                <w:lang w:val="pt-PT"/>
              </w:rPr>
            </w:pPr>
            <w:r w:rsidRPr="001B6FEC">
              <w:rPr>
                <w:b/>
                <w:bCs/>
                <w:noProof/>
                <w:color w:val="auto"/>
                <w:sz w:val="22"/>
                <w:szCs w:val="22"/>
                <w:lang w:val="pt-PT"/>
              </w:rPr>
              <w:t>2</w:t>
            </w:r>
            <w:r w:rsidR="00497F22" w:rsidRPr="001B6FEC">
              <w:rPr>
                <w:b/>
                <w:bCs/>
                <w:noProof/>
                <w:color w:val="auto"/>
                <w:sz w:val="22"/>
                <w:szCs w:val="22"/>
                <w:lang w:val="pt-PT"/>
              </w:rPr>
              <w:t>.</w:t>
            </w:r>
            <w:r w:rsidRPr="001B6FEC">
              <w:rPr>
                <w:b/>
                <w:bCs/>
                <w:noProof/>
                <w:color w:val="auto"/>
                <w:sz w:val="22"/>
                <w:szCs w:val="22"/>
                <w:lang w:val="pt-PT"/>
              </w:rPr>
              <w:t>509 doentes submetidos a cirurgia de substituição total da anca</w:t>
            </w:r>
          </w:p>
        </w:tc>
        <w:tc>
          <w:tcPr>
            <w:tcW w:w="1479" w:type="pct"/>
            <w:gridSpan w:val="4"/>
            <w:tcBorders>
              <w:bottom w:val="single" w:sz="4" w:space="0" w:color="auto"/>
            </w:tcBorders>
          </w:tcPr>
          <w:p w14:paraId="7494E692" w14:textId="77777777" w:rsidR="00337111" w:rsidRPr="001B6FEC" w:rsidRDefault="00337111" w:rsidP="0044301C">
            <w:pPr>
              <w:pStyle w:val="Default"/>
              <w:keepNext/>
              <w:widowControl/>
              <w:rPr>
                <w:b/>
                <w:bCs/>
                <w:noProof/>
                <w:color w:val="auto"/>
                <w:sz w:val="22"/>
                <w:szCs w:val="22"/>
                <w:lang w:val="pt-PT"/>
              </w:rPr>
            </w:pPr>
            <w:r w:rsidRPr="001B6FEC">
              <w:rPr>
                <w:b/>
                <w:bCs/>
                <w:noProof/>
                <w:color w:val="auto"/>
                <w:sz w:val="22"/>
                <w:szCs w:val="22"/>
                <w:lang w:val="pt-PT"/>
              </w:rPr>
              <w:t>2</w:t>
            </w:r>
            <w:r w:rsidR="00497F22" w:rsidRPr="001B6FEC">
              <w:rPr>
                <w:b/>
                <w:bCs/>
                <w:noProof/>
                <w:color w:val="auto"/>
                <w:sz w:val="22"/>
                <w:szCs w:val="22"/>
                <w:lang w:val="pt-PT"/>
              </w:rPr>
              <w:t>.</w:t>
            </w:r>
            <w:r w:rsidRPr="001B6FEC">
              <w:rPr>
                <w:b/>
                <w:bCs/>
                <w:noProof/>
                <w:color w:val="auto"/>
                <w:sz w:val="22"/>
                <w:szCs w:val="22"/>
                <w:lang w:val="pt-PT"/>
              </w:rPr>
              <w:t>531 doentes submetidos a cirurgia de substituição total do joelho</w:t>
            </w:r>
          </w:p>
        </w:tc>
      </w:tr>
      <w:tr w:rsidR="002C68B2" w:rsidRPr="0063119B" w14:paraId="49FE79FA" w14:textId="77777777" w:rsidTr="00453DA7">
        <w:trPr>
          <w:cantSplit/>
          <w:jc w:val="center"/>
        </w:trPr>
        <w:tc>
          <w:tcPr>
            <w:tcW w:w="561" w:type="pct"/>
          </w:tcPr>
          <w:p w14:paraId="312F99B1"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Posologia e duração do tratamento após cirurgia</w:t>
            </w:r>
          </w:p>
        </w:tc>
        <w:tc>
          <w:tcPr>
            <w:tcW w:w="580" w:type="pct"/>
            <w:tcBorders>
              <w:right w:val="nil"/>
            </w:tcBorders>
          </w:tcPr>
          <w:p w14:paraId="0A27DE4A" w14:textId="77777777" w:rsidR="00337111" w:rsidRPr="0063119B" w:rsidRDefault="00337111" w:rsidP="0044301C">
            <w:pPr>
              <w:pStyle w:val="Default"/>
              <w:keepNext/>
              <w:widowControl/>
              <w:ind w:right="-52"/>
              <w:rPr>
                <w:noProof/>
                <w:color w:val="auto"/>
                <w:sz w:val="22"/>
                <w:szCs w:val="22"/>
                <w:lang w:val="pt-PT"/>
              </w:rPr>
            </w:pPr>
            <w:r w:rsidRPr="0063119B">
              <w:rPr>
                <w:noProof/>
                <w:color w:val="auto"/>
                <w:sz w:val="22"/>
                <w:szCs w:val="22"/>
                <w:lang w:val="pt-PT"/>
              </w:rPr>
              <w:t>Rivaroxabano 10 mg uma vez ao dia</w:t>
            </w:r>
          </w:p>
          <w:p w14:paraId="36877F32"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35 ± 4 dias</w:t>
            </w:r>
          </w:p>
        </w:tc>
        <w:tc>
          <w:tcPr>
            <w:tcW w:w="550" w:type="pct"/>
            <w:tcBorders>
              <w:left w:val="nil"/>
              <w:right w:val="nil"/>
            </w:tcBorders>
          </w:tcPr>
          <w:p w14:paraId="0727717E"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Enoxaparina</w:t>
            </w:r>
          </w:p>
          <w:p w14:paraId="0F399776"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40 mg uma vez ao dia</w:t>
            </w:r>
          </w:p>
          <w:p w14:paraId="2F74558C"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35 ± 4 dias</w:t>
            </w:r>
          </w:p>
        </w:tc>
        <w:tc>
          <w:tcPr>
            <w:tcW w:w="333" w:type="pct"/>
            <w:tcBorders>
              <w:left w:val="nil"/>
            </w:tcBorders>
          </w:tcPr>
          <w:p w14:paraId="1D02A0DF" w14:textId="77777777" w:rsidR="00337111" w:rsidRPr="0063119B" w:rsidRDefault="00337111" w:rsidP="0044301C">
            <w:pPr>
              <w:pStyle w:val="Default"/>
              <w:keepNext/>
              <w:widowControl/>
              <w:jc w:val="center"/>
              <w:rPr>
                <w:noProof/>
                <w:color w:val="auto"/>
                <w:sz w:val="22"/>
                <w:szCs w:val="22"/>
                <w:lang w:val="pt-PT"/>
              </w:rPr>
            </w:pPr>
            <w:r w:rsidRPr="0063119B">
              <w:rPr>
                <w:noProof/>
                <w:color w:val="auto"/>
                <w:sz w:val="22"/>
                <w:szCs w:val="22"/>
                <w:lang w:val="pt-PT"/>
              </w:rPr>
              <w:t>p</w:t>
            </w:r>
          </w:p>
        </w:tc>
        <w:tc>
          <w:tcPr>
            <w:tcW w:w="601" w:type="pct"/>
            <w:tcBorders>
              <w:right w:val="nil"/>
            </w:tcBorders>
          </w:tcPr>
          <w:p w14:paraId="08E249A8"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 xml:space="preserve">Rivaroxabano 10 mg uma vez ao dia </w:t>
            </w:r>
          </w:p>
          <w:p w14:paraId="6C305FCF"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35 ± 4 dias</w:t>
            </w:r>
          </w:p>
        </w:tc>
        <w:tc>
          <w:tcPr>
            <w:tcW w:w="550" w:type="pct"/>
            <w:tcBorders>
              <w:left w:val="nil"/>
              <w:right w:val="nil"/>
            </w:tcBorders>
          </w:tcPr>
          <w:p w14:paraId="16D887BB"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Enoxaparina</w:t>
            </w:r>
          </w:p>
          <w:p w14:paraId="0BDBCA68"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40 mg uma vez ao dia</w:t>
            </w:r>
          </w:p>
          <w:p w14:paraId="09F0B779"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12 ± 2 dias</w:t>
            </w:r>
          </w:p>
        </w:tc>
        <w:tc>
          <w:tcPr>
            <w:tcW w:w="346" w:type="pct"/>
            <w:tcBorders>
              <w:left w:val="nil"/>
            </w:tcBorders>
          </w:tcPr>
          <w:p w14:paraId="72BB5F91" w14:textId="77777777" w:rsidR="00337111" w:rsidRPr="0063119B" w:rsidRDefault="00337111" w:rsidP="0044301C">
            <w:pPr>
              <w:pStyle w:val="Default"/>
              <w:keepNext/>
              <w:widowControl/>
              <w:jc w:val="center"/>
              <w:rPr>
                <w:noProof/>
                <w:color w:val="auto"/>
                <w:sz w:val="22"/>
                <w:szCs w:val="22"/>
                <w:lang w:val="pt-PT"/>
              </w:rPr>
            </w:pPr>
            <w:r w:rsidRPr="0063119B">
              <w:rPr>
                <w:noProof/>
                <w:color w:val="auto"/>
                <w:sz w:val="22"/>
                <w:szCs w:val="22"/>
                <w:lang w:val="pt-PT"/>
              </w:rPr>
              <w:t>p</w:t>
            </w:r>
          </w:p>
        </w:tc>
        <w:tc>
          <w:tcPr>
            <w:tcW w:w="582" w:type="pct"/>
            <w:gridSpan w:val="2"/>
            <w:tcBorders>
              <w:right w:val="nil"/>
            </w:tcBorders>
          </w:tcPr>
          <w:p w14:paraId="194E29E0" w14:textId="77777777" w:rsidR="00337111" w:rsidRPr="0063119B" w:rsidRDefault="00337111" w:rsidP="0044301C">
            <w:pPr>
              <w:pStyle w:val="Default"/>
              <w:keepNext/>
              <w:widowControl/>
              <w:ind w:right="-46"/>
              <w:rPr>
                <w:noProof/>
                <w:color w:val="auto"/>
                <w:sz w:val="22"/>
                <w:szCs w:val="22"/>
                <w:lang w:val="pt-PT"/>
              </w:rPr>
            </w:pPr>
            <w:r w:rsidRPr="0063119B">
              <w:rPr>
                <w:noProof/>
                <w:color w:val="auto"/>
                <w:sz w:val="22"/>
                <w:szCs w:val="22"/>
                <w:lang w:val="pt-PT"/>
              </w:rPr>
              <w:t>Rivaroxabano 10 mg uma vez ao dia</w:t>
            </w:r>
          </w:p>
          <w:p w14:paraId="66A934F0" w14:textId="77777777" w:rsidR="00337111" w:rsidRPr="0063119B" w:rsidRDefault="00337111" w:rsidP="0044301C">
            <w:pPr>
              <w:pStyle w:val="Default"/>
              <w:keepNext/>
              <w:widowControl/>
              <w:ind w:right="-188"/>
              <w:rPr>
                <w:noProof/>
                <w:color w:val="auto"/>
                <w:sz w:val="22"/>
                <w:szCs w:val="22"/>
                <w:lang w:val="pt-PT"/>
              </w:rPr>
            </w:pPr>
            <w:r w:rsidRPr="0063119B">
              <w:rPr>
                <w:noProof/>
                <w:color w:val="auto"/>
                <w:sz w:val="22"/>
                <w:szCs w:val="22"/>
                <w:lang w:val="pt-PT"/>
              </w:rPr>
              <w:t>12 ± 2 dias</w:t>
            </w:r>
          </w:p>
        </w:tc>
        <w:tc>
          <w:tcPr>
            <w:tcW w:w="550" w:type="pct"/>
            <w:tcBorders>
              <w:left w:val="nil"/>
              <w:right w:val="nil"/>
            </w:tcBorders>
          </w:tcPr>
          <w:p w14:paraId="0460CEBB"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Enoxaparina</w:t>
            </w:r>
          </w:p>
          <w:p w14:paraId="10E792DC"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40 mg uma vez ao dia</w:t>
            </w:r>
          </w:p>
          <w:p w14:paraId="1EF9BADF"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12 ± 2 dias</w:t>
            </w:r>
          </w:p>
        </w:tc>
        <w:tc>
          <w:tcPr>
            <w:tcW w:w="346" w:type="pct"/>
            <w:tcBorders>
              <w:left w:val="nil"/>
            </w:tcBorders>
          </w:tcPr>
          <w:p w14:paraId="6D82B249" w14:textId="77777777" w:rsidR="00337111" w:rsidRPr="0063119B" w:rsidRDefault="00337111" w:rsidP="0044301C">
            <w:pPr>
              <w:pStyle w:val="Default"/>
              <w:keepNext/>
              <w:widowControl/>
              <w:jc w:val="center"/>
              <w:rPr>
                <w:noProof/>
                <w:color w:val="auto"/>
                <w:sz w:val="22"/>
                <w:szCs w:val="22"/>
                <w:lang w:val="pt-PT"/>
              </w:rPr>
            </w:pPr>
            <w:r w:rsidRPr="0063119B">
              <w:rPr>
                <w:noProof/>
                <w:color w:val="auto"/>
                <w:sz w:val="22"/>
                <w:szCs w:val="22"/>
                <w:lang w:val="pt-PT"/>
              </w:rPr>
              <w:t>p</w:t>
            </w:r>
          </w:p>
        </w:tc>
      </w:tr>
      <w:tr w:rsidR="002C68B2" w:rsidRPr="0063119B" w14:paraId="4D2B8C10" w14:textId="77777777" w:rsidTr="00453DA7">
        <w:trPr>
          <w:cantSplit/>
          <w:jc w:val="center"/>
        </w:trPr>
        <w:tc>
          <w:tcPr>
            <w:tcW w:w="561" w:type="pct"/>
          </w:tcPr>
          <w:p w14:paraId="429A558B"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TEV total</w:t>
            </w:r>
          </w:p>
        </w:tc>
        <w:tc>
          <w:tcPr>
            <w:tcW w:w="580" w:type="pct"/>
            <w:tcBorders>
              <w:right w:val="nil"/>
            </w:tcBorders>
          </w:tcPr>
          <w:p w14:paraId="35D09AA6"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18 (1,1%)</w:t>
            </w:r>
          </w:p>
        </w:tc>
        <w:tc>
          <w:tcPr>
            <w:tcW w:w="550" w:type="pct"/>
            <w:tcBorders>
              <w:left w:val="nil"/>
              <w:right w:val="nil"/>
            </w:tcBorders>
          </w:tcPr>
          <w:p w14:paraId="1EC9B463"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58 (3,7%)</w:t>
            </w:r>
          </w:p>
        </w:tc>
        <w:tc>
          <w:tcPr>
            <w:tcW w:w="333" w:type="pct"/>
            <w:tcBorders>
              <w:left w:val="nil"/>
            </w:tcBorders>
          </w:tcPr>
          <w:p w14:paraId="3B1A0AE3" w14:textId="77777777" w:rsidR="00337111" w:rsidRPr="0063119B" w:rsidRDefault="00337111" w:rsidP="0044301C">
            <w:pPr>
              <w:pStyle w:val="Default"/>
              <w:keepNext/>
              <w:widowControl/>
              <w:ind w:right="-31"/>
              <w:rPr>
                <w:noProof/>
                <w:color w:val="auto"/>
                <w:sz w:val="22"/>
                <w:szCs w:val="22"/>
                <w:lang w:val="pt-PT"/>
              </w:rPr>
            </w:pPr>
            <w:r w:rsidRPr="0063119B">
              <w:rPr>
                <w:noProof/>
                <w:color w:val="auto"/>
                <w:sz w:val="22"/>
                <w:szCs w:val="22"/>
                <w:lang w:val="pt-PT"/>
              </w:rPr>
              <w:t>&lt;0,001</w:t>
            </w:r>
          </w:p>
        </w:tc>
        <w:tc>
          <w:tcPr>
            <w:tcW w:w="601" w:type="pct"/>
            <w:tcBorders>
              <w:right w:val="nil"/>
            </w:tcBorders>
          </w:tcPr>
          <w:p w14:paraId="712086E5"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 xml:space="preserve">17 (2,0%) </w:t>
            </w:r>
          </w:p>
        </w:tc>
        <w:tc>
          <w:tcPr>
            <w:tcW w:w="550" w:type="pct"/>
            <w:tcBorders>
              <w:left w:val="nil"/>
              <w:right w:val="nil"/>
            </w:tcBorders>
          </w:tcPr>
          <w:p w14:paraId="07E3F6A2"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81 (9,3%)</w:t>
            </w:r>
          </w:p>
        </w:tc>
        <w:tc>
          <w:tcPr>
            <w:tcW w:w="346" w:type="pct"/>
            <w:tcBorders>
              <w:left w:val="nil"/>
            </w:tcBorders>
          </w:tcPr>
          <w:p w14:paraId="4F7946A5"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&lt;0,001</w:t>
            </w:r>
          </w:p>
        </w:tc>
        <w:tc>
          <w:tcPr>
            <w:tcW w:w="536" w:type="pct"/>
            <w:tcBorders>
              <w:right w:val="nil"/>
            </w:tcBorders>
          </w:tcPr>
          <w:p w14:paraId="7A97FEB5"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79 (9,6%)</w:t>
            </w:r>
          </w:p>
        </w:tc>
        <w:tc>
          <w:tcPr>
            <w:tcW w:w="597" w:type="pct"/>
            <w:gridSpan w:val="2"/>
            <w:tcBorders>
              <w:left w:val="nil"/>
              <w:right w:val="nil"/>
            </w:tcBorders>
          </w:tcPr>
          <w:p w14:paraId="34134CA2" w14:textId="77777777" w:rsidR="00337111" w:rsidRPr="0063119B" w:rsidRDefault="00337111" w:rsidP="0044301C">
            <w:pPr>
              <w:pStyle w:val="Default"/>
              <w:keepNext/>
              <w:widowControl/>
              <w:ind w:right="-60"/>
              <w:rPr>
                <w:noProof/>
                <w:color w:val="auto"/>
                <w:sz w:val="22"/>
                <w:szCs w:val="22"/>
                <w:lang w:val="pt-PT"/>
              </w:rPr>
            </w:pPr>
            <w:r w:rsidRPr="0063119B">
              <w:rPr>
                <w:noProof/>
                <w:color w:val="auto"/>
                <w:sz w:val="22"/>
                <w:szCs w:val="22"/>
                <w:lang w:val="pt-PT"/>
              </w:rPr>
              <w:t>166 (18,9%)</w:t>
            </w:r>
          </w:p>
        </w:tc>
        <w:tc>
          <w:tcPr>
            <w:tcW w:w="346" w:type="pct"/>
            <w:tcBorders>
              <w:left w:val="nil"/>
            </w:tcBorders>
          </w:tcPr>
          <w:p w14:paraId="636FA576"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&lt;0,001</w:t>
            </w:r>
          </w:p>
        </w:tc>
      </w:tr>
      <w:tr w:rsidR="002C68B2" w:rsidRPr="0063119B" w14:paraId="44898ABF" w14:textId="77777777" w:rsidTr="00453DA7">
        <w:trPr>
          <w:cantSplit/>
          <w:jc w:val="center"/>
        </w:trPr>
        <w:tc>
          <w:tcPr>
            <w:tcW w:w="561" w:type="pct"/>
          </w:tcPr>
          <w:p w14:paraId="1AA926BE"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TEV grave</w:t>
            </w:r>
          </w:p>
          <w:p w14:paraId="66401433" w14:textId="77777777" w:rsidR="00337111" w:rsidRPr="0063119B" w:rsidRDefault="00337111" w:rsidP="0044301C">
            <w:pPr>
              <w:pStyle w:val="Default"/>
              <w:keepNext/>
              <w:widowControl/>
              <w:rPr>
                <w:noProof/>
                <w:color w:val="auto"/>
                <w:sz w:val="22"/>
                <w:szCs w:val="22"/>
                <w:lang w:val="pt-PT"/>
              </w:rPr>
            </w:pPr>
          </w:p>
        </w:tc>
        <w:tc>
          <w:tcPr>
            <w:tcW w:w="580" w:type="pct"/>
            <w:tcBorders>
              <w:right w:val="nil"/>
            </w:tcBorders>
          </w:tcPr>
          <w:p w14:paraId="4353C5D0"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4 (0,2%)</w:t>
            </w:r>
          </w:p>
        </w:tc>
        <w:tc>
          <w:tcPr>
            <w:tcW w:w="550" w:type="pct"/>
            <w:tcBorders>
              <w:left w:val="nil"/>
              <w:right w:val="nil"/>
            </w:tcBorders>
          </w:tcPr>
          <w:p w14:paraId="7FD89BDE"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33 (2,0%)</w:t>
            </w:r>
          </w:p>
        </w:tc>
        <w:tc>
          <w:tcPr>
            <w:tcW w:w="333" w:type="pct"/>
            <w:tcBorders>
              <w:left w:val="nil"/>
            </w:tcBorders>
          </w:tcPr>
          <w:p w14:paraId="33E095A6" w14:textId="77777777" w:rsidR="00337111" w:rsidRPr="0063119B" w:rsidRDefault="00337111" w:rsidP="0044301C">
            <w:pPr>
              <w:pStyle w:val="Default"/>
              <w:keepNext/>
              <w:widowControl/>
              <w:ind w:right="-31"/>
              <w:rPr>
                <w:noProof/>
                <w:color w:val="auto"/>
                <w:sz w:val="22"/>
                <w:szCs w:val="22"/>
                <w:lang w:val="pt-PT"/>
              </w:rPr>
            </w:pPr>
            <w:r w:rsidRPr="0063119B">
              <w:rPr>
                <w:noProof/>
                <w:color w:val="auto"/>
                <w:sz w:val="22"/>
                <w:szCs w:val="22"/>
                <w:lang w:val="pt-PT"/>
              </w:rPr>
              <w:t>&lt;0,001</w:t>
            </w:r>
          </w:p>
        </w:tc>
        <w:tc>
          <w:tcPr>
            <w:tcW w:w="601" w:type="pct"/>
            <w:tcBorders>
              <w:right w:val="nil"/>
            </w:tcBorders>
          </w:tcPr>
          <w:p w14:paraId="49D9E0D7" w14:textId="77777777" w:rsidR="00337111" w:rsidRPr="0063119B" w:rsidRDefault="00337111" w:rsidP="0044301C">
            <w:pPr>
              <w:pStyle w:val="Default"/>
              <w:keepNext/>
              <w:widowControl/>
              <w:ind w:left="-304" w:firstLine="304"/>
              <w:rPr>
                <w:noProof/>
                <w:color w:val="auto"/>
                <w:sz w:val="22"/>
                <w:szCs w:val="22"/>
                <w:lang w:val="pt-PT"/>
              </w:rPr>
            </w:pPr>
            <w:r w:rsidRPr="0063119B">
              <w:rPr>
                <w:noProof/>
                <w:color w:val="auto"/>
                <w:sz w:val="22"/>
                <w:szCs w:val="22"/>
                <w:lang w:val="pt-PT"/>
              </w:rPr>
              <w:t>6 (0,6%)</w:t>
            </w:r>
          </w:p>
        </w:tc>
        <w:tc>
          <w:tcPr>
            <w:tcW w:w="550" w:type="pct"/>
            <w:tcBorders>
              <w:left w:val="nil"/>
              <w:right w:val="nil"/>
            </w:tcBorders>
          </w:tcPr>
          <w:p w14:paraId="46936249"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49 (5,1%)</w:t>
            </w:r>
          </w:p>
        </w:tc>
        <w:tc>
          <w:tcPr>
            <w:tcW w:w="346" w:type="pct"/>
            <w:tcBorders>
              <w:left w:val="nil"/>
            </w:tcBorders>
          </w:tcPr>
          <w:p w14:paraId="1F2E5D9E"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&lt;0,001</w:t>
            </w:r>
          </w:p>
        </w:tc>
        <w:tc>
          <w:tcPr>
            <w:tcW w:w="536" w:type="pct"/>
            <w:tcBorders>
              <w:right w:val="nil"/>
            </w:tcBorders>
          </w:tcPr>
          <w:p w14:paraId="50CA3ABB"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9 (1,0%)</w:t>
            </w:r>
          </w:p>
        </w:tc>
        <w:tc>
          <w:tcPr>
            <w:tcW w:w="597" w:type="pct"/>
            <w:gridSpan w:val="2"/>
            <w:tcBorders>
              <w:left w:val="nil"/>
              <w:right w:val="nil"/>
            </w:tcBorders>
          </w:tcPr>
          <w:p w14:paraId="793C0AF2"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24 (2,6%)</w:t>
            </w:r>
          </w:p>
        </w:tc>
        <w:tc>
          <w:tcPr>
            <w:tcW w:w="346" w:type="pct"/>
            <w:tcBorders>
              <w:left w:val="nil"/>
            </w:tcBorders>
          </w:tcPr>
          <w:p w14:paraId="0F7CDF27"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 xml:space="preserve"> </w:t>
            </w:r>
            <w:r w:rsidR="00936111" w:rsidRPr="0063119B">
              <w:rPr>
                <w:noProof/>
                <w:color w:val="auto"/>
                <w:sz w:val="22"/>
                <w:szCs w:val="22"/>
                <w:lang w:val="pt-PT"/>
              </w:rPr>
              <w:t xml:space="preserve"> </w:t>
            </w:r>
            <w:r w:rsidRPr="0063119B">
              <w:rPr>
                <w:noProof/>
                <w:color w:val="auto"/>
                <w:sz w:val="22"/>
                <w:szCs w:val="22"/>
                <w:lang w:val="pt-PT"/>
              </w:rPr>
              <w:t>0,01</w:t>
            </w:r>
          </w:p>
        </w:tc>
      </w:tr>
      <w:tr w:rsidR="002C68B2" w:rsidRPr="0063119B" w14:paraId="6573D84F" w14:textId="77777777" w:rsidTr="00453DA7">
        <w:trPr>
          <w:cantSplit/>
          <w:jc w:val="center"/>
        </w:trPr>
        <w:tc>
          <w:tcPr>
            <w:tcW w:w="561" w:type="pct"/>
          </w:tcPr>
          <w:p w14:paraId="6B9CA856" w14:textId="77777777" w:rsidR="00337111" w:rsidRPr="0063119B" w:rsidRDefault="00337111" w:rsidP="0044301C">
            <w:pPr>
              <w:pStyle w:val="Default"/>
              <w:keepNext/>
              <w:widowControl/>
              <w:ind w:right="-55"/>
              <w:rPr>
                <w:noProof/>
                <w:color w:val="auto"/>
                <w:sz w:val="22"/>
                <w:szCs w:val="22"/>
                <w:lang w:val="pt-PT"/>
              </w:rPr>
            </w:pPr>
            <w:r w:rsidRPr="0063119B">
              <w:rPr>
                <w:noProof/>
                <w:color w:val="auto"/>
                <w:sz w:val="22"/>
                <w:szCs w:val="22"/>
                <w:lang w:val="pt-PT"/>
              </w:rPr>
              <w:t xml:space="preserve">TEV sintomática </w:t>
            </w:r>
          </w:p>
        </w:tc>
        <w:tc>
          <w:tcPr>
            <w:tcW w:w="580" w:type="pct"/>
            <w:tcBorders>
              <w:right w:val="nil"/>
            </w:tcBorders>
          </w:tcPr>
          <w:p w14:paraId="73F2DB1B" w14:textId="77777777" w:rsidR="00337111" w:rsidRPr="0063119B" w:rsidRDefault="00337111" w:rsidP="0044301C">
            <w:pPr>
              <w:pStyle w:val="Default"/>
              <w:keepNext/>
              <w:widowControl/>
              <w:rPr>
                <w:noProof/>
                <w:color w:val="auto"/>
                <w:sz w:val="22"/>
                <w:szCs w:val="22"/>
                <w:lang w:val="pt-PT"/>
              </w:rPr>
            </w:pPr>
            <w:r w:rsidRPr="0063119B">
              <w:rPr>
                <w:noProof/>
                <w:snapToGrid w:val="0"/>
                <w:color w:val="auto"/>
                <w:sz w:val="22"/>
                <w:szCs w:val="22"/>
                <w:lang w:val="pt-PT"/>
              </w:rPr>
              <w:t>6 (</w:t>
            </w:r>
            <w:r w:rsidRPr="0063119B">
              <w:rPr>
                <w:noProof/>
                <w:color w:val="auto"/>
                <w:sz w:val="22"/>
                <w:szCs w:val="22"/>
                <w:lang w:val="pt-PT"/>
              </w:rPr>
              <w:t>0,4%)</w:t>
            </w:r>
          </w:p>
        </w:tc>
        <w:tc>
          <w:tcPr>
            <w:tcW w:w="550" w:type="pct"/>
            <w:tcBorders>
              <w:left w:val="nil"/>
              <w:right w:val="nil"/>
            </w:tcBorders>
          </w:tcPr>
          <w:p w14:paraId="46CCA25B" w14:textId="77777777" w:rsidR="00337111" w:rsidRPr="0063119B" w:rsidRDefault="00337111" w:rsidP="0044301C">
            <w:pPr>
              <w:pStyle w:val="Default"/>
              <w:keepNext/>
              <w:widowControl/>
              <w:rPr>
                <w:noProof/>
                <w:color w:val="auto"/>
                <w:sz w:val="22"/>
                <w:szCs w:val="22"/>
                <w:lang w:val="pt-PT"/>
              </w:rPr>
            </w:pPr>
            <w:r w:rsidRPr="0063119B">
              <w:rPr>
                <w:noProof/>
                <w:snapToGrid w:val="0"/>
                <w:color w:val="auto"/>
                <w:sz w:val="22"/>
                <w:szCs w:val="22"/>
                <w:lang w:val="pt-PT"/>
              </w:rPr>
              <w:t>11 (</w:t>
            </w:r>
            <w:r w:rsidRPr="0063119B">
              <w:rPr>
                <w:noProof/>
                <w:color w:val="auto"/>
                <w:sz w:val="22"/>
                <w:szCs w:val="22"/>
                <w:lang w:val="pt-PT"/>
              </w:rPr>
              <w:t>0,7%)</w:t>
            </w:r>
          </w:p>
        </w:tc>
        <w:tc>
          <w:tcPr>
            <w:tcW w:w="333" w:type="pct"/>
            <w:tcBorders>
              <w:left w:val="nil"/>
            </w:tcBorders>
          </w:tcPr>
          <w:p w14:paraId="337D472A" w14:textId="77777777" w:rsidR="00337111" w:rsidRPr="0063119B" w:rsidRDefault="00337111" w:rsidP="0044301C">
            <w:pPr>
              <w:pStyle w:val="Default"/>
              <w:keepNext/>
              <w:widowControl/>
              <w:rPr>
                <w:noProof/>
                <w:color w:val="auto"/>
                <w:sz w:val="22"/>
                <w:szCs w:val="22"/>
                <w:lang w:val="pt-PT"/>
              </w:rPr>
            </w:pPr>
          </w:p>
        </w:tc>
        <w:tc>
          <w:tcPr>
            <w:tcW w:w="601" w:type="pct"/>
            <w:tcBorders>
              <w:right w:val="nil"/>
            </w:tcBorders>
          </w:tcPr>
          <w:p w14:paraId="681FE262"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3 (0,4%)</w:t>
            </w:r>
          </w:p>
        </w:tc>
        <w:tc>
          <w:tcPr>
            <w:tcW w:w="550" w:type="pct"/>
            <w:tcBorders>
              <w:left w:val="nil"/>
              <w:right w:val="nil"/>
            </w:tcBorders>
          </w:tcPr>
          <w:p w14:paraId="2A3CB86C" w14:textId="77777777" w:rsidR="00337111" w:rsidRPr="0063119B" w:rsidRDefault="00337111" w:rsidP="002E5E0A">
            <w:pPr>
              <w:pStyle w:val="Default"/>
              <w:keepNext/>
              <w:widowControl/>
              <w:rPr>
                <w:noProof/>
                <w:color w:val="auto"/>
                <w:sz w:val="22"/>
                <w:szCs w:val="22"/>
                <w:lang w:val="pt-PT"/>
              </w:rPr>
            </w:pPr>
            <w:r w:rsidRPr="0063119B">
              <w:rPr>
                <w:noProof/>
                <w:color w:val="auto"/>
                <w:sz w:val="22"/>
                <w:szCs w:val="22"/>
                <w:lang w:val="pt-PT"/>
              </w:rPr>
              <w:t>15 (1,7%)</w:t>
            </w:r>
          </w:p>
        </w:tc>
        <w:tc>
          <w:tcPr>
            <w:tcW w:w="346" w:type="pct"/>
            <w:tcBorders>
              <w:left w:val="nil"/>
            </w:tcBorders>
          </w:tcPr>
          <w:p w14:paraId="767BD382" w14:textId="77777777" w:rsidR="00337111" w:rsidRPr="0063119B" w:rsidRDefault="00337111" w:rsidP="0044301C">
            <w:pPr>
              <w:pStyle w:val="Default"/>
              <w:keepNext/>
              <w:widowControl/>
              <w:rPr>
                <w:noProof/>
                <w:color w:val="auto"/>
                <w:sz w:val="22"/>
                <w:szCs w:val="22"/>
                <w:lang w:val="pt-PT"/>
              </w:rPr>
            </w:pPr>
          </w:p>
        </w:tc>
        <w:tc>
          <w:tcPr>
            <w:tcW w:w="536" w:type="pct"/>
            <w:tcBorders>
              <w:right w:val="nil"/>
            </w:tcBorders>
          </w:tcPr>
          <w:p w14:paraId="076E1EFC"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8 (1,0%)</w:t>
            </w:r>
          </w:p>
        </w:tc>
        <w:tc>
          <w:tcPr>
            <w:tcW w:w="597" w:type="pct"/>
            <w:gridSpan w:val="2"/>
            <w:tcBorders>
              <w:left w:val="nil"/>
              <w:right w:val="nil"/>
            </w:tcBorders>
          </w:tcPr>
          <w:p w14:paraId="26A76DA9" w14:textId="77777777" w:rsidR="00337111" w:rsidRPr="0063119B" w:rsidRDefault="00337111" w:rsidP="0044301C">
            <w:pPr>
              <w:pStyle w:val="Default"/>
              <w:keepNext/>
              <w:widowControl/>
              <w:rPr>
                <w:noProof/>
                <w:color w:val="auto"/>
                <w:sz w:val="22"/>
                <w:szCs w:val="22"/>
                <w:lang w:val="pt-PT"/>
              </w:rPr>
            </w:pPr>
            <w:r w:rsidRPr="0063119B">
              <w:rPr>
                <w:noProof/>
                <w:color w:val="auto"/>
                <w:sz w:val="22"/>
                <w:szCs w:val="22"/>
                <w:lang w:val="pt-PT"/>
              </w:rPr>
              <w:t>24 (2,7%)</w:t>
            </w:r>
          </w:p>
        </w:tc>
        <w:tc>
          <w:tcPr>
            <w:tcW w:w="346" w:type="pct"/>
            <w:tcBorders>
              <w:left w:val="nil"/>
            </w:tcBorders>
          </w:tcPr>
          <w:p w14:paraId="0026A425" w14:textId="77777777" w:rsidR="00337111" w:rsidRPr="0063119B" w:rsidRDefault="00337111" w:rsidP="0044301C">
            <w:pPr>
              <w:pStyle w:val="Default"/>
              <w:keepNext/>
              <w:widowControl/>
              <w:rPr>
                <w:noProof/>
                <w:color w:val="auto"/>
                <w:sz w:val="22"/>
                <w:szCs w:val="22"/>
                <w:lang w:val="pt-PT"/>
              </w:rPr>
            </w:pPr>
          </w:p>
        </w:tc>
      </w:tr>
      <w:tr w:rsidR="002C68B2" w:rsidRPr="0063119B" w14:paraId="50543A24" w14:textId="77777777" w:rsidTr="00453DA7">
        <w:trPr>
          <w:cantSplit/>
          <w:jc w:val="center"/>
        </w:trPr>
        <w:tc>
          <w:tcPr>
            <w:tcW w:w="561" w:type="pct"/>
          </w:tcPr>
          <w:p w14:paraId="283E49BC" w14:textId="77777777" w:rsidR="00337111" w:rsidRPr="0063119B" w:rsidRDefault="00337111" w:rsidP="0044301C">
            <w:pPr>
              <w:pStyle w:val="Default"/>
              <w:keepLines/>
              <w:widowControl/>
              <w:rPr>
                <w:noProof/>
                <w:color w:val="auto"/>
                <w:sz w:val="22"/>
                <w:szCs w:val="22"/>
                <w:lang w:val="pt-PT"/>
              </w:rPr>
            </w:pPr>
            <w:r w:rsidRPr="0063119B">
              <w:rPr>
                <w:noProof/>
                <w:color w:val="auto"/>
                <w:sz w:val="22"/>
                <w:szCs w:val="22"/>
                <w:lang w:val="pt-PT"/>
              </w:rPr>
              <w:t>Hemorragias grave</w:t>
            </w:r>
            <w:r w:rsidR="00F84061" w:rsidRPr="0063119B">
              <w:rPr>
                <w:noProof/>
                <w:color w:val="auto"/>
                <w:sz w:val="22"/>
                <w:szCs w:val="22"/>
                <w:lang w:val="pt-PT"/>
              </w:rPr>
              <w:t>s</w:t>
            </w:r>
          </w:p>
        </w:tc>
        <w:tc>
          <w:tcPr>
            <w:tcW w:w="580" w:type="pct"/>
            <w:tcBorders>
              <w:right w:val="nil"/>
            </w:tcBorders>
          </w:tcPr>
          <w:p w14:paraId="789F7CE5" w14:textId="77777777" w:rsidR="00337111" w:rsidRPr="0063119B" w:rsidRDefault="00337111" w:rsidP="002E5E0A">
            <w:pPr>
              <w:pStyle w:val="Default"/>
              <w:keepLines/>
              <w:widowControl/>
              <w:rPr>
                <w:noProof/>
                <w:color w:val="auto"/>
                <w:sz w:val="22"/>
                <w:szCs w:val="22"/>
                <w:lang w:val="pt-PT"/>
              </w:rPr>
            </w:pPr>
            <w:r w:rsidRPr="0063119B">
              <w:rPr>
                <w:noProof/>
                <w:color w:val="auto"/>
                <w:sz w:val="22"/>
                <w:szCs w:val="22"/>
                <w:lang w:val="pt-PT"/>
              </w:rPr>
              <w:t>6 (0,3%)</w:t>
            </w:r>
          </w:p>
        </w:tc>
        <w:tc>
          <w:tcPr>
            <w:tcW w:w="550" w:type="pct"/>
            <w:tcBorders>
              <w:left w:val="nil"/>
              <w:right w:val="nil"/>
            </w:tcBorders>
          </w:tcPr>
          <w:p w14:paraId="198767F6" w14:textId="77777777" w:rsidR="00337111" w:rsidRPr="0063119B" w:rsidRDefault="00337111" w:rsidP="0044301C">
            <w:pPr>
              <w:pStyle w:val="Default"/>
              <w:keepLines/>
              <w:widowControl/>
              <w:rPr>
                <w:noProof/>
                <w:color w:val="auto"/>
                <w:sz w:val="22"/>
                <w:szCs w:val="22"/>
                <w:lang w:val="pt-PT"/>
              </w:rPr>
            </w:pPr>
            <w:r w:rsidRPr="0063119B">
              <w:rPr>
                <w:noProof/>
                <w:color w:val="auto"/>
                <w:sz w:val="22"/>
                <w:szCs w:val="22"/>
                <w:lang w:val="pt-PT"/>
              </w:rPr>
              <w:t>2 (0,1%)</w:t>
            </w:r>
          </w:p>
        </w:tc>
        <w:tc>
          <w:tcPr>
            <w:tcW w:w="333" w:type="pct"/>
            <w:tcBorders>
              <w:left w:val="nil"/>
            </w:tcBorders>
          </w:tcPr>
          <w:p w14:paraId="7AAC0B20" w14:textId="77777777" w:rsidR="00337111" w:rsidRPr="0063119B" w:rsidRDefault="00337111" w:rsidP="0044301C">
            <w:pPr>
              <w:pStyle w:val="Default"/>
              <w:keepLines/>
              <w:widowControl/>
              <w:rPr>
                <w:noProof/>
                <w:color w:val="auto"/>
                <w:sz w:val="22"/>
                <w:szCs w:val="22"/>
                <w:lang w:val="pt-PT"/>
              </w:rPr>
            </w:pPr>
          </w:p>
        </w:tc>
        <w:tc>
          <w:tcPr>
            <w:tcW w:w="601" w:type="pct"/>
            <w:tcBorders>
              <w:right w:val="nil"/>
            </w:tcBorders>
          </w:tcPr>
          <w:p w14:paraId="3533C4C2" w14:textId="77777777" w:rsidR="00337111" w:rsidRPr="0063119B" w:rsidRDefault="00337111" w:rsidP="0044301C">
            <w:pPr>
              <w:pStyle w:val="Default"/>
              <w:keepLines/>
              <w:widowControl/>
              <w:rPr>
                <w:noProof/>
                <w:color w:val="auto"/>
                <w:sz w:val="22"/>
                <w:szCs w:val="22"/>
                <w:lang w:val="pt-PT"/>
              </w:rPr>
            </w:pPr>
            <w:r w:rsidRPr="0063119B">
              <w:rPr>
                <w:noProof/>
                <w:color w:val="auto"/>
                <w:sz w:val="22"/>
                <w:szCs w:val="22"/>
                <w:lang w:val="pt-PT"/>
              </w:rPr>
              <w:t>1 (0,1%)</w:t>
            </w:r>
          </w:p>
        </w:tc>
        <w:tc>
          <w:tcPr>
            <w:tcW w:w="550" w:type="pct"/>
            <w:tcBorders>
              <w:left w:val="nil"/>
              <w:right w:val="nil"/>
            </w:tcBorders>
          </w:tcPr>
          <w:p w14:paraId="1E102351" w14:textId="77777777" w:rsidR="00337111" w:rsidRPr="0063119B" w:rsidRDefault="00337111" w:rsidP="0044301C">
            <w:pPr>
              <w:pStyle w:val="Default"/>
              <w:keepLines/>
              <w:widowControl/>
              <w:rPr>
                <w:noProof/>
                <w:color w:val="auto"/>
                <w:sz w:val="22"/>
                <w:szCs w:val="22"/>
                <w:lang w:val="pt-PT"/>
              </w:rPr>
            </w:pPr>
            <w:r w:rsidRPr="0063119B">
              <w:rPr>
                <w:noProof/>
                <w:color w:val="auto"/>
                <w:sz w:val="22"/>
                <w:szCs w:val="22"/>
                <w:lang w:val="pt-PT"/>
              </w:rPr>
              <w:t>1 (0,1%)</w:t>
            </w:r>
          </w:p>
        </w:tc>
        <w:tc>
          <w:tcPr>
            <w:tcW w:w="346" w:type="pct"/>
            <w:tcBorders>
              <w:left w:val="nil"/>
            </w:tcBorders>
          </w:tcPr>
          <w:p w14:paraId="6C278FEC" w14:textId="77777777" w:rsidR="00337111" w:rsidRPr="0063119B" w:rsidRDefault="00337111" w:rsidP="0044301C">
            <w:pPr>
              <w:pStyle w:val="Default"/>
              <w:keepLines/>
              <w:widowControl/>
              <w:rPr>
                <w:noProof/>
                <w:color w:val="auto"/>
                <w:sz w:val="22"/>
                <w:szCs w:val="22"/>
                <w:lang w:val="pt-PT"/>
              </w:rPr>
            </w:pPr>
          </w:p>
        </w:tc>
        <w:tc>
          <w:tcPr>
            <w:tcW w:w="536" w:type="pct"/>
            <w:tcBorders>
              <w:right w:val="nil"/>
            </w:tcBorders>
          </w:tcPr>
          <w:p w14:paraId="44C94519" w14:textId="77777777" w:rsidR="00337111" w:rsidRPr="0063119B" w:rsidRDefault="00337111" w:rsidP="0044301C">
            <w:pPr>
              <w:pStyle w:val="Default"/>
              <w:keepLines/>
              <w:widowControl/>
              <w:rPr>
                <w:noProof/>
                <w:color w:val="auto"/>
                <w:sz w:val="22"/>
                <w:szCs w:val="22"/>
                <w:lang w:val="pt-PT"/>
              </w:rPr>
            </w:pPr>
            <w:r w:rsidRPr="0063119B">
              <w:rPr>
                <w:noProof/>
                <w:color w:val="auto"/>
                <w:sz w:val="22"/>
                <w:szCs w:val="22"/>
                <w:lang w:val="pt-PT"/>
              </w:rPr>
              <w:t>7 (0,6%)</w:t>
            </w:r>
          </w:p>
        </w:tc>
        <w:tc>
          <w:tcPr>
            <w:tcW w:w="597" w:type="pct"/>
            <w:gridSpan w:val="2"/>
            <w:tcBorders>
              <w:left w:val="nil"/>
              <w:right w:val="nil"/>
            </w:tcBorders>
          </w:tcPr>
          <w:p w14:paraId="786CAD5D" w14:textId="77777777" w:rsidR="00337111" w:rsidRPr="0063119B" w:rsidRDefault="00337111" w:rsidP="0044301C">
            <w:pPr>
              <w:pStyle w:val="Default"/>
              <w:keepLines/>
              <w:widowControl/>
              <w:rPr>
                <w:noProof/>
                <w:color w:val="auto"/>
                <w:sz w:val="22"/>
                <w:szCs w:val="22"/>
                <w:lang w:val="pt-PT"/>
              </w:rPr>
            </w:pPr>
            <w:r w:rsidRPr="0063119B">
              <w:rPr>
                <w:noProof/>
                <w:color w:val="auto"/>
                <w:sz w:val="22"/>
                <w:szCs w:val="22"/>
                <w:lang w:val="pt-PT"/>
              </w:rPr>
              <w:t>6 (0,5%)</w:t>
            </w:r>
          </w:p>
        </w:tc>
        <w:tc>
          <w:tcPr>
            <w:tcW w:w="346" w:type="pct"/>
            <w:tcBorders>
              <w:left w:val="nil"/>
            </w:tcBorders>
          </w:tcPr>
          <w:p w14:paraId="7C43CE74" w14:textId="77777777" w:rsidR="00337111" w:rsidRPr="0063119B" w:rsidRDefault="00337111" w:rsidP="0044301C">
            <w:pPr>
              <w:pStyle w:val="Default"/>
              <w:keepLines/>
              <w:widowControl/>
              <w:rPr>
                <w:noProof/>
                <w:color w:val="auto"/>
                <w:sz w:val="22"/>
                <w:szCs w:val="22"/>
                <w:lang w:val="pt-PT"/>
              </w:rPr>
            </w:pPr>
          </w:p>
        </w:tc>
      </w:tr>
    </w:tbl>
    <w:p w14:paraId="4A47569D" w14:textId="77777777" w:rsidR="00337111" w:rsidRPr="0063119B" w:rsidRDefault="00337111" w:rsidP="00337111">
      <w:pPr>
        <w:suppressAutoHyphens/>
        <w:rPr>
          <w:noProof/>
          <w:szCs w:val="22"/>
        </w:rPr>
      </w:pPr>
    </w:p>
    <w:p w14:paraId="2DD28F37" w14:textId="77777777" w:rsidR="00337111" w:rsidRPr="0063119B" w:rsidRDefault="00337111" w:rsidP="00337111">
      <w:pPr>
        <w:suppressAutoHyphens/>
        <w:rPr>
          <w:noProof/>
          <w:szCs w:val="22"/>
        </w:rPr>
      </w:pPr>
      <w:r w:rsidRPr="0063119B">
        <w:rPr>
          <w:noProof/>
          <w:szCs w:val="22"/>
        </w:rPr>
        <w:t xml:space="preserve">A análise dos resultados agrupados dos </w:t>
      </w:r>
      <w:r w:rsidR="00226BAA" w:rsidRPr="0063119B">
        <w:rPr>
          <w:noProof/>
          <w:szCs w:val="22"/>
        </w:rPr>
        <w:t>estu</w:t>
      </w:r>
      <w:r w:rsidR="004270D5" w:rsidRPr="0063119B">
        <w:rPr>
          <w:noProof/>
          <w:szCs w:val="22"/>
        </w:rPr>
        <w:t>d</w:t>
      </w:r>
      <w:r w:rsidR="00226BAA" w:rsidRPr="0063119B">
        <w:rPr>
          <w:noProof/>
          <w:szCs w:val="22"/>
        </w:rPr>
        <w:t xml:space="preserve">os </w:t>
      </w:r>
      <w:r w:rsidRPr="0063119B">
        <w:rPr>
          <w:noProof/>
          <w:szCs w:val="22"/>
        </w:rPr>
        <w:t xml:space="preserve">clínicos de </w:t>
      </w:r>
      <w:r w:rsidR="0045515D" w:rsidRPr="0063119B">
        <w:rPr>
          <w:noProof/>
          <w:szCs w:val="22"/>
        </w:rPr>
        <w:t>f</w:t>
      </w:r>
      <w:r w:rsidRPr="0063119B">
        <w:rPr>
          <w:noProof/>
          <w:szCs w:val="22"/>
        </w:rPr>
        <w:t>ase III corroborou os dados obtidos em  estudos individuais sobre a redução de TEV total, TEV grave e sintomático com 10 mg de  rivaroxabano, uma vez por dia, em comparação com 40 mg de enoxaparina, uma vez por dia.</w:t>
      </w:r>
    </w:p>
    <w:p w14:paraId="01CD0414" w14:textId="77777777" w:rsidR="00437410" w:rsidRPr="0063119B" w:rsidRDefault="00437410" w:rsidP="00437410">
      <w:pPr>
        <w:suppressAutoHyphens/>
        <w:rPr>
          <w:noProof/>
          <w:szCs w:val="22"/>
        </w:rPr>
      </w:pPr>
    </w:p>
    <w:p w14:paraId="3122379A" w14:textId="77777777" w:rsidR="00437410" w:rsidRPr="0063119B" w:rsidRDefault="00D56434" w:rsidP="00437410">
      <w:pPr>
        <w:suppressAutoHyphens/>
        <w:rPr>
          <w:noProof/>
          <w:szCs w:val="22"/>
        </w:rPr>
      </w:pPr>
      <w:r w:rsidRPr="0063119B">
        <w:rPr>
          <w:noProof/>
          <w:szCs w:val="22"/>
        </w:rPr>
        <w:t>Para além d</w:t>
      </w:r>
      <w:r w:rsidR="00437410" w:rsidRPr="0063119B">
        <w:rPr>
          <w:noProof/>
          <w:szCs w:val="22"/>
        </w:rPr>
        <w:t xml:space="preserve">o programa RECORD de fase III, um estudo coorte (XAMOS), pós-autorização, não-intervencional, </w:t>
      </w:r>
      <w:r w:rsidR="002E1F71" w:rsidRPr="0063119B">
        <w:rPr>
          <w:noProof/>
          <w:szCs w:val="22"/>
        </w:rPr>
        <w:t>sem ocultação</w:t>
      </w:r>
      <w:r w:rsidR="00437410" w:rsidRPr="0063119B">
        <w:rPr>
          <w:noProof/>
          <w:szCs w:val="22"/>
        </w:rPr>
        <w:t xml:space="preserve"> foi realizado em 17.413 doentes submetidos a grande cirurgia </w:t>
      </w:r>
      <w:r w:rsidR="009310E9" w:rsidRPr="0063119B">
        <w:rPr>
          <w:noProof/>
          <w:szCs w:val="22"/>
        </w:rPr>
        <w:t xml:space="preserve">ortopédica </w:t>
      </w:r>
      <w:r w:rsidR="004432B1" w:rsidRPr="0063119B">
        <w:rPr>
          <w:noProof/>
          <w:szCs w:val="22"/>
        </w:rPr>
        <w:t xml:space="preserve">da anca ou joelho, </w:t>
      </w:r>
      <w:r w:rsidR="00437410" w:rsidRPr="0063119B">
        <w:rPr>
          <w:noProof/>
          <w:szCs w:val="22"/>
        </w:rPr>
        <w:t>para comparar rivaroxabano com outra tromboprofilaxia farmacológica (cuidados padrão) em condições de vida real. O TEV sint</w:t>
      </w:r>
      <w:r w:rsidR="00F422FA" w:rsidRPr="0063119B">
        <w:rPr>
          <w:noProof/>
          <w:szCs w:val="22"/>
        </w:rPr>
        <w:t>omático ocorreu em 57 (0,6%)</w:t>
      </w:r>
      <w:r w:rsidR="00437410" w:rsidRPr="0063119B">
        <w:rPr>
          <w:noProof/>
          <w:szCs w:val="22"/>
        </w:rPr>
        <w:t xml:space="preserve"> doentes do grupo de rivaroxabano (n=8.778) e 88 (1,0%) do</w:t>
      </w:r>
      <w:r w:rsidR="00F422FA" w:rsidRPr="0063119B">
        <w:rPr>
          <w:noProof/>
          <w:szCs w:val="22"/>
        </w:rPr>
        <w:t>entes do</w:t>
      </w:r>
      <w:r w:rsidR="00437410" w:rsidRPr="0063119B">
        <w:rPr>
          <w:noProof/>
          <w:szCs w:val="22"/>
        </w:rPr>
        <w:t xml:space="preserve"> grupo de cuidados padrão (n=8.</w:t>
      </w:r>
      <w:r w:rsidR="00C66978" w:rsidRPr="0063119B">
        <w:rPr>
          <w:noProof/>
          <w:szCs w:val="22"/>
        </w:rPr>
        <w:t xml:space="preserve"> 635; 0,63 </w:t>
      </w:r>
      <w:r w:rsidR="00437410" w:rsidRPr="0063119B">
        <w:rPr>
          <w:noProof/>
          <w:szCs w:val="22"/>
        </w:rPr>
        <w:t>HR; IC 95%: 0,43-0,91), população de seguran</w:t>
      </w:r>
      <w:r w:rsidR="009310E9" w:rsidRPr="0063119B">
        <w:rPr>
          <w:noProof/>
          <w:szCs w:val="22"/>
        </w:rPr>
        <w:t xml:space="preserve">ça). </w:t>
      </w:r>
      <w:r w:rsidR="002B7458" w:rsidRPr="0063119B">
        <w:rPr>
          <w:noProof/>
          <w:szCs w:val="22"/>
        </w:rPr>
        <w:t>Ocorreram h</w:t>
      </w:r>
      <w:r w:rsidR="009310E9" w:rsidRPr="0063119B">
        <w:rPr>
          <w:noProof/>
          <w:szCs w:val="22"/>
        </w:rPr>
        <w:t xml:space="preserve">emorragias graves </w:t>
      </w:r>
      <w:r w:rsidR="00437410" w:rsidRPr="0063119B">
        <w:rPr>
          <w:noProof/>
          <w:szCs w:val="22"/>
        </w:rPr>
        <w:t>em 35 (0,4%) e 29</w:t>
      </w:r>
      <w:r w:rsidR="00F422FA" w:rsidRPr="0063119B">
        <w:rPr>
          <w:noProof/>
          <w:szCs w:val="22"/>
        </w:rPr>
        <w:t xml:space="preserve"> (0,3%) doentes </w:t>
      </w:r>
      <w:r w:rsidR="00437410" w:rsidRPr="0063119B">
        <w:rPr>
          <w:noProof/>
          <w:szCs w:val="22"/>
        </w:rPr>
        <w:t xml:space="preserve">do grupo de rivaroxabano e </w:t>
      </w:r>
      <w:r w:rsidR="00F422FA" w:rsidRPr="0063119B">
        <w:rPr>
          <w:noProof/>
          <w:szCs w:val="22"/>
        </w:rPr>
        <w:t>de</w:t>
      </w:r>
      <w:r w:rsidR="009310E9" w:rsidRPr="0063119B">
        <w:rPr>
          <w:noProof/>
          <w:szCs w:val="22"/>
        </w:rPr>
        <w:t xml:space="preserve"> </w:t>
      </w:r>
      <w:r w:rsidR="00437410" w:rsidRPr="0063119B">
        <w:rPr>
          <w:noProof/>
          <w:szCs w:val="22"/>
        </w:rPr>
        <w:t>cuidados padrão (1,1</w:t>
      </w:r>
      <w:r w:rsidR="00E844FE" w:rsidRPr="0063119B">
        <w:rPr>
          <w:noProof/>
          <w:szCs w:val="22"/>
        </w:rPr>
        <w:t>0 HR; IC 95%: 0,67-1,80). Assim</w:t>
      </w:r>
      <w:r w:rsidR="00437410" w:rsidRPr="0063119B">
        <w:rPr>
          <w:noProof/>
          <w:szCs w:val="22"/>
        </w:rPr>
        <w:t xml:space="preserve">, os resultados foram consistentes com </w:t>
      </w:r>
      <w:r w:rsidR="009310E9" w:rsidRPr="0063119B">
        <w:rPr>
          <w:noProof/>
          <w:szCs w:val="22"/>
        </w:rPr>
        <w:t>os resultados d</w:t>
      </w:r>
      <w:r w:rsidR="00437410" w:rsidRPr="0063119B">
        <w:rPr>
          <w:noProof/>
          <w:szCs w:val="22"/>
        </w:rPr>
        <w:t>os estudos aleatorizados</w:t>
      </w:r>
      <w:r w:rsidR="006C1663" w:rsidRPr="0063119B">
        <w:rPr>
          <w:noProof/>
          <w:szCs w:val="22"/>
        </w:rPr>
        <w:t xml:space="preserve"> de referência.</w:t>
      </w:r>
    </w:p>
    <w:p w14:paraId="08BBDB9A" w14:textId="77777777" w:rsidR="00DA4E02" w:rsidRPr="0063119B" w:rsidRDefault="00DA4E02" w:rsidP="00437410">
      <w:pPr>
        <w:suppressAutoHyphens/>
        <w:rPr>
          <w:noProof/>
          <w:szCs w:val="22"/>
        </w:rPr>
      </w:pPr>
    </w:p>
    <w:p w14:paraId="29E46675" w14:textId="77777777" w:rsidR="00390935" w:rsidRPr="0063119B" w:rsidRDefault="00390935" w:rsidP="00390935">
      <w:pPr>
        <w:rPr>
          <w:rFonts w:eastAsia="SimSun"/>
          <w:i/>
          <w:szCs w:val="22"/>
          <w:lang w:eastAsia="ja-JP"/>
        </w:rPr>
      </w:pPr>
      <w:r w:rsidRPr="0063119B">
        <w:rPr>
          <w:i/>
          <w:szCs w:val="22"/>
        </w:rPr>
        <w:t>Tratamento da TVP, EP e prevenção da TVP recorrente e EP</w:t>
      </w:r>
    </w:p>
    <w:p w14:paraId="3A3B633B" w14:textId="77777777" w:rsidR="00390935" w:rsidRPr="0063119B" w:rsidRDefault="00390935" w:rsidP="00390935">
      <w:pPr>
        <w:rPr>
          <w:rFonts w:eastAsia="SimSun"/>
          <w:szCs w:val="22"/>
          <w:lang w:eastAsia="ja-JP"/>
        </w:rPr>
      </w:pPr>
      <w:r w:rsidRPr="0063119B">
        <w:rPr>
          <w:rFonts w:eastAsia="SimSun"/>
          <w:szCs w:val="22"/>
          <w:lang w:eastAsia="ja-JP"/>
        </w:rPr>
        <w:t xml:space="preserve">O programa clínico de </w:t>
      </w:r>
      <w:r w:rsidR="002C68B2" w:rsidRPr="0063119B">
        <w:rPr>
          <w:noProof/>
          <w:szCs w:val="22"/>
        </w:rPr>
        <w:t>rivaroxabano</w:t>
      </w:r>
      <w:r w:rsidRPr="0063119B">
        <w:rPr>
          <w:rFonts w:eastAsia="SimSun"/>
          <w:szCs w:val="22"/>
          <w:lang w:eastAsia="ja-JP"/>
        </w:rPr>
        <w:t xml:space="preserve"> foi concebido para demonstrar a eficácia de </w:t>
      </w:r>
      <w:r w:rsidR="00D03670" w:rsidRPr="0063119B">
        <w:rPr>
          <w:noProof/>
          <w:szCs w:val="22"/>
        </w:rPr>
        <w:t>rivaroxabano</w:t>
      </w:r>
      <w:r w:rsidRPr="0063119B">
        <w:rPr>
          <w:rFonts w:eastAsia="SimSun"/>
          <w:szCs w:val="22"/>
          <w:lang w:eastAsia="ja-JP"/>
        </w:rPr>
        <w:t xml:space="preserve"> no início e continuação do tratamento da TVP aguda e EP e da prevenção da recorrência.</w:t>
      </w:r>
    </w:p>
    <w:p w14:paraId="135AA847" w14:textId="77777777" w:rsidR="00390935" w:rsidRPr="0063119B" w:rsidRDefault="00390935" w:rsidP="00390935">
      <w:pPr>
        <w:rPr>
          <w:rFonts w:eastAsia="SimSun"/>
          <w:szCs w:val="22"/>
          <w:lang w:eastAsia="ja-JP"/>
        </w:rPr>
      </w:pPr>
      <w:r w:rsidRPr="0063119B">
        <w:rPr>
          <w:rFonts w:eastAsia="SimSun"/>
          <w:szCs w:val="22"/>
          <w:lang w:eastAsia="ja-JP"/>
        </w:rPr>
        <w:t>Foram estudados mais de 12.800 doentes em quatro estudos clínicos controlados aleatorizados de fase III (Einstein DVT, Einstein PE, Einstein Extension e Einstein Choice) e adicionalmente, foi realizada uma análise agrupada pré-definida dos estudos Einstein DVT e Einstein PE. A duração de tratamento total combinada de todos os estudos atingiu um máximo de 21 meses.</w:t>
      </w:r>
    </w:p>
    <w:p w14:paraId="17F6571B" w14:textId="77777777" w:rsidR="00390935" w:rsidRPr="0063119B" w:rsidRDefault="00390935" w:rsidP="00390935">
      <w:pPr>
        <w:rPr>
          <w:rFonts w:eastAsia="SimSun"/>
          <w:szCs w:val="22"/>
          <w:lang w:eastAsia="ja-JP"/>
        </w:rPr>
      </w:pPr>
    </w:p>
    <w:p w14:paraId="607859D5" w14:textId="77777777" w:rsidR="00390935" w:rsidRPr="0063119B" w:rsidRDefault="00390935" w:rsidP="00390935">
      <w:pPr>
        <w:rPr>
          <w:rFonts w:eastAsia="SimSun"/>
          <w:szCs w:val="22"/>
          <w:lang w:eastAsia="ja-JP"/>
        </w:rPr>
      </w:pPr>
      <w:r w:rsidRPr="0063119B">
        <w:rPr>
          <w:rFonts w:eastAsia="SimSun"/>
          <w:szCs w:val="22"/>
          <w:lang w:eastAsia="ja-JP"/>
        </w:rPr>
        <w:t>No estudo Einstein DVT, 3.449 doentes com TVP aguda foram estudados no tratamento da TVP e da prevenção da TVP recorrente e EP (doentes que se apresentaram com EP sintomático foram excluídos deste estudo). A duração do tratamento foi de 3, 6 ou 12 meses dependendo do critério clínico do investigador.</w:t>
      </w:r>
    </w:p>
    <w:p w14:paraId="041B34F9" w14:textId="77777777" w:rsidR="00390935" w:rsidRPr="0063119B" w:rsidRDefault="00390935" w:rsidP="00390935">
      <w:pPr>
        <w:rPr>
          <w:rFonts w:eastAsia="SimSun"/>
          <w:szCs w:val="22"/>
          <w:lang w:eastAsia="ja-JP"/>
        </w:rPr>
      </w:pPr>
      <w:r w:rsidRPr="0063119B">
        <w:rPr>
          <w:rFonts w:eastAsia="SimSun"/>
          <w:szCs w:val="22"/>
          <w:lang w:eastAsia="ja-JP"/>
        </w:rPr>
        <w:t>No tratamento inicial de 3 semanas da TVP aguda foram administrados 15 mg de rivaroxabano duas vezes por dia. Esta dose foi seguida de 20 mg de rivaroxabano uma vez por dia.</w:t>
      </w:r>
    </w:p>
    <w:p w14:paraId="22CBD9D9" w14:textId="77777777" w:rsidR="00390935" w:rsidRPr="0063119B" w:rsidRDefault="00390935" w:rsidP="00390935">
      <w:pPr>
        <w:rPr>
          <w:rFonts w:eastAsia="SimSun"/>
          <w:szCs w:val="22"/>
          <w:lang w:eastAsia="ja-JP"/>
        </w:rPr>
      </w:pPr>
    </w:p>
    <w:p w14:paraId="017125D0" w14:textId="77777777" w:rsidR="00390935" w:rsidRPr="0063119B" w:rsidRDefault="00390935" w:rsidP="00390935">
      <w:pPr>
        <w:rPr>
          <w:rFonts w:eastAsia="SimSun"/>
          <w:szCs w:val="22"/>
          <w:lang w:eastAsia="ja-JP"/>
        </w:rPr>
      </w:pPr>
      <w:r w:rsidRPr="0063119B">
        <w:rPr>
          <w:rFonts w:eastAsia="SimSun"/>
          <w:szCs w:val="22"/>
          <w:lang w:eastAsia="ja-JP"/>
        </w:rPr>
        <w:t>No Einstein PE, 4.832 doentes com EP agudo foram estudados no tratamento do EP e na prevenção da TVP recorrente e EP. A duração do tratamento foi de 3, 6 ou 12 meses dependendo do critério clínico do investigador.</w:t>
      </w:r>
    </w:p>
    <w:p w14:paraId="6CC45714" w14:textId="77777777" w:rsidR="00390935" w:rsidRPr="0063119B" w:rsidRDefault="00390935" w:rsidP="00390935">
      <w:pPr>
        <w:rPr>
          <w:rFonts w:eastAsia="SimSun"/>
          <w:szCs w:val="22"/>
          <w:lang w:eastAsia="ja-JP"/>
        </w:rPr>
      </w:pPr>
      <w:r w:rsidRPr="0063119B">
        <w:rPr>
          <w:rFonts w:eastAsia="SimSun"/>
          <w:szCs w:val="22"/>
          <w:lang w:eastAsia="ja-JP"/>
        </w:rPr>
        <w:t>No tratamento inicial do EP agudo foram administrados 15 mg de rivaroxabano duas vezes por dia durante três seman</w:t>
      </w:r>
      <w:r w:rsidR="00095268" w:rsidRPr="0063119B">
        <w:rPr>
          <w:rFonts w:eastAsia="SimSun"/>
          <w:szCs w:val="22"/>
          <w:lang w:eastAsia="ja-JP"/>
        </w:rPr>
        <w:t>as. Esta dose foi seguida de 20 </w:t>
      </w:r>
      <w:r w:rsidRPr="0063119B">
        <w:rPr>
          <w:rFonts w:eastAsia="SimSun"/>
          <w:szCs w:val="22"/>
          <w:lang w:eastAsia="ja-JP"/>
        </w:rPr>
        <w:t>mg de rivaroxabano uma vez por dia.</w:t>
      </w:r>
    </w:p>
    <w:p w14:paraId="434D9526" w14:textId="77777777" w:rsidR="00390935" w:rsidRPr="0063119B" w:rsidRDefault="00390935" w:rsidP="00390935">
      <w:pPr>
        <w:rPr>
          <w:rFonts w:eastAsia="SimSun"/>
          <w:szCs w:val="22"/>
          <w:lang w:eastAsia="ja-JP"/>
        </w:rPr>
      </w:pPr>
    </w:p>
    <w:p w14:paraId="125FB3FD" w14:textId="77777777" w:rsidR="00390935" w:rsidRPr="0063119B" w:rsidRDefault="00390935" w:rsidP="00390935">
      <w:pPr>
        <w:rPr>
          <w:rFonts w:eastAsia="SimSun"/>
          <w:szCs w:val="22"/>
          <w:lang w:eastAsia="ja-JP"/>
        </w:rPr>
      </w:pPr>
      <w:r w:rsidRPr="0063119B">
        <w:rPr>
          <w:rFonts w:eastAsia="SimSun"/>
          <w:szCs w:val="22"/>
          <w:lang w:eastAsia="ja-JP"/>
        </w:rPr>
        <w:t>Em ambos os estudos, Einstein DVT e Einstein PE, o regime de tratamento comparador foi constituído por enoxaparina administrada durante pelo menos 5 dias em associação com um tratamento com um antagonista da vitamina K até que TP/INR estivesse no intervalo terapêutico (</w:t>
      </w:r>
      <w:r w:rsidRPr="0063119B">
        <w:rPr>
          <w:rFonts w:eastAsia="SimSun"/>
          <w:szCs w:val="22"/>
          <w:lang w:eastAsia="ja-JP"/>
        </w:rPr>
        <w:sym w:font="Symbol" w:char="F0B3"/>
      </w:r>
      <w:r w:rsidRPr="0063119B">
        <w:rPr>
          <w:rFonts w:eastAsia="SimSun"/>
          <w:szCs w:val="22"/>
          <w:lang w:eastAsia="ja-JP"/>
        </w:rPr>
        <w:t> 2,0). O tratamento continuou com a dose do antagonista da vitamina K ajustada para manter os valores de TP/INR no intervalo terapêutico de 2,0 a 3,0.</w:t>
      </w:r>
    </w:p>
    <w:p w14:paraId="7C88BAF0" w14:textId="77777777" w:rsidR="00390935" w:rsidRPr="0063119B" w:rsidRDefault="00390935" w:rsidP="00390935">
      <w:pPr>
        <w:rPr>
          <w:rFonts w:eastAsia="SimSun"/>
          <w:szCs w:val="22"/>
          <w:lang w:eastAsia="ja-JP"/>
        </w:rPr>
      </w:pPr>
    </w:p>
    <w:p w14:paraId="247874B6" w14:textId="77777777" w:rsidR="00390935" w:rsidRPr="0063119B" w:rsidRDefault="00390935" w:rsidP="00390935">
      <w:pPr>
        <w:autoSpaceDE w:val="0"/>
        <w:autoSpaceDN w:val="0"/>
        <w:adjustRightInd w:val="0"/>
        <w:rPr>
          <w:rFonts w:eastAsia="SimSun"/>
          <w:szCs w:val="22"/>
          <w:lang w:eastAsia="ja-JP"/>
        </w:rPr>
      </w:pPr>
      <w:r w:rsidRPr="0063119B">
        <w:rPr>
          <w:rFonts w:eastAsia="SimSun"/>
          <w:szCs w:val="22"/>
          <w:lang w:eastAsia="ja-JP"/>
        </w:rPr>
        <w:t>No estudo Einstein Extension, 1.197 doentes com TVP ou EP foram estudados na prevenção da TVP recorrente e EP. A duração do tratamento foi de 6 ou 12 meses adicionais nos doentes que completaram 6 a</w:t>
      </w:r>
      <w:r w:rsidR="00095268" w:rsidRPr="0063119B">
        <w:rPr>
          <w:rFonts w:eastAsia="SimSun"/>
          <w:szCs w:val="22"/>
          <w:lang w:eastAsia="ja-JP"/>
        </w:rPr>
        <w:t xml:space="preserve"> 12 </w:t>
      </w:r>
      <w:r w:rsidRPr="0063119B">
        <w:rPr>
          <w:rFonts w:eastAsia="SimSun"/>
          <w:szCs w:val="22"/>
          <w:lang w:eastAsia="ja-JP"/>
        </w:rPr>
        <w:t xml:space="preserve">meses de tratamento para o tromboembolismo venoso dependendo do critério clínico do investigador. </w:t>
      </w:r>
      <w:r w:rsidR="002C68B2" w:rsidRPr="0063119B">
        <w:rPr>
          <w:rFonts w:eastAsia="SimSun"/>
          <w:szCs w:val="22"/>
          <w:lang w:eastAsia="ja-JP"/>
        </w:rPr>
        <w:t xml:space="preserve">O </w:t>
      </w:r>
      <w:r w:rsidR="002C68B2" w:rsidRPr="0063119B">
        <w:rPr>
          <w:noProof/>
          <w:szCs w:val="22"/>
        </w:rPr>
        <w:t>rivaroxabano</w:t>
      </w:r>
      <w:r w:rsidR="002C68B2" w:rsidRPr="0063119B">
        <w:rPr>
          <w:rFonts w:eastAsia="SimSun"/>
          <w:szCs w:val="22"/>
          <w:lang w:eastAsia="ja-JP"/>
        </w:rPr>
        <w:t xml:space="preserve"> </w:t>
      </w:r>
      <w:r w:rsidRPr="0063119B">
        <w:rPr>
          <w:rFonts w:eastAsia="SimSun"/>
          <w:szCs w:val="22"/>
          <w:lang w:eastAsia="ja-JP"/>
        </w:rPr>
        <w:t>na dose de 20 mg uma vez por dia foi comparado com um placebo.</w:t>
      </w:r>
    </w:p>
    <w:p w14:paraId="3C2236C5" w14:textId="77777777" w:rsidR="00095268" w:rsidRPr="0063119B" w:rsidRDefault="00095268" w:rsidP="00390935">
      <w:pPr>
        <w:autoSpaceDE w:val="0"/>
        <w:autoSpaceDN w:val="0"/>
        <w:adjustRightInd w:val="0"/>
        <w:rPr>
          <w:rFonts w:eastAsia="SimSun"/>
          <w:szCs w:val="22"/>
          <w:lang w:eastAsia="ja-JP"/>
        </w:rPr>
      </w:pPr>
    </w:p>
    <w:p w14:paraId="079BF671" w14:textId="77777777" w:rsidR="00390935" w:rsidRPr="0063119B" w:rsidRDefault="00095268" w:rsidP="00390935">
      <w:pPr>
        <w:rPr>
          <w:rFonts w:eastAsia="SimSun"/>
          <w:szCs w:val="22"/>
          <w:lang w:eastAsia="ja-JP"/>
        </w:rPr>
      </w:pPr>
      <w:r w:rsidRPr="0063119B">
        <w:rPr>
          <w:rFonts w:eastAsia="SimSun"/>
          <w:szCs w:val="22"/>
          <w:lang w:eastAsia="ja-JP"/>
        </w:rPr>
        <w:t>Os</w:t>
      </w:r>
      <w:r w:rsidR="00390935" w:rsidRPr="0063119B">
        <w:rPr>
          <w:rFonts w:eastAsia="SimSun"/>
          <w:szCs w:val="22"/>
          <w:lang w:eastAsia="ja-JP"/>
        </w:rPr>
        <w:t xml:space="preserve"> estudos</w:t>
      </w:r>
      <w:r w:rsidRPr="0063119B">
        <w:rPr>
          <w:rFonts w:eastAsia="SimSun"/>
          <w:szCs w:val="22"/>
          <w:lang w:eastAsia="ja-JP"/>
        </w:rPr>
        <w:t xml:space="preserve"> Einstein DVT, PE e Extension</w:t>
      </w:r>
      <w:r w:rsidR="00390935" w:rsidRPr="0063119B">
        <w:rPr>
          <w:rFonts w:eastAsia="SimSun"/>
          <w:szCs w:val="22"/>
          <w:lang w:eastAsia="ja-JP"/>
        </w:rPr>
        <w:t xml:space="preserve"> utilizaram os mesmos objetivos primários e secundários de avaliação da eficácia pré</w:t>
      </w:r>
      <w:r w:rsidR="00390935" w:rsidRPr="0063119B">
        <w:rPr>
          <w:rFonts w:eastAsia="SimSun"/>
          <w:szCs w:val="22"/>
          <w:lang w:eastAsia="ja-JP"/>
        </w:rPr>
        <w:noBreakHyphen/>
        <w:t>definidos. O objetivo primário da eficácia consistiu no TEV sintomático recorrente, definido como composto da TVP recorrente ou do EP fatal ou não-fatal. O objetivo secundário da eficácia foi definido como composto da TVP recorrente, EP não-fatal e mortalidade por todas as causas.</w:t>
      </w:r>
    </w:p>
    <w:p w14:paraId="0549FC7C" w14:textId="77777777" w:rsidR="00390935" w:rsidRPr="0063119B" w:rsidRDefault="00390935" w:rsidP="00390935">
      <w:pPr>
        <w:autoSpaceDE w:val="0"/>
        <w:autoSpaceDN w:val="0"/>
        <w:adjustRightInd w:val="0"/>
        <w:rPr>
          <w:szCs w:val="22"/>
        </w:rPr>
      </w:pPr>
    </w:p>
    <w:p w14:paraId="0267D3B4" w14:textId="77777777" w:rsidR="00390935" w:rsidRPr="0063119B" w:rsidRDefault="00CF7F11" w:rsidP="00390935">
      <w:pPr>
        <w:pStyle w:val="Default"/>
        <w:rPr>
          <w:color w:val="auto"/>
          <w:sz w:val="22"/>
          <w:szCs w:val="22"/>
          <w:lang w:val="pt-PT"/>
        </w:rPr>
      </w:pPr>
      <w:r w:rsidRPr="0063119B">
        <w:rPr>
          <w:color w:val="auto"/>
          <w:sz w:val="22"/>
          <w:szCs w:val="22"/>
          <w:lang w:val="pt-PT"/>
        </w:rPr>
        <w:t>No estudo Einstein Choice, foram estudados 3.396 doentes com TVP e/ou EP sintomático, confirmado, que completaram 6-12 meses de tratamento anticoagulante para a prevenção do EP fatal ou EP ou TVP não fatal, sintomático, recorrente. Os doentes com indicação para anticoagulação com do</w:t>
      </w:r>
      <w:r w:rsidR="00D743DE" w:rsidRPr="0063119B">
        <w:rPr>
          <w:color w:val="auto"/>
          <w:sz w:val="22"/>
          <w:szCs w:val="22"/>
          <w:lang w:val="pt-PT"/>
        </w:rPr>
        <w:t>se</w:t>
      </w:r>
      <w:r w:rsidRPr="0063119B">
        <w:rPr>
          <w:color w:val="auto"/>
          <w:sz w:val="22"/>
          <w:szCs w:val="22"/>
          <w:lang w:val="pt-PT"/>
        </w:rPr>
        <w:t xml:space="preserve"> terapêutica</w:t>
      </w:r>
      <w:r w:rsidR="005362E3" w:rsidRPr="0063119B">
        <w:rPr>
          <w:color w:val="auto"/>
          <w:sz w:val="22"/>
          <w:szCs w:val="22"/>
          <w:lang w:val="pt-PT"/>
        </w:rPr>
        <w:t xml:space="preserve"> continuada</w:t>
      </w:r>
      <w:r w:rsidRPr="0063119B">
        <w:rPr>
          <w:color w:val="auto"/>
          <w:sz w:val="22"/>
          <w:szCs w:val="22"/>
          <w:lang w:val="pt-PT"/>
        </w:rPr>
        <w:t xml:space="preserve"> foram excluídos do estudo. A duração do tratamento foi de até 12 meses conforme a data individual de aleatorização (mediana: 351 dias). Comparou-se 20 mg</w:t>
      </w:r>
      <w:r w:rsidR="002C68B2" w:rsidRPr="0063119B">
        <w:rPr>
          <w:color w:val="auto"/>
          <w:sz w:val="22"/>
          <w:szCs w:val="22"/>
          <w:lang w:val="pt-PT"/>
        </w:rPr>
        <w:t xml:space="preserve"> de </w:t>
      </w:r>
      <w:r w:rsidR="002C68B2" w:rsidRPr="0063119B">
        <w:rPr>
          <w:noProof/>
          <w:sz w:val="22"/>
          <w:szCs w:val="22"/>
          <w:lang w:val="pt-PT"/>
        </w:rPr>
        <w:t>rivaroxabano</w:t>
      </w:r>
      <w:r w:rsidRPr="0063119B">
        <w:rPr>
          <w:color w:val="auto"/>
          <w:sz w:val="22"/>
          <w:szCs w:val="22"/>
          <w:lang w:val="pt-PT"/>
        </w:rPr>
        <w:t xml:space="preserve"> uma vez por dia e 10 mg</w:t>
      </w:r>
      <w:r w:rsidR="002C68B2" w:rsidRPr="0063119B">
        <w:rPr>
          <w:color w:val="auto"/>
          <w:sz w:val="22"/>
          <w:szCs w:val="22"/>
          <w:lang w:val="pt-PT"/>
        </w:rPr>
        <w:t xml:space="preserve"> de </w:t>
      </w:r>
      <w:r w:rsidR="002C68B2" w:rsidRPr="0063119B">
        <w:rPr>
          <w:noProof/>
          <w:sz w:val="22"/>
          <w:szCs w:val="22"/>
          <w:lang w:val="pt-PT"/>
        </w:rPr>
        <w:t>rivaroxabano</w:t>
      </w:r>
      <w:r w:rsidRPr="0063119B">
        <w:rPr>
          <w:color w:val="auto"/>
          <w:sz w:val="22"/>
          <w:szCs w:val="22"/>
          <w:lang w:val="pt-PT"/>
        </w:rPr>
        <w:t xml:space="preserve"> </w:t>
      </w:r>
      <w:r w:rsidR="00227E20" w:rsidRPr="0063119B">
        <w:rPr>
          <w:color w:val="auto"/>
          <w:sz w:val="22"/>
          <w:szCs w:val="22"/>
          <w:lang w:val="pt-PT"/>
        </w:rPr>
        <w:t xml:space="preserve">uma vez por dia </w:t>
      </w:r>
      <w:r w:rsidRPr="0063119B">
        <w:rPr>
          <w:color w:val="auto"/>
          <w:sz w:val="22"/>
          <w:szCs w:val="22"/>
          <w:lang w:val="pt-PT"/>
        </w:rPr>
        <w:t>com 100 mg de ácido acetilsalicílico uma vez por dia.</w:t>
      </w:r>
    </w:p>
    <w:p w14:paraId="64314BC6" w14:textId="77777777" w:rsidR="00CF7F11" w:rsidRPr="0063119B" w:rsidRDefault="00CF7F11" w:rsidP="00390935">
      <w:pPr>
        <w:pStyle w:val="Default"/>
        <w:rPr>
          <w:rFonts w:eastAsia="SimSun"/>
          <w:sz w:val="22"/>
          <w:szCs w:val="22"/>
          <w:lang w:val="pt-PT" w:eastAsia="ja-JP"/>
        </w:rPr>
      </w:pPr>
      <w:r w:rsidRPr="0063119B">
        <w:rPr>
          <w:rFonts w:eastAsia="SimSun"/>
          <w:sz w:val="22"/>
          <w:szCs w:val="22"/>
          <w:lang w:val="pt-PT" w:eastAsia="ja-JP"/>
        </w:rPr>
        <w:t xml:space="preserve">O objetivo primário da eficácia foi </w:t>
      </w:r>
      <w:r w:rsidR="00D743DE" w:rsidRPr="0063119B">
        <w:rPr>
          <w:rFonts w:eastAsia="SimSun"/>
          <w:sz w:val="22"/>
          <w:szCs w:val="22"/>
          <w:lang w:val="pt-PT" w:eastAsia="ja-JP"/>
        </w:rPr>
        <w:t>o</w:t>
      </w:r>
      <w:r w:rsidRPr="0063119B">
        <w:rPr>
          <w:rFonts w:eastAsia="SimSun"/>
          <w:sz w:val="22"/>
          <w:szCs w:val="22"/>
          <w:lang w:val="pt-PT" w:eastAsia="ja-JP"/>
        </w:rPr>
        <w:t xml:space="preserve"> TEV recorrente, sintomátic</w:t>
      </w:r>
      <w:r w:rsidR="00D743DE" w:rsidRPr="0063119B">
        <w:rPr>
          <w:rFonts w:eastAsia="SimSun"/>
          <w:sz w:val="22"/>
          <w:szCs w:val="22"/>
          <w:lang w:val="pt-PT" w:eastAsia="ja-JP"/>
        </w:rPr>
        <w:t>o</w:t>
      </w:r>
      <w:r w:rsidRPr="0063119B">
        <w:rPr>
          <w:rFonts w:eastAsia="SimSun"/>
          <w:sz w:val="22"/>
          <w:szCs w:val="22"/>
          <w:lang w:val="pt-PT" w:eastAsia="ja-JP"/>
        </w:rPr>
        <w:t>, definido como composto da TVP recorrente, EP fatal ou não fatal.</w:t>
      </w:r>
    </w:p>
    <w:p w14:paraId="5234CB4A" w14:textId="77777777" w:rsidR="004A3877" w:rsidRPr="0063119B" w:rsidRDefault="004A3877" w:rsidP="004A3877">
      <w:pPr>
        <w:autoSpaceDE w:val="0"/>
        <w:autoSpaceDN w:val="0"/>
        <w:adjustRightInd w:val="0"/>
        <w:rPr>
          <w:rFonts w:eastAsia="MS Mincho"/>
          <w:bCs/>
          <w:szCs w:val="22"/>
          <w:lang w:eastAsia="ja-JP"/>
        </w:rPr>
      </w:pPr>
      <w:r w:rsidRPr="0063119B">
        <w:rPr>
          <w:szCs w:val="22"/>
        </w:rPr>
        <w:t>No estudo Einstein DVT (ver Quadro 5), o rivaroxabano demonstrou ser não inferior à enoxaparina/AVK em relação ao objetivo primário da eficácia (p &lt; 0,0001 (teste de não</w:t>
      </w:r>
      <w:r w:rsidRPr="0063119B">
        <w:rPr>
          <w:szCs w:val="22"/>
        </w:rPr>
        <w:noBreakHyphen/>
        <w:t xml:space="preserve">inferioridade); </w:t>
      </w:r>
      <w:r w:rsidR="00A407A9" w:rsidRPr="0063119B">
        <w:rPr>
          <w:szCs w:val="22"/>
        </w:rPr>
        <w:t>R</w:t>
      </w:r>
      <w:r w:rsidRPr="0063119B">
        <w:rPr>
          <w:szCs w:val="22"/>
        </w:rPr>
        <w:t xml:space="preserve">azão de </w:t>
      </w:r>
      <w:r w:rsidR="00A407A9" w:rsidRPr="0063119B">
        <w:rPr>
          <w:szCs w:val="22"/>
        </w:rPr>
        <w:t>R</w:t>
      </w:r>
      <w:r w:rsidRPr="0063119B">
        <w:rPr>
          <w:szCs w:val="22"/>
        </w:rPr>
        <w:t>isco</w:t>
      </w:r>
      <w:r w:rsidR="00A407A9" w:rsidRPr="0063119B">
        <w:rPr>
          <w:szCs w:val="22"/>
        </w:rPr>
        <w:t xml:space="preserve"> (RR)</w:t>
      </w:r>
      <w:r w:rsidRPr="0063119B">
        <w:rPr>
          <w:szCs w:val="22"/>
        </w:rPr>
        <w:t xml:space="preserve">: </w:t>
      </w:r>
      <w:r w:rsidRPr="0063119B">
        <w:rPr>
          <w:iCs/>
          <w:szCs w:val="22"/>
        </w:rPr>
        <w:t>0,680 (0,443 </w:t>
      </w:r>
      <w:r w:rsidRPr="0063119B">
        <w:rPr>
          <w:iCs/>
          <w:szCs w:val="22"/>
        </w:rPr>
        <w:noBreakHyphen/>
        <w:t> 1,042), p = 0,076 (teste de superioridade)).</w:t>
      </w:r>
      <w:r w:rsidRPr="0063119B">
        <w:rPr>
          <w:rFonts w:eastAsia="MS Mincho"/>
          <w:bCs/>
          <w:szCs w:val="22"/>
          <w:lang w:eastAsia="ja-JP"/>
        </w:rPr>
        <w:t xml:space="preserve"> O benefício clínico efetivo pré</w:t>
      </w:r>
      <w:r w:rsidRPr="0063119B">
        <w:rPr>
          <w:rFonts w:eastAsia="MS Mincho"/>
          <w:bCs/>
          <w:szCs w:val="22"/>
          <w:lang w:eastAsia="ja-JP"/>
        </w:rPr>
        <w:noBreakHyphen/>
        <w:t xml:space="preserve">especificado (objetivo primário da eficácia mais acontecimentos hemorrágicos principais) foi notificado com uma </w:t>
      </w:r>
      <w:r w:rsidR="00A407A9" w:rsidRPr="0063119B">
        <w:rPr>
          <w:rFonts w:eastAsia="MS Mincho"/>
          <w:bCs/>
          <w:szCs w:val="22"/>
          <w:lang w:eastAsia="ja-JP"/>
        </w:rPr>
        <w:t>RR</w:t>
      </w:r>
      <w:r w:rsidRPr="0063119B">
        <w:rPr>
          <w:rFonts w:eastAsia="MS Mincho"/>
          <w:bCs/>
          <w:szCs w:val="22"/>
          <w:lang w:eastAsia="ja-JP"/>
        </w:rPr>
        <w:t xml:space="preserve"> de 0,67 ((IC 95%: 0,47 </w:t>
      </w:r>
      <w:r w:rsidRPr="0063119B">
        <w:rPr>
          <w:rFonts w:eastAsia="MS Mincho"/>
          <w:bCs/>
          <w:szCs w:val="22"/>
          <w:lang w:eastAsia="ja-JP"/>
        </w:rPr>
        <w:noBreakHyphen/>
        <w:t xml:space="preserve"> 0,95), valor-p nominal com p=0,027) a favor do rivaroxabano. Os valores de INR foram no intervalo terapêutico uma média de 60,3% do tempo para uma duração média de tratamento de 189 dias, e 55,4%, 60,1% e 62,8% do tempo nos grupos de duração de tratamento previsto de 3, 6 e 12 meses, respetivamente. No grupo enoxaparina/AVK, não existe uma relação clara entre o nível do centro TTR médio (Tempo no Intervalo do INR Alvo de 2,0 a 3,0) em tercis de igual tamanho e a incidência de TEV recorrente (P=0,932 para interação). No maior tercil de acordo com o centro, a </w:t>
      </w:r>
      <w:r w:rsidR="00A407A9" w:rsidRPr="0063119B">
        <w:rPr>
          <w:rFonts w:eastAsia="MS Mincho"/>
          <w:bCs/>
          <w:szCs w:val="22"/>
          <w:lang w:eastAsia="ja-JP"/>
        </w:rPr>
        <w:t>RR</w:t>
      </w:r>
      <w:r w:rsidRPr="0063119B">
        <w:rPr>
          <w:rFonts w:eastAsia="MS Mincho"/>
          <w:bCs/>
          <w:szCs w:val="22"/>
          <w:lang w:eastAsia="ja-JP"/>
        </w:rPr>
        <w:t xml:space="preserve"> com rivaroxabano versus varfarina foi de 0,69 (IC 95%: 0,35 </w:t>
      </w:r>
      <w:r w:rsidR="000E46B1" w:rsidRPr="0063119B">
        <w:rPr>
          <w:rFonts w:eastAsia="MS Mincho"/>
          <w:bCs/>
          <w:szCs w:val="22"/>
          <w:lang w:eastAsia="ja-JP"/>
        </w:rPr>
        <w:t>-</w:t>
      </w:r>
      <w:r w:rsidRPr="0063119B">
        <w:rPr>
          <w:rFonts w:eastAsia="MS Mincho"/>
          <w:bCs/>
          <w:szCs w:val="22"/>
          <w:lang w:eastAsia="ja-JP"/>
        </w:rPr>
        <w:t xml:space="preserve"> 1,35).</w:t>
      </w:r>
    </w:p>
    <w:p w14:paraId="4E67B6FD" w14:textId="77777777" w:rsidR="004A3877" w:rsidRPr="0063119B" w:rsidRDefault="004A3877" w:rsidP="004A3877">
      <w:pPr>
        <w:autoSpaceDE w:val="0"/>
        <w:autoSpaceDN w:val="0"/>
        <w:adjustRightInd w:val="0"/>
        <w:rPr>
          <w:rFonts w:eastAsia="MS Mincho"/>
          <w:bCs/>
          <w:szCs w:val="22"/>
          <w:lang w:eastAsia="ja-JP"/>
        </w:rPr>
      </w:pPr>
    </w:p>
    <w:p w14:paraId="7BE3F155" w14:textId="77777777" w:rsidR="004A3877" w:rsidRPr="0063119B" w:rsidRDefault="004A3877" w:rsidP="004A3877">
      <w:pPr>
        <w:rPr>
          <w:szCs w:val="22"/>
        </w:rPr>
      </w:pPr>
      <w:r w:rsidRPr="0063119B">
        <w:rPr>
          <w:szCs w:val="22"/>
        </w:rPr>
        <w:t>As taxas de incidência do objetivo primário de segurança (acontecimentos hemorrágicos principais e não principais clinicamente relevantes) assim como do objetivo secundário de segurança (acontecimentos hemorrágicos principais) foram semelhantes nos dois grupos de tratamento.</w:t>
      </w:r>
    </w:p>
    <w:p w14:paraId="72AE3985" w14:textId="77777777" w:rsidR="004A3877" w:rsidRPr="0063119B" w:rsidRDefault="004A3877" w:rsidP="004A3877">
      <w:pPr>
        <w:pStyle w:val="Default"/>
        <w:rPr>
          <w:color w:val="auto"/>
          <w:sz w:val="22"/>
          <w:szCs w:val="22"/>
          <w:lang w:val="pt-PT"/>
        </w:rPr>
      </w:pPr>
    </w:p>
    <w:p w14:paraId="20E19609" w14:textId="77777777" w:rsidR="004A3877" w:rsidRPr="0063119B" w:rsidRDefault="004A3877" w:rsidP="00DE7D95">
      <w:pPr>
        <w:pStyle w:val="Default"/>
        <w:keepNext/>
        <w:rPr>
          <w:b/>
          <w:color w:val="auto"/>
          <w:sz w:val="22"/>
          <w:szCs w:val="22"/>
          <w:lang w:val="pt-PT"/>
        </w:rPr>
      </w:pPr>
      <w:r w:rsidRPr="0063119B">
        <w:rPr>
          <w:b/>
          <w:color w:val="auto"/>
          <w:sz w:val="22"/>
          <w:szCs w:val="22"/>
          <w:lang w:val="pt-PT"/>
        </w:rPr>
        <w:lastRenderedPageBreak/>
        <w:t>Quadro 5: Resultados de eficácia e segurança do estudo de fase III Einstein DVT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20"/>
        <w:gridCol w:w="230"/>
      </w:tblGrid>
      <w:tr w:rsidR="004A3877" w:rsidRPr="0063119B" w14:paraId="61925A97" w14:textId="77777777" w:rsidTr="00B52F36">
        <w:tc>
          <w:tcPr>
            <w:tcW w:w="3360" w:type="dxa"/>
          </w:tcPr>
          <w:p w14:paraId="09458E58" w14:textId="77777777" w:rsidR="004A3877" w:rsidRPr="0063119B" w:rsidRDefault="004A3877" w:rsidP="00DE7D95">
            <w:pPr>
              <w:keepNext/>
              <w:rPr>
                <w:b/>
                <w:bCs/>
                <w:szCs w:val="22"/>
              </w:rPr>
            </w:pPr>
            <w:r w:rsidRPr="0063119B">
              <w:rPr>
                <w:b/>
                <w:bCs/>
                <w:szCs w:val="22"/>
              </w:rPr>
              <w:t>População do estudo</w:t>
            </w:r>
          </w:p>
        </w:tc>
        <w:tc>
          <w:tcPr>
            <w:tcW w:w="6000" w:type="dxa"/>
            <w:gridSpan w:val="3"/>
          </w:tcPr>
          <w:p w14:paraId="4C728CDA" w14:textId="77777777" w:rsidR="004A3877" w:rsidRPr="0063119B" w:rsidRDefault="004A3877" w:rsidP="00DE7D95">
            <w:pPr>
              <w:keepNext/>
              <w:rPr>
                <w:b/>
                <w:bCs/>
                <w:szCs w:val="22"/>
              </w:rPr>
            </w:pPr>
            <w:r w:rsidRPr="0063119B">
              <w:rPr>
                <w:b/>
                <w:bCs/>
                <w:szCs w:val="22"/>
              </w:rPr>
              <w:t>3.449 doentes com trombose venosa profunda sintomática aguda</w:t>
            </w:r>
          </w:p>
        </w:tc>
      </w:tr>
      <w:tr w:rsidR="004A3877" w:rsidRPr="0063119B" w14:paraId="70E53078" w14:textId="77777777" w:rsidTr="00B52F36">
        <w:tc>
          <w:tcPr>
            <w:tcW w:w="3360" w:type="dxa"/>
            <w:vAlign w:val="center"/>
          </w:tcPr>
          <w:p w14:paraId="46AA3310" w14:textId="77777777" w:rsidR="004A3877" w:rsidRPr="0063119B" w:rsidRDefault="004A3877" w:rsidP="00DE7D95">
            <w:pPr>
              <w:keepNext/>
              <w:spacing w:line="260" w:lineRule="exact"/>
              <w:rPr>
                <w:b/>
                <w:bCs/>
                <w:szCs w:val="22"/>
              </w:rPr>
            </w:pPr>
            <w:r w:rsidRPr="0063119B">
              <w:rPr>
                <w:b/>
                <w:bCs/>
                <w:szCs w:val="22"/>
              </w:rPr>
              <w:t>Doses e duração do tratamento</w:t>
            </w:r>
          </w:p>
        </w:tc>
        <w:tc>
          <w:tcPr>
            <w:tcW w:w="3120" w:type="dxa"/>
          </w:tcPr>
          <w:p w14:paraId="0A75CF59" w14:textId="77777777" w:rsidR="004A3877" w:rsidRPr="0063119B" w:rsidRDefault="002C68B2" w:rsidP="00DE7D95">
            <w:pPr>
              <w:keepNext/>
              <w:spacing w:line="260" w:lineRule="exact"/>
              <w:rPr>
                <w:b/>
                <w:bCs/>
                <w:szCs w:val="22"/>
                <w:vertAlign w:val="superscript"/>
              </w:rPr>
            </w:pPr>
            <w:r w:rsidRPr="0063119B">
              <w:rPr>
                <w:b/>
                <w:bCs/>
                <w:noProof/>
                <w:szCs w:val="22"/>
              </w:rPr>
              <w:t>Rivaroxabano</w:t>
            </w:r>
            <w:r w:rsidR="004A3877" w:rsidRPr="0063119B">
              <w:rPr>
                <w:b/>
                <w:bCs/>
                <w:szCs w:val="22"/>
                <w:vertAlign w:val="superscript"/>
              </w:rPr>
              <w:t>a)</w:t>
            </w:r>
          </w:p>
          <w:p w14:paraId="64A03756" w14:textId="77777777" w:rsidR="004A3877" w:rsidRPr="0063119B" w:rsidRDefault="004A3877" w:rsidP="00DE7D95">
            <w:pPr>
              <w:keepNext/>
              <w:spacing w:line="260" w:lineRule="exact"/>
              <w:rPr>
                <w:b/>
                <w:bCs/>
                <w:szCs w:val="22"/>
              </w:rPr>
            </w:pPr>
            <w:r w:rsidRPr="0063119B">
              <w:rPr>
                <w:b/>
                <w:bCs/>
                <w:szCs w:val="22"/>
              </w:rPr>
              <w:t>3, 6 ou 12 meses</w:t>
            </w:r>
          </w:p>
          <w:p w14:paraId="7177CC4F" w14:textId="77777777" w:rsidR="004A3877" w:rsidRPr="0063119B" w:rsidRDefault="004A3877" w:rsidP="00DE7D95">
            <w:pPr>
              <w:keepNext/>
              <w:spacing w:line="260" w:lineRule="exact"/>
              <w:rPr>
                <w:b/>
                <w:bCs/>
                <w:szCs w:val="22"/>
              </w:rPr>
            </w:pPr>
            <w:r w:rsidRPr="0063119B">
              <w:rPr>
                <w:b/>
                <w:bCs/>
                <w:szCs w:val="22"/>
              </w:rPr>
              <w:t>N=1.731</w:t>
            </w:r>
          </w:p>
        </w:tc>
        <w:tc>
          <w:tcPr>
            <w:tcW w:w="2880" w:type="dxa"/>
            <w:gridSpan w:val="2"/>
          </w:tcPr>
          <w:p w14:paraId="1BE5EC63" w14:textId="77777777" w:rsidR="004A3877" w:rsidRPr="0063119B" w:rsidRDefault="004A3877" w:rsidP="00DE7D95">
            <w:pPr>
              <w:keepNext/>
              <w:spacing w:line="260" w:lineRule="exact"/>
              <w:rPr>
                <w:b/>
                <w:bCs/>
                <w:szCs w:val="22"/>
              </w:rPr>
            </w:pPr>
            <w:r w:rsidRPr="0063119B">
              <w:rPr>
                <w:b/>
                <w:bCs/>
                <w:szCs w:val="22"/>
              </w:rPr>
              <w:t>Enoxaparina/AVK</w:t>
            </w:r>
            <w:r w:rsidRPr="0063119B">
              <w:rPr>
                <w:b/>
                <w:bCs/>
                <w:szCs w:val="22"/>
                <w:vertAlign w:val="superscript"/>
              </w:rPr>
              <w:t>b)</w:t>
            </w:r>
          </w:p>
          <w:p w14:paraId="5EAA44D7" w14:textId="77777777" w:rsidR="004A3877" w:rsidRPr="0063119B" w:rsidRDefault="004A3877" w:rsidP="00DE7D95">
            <w:pPr>
              <w:keepNext/>
              <w:spacing w:line="260" w:lineRule="exact"/>
              <w:rPr>
                <w:b/>
                <w:bCs/>
                <w:szCs w:val="22"/>
              </w:rPr>
            </w:pPr>
            <w:r w:rsidRPr="0063119B">
              <w:rPr>
                <w:b/>
                <w:bCs/>
                <w:szCs w:val="22"/>
              </w:rPr>
              <w:t>3, 6 ou 12 meses</w:t>
            </w:r>
          </w:p>
          <w:p w14:paraId="451FD2C2" w14:textId="77777777" w:rsidR="004A3877" w:rsidRPr="0063119B" w:rsidRDefault="004A3877" w:rsidP="00DE7D95">
            <w:pPr>
              <w:keepNext/>
              <w:spacing w:line="260" w:lineRule="exact"/>
              <w:rPr>
                <w:szCs w:val="22"/>
              </w:rPr>
            </w:pPr>
            <w:r w:rsidRPr="0063119B">
              <w:rPr>
                <w:b/>
                <w:bCs/>
                <w:szCs w:val="22"/>
              </w:rPr>
              <w:t>N=1.718</w:t>
            </w:r>
          </w:p>
        </w:tc>
      </w:tr>
      <w:tr w:rsidR="004A3877" w:rsidRPr="0063119B" w14:paraId="09EE9F0C" w14:textId="77777777" w:rsidTr="00B52F36">
        <w:tc>
          <w:tcPr>
            <w:tcW w:w="3360" w:type="dxa"/>
          </w:tcPr>
          <w:p w14:paraId="23815D30" w14:textId="77777777" w:rsidR="004A3877" w:rsidRPr="0063119B" w:rsidRDefault="004A3877" w:rsidP="00DE7D95">
            <w:pPr>
              <w:keepNext/>
              <w:spacing w:line="260" w:lineRule="exact"/>
              <w:rPr>
                <w:szCs w:val="22"/>
              </w:rPr>
            </w:pPr>
            <w:r w:rsidRPr="0063119B">
              <w:rPr>
                <w:szCs w:val="22"/>
              </w:rPr>
              <w:t>TEV sintomático recorrente*</w:t>
            </w:r>
          </w:p>
        </w:tc>
        <w:tc>
          <w:tcPr>
            <w:tcW w:w="3120" w:type="dxa"/>
          </w:tcPr>
          <w:p w14:paraId="34E0BC00" w14:textId="77777777" w:rsidR="004A3877" w:rsidRPr="0063119B" w:rsidRDefault="004A3877" w:rsidP="00DE7D95">
            <w:pPr>
              <w:keepNext/>
              <w:spacing w:line="260" w:lineRule="exact"/>
              <w:rPr>
                <w:szCs w:val="22"/>
              </w:rPr>
            </w:pPr>
            <w:r w:rsidRPr="0063119B">
              <w:rPr>
                <w:szCs w:val="22"/>
              </w:rPr>
              <w:t>36</w:t>
            </w:r>
            <w:r w:rsidRPr="0063119B">
              <w:rPr>
                <w:szCs w:val="22"/>
              </w:rPr>
              <w:br/>
              <w:t>(2,1%)</w:t>
            </w:r>
          </w:p>
        </w:tc>
        <w:tc>
          <w:tcPr>
            <w:tcW w:w="2880" w:type="dxa"/>
            <w:gridSpan w:val="2"/>
          </w:tcPr>
          <w:p w14:paraId="2C99235E" w14:textId="77777777" w:rsidR="004A3877" w:rsidRPr="0063119B" w:rsidRDefault="004A3877" w:rsidP="00DE7D95">
            <w:pPr>
              <w:keepNext/>
              <w:spacing w:line="260" w:lineRule="exact"/>
              <w:rPr>
                <w:szCs w:val="22"/>
              </w:rPr>
            </w:pPr>
            <w:r w:rsidRPr="0063119B">
              <w:rPr>
                <w:szCs w:val="22"/>
              </w:rPr>
              <w:t>51</w:t>
            </w:r>
            <w:r w:rsidRPr="0063119B">
              <w:rPr>
                <w:szCs w:val="22"/>
              </w:rPr>
              <w:br/>
              <w:t>(3,0%)</w:t>
            </w:r>
          </w:p>
        </w:tc>
      </w:tr>
      <w:tr w:rsidR="004A3877" w:rsidRPr="0063119B" w14:paraId="18E14123" w14:textId="77777777" w:rsidTr="00B52F36">
        <w:tc>
          <w:tcPr>
            <w:tcW w:w="3360" w:type="dxa"/>
          </w:tcPr>
          <w:p w14:paraId="2258574B" w14:textId="77777777" w:rsidR="004A3877" w:rsidRPr="0063119B" w:rsidRDefault="004A3877" w:rsidP="00DE7D95">
            <w:pPr>
              <w:keepNext/>
              <w:spacing w:line="260" w:lineRule="exact"/>
              <w:rPr>
                <w:szCs w:val="22"/>
              </w:rPr>
            </w:pPr>
            <w:r w:rsidRPr="0063119B">
              <w:rPr>
                <w:szCs w:val="22"/>
              </w:rPr>
              <w:t xml:space="preserve">      EP sintomático recorrente</w:t>
            </w:r>
          </w:p>
        </w:tc>
        <w:tc>
          <w:tcPr>
            <w:tcW w:w="3120" w:type="dxa"/>
          </w:tcPr>
          <w:p w14:paraId="32199A1C" w14:textId="77777777" w:rsidR="004A3877" w:rsidRPr="0063119B" w:rsidRDefault="004A3877" w:rsidP="00DE7D95">
            <w:pPr>
              <w:keepNext/>
              <w:spacing w:line="260" w:lineRule="exact"/>
              <w:rPr>
                <w:szCs w:val="22"/>
              </w:rPr>
            </w:pPr>
            <w:r w:rsidRPr="0063119B">
              <w:rPr>
                <w:szCs w:val="22"/>
              </w:rPr>
              <w:t>20</w:t>
            </w:r>
            <w:r w:rsidRPr="0063119B">
              <w:rPr>
                <w:szCs w:val="22"/>
              </w:rPr>
              <w:br/>
              <w:t>(1,2%)</w:t>
            </w:r>
          </w:p>
        </w:tc>
        <w:tc>
          <w:tcPr>
            <w:tcW w:w="2880" w:type="dxa"/>
            <w:gridSpan w:val="2"/>
          </w:tcPr>
          <w:p w14:paraId="1B39F10D" w14:textId="77777777" w:rsidR="004A3877" w:rsidRPr="0063119B" w:rsidRDefault="004A3877" w:rsidP="00DE7D95">
            <w:pPr>
              <w:keepNext/>
              <w:spacing w:line="260" w:lineRule="exact"/>
              <w:rPr>
                <w:szCs w:val="22"/>
              </w:rPr>
            </w:pPr>
            <w:r w:rsidRPr="0063119B">
              <w:rPr>
                <w:szCs w:val="22"/>
              </w:rPr>
              <w:t>18</w:t>
            </w:r>
            <w:r w:rsidRPr="0063119B">
              <w:rPr>
                <w:szCs w:val="22"/>
              </w:rPr>
              <w:br/>
              <w:t>(1,0%)</w:t>
            </w:r>
          </w:p>
        </w:tc>
      </w:tr>
      <w:tr w:rsidR="004A3877" w:rsidRPr="0063119B" w14:paraId="24851B1F" w14:textId="77777777" w:rsidTr="00B52F36">
        <w:tc>
          <w:tcPr>
            <w:tcW w:w="3360" w:type="dxa"/>
          </w:tcPr>
          <w:p w14:paraId="148CA526" w14:textId="77777777" w:rsidR="004A3877" w:rsidRPr="0063119B" w:rsidRDefault="004A3877" w:rsidP="00DE7D95">
            <w:pPr>
              <w:keepNext/>
              <w:spacing w:line="260" w:lineRule="exact"/>
              <w:rPr>
                <w:szCs w:val="22"/>
              </w:rPr>
            </w:pPr>
            <w:r w:rsidRPr="0063119B">
              <w:rPr>
                <w:szCs w:val="22"/>
              </w:rPr>
              <w:t xml:space="preserve">     TVP sintomática recorrente</w:t>
            </w:r>
          </w:p>
        </w:tc>
        <w:tc>
          <w:tcPr>
            <w:tcW w:w="3120" w:type="dxa"/>
          </w:tcPr>
          <w:p w14:paraId="72A85694" w14:textId="77777777" w:rsidR="004A3877" w:rsidRPr="0063119B" w:rsidRDefault="004A3877" w:rsidP="00DE7D95">
            <w:pPr>
              <w:keepNext/>
              <w:spacing w:line="260" w:lineRule="exact"/>
              <w:rPr>
                <w:szCs w:val="22"/>
              </w:rPr>
            </w:pPr>
            <w:r w:rsidRPr="0063119B">
              <w:rPr>
                <w:szCs w:val="22"/>
              </w:rPr>
              <w:t>14</w:t>
            </w:r>
            <w:r w:rsidRPr="0063119B">
              <w:rPr>
                <w:szCs w:val="22"/>
              </w:rPr>
              <w:br/>
              <w:t>(0,8%)</w:t>
            </w:r>
          </w:p>
        </w:tc>
        <w:tc>
          <w:tcPr>
            <w:tcW w:w="2880" w:type="dxa"/>
            <w:gridSpan w:val="2"/>
          </w:tcPr>
          <w:p w14:paraId="3F0E5950" w14:textId="77777777" w:rsidR="004A3877" w:rsidRPr="0063119B" w:rsidRDefault="004A3877" w:rsidP="00DE7D95">
            <w:pPr>
              <w:keepNext/>
              <w:spacing w:line="260" w:lineRule="exact"/>
              <w:rPr>
                <w:szCs w:val="22"/>
              </w:rPr>
            </w:pPr>
            <w:r w:rsidRPr="0063119B">
              <w:rPr>
                <w:szCs w:val="22"/>
              </w:rPr>
              <w:t>28</w:t>
            </w:r>
            <w:r w:rsidRPr="0063119B">
              <w:rPr>
                <w:szCs w:val="22"/>
              </w:rPr>
              <w:br/>
              <w:t>(1,6%)</w:t>
            </w:r>
          </w:p>
        </w:tc>
      </w:tr>
      <w:tr w:rsidR="004A3877" w:rsidRPr="0063119B" w14:paraId="1D6AB2D2" w14:textId="77777777" w:rsidTr="00B52F36">
        <w:tc>
          <w:tcPr>
            <w:tcW w:w="3360" w:type="dxa"/>
          </w:tcPr>
          <w:p w14:paraId="216E2B90" w14:textId="77777777" w:rsidR="004A3877" w:rsidRPr="0063119B" w:rsidRDefault="004A3877" w:rsidP="00DE7D95">
            <w:pPr>
              <w:keepNext/>
              <w:spacing w:line="260" w:lineRule="exact"/>
              <w:rPr>
                <w:szCs w:val="22"/>
              </w:rPr>
            </w:pPr>
            <w:r w:rsidRPr="0063119B">
              <w:rPr>
                <w:szCs w:val="22"/>
              </w:rPr>
              <w:t xml:space="preserve">     EP e TVP sintomáticos</w:t>
            </w:r>
          </w:p>
        </w:tc>
        <w:tc>
          <w:tcPr>
            <w:tcW w:w="3120" w:type="dxa"/>
          </w:tcPr>
          <w:p w14:paraId="1A89E8BD" w14:textId="77777777" w:rsidR="004A3877" w:rsidRPr="0063119B" w:rsidRDefault="004A3877" w:rsidP="00DE7D95">
            <w:pPr>
              <w:keepNext/>
              <w:spacing w:line="260" w:lineRule="exact"/>
              <w:rPr>
                <w:szCs w:val="22"/>
              </w:rPr>
            </w:pPr>
            <w:r w:rsidRPr="0063119B">
              <w:rPr>
                <w:szCs w:val="22"/>
              </w:rPr>
              <w:t>1</w:t>
            </w:r>
          </w:p>
          <w:p w14:paraId="37B261B1" w14:textId="77777777" w:rsidR="004A3877" w:rsidRPr="0063119B" w:rsidRDefault="004A3877" w:rsidP="00DE7D95">
            <w:pPr>
              <w:keepNext/>
              <w:spacing w:line="260" w:lineRule="exact"/>
              <w:rPr>
                <w:szCs w:val="22"/>
              </w:rPr>
            </w:pPr>
            <w:r w:rsidRPr="0063119B">
              <w:rPr>
                <w:szCs w:val="22"/>
              </w:rPr>
              <w:t>(0,1%)</w:t>
            </w:r>
          </w:p>
        </w:tc>
        <w:tc>
          <w:tcPr>
            <w:tcW w:w="2880" w:type="dxa"/>
            <w:gridSpan w:val="2"/>
          </w:tcPr>
          <w:p w14:paraId="515AA4A2" w14:textId="77777777" w:rsidR="004A3877" w:rsidRPr="0063119B" w:rsidRDefault="004A3877" w:rsidP="00DE7D95">
            <w:pPr>
              <w:keepNext/>
              <w:spacing w:line="260" w:lineRule="exact"/>
              <w:rPr>
                <w:szCs w:val="22"/>
              </w:rPr>
            </w:pPr>
            <w:r w:rsidRPr="0063119B">
              <w:rPr>
                <w:szCs w:val="22"/>
              </w:rPr>
              <w:t>0</w:t>
            </w:r>
          </w:p>
        </w:tc>
      </w:tr>
      <w:tr w:rsidR="004A3877" w:rsidRPr="0063119B" w14:paraId="741001F9" w14:textId="77777777" w:rsidTr="00B52F36">
        <w:tc>
          <w:tcPr>
            <w:tcW w:w="3360" w:type="dxa"/>
          </w:tcPr>
          <w:p w14:paraId="215ADF35" w14:textId="77777777" w:rsidR="004A3877" w:rsidRPr="0063119B" w:rsidRDefault="004A3877" w:rsidP="00DE7D95">
            <w:pPr>
              <w:keepNext/>
              <w:spacing w:line="260" w:lineRule="exact"/>
              <w:ind w:left="284" w:hanging="34"/>
              <w:rPr>
                <w:szCs w:val="22"/>
              </w:rPr>
            </w:pPr>
            <w:r w:rsidRPr="0063119B">
              <w:rPr>
                <w:szCs w:val="22"/>
              </w:rPr>
              <w:t>EP fatal/</w:t>
            </w:r>
            <w:r w:rsidR="00A407A9" w:rsidRPr="0063119B">
              <w:rPr>
                <w:szCs w:val="22"/>
              </w:rPr>
              <w:t>m</w:t>
            </w:r>
            <w:r w:rsidRPr="0063119B">
              <w:rPr>
                <w:szCs w:val="22"/>
              </w:rPr>
              <w:t>orte na qual não se pode excluir EP</w:t>
            </w:r>
          </w:p>
        </w:tc>
        <w:tc>
          <w:tcPr>
            <w:tcW w:w="3120" w:type="dxa"/>
          </w:tcPr>
          <w:p w14:paraId="3631C195" w14:textId="77777777" w:rsidR="004A3877" w:rsidRPr="0063119B" w:rsidRDefault="004A3877" w:rsidP="00DE7D95">
            <w:pPr>
              <w:keepNext/>
              <w:spacing w:line="260" w:lineRule="exact"/>
              <w:rPr>
                <w:szCs w:val="22"/>
              </w:rPr>
            </w:pPr>
            <w:r w:rsidRPr="0063119B">
              <w:rPr>
                <w:szCs w:val="22"/>
              </w:rPr>
              <w:t>4</w:t>
            </w:r>
            <w:r w:rsidRPr="0063119B">
              <w:rPr>
                <w:szCs w:val="22"/>
              </w:rPr>
              <w:br/>
              <w:t>(0,2%)</w:t>
            </w:r>
          </w:p>
        </w:tc>
        <w:tc>
          <w:tcPr>
            <w:tcW w:w="2880" w:type="dxa"/>
            <w:gridSpan w:val="2"/>
          </w:tcPr>
          <w:p w14:paraId="2DDC35FD" w14:textId="77777777" w:rsidR="004A3877" w:rsidRPr="0063119B" w:rsidRDefault="004A3877" w:rsidP="00DE7D95">
            <w:pPr>
              <w:keepNext/>
              <w:spacing w:line="260" w:lineRule="exact"/>
              <w:rPr>
                <w:szCs w:val="22"/>
              </w:rPr>
            </w:pPr>
            <w:r w:rsidRPr="0063119B">
              <w:rPr>
                <w:szCs w:val="22"/>
              </w:rPr>
              <w:t>6</w:t>
            </w:r>
            <w:r w:rsidRPr="0063119B">
              <w:rPr>
                <w:szCs w:val="22"/>
              </w:rPr>
              <w:br/>
              <w:t>(0,3%)</w:t>
            </w:r>
          </w:p>
        </w:tc>
      </w:tr>
      <w:tr w:rsidR="004A3877" w:rsidRPr="0063119B" w14:paraId="4458B8B0" w14:textId="77777777" w:rsidTr="00B52F36">
        <w:tc>
          <w:tcPr>
            <w:tcW w:w="3360" w:type="dxa"/>
          </w:tcPr>
          <w:p w14:paraId="2528B035" w14:textId="77777777" w:rsidR="004A3877" w:rsidRPr="0063119B" w:rsidRDefault="004A3877" w:rsidP="00DE7D95">
            <w:pPr>
              <w:keepNext/>
              <w:spacing w:line="260" w:lineRule="exact"/>
              <w:rPr>
                <w:szCs w:val="22"/>
              </w:rPr>
            </w:pPr>
            <w:r w:rsidRPr="0063119B">
              <w:rPr>
                <w:szCs w:val="22"/>
              </w:rPr>
              <w:t>Hemorragia principal ou não principal clinicamente relevante</w:t>
            </w:r>
          </w:p>
        </w:tc>
        <w:tc>
          <w:tcPr>
            <w:tcW w:w="3120" w:type="dxa"/>
          </w:tcPr>
          <w:p w14:paraId="24FCB9BF" w14:textId="77777777" w:rsidR="004A3877" w:rsidRPr="0063119B" w:rsidRDefault="004A3877" w:rsidP="00DE7D95">
            <w:pPr>
              <w:keepNext/>
              <w:spacing w:line="260" w:lineRule="exact"/>
              <w:rPr>
                <w:szCs w:val="22"/>
              </w:rPr>
            </w:pPr>
            <w:r w:rsidRPr="0063119B">
              <w:rPr>
                <w:szCs w:val="22"/>
              </w:rPr>
              <w:t>139</w:t>
            </w:r>
            <w:r w:rsidRPr="0063119B">
              <w:rPr>
                <w:szCs w:val="22"/>
              </w:rPr>
              <w:br/>
              <w:t>(8,1%)</w:t>
            </w:r>
          </w:p>
        </w:tc>
        <w:tc>
          <w:tcPr>
            <w:tcW w:w="2880" w:type="dxa"/>
            <w:gridSpan w:val="2"/>
          </w:tcPr>
          <w:p w14:paraId="0E6E9BB9" w14:textId="77777777" w:rsidR="004A3877" w:rsidRPr="0063119B" w:rsidRDefault="004A3877" w:rsidP="00DE7D95">
            <w:pPr>
              <w:keepNext/>
              <w:spacing w:line="260" w:lineRule="exact"/>
              <w:rPr>
                <w:szCs w:val="22"/>
              </w:rPr>
            </w:pPr>
            <w:r w:rsidRPr="0063119B">
              <w:rPr>
                <w:szCs w:val="22"/>
              </w:rPr>
              <w:t>138</w:t>
            </w:r>
            <w:r w:rsidRPr="0063119B">
              <w:rPr>
                <w:szCs w:val="22"/>
              </w:rPr>
              <w:br/>
              <w:t>(8,1%)</w:t>
            </w:r>
          </w:p>
        </w:tc>
      </w:tr>
      <w:tr w:rsidR="004A3877" w:rsidRPr="0063119B" w14:paraId="4C874ACF" w14:textId="77777777" w:rsidTr="00B52F36">
        <w:tc>
          <w:tcPr>
            <w:tcW w:w="3360" w:type="dxa"/>
          </w:tcPr>
          <w:p w14:paraId="1AB1FF6C" w14:textId="77777777" w:rsidR="004A3877" w:rsidRPr="0063119B" w:rsidRDefault="004A3877" w:rsidP="00DE7D95">
            <w:pPr>
              <w:keepNext/>
              <w:spacing w:line="260" w:lineRule="exact"/>
              <w:rPr>
                <w:szCs w:val="22"/>
              </w:rPr>
            </w:pPr>
            <w:r w:rsidRPr="0063119B">
              <w:rPr>
                <w:szCs w:val="22"/>
              </w:rPr>
              <w:t>Acontecimentos hemorrágicos principais</w:t>
            </w:r>
          </w:p>
        </w:tc>
        <w:tc>
          <w:tcPr>
            <w:tcW w:w="3120" w:type="dxa"/>
          </w:tcPr>
          <w:p w14:paraId="39A090A6" w14:textId="77777777" w:rsidR="004A3877" w:rsidRPr="0063119B" w:rsidRDefault="004A3877" w:rsidP="00B52F36">
            <w:pPr>
              <w:spacing w:line="260" w:lineRule="exact"/>
              <w:rPr>
                <w:szCs w:val="22"/>
              </w:rPr>
            </w:pPr>
            <w:r w:rsidRPr="0063119B">
              <w:rPr>
                <w:szCs w:val="22"/>
              </w:rPr>
              <w:t>14</w:t>
            </w:r>
            <w:r w:rsidRPr="0063119B">
              <w:rPr>
                <w:szCs w:val="22"/>
              </w:rPr>
              <w:br/>
              <w:t>(0,8%)</w:t>
            </w:r>
          </w:p>
        </w:tc>
        <w:tc>
          <w:tcPr>
            <w:tcW w:w="2880" w:type="dxa"/>
            <w:gridSpan w:val="2"/>
          </w:tcPr>
          <w:p w14:paraId="5FDA15E8" w14:textId="77777777" w:rsidR="004A3877" w:rsidRPr="0063119B" w:rsidRDefault="004A3877" w:rsidP="00B52F36">
            <w:pPr>
              <w:spacing w:line="260" w:lineRule="exact"/>
              <w:rPr>
                <w:szCs w:val="22"/>
              </w:rPr>
            </w:pPr>
            <w:r w:rsidRPr="0063119B">
              <w:rPr>
                <w:szCs w:val="22"/>
              </w:rPr>
              <w:t>20</w:t>
            </w:r>
            <w:r w:rsidRPr="0063119B">
              <w:rPr>
                <w:szCs w:val="22"/>
              </w:rPr>
              <w:br/>
              <w:t>(1,2%)</w:t>
            </w:r>
          </w:p>
        </w:tc>
      </w:tr>
      <w:tr w:rsidR="004A3877" w:rsidRPr="0063119B" w14:paraId="6A8A6D70" w14:textId="77777777" w:rsidTr="00B52F36">
        <w:trPr>
          <w:gridAfter w:val="1"/>
          <w:wAfter w:w="230" w:type="dxa"/>
        </w:trPr>
        <w:tc>
          <w:tcPr>
            <w:tcW w:w="9200" w:type="dxa"/>
            <w:gridSpan w:val="3"/>
            <w:tcBorders>
              <w:top w:val="nil"/>
              <w:left w:val="nil"/>
              <w:bottom w:val="nil"/>
              <w:right w:val="nil"/>
            </w:tcBorders>
          </w:tcPr>
          <w:p w14:paraId="7D4DC5C1" w14:textId="77777777" w:rsidR="004A3877" w:rsidRPr="0063119B" w:rsidRDefault="004A3877" w:rsidP="00B52F36">
            <w:pPr>
              <w:tabs>
                <w:tab w:val="left" w:pos="567"/>
              </w:tabs>
              <w:rPr>
                <w:szCs w:val="22"/>
              </w:rPr>
            </w:pPr>
            <w:r w:rsidRPr="0063119B">
              <w:rPr>
                <w:szCs w:val="22"/>
              </w:rPr>
              <w:t>a)</w:t>
            </w:r>
            <w:r w:rsidRPr="0063119B">
              <w:rPr>
                <w:szCs w:val="22"/>
              </w:rPr>
              <w:tab/>
              <w:t>Rivaroxabano 15 mg duas vezes por dia durante 3 semanas seguido de 20 mg uma vez por dia</w:t>
            </w:r>
          </w:p>
          <w:p w14:paraId="2BA88629" w14:textId="77777777" w:rsidR="004A3877" w:rsidRPr="0063119B" w:rsidRDefault="004A3877" w:rsidP="00B52F36">
            <w:pPr>
              <w:tabs>
                <w:tab w:val="left" w:pos="567"/>
              </w:tabs>
              <w:ind w:left="567" w:hanging="567"/>
              <w:rPr>
                <w:szCs w:val="22"/>
              </w:rPr>
            </w:pPr>
            <w:r w:rsidRPr="0063119B">
              <w:rPr>
                <w:szCs w:val="22"/>
              </w:rPr>
              <w:t>b)</w:t>
            </w:r>
            <w:r w:rsidRPr="0063119B">
              <w:rPr>
                <w:szCs w:val="22"/>
              </w:rPr>
              <w:tab/>
              <w:t>Enoxaparina durante pelo menos 5 dias, sobreposta com e seguida de AVK</w:t>
            </w:r>
          </w:p>
          <w:p w14:paraId="7B2F8EE9" w14:textId="77777777" w:rsidR="004A3877" w:rsidRPr="0063119B" w:rsidRDefault="004A3877" w:rsidP="00A407A9">
            <w:pPr>
              <w:tabs>
                <w:tab w:val="left" w:pos="567"/>
              </w:tabs>
              <w:ind w:left="567" w:hanging="567"/>
              <w:rPr>
                <w:vanish/>
                <w:szCs w:val="22"/>
              </w:rPr>
            </w:pPr>
            <w:r w:rsidRPr="0063119B">
              <w:rPr>
                <w:b/>
                <w:szCs w:val="22"/>
              </w:rPr>
              <w:t>*</w:t>
            </w:r>
            <w:r w:rsidRPr="0063119B">
              <w:rPr>
                <w:szCs w:val="22"/>
              </w:rPr>
              <w:tab/>
              <w:t xml:space="preserve">p &lt; 0,0001 (não inferioridade para uma </w:t>
            </w:r>
            <w:r w:rsidR="00A407A9" w:rsidRPr="0063119B">
              <w:rPr>
                <w:szCs w:val="22"/>
              </w:rPr>
              <w:t>RR</w:t>
            </w:r>
            <w:r w:rsidRPr="0063119B">
              <w:rPr>
                <w:szCs w:val="22"/>
              </w:rPr>
              <w:t xml:space="preserve"> pré-especificada de 2,0); </w:t>
            </w:r>
            <w:r w:rsidR="00A407A9" w:rsidRPr="0063119B">
              <w:rPr>
                <w:szCs w:val="22"/>
              </w:rPr>
              <w:t>RR</w:t>
            </w:r>
            <w:r w:rsidRPr="0063119B">
              <w:rPr>
                <w:szCs w:val="22"/>
              </w:rPr>
              <w:t>: 0,680 (0,443 </w:t>
            </w:r>
            <w:r w:rsidRPr="0063119B">
              <w:rPr>
                <w:szCs w:val="22"/>
              </w:rPr>
              <w:noBreakHyphen/>
              <w:t> 1,042), p = 0,076 (superioridade)</w:t>
            </w:r>
          </w:p>
        </w:tc>
      </w:tr>
    </w:tbl>
    <w:p w14:paraId="5B9557FF" w14:textId="77777777" w:rsidR="004A3877" w:rsidRPr="0063119B" w:rsidRDefault="004A3877" w:rsidP="004A3877">
      <w:pPr>
        <w:autoSpaceDE w:val="0"/>
        <w:autoSpaceDN w:val="0"/>
        <w:adjustRightInd w:val="0"/>
        <w:rPr>
          <w:szCs w:val="22"/>
        </w:rPr>
      </w:pPr>
    </w:p>
    <w:p w14:paraId="0B5DCA93" w14:textId="77777777" w:rsidR="004A3877" w:rsidRPr="0063119B" w:rsidRDefault="004A3877" w:rsidP="004A3877">
      <w:pPr>
        <w:autoSpaceDE w:val="0"/>
        <w:autoSpaceDN w:val="0"/>
        <w:adjustRightInd w:val="0"/>
        <w:rPr>
          <w:rFonts w:eastAsia="MS Mincho"/>
          <w:bCs/>
          <w:szCs w:val="22"/>
          <w:lang w:eastAsia="ja-JP"/>
        </w:rPr>
      </w:pPr>
      <w:r w:rsidRPr="0063119B">
        <w:rPr>
          <w:szCs w:val="22"/>
        </w:rPr>
        <w:t>No estudo Einstein PE (ver Quadro 6) o rivaroxabano demonstrou ser não inferior à enoxaparina/AVK em relação ao objetivo primário da eficácia (p=0,0026 (teste de não</w:t>
      </w:r>
      <w:r w:rsidRPr="0063119B">
        <w:rPr>
          <w:szCs w:val="22"/>
        </w:rPr>
        <w:noBreakHyphen/>
        <w:t xml:space="preserve">inferioridade); </w:t>
      </w:r>
      <w:r w:rsidR="00A407A9" w:rsidRPr="0063119B">
        <w:rPr>
          <w:szCs w:val="22"/>
        </w:rPr>
        <w:t>RR</w:t>
      </w:r>
      <w:r w:rsidRPr="0063119B">
        <w:rPr>
          <w:szCs w:val="22"/>
        </w:rPr>
        <w:t xml:space="preserve">: </w:t>
      </w:r>
      <w:r w:rsidRPr="0063119B">
        <w:rPr>
          <w:iCs/>
          <w:szCs w:val="22"/>
        </w:rPr>
        <w:t>1,123 (0,749 </w:t>
      </w:r>
      <w:r w:rsidRPr="0063119B">
        <w:rPr>
          <w:iCs/>
          <w:szCs w:val="22"/>
        </w:rPr>
        <w:noBreakHyphen/>
        <w:t> 1,684)).</w:t>
      </w:r>
      <w:r w:rsidRPr="0063119B">
        <w:rPr>
          <w:rFonts w:eastAsia="MS Mincho"/>
          <w:bCs/>
          <w:szCs w:val="22"/>
          <w:lang w:eastAsia="ja-JP"/>
        </w:rPr>
        <w:t xml:space="preserve"> O benefício clínico efetivo pré</w:t>
      </w:r>
      <w:r w:rsidRPr="0063119B">
        <w:rPr>
          <w:rFonts w:eastAsia="MS Mincho"/>
          <w:bCs/>
          <w:szCs w:val="22"/>
          <w:lang w:eastAsia="ja-JP"/>
        </w:rPr>
        <w:noBreakHyphen/>
        <w:t xml:space="preserve">especificado (objetivo primário da eficácia mais acontecimentos hemorrágicos principais) foi notificado com uma </w:t>
      </w:r>
      <w:r w:rsidR="00A407A9" w:rsidRPr="0063119B">
        <w:rPr>
          <w:rFonts w:eastAsia="MS Mincho"/>
          <w:bCs/>
          <w:szCs w:val="22"/>
          <w:lang w:eastAsia="ja-JP"/>
        </w:rPr>
        <w:t>RR</w:t>
      </w:r>
      <w:r w:rsidRPr="0063119B">
        <w:rPr>
          <w:rFonts w:eastAsia="MS Mincho"/>
          <w:bCs/>
          <w:szCs w:val="22"/>
          <w:lang w:eastAsia="ja-JP"/>
        </w:rPr>
        <w:t xml:space="preserve"> de 0,849 ((IC 95%: 0,633 </w:t>
      </w:r>
      <w:r w:rsidRPr="0063119B">
        <w:rPr>
          <w:rFonts w:eastAsia="MS Mincho"/>
          <w:bCs/>
          <w:szCs w:val="22"/>
          <w:lang w:eastAsia="ja-JP"/>
        </w:rPr>
        <w:noBreakHyphen/>
        <w:t xml:space="preserve"> 1,139), valor-p nominal com p=0,275). Os valores de INR foram no intervalo terapêutico uma média de 63% do tempo para uma duração média de tratamento de 215 dias, e 57%, 62% e 65% do tempo nos grupos de duração de tratamento previsto de 3, 6 e 12 meses, respetivamente. No grupo enoxaparina/AVK, não existe uma relação clara entre o nível do centro TTR médio (Tempo no Intervalo do INR Alvo de 2,0 a 3,0) em tercis de igual tamanho e a incidência de TEV recorrente (p=0,082 para interação). No maior tercil de acordo com o centro, a </w:t>
      </w:r>
      <w:r w:rsidR="00A407A9" w:rsidRPr="0063119B">
        <w:rPr>
          <w:rFonts w:eastAsia="MS Mincho"/>
          <w:bCs/>
          <w:szCs w:val="22"/>
          <w:lang w:eastAsia="ja-JP"/>
        </w:rPr>
        <w:t>RR</w:t>
      </w:r>
      <w:r w:rsidRPr="0063119B">
        <w:rPr>
          <w:rFonts w:eastAsia="MS Mincho"/>
          <w:bCs/>
          <w:szCs w:val="22"/>
          <w:lang w:eastAsia="ja-JP"/>
        </w:rPr>
        <w:t xml:space="preserve"> com rivaroxabano versus varfarina foi de 0,642 (IC 95%: 0,277 </w:t>
      </w:r>
      <w:r w:rsidR="00377739" w:rsidRPr="0063119B">
        <w:rPr>
          <w:rFonts w:eastAsia="MS Mincho"/>
          <w:bCs/>
          <w:szCs w:val="22"/>
          <w:lang w:eastAsia="ja-JP"/>
        </w:rPr>
        <w:t>-</w:t>
      </w:r>
      <w:r w:rsidRPr="0063119B">
        <w:rPr>
          <w:rFonts w:eastAsia="MS Mincho"/>
          <w:bCs/>
          <w:szCs w:val="22"/>
          <w:lang w:eastAsia="ja-JP"/>
        </w:rPr>
        <w:t xml:space="preserve"> 1,484).</w:t>
      </w:r>
    </w:p>
    <w:p w14:paraId="28312353" w14:textId="77777777" w:rsidR="004A3877" w:rsidRPr="0063119B" w:rsidRDefault="004A3877" w:rsidP="004A3877">
      <w:pPr>
        <w:autoSpaceDE w:val="0"/>
        <w:autoSpaceDN w:val="0"/>
        <w:adjustRightInd w:val="0"/>
        <w:rPr>
          <w:rFonts w:eastAsia="MS Mincho"/>
          <w:bCs/>
          <w:szCs w:val="22"/>
          <w:lang w:eastAsia="ja-JP"/>
        </w:rPr>
      </w:pPr>
    </w:p>
    <w:p w14:paraId="0024EA4B" w14:textId="77777777" w:rsidR="004A3877" w:rsidRPr="0063119B" w:rsidRDefault="004A3877" w:rsidP="004A3877">
      <w:pPr>
        <w:rPr>
          <w:szCs w:val="22"/>
        </w:rPr>
      </w:pPr>
      <w:r w:rsidRPr="0063119B">
        <w:rPr>
          <w:szCs w:val="22"/>
        </w:rPr>
        <w:t xml:space="preserve">As taxas de incidência do objetivo primário de segurança (acontecimentos hemorrágicos principais e não principais clinicamente relevantes) foram ligeiramente inferiores no grupo de tratamento do rivaroxabano (10,3% (249/2412)) do que no grupo de tratamento enoxaparina/AVK (11,4% (274/2405)). A incidência do objetivo secundário de segurança (acontecimentos hemorrágicos principais) foi inferior no grupo do rivaroxabano (1,1% (26/2412)) do que no grupo de tratamento enoxaparina/AVK (2,2% (52/2405)) com uma </w:t>
      </w:r>
      <w:r w:rsidR="00A407A9" w:rsidRPr="0063119B">
        <w:rPr>
          <w:szCs w:val="22"/>
        </w:rPr>
        <w:t>RR</w:t>
      </w:r>
      <w:r w:rsidRPr="0063119B">
        <w:rPr>
          <w:szCs w:val="22"/>
        </w:rPr>
        <w:t xml:space="preserve"> de 0,493 </w:t>
      </w:r>
      <w:r w:rsidRPr="0063119B">
        <w:rPr>
          <w:rFonts w:eastAsia="MS Mincho"/>
          <w:bCs/>
          <w:szCs w:val="22"/>
          <w:lang w:eastAsia="ja-JP"/>
        </w:rPr>
        <w:t xml:space="preserve">(IC 95%: 0,308 </w:t>
      </w:r>
      <w:r w:rsidR="000E46B1" w:rsidRPr="0063119B">
        <w:rPr>
          <w:rFonts w:eastAsia="MS Mincho"/>
          <w:bCs/>
          <w:szCs w:val="22"/>
          <w:lang w:eastAsia="ja-JP"/>
        </w:rPr>
        <w:t>-</w:t>
      </w:r>
      <w:r w:rsidRPr="0063119B">
        <w:rPr>
          <w:rFonts w:eastAsia="MS Mincho"/>
          <w:bCs/>
          <w:szCs w:val="22"/>
          <w:lang w:eastAsia="ja-JP"/>
        </w:rPr>
        <w:t xml:space="preserve"> 0,789).</w:t>
      </w:r>
    </w:p>
    <w:p w14:paraId="233CE922" w14:textId="77777777" w:rsidR="004A3877" w:rsidRPr="0063119B" w:rsidRDefault="004A3877" w:rsidP="004A3877">
      <w:pPr>
        <w:pStyle w:val="Default"/>
        <w:rPr>
          <w:color w:val="auto"/>
          <w:sz w:val="22"/>
          <w:szCs w:val="22"/>
          <w:lang w:val="pt-PT"/>
        </w:rPr>
      </w:pPr>
    </w:p>
    <w:p w14:paraId="72C8856E" w14:textId="77777777" w:rsidR="004A3877" w:rsidRPr="0063119B" w:rsidRDefault="004A3877" w:rsidP="003345A8">
      <w:pPr>
        <w:pStyle w:val="Default"/>
        <w:keepNext/>
        <w:keepLines/>
        <w:pageBreakBefore/>
        <w:rPr>
          <w:b/>
          <w:color w:val="auto"/>
          <w:sz w:val="22"/>
          <w:szCs w:val="22"/>
          <w:lang w:val="pt-PT"/>
        </w:rPr>
      </w:pPr>
      <w:r w:rsidRPr="0063119B">
        <w:rPr>
          <w:b/>
          <w:color w:val="auto"/>
          <w:sz w:val="22"/>
          <w:szCs w:val="22"/>
          <w:lang w:val="pt-PT"/>
        </w:rPr>
        <w:lastRenderedPageBreak/>
        <w:t>Quadro 6: Resultados de eficácia e segurança do estudo de fase III Einstein PE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20"/>
        <w:gridCol w:w="230"/>
      </w:tblGrid>
      <w:tr w:rsidR="004A3877" w:rsidRPr="0063119B" w14:paraId="5AC58261" w14:textId="77777777" w:rsidTr="00B52F36">
        <w:tc>
          <w:tcPr>
            <w:tcW w:w="3360" w:type="dxa"/>
          </w:tcPr>
          <w:p w14:paraId="11B3D183" w14:textId="77777777" w:rsidR="004A3877" w:rsidRPr="0063119B" w:rsidRDefault="004A3877" w:rsidP="00B52F36">
            <w:pPr>
              <w:keepNext/>
              <w:keepLines/>
              <w:rPr>
                <w:b/>
                <w:bCs/>
                <w:szCs w:val="22"/>
              </w:rPr>
            </w:pPr>
            <w:r w:rsidRPr="0063119B">
              <w:rPr>
                <w:b/>
                <w:bCs/>
                <w:szCs w:val="22"/>
              </w:rPr>
              <w:t>População do estudo</w:t>
            </w:r>
          </w:p>
        </w:tc>
        <w:tc>
          <w:tcPr>
            <w:tcW w:w="6000" w:type="dxa"/>
            <w:gridSpan w:val="3"/>
          </w:tcPr>
          <w:p w14:paraId="3A794E81" w14:textId="77777777" w:rsidR="004A3877" w:rsidRPr="0063119B" w:rsidRDefault="004A3877" w:rsidP="00B52F36">
            <w:pPr>
              <w:keepNext/>
              <w:keepLines/>
              <w:rPr>
                <w:b/>
                <w:bCs/>
                <w:szCs w:val="22"/>
              </w:rPr>
            </w:pPr>
            <w:r w:rsidRPr="0063119B">
              <w:rPr>
                <w:b/>
                <w:bCs/>
                <w:szCs w:val="22"/>
              </w:rPr>
              <w:t>4.832 doentes com EP sintomático agudo</w:t>
            </w:r>
          </w:p>
        </w:tc>
      </w:tr>
      <w:tr w:rsidR="004A3877" w:rsidRPr="0063119B" w14:paraId="278F45F9" w14:textId="77777777" w:rsidTr="00B52F36">
        <w:tc>
          <w:tcPr>
            <w:tcW w:w="3360" w:type="dxa"/>
            <w:vAlign w:val="center"/>
          </w:tcPr>
          <w:p w14:paraId="6627A312" w14:textId="77777777" w:rsidR="004A3877" w:rsidRPr="0063119B" w:rsidRDefault="004A3877" w:rsidP="00B52F36">
            <w:pPr>
              <w:keepNext/>
              <w:keepLines/>
              <w:spacing w:line="260" w:lineRule="exact"/>
              <w:rPr>
                <w:b/>
                <w:bCs/>
                <w:szCs w:val="22"/>
              </w:rPr>
            </w:pPr>
            <w:r w:rsidRPr="0063119B">
              <w:rPr>
                <w:b/>
                <w:bCs/>
                <w:szCs w:val="22"/>
              </w:rPr>
              <w:t>Doses e duração do tratamento</w:t>
            </w:r>
          </w:p>
        </w:tc>
        <w:tc>
          <w:tcPr>
            <w:tcW w:w="3120" w:type="dxa"/>
          </w:tcPr>
          <w:p w14:paraId="19A7CF98" w14:textId="77777777" w:rsidR="004A3877" w:rsidRPr="0063119B" w:rsidRDefault="004C32BA" w:rsidP="00B52F36">
            <w:pPr>
              <w:keepNext/>
              <w:keepLines/>
              <w:spacing w:line="260" w:lineRule="exact"/>
              <w:rPr>
                <w:b/>
                <w:bCs/>
                <w:szCs w:val="22"/>
                <w:vertAlign w:val="superscript"/>
              </w:rPr>
            </w:pPr>
            <w:r w:rsidRPr="0063119B">
              <w:rPr>
                <w:b/>
                <w:bCs/>
                <w:noProof/>
                <w:szCs w:val="22"/>
              </w:rPr>
              <w:t>Rivaroxabano</w:t>
            </w:r>
            <w:r w:rsidR="004A3877" w:rsidRPr="0063119B">
              <w:rPr>
                <w:b/>
                <w:bCs/>
                <w:szCs w:val="22"/>
                <w:vertAlign w:val="superscript"/>
              </w:rPr>
              <w:t>a)</w:t>
            </w:r>
          </w:p>
          <w:p w14:paraId="55D3BCD4" w14:textId="77777777" w:rsidR="004A3877" w:rsidRPr="0063119B" w:rsidRDefault="004A3877" w:rsidP="00B52F36">
            <w:pPr>
              <w:keepNext/>
              <w:keepLines/>
              <w:spacing w:line="260" w:lineRule="exact"/>
              <w:rPr>
                <w:b/>
                <w:bCs/>
                <w:szCs w:val="22"/>
              </w:rPr>
            </w:pPr>
            <w:r w:rsidRPr="0063119B">
              <w:rPr>
                <w:b/>
                <w:bCs/>
                <w:szCs w:val="22"/>
              </w:rPr>
              <w:t>3, 6 ou 12 meses</w:t>
            </w:r>
          </w:p>
          <w:p w14:paraId="36FFFD37" w14:textId="77777777" w:rsidR="004A3877" w:rsidRPr="0063119B" w:rsidRDefault="004A3877" w:rsidP="00B52F36">
            <w:pPr>
              <w:keepNext/>
              <w:keepLines/>
              <w:spacing w:line="260" w:lineRule="exact"/>
              <w:rPr>
                <w:b/>
                <w:bCs/>
                <w:szCs w:val="22"/>
              </w:rPr>
            </w:pPr>
            <w:r w:rsidRPr="0063119B">
              <w:rPr>
                <w:b/>
                <w:bCs/>
                <w:szCs w:val="22"/>
              </w:rPr>
              <w:t>N=2.419</w:t>
            </w:r>
          </w:p>
        </w:tc>
        <w:tc>
          <w:tcPr>
            <w:tcW w:w="2880" w:type="dxa"/>
            <w:gridSpan w:val="2"/>
          </w:tcPr>
          <w:p w14:paraId="15A1E58C" w14:textId="77777777" w:rsidR="004A3877" w:rsidRPr="0063119B" w:rsidRDefault="004A3877" w:rsidP="00B52F36">
            <w:pPr>
              <w:keepNext/>
              <w:keepLines/>
              <w:spacing w:line="260" w:lineRule="exact"/>
              <w:rPr>
                <w:b/>
                <w:bCs/>
                <w:szCs w:val="22"/>
              </w:rPr>
            </w:pPr>
            <w:r w:rsidRPr="0063119B">
              <w:rPr>
                <w:b/>
                <w:bCs/>
                <w:szCs w:val="22"/>
              </w:rPr>
              <w:t>Enoxaparina/AVK</w:t>
            </w:r>
            <w:r w:rsidRPr="0063119B">
              <w:rPr>
                <w:b/>
                <w:bCs/>
                <w:szCs w:val="22"/>
                <w:vertAlign w:val="superscript"/>
              </w:rPr>
              <w:t>b)</w:t>
            </w:r>
          </w:p>
          <w:p w14:paraId="7EEFF908" w14:textId="77777777" w:rsidR="004A3877" w:rsidRPr="0063119B" w:rsidRDefault="004A3877" w:rsidP="00B52F36">
            <w:pPr>
              <w:keepNext/>
              <w:keepLines/>
              <w:spacing w:line="260" w:lineRule="exact"/>
              <w:rPr>
                <w:b/>
                <w:bCs/>
                <w:szCs w:val="22"/>
              </w:rPr>
            </w:pPr>
            <w:r w:rsidRPr="0063119B">
              <w:rPr>
                <w:b/>
                <w:bCs/>
                <w:szCs w:val="22"/>
              </w:rPr>
              <w:t>3, 6 ou 12 meses</w:t>
            </w:r>
          </w:p>
          <w:p w14:paraId="5731AB8E" w14:textId="77777777" w:rsidR="004A3877" w:rsidRPr="0063119B" w:rsidRDefault="004A3877" w:rsidP="00B52F36">
            <w:pPr>
              <w:keepNext/>
              <w:keepLines/>
              <w:spacing w:line="260" w:lineRule="exact"/>
              <w:rPr>
                <w:b/>
                <w:bCs/>
                <w:szCs w:val="22"/>
              </w:rPr>
            </w:pPr>
            <w:r w:rsidRPr="0063119B">
              <w:rPr>
                <w:b/>
                <w:bCs/>
                <w:szCs w:val="22"/>
              </w:rPr>
              <w:t>N=2.413</w:t>
            </w:r>
          </w:p>
        </w:tc>
      </w:tr>
      <w:tr w:rsidR="004A3877" w:rsidRPr="0063119B" w14:paraId="75D203FD" w14:textId="77777777" w:rsidTr="00B52F36">
        <w:tc>
          <w:tcPr>
            <w:tcW w:w="3360" w:type="dxa"/>
          </w:tcPr>
          <w:p w14:paraId="3E7C1DB3" w14:textId="77777777" w:rsidR="004A3877" w:rsidRPr="0063119B" w:rsidRDefault="004A3877" w:rsidP="00B52F36">
            <w:pPr>
              <w:spacing w:line="260" w:lineRule="exact"/>
              <w:rPr>
                <w:szCs w:val="22"/>
              </w:rPr>
            </w:pPr>
            <w:r w:rsidRPr="0063119B">
              <w:rPr>
                <w:szCs w:val="22"/>
              </w:rPr>
              <w:t>TEV sintomático recorrente*</w:t>
            </w:r>
          </w:p>
        </w:tc>
        <w:tc>
          <w:tcPr>
            <w:tcW w:w="3120" w:type="dxa"/>
          </w:tcPr>
          <w:p w14:paraId="3A8C375E" w14:textId="77777777" w:rsidR="004A3877" w:rsidRPr="0063119B" w:rsidRDefault="004A3877" w:rsidP="00B52F36">
            <w:pPr>
              <w:spacing w:line="260" w:lineRule="exact"/>
              <w:rPr>
                <w:szCs w:val="22"/>
              </w:rPr>
            </w:pPr>
            <w:r w:rsidRPr="0063119B">
              <w:rPr>
                <w:szCs w:val="22"/>
              </w:rPr>
              <w:t>50</w:t>
            </w:r>
            <w:r w:rsidRPr="0063119B">
              <w:rPr>
                <w:szCs w:val="22"/>
              </w:rPr>
              <w:br/>
              <w:t>(2,1%)</w:t>
            </w:r>
          </w:p>
        </w:tc>
        <w:tc>
          <w:tcPr>
            <w:tcW w:w="2880" w:type="dxa"/>
            <w:gridSpan w:val="2"/>
          </w:tcPr>
          <w:p w14:paraId="3034D4BC" w14:textId="77777777" w:rsidR="004A3877" w:rsidRPr="0063119B" w:rsidRDefault="004A3877" w:rsidP="00B52F36">
            <w:pPr>
              <w:spacing w:line="260" w:lineRule="exact"/>
              <w:rPr>
                <w:szCs w:val="22"/>
              </w:rPr>
            </w:pPr>
            <w:r w:rsidRPr="0063119B">
              <w:rPr>
                <w:szCs w:val="22"/>
              </w:rPr>
              <w:t>44</w:t>
            </w:r>
            <w:r w:rsidRPr="0063119B">
              <w:rPr>
                <w:szCs w:val="22"/>
              </w:rPr>
              <w:br/>
              <w:t>(1,8%)</w:t>
            </w:r>
          </w:p>
        </w:tc>
      </w:tr>
      <w:tr w:rsidR="004A3877" w:rsidRPr="0063119B" w14:paraId="513DAE03" w14:textId="77777777" w:rsidTr="00B52F36">
        <w:tc>
          <w:tcPr>
            <w:tcW w:w="3360" w:type="dxa"/>
          </w:tcPr>
          <w:p w14:paraId="14EFFCFF" w14:textId="77777777" w:rsidR="004A3877" w:rsidRPr="0063119B" w:rsidRDefault="004A3877" w:rsidP="00B52F36">
            <w:pPr>
              <w:spacing w:line="260" w:lineRule="exact"/>
              <w:rPr>
                <w:szCs w:val="22"/>
              </w:rPr>
            </w:pPr>
            <w:r w:rsidRPr="0063119B">
              <w:rPr>
                <w:szCs w:val="22"/>
              </w:rPr>
              <w:t xml:space="preserve">    EP sintomático recorrente</w:t>
            </w:r>
          </w:p>
        </w:tc>
        <w:tc>
          <w:tcPr>
            <w:tcW w:w="3120" w:type="dxa"/>
          </w:tcPr>
          <w:p w14:paraId="55C96E52" w14:textId="77777777" w:rsidR="004A3877" w:rsidRPr="0063119B" w:rsidRDefault="004A3877" w:rsidP="00B52F36">
            <w:pPr>
              <w:spacing w:line="260" w:lineRule="exact"/>
              <w:rPr>
                <w:szCs w:val="22"/>
              </w:rPr>
            </w:pPr>
            <w:r w:rsidRPr="0063119B">
              <w:rPr>
                <w:szCs w:val="22"/>
              </w:rPr>
              <w:t>23</w:t>
            </w:r>
            <w:r w:rsidRPr="0063119B">
              <w:rPr>
                <w:szCs w:val="22"/>
              </w:rPr>
              <w:br/>
              <w:t>(1,0%)</w:t>
            </w:r>
          </w:p>
        </w:tc>
        <w:tc>
          <w:tcPr>
            <w:tcW w:w="2880" w:type="dxa"/>
            <w:gridSpan w:val="2"/>
          </w:tcPr>
          <w:p w14:paraId="2B9A15A9" w14:textId="77777777" w:rsidR="004A3877" w:rsidRPr="0063119B" w:rsidRDefault="004A3877" w:rsidP="00B52F36">
            <w:pPr>
              <w:spacing w:line="260" w:lineRule="exact"/>
              <w:rPr>
                <w:szCs w:val="22"/>
              </w:rPr>
            </w:pPr>
            <w:r w:rsidRPr="0063119B">
              <w:rPr>
                <w:szCs w:val="22"/>
              </w:rPr>
              <w:t>20</w:t>
            </w:r>
            <w:r w:rsidRPr="0063119B">
              <w:rPr>
                <w:szCs w:val="22"/>
              </w:rPr>
              <w:br/>
              <w:t>(0,8%)</w:t>
            </w:r>
          </w:p>
        </w:tc>
      </w:tr>
      <w:tr w:rsidR="004A3877" w:rsidRPr="0063119B" w14:paraId="351A1104" w14:textId="77777777" w:rsidTr="00B52F36">
        <w:tc>
          <w:tcPr>
            <w:tcW w:w="3360" w:type="dxa"/>
          </w:tcPr>
          <w:p w14:paraId="46499D14" w14:textId="77777777" w:rsidR="004A3877" w:rsidRPr="0063119B" w:rsidRDefault="004A3877" w:rsidP="00B52F36">
            <w:pPr>
              <w:spacing w:line="260" w:lineRule="exact"/>
              <w:rPr>
                <w:szCs w:val="22"/>
              </w:rPr>
            </w:pPr>
            <w:r w:rsidRPr="0063119B">
              <w:rPr>
                <w:szCs w:val="22"/>
              </w:rPr>
              <w:t xml:space="preserve">    TVP sintomática recorrente</w:t>
            </w:r>
          </w:p>
        </w:tc>
        <w:tc>
          <w:tcPr>
            <w:tcW w:w="3120" w:type="dxa"/>
          </w:tcPr>
          <w:p w14:paraId="111BE900" w14:textId="77777777" w:rsidR="004A3877" w:rsidRPr="0063119B" w:rsidRDefault="004A3877" w:rsidP="00B52F36">
            <w:pPr>
              <w:spacing w:line="260" w:lineRule="exact"/>
              <w:rPr>
                <w:szCs w:val="22"/>
              </w:rPr>
            </w:pPr>
            <w:r w:rsidRPr="0063119B">
              <w:rPr>
                <w:szCs w:val="22"/>
              </w:rPr>
              <w:t>18</w:t>
            </w:r>
            <w:r w:rsidRPr="0063119B">
              <w:rPr>
                <w:szCs w:val="22"/>
              </w:rPr>
              <w:br/>
              <w:t>(0,7%)</w:t>
            </w:r>
          </w:p>
        </w:tc>
        <w:tc>
          <w:tcPr>
            <w:tcW w:w="2880" w:type="dxa"/>
            <w:gridSpan w:val="2"/>
          </w:tcPr>
          <w:p w14:paraId="76C66B94" w14:textId="77777777" w:rsidR="004A3877" w:rsidRPr="0063119B" w:rsidRDefault="004A3877" w:rsidP="00B52F36">
            <w:pPr>
              <w:spacing w:line="260" w:lineRule="exact"/>
              <w:rPr>
                <w:szCs w:val="22"/>
              </w:rPr>
            </w:pPr>
            <w:r w:rsidRPr="0063119B">
              <w:rPr>
                <w:szCs w:val="22"/>
              </w:rPr>
              <w:t>17</w:t>
            </w:r>
            <w:r w:rsidRPr="0063119B">
              <w:rPr>
                <w:szCs w:val="22"/>
              </w:rPr>
              <w:br/>
              <w:t>(0,7%)</w:t>
            </w:r>
          </w:p>
        </w:tc>
      </w:tr>
      <w:tr w:rsidR="004A3877" w:rsidRPr="0063119B" w14:paraId="218697B7" w14:textId="77777777" w:rsidTr="00B52F36">
        <w:tc>
          <w:tcPr>
            <w:tcW w:w="3360" w:type="dxa"/>
          </w:tcPr>
          <w:p w14:paraId="440B90DB" w14:textId="77777777" w:rsidR="004A3877" w:rsidRPr="0063119B" w:rsidRDefault="004A3877" w:rsidP="00B52F36">
            <w:pPr>
              <w:spacing w:line="260" w:lineRule="exact"/>
              <w:rPr>
                <w:szCs w:val="22"/>
              </w:rPr>
            </w:pPr>
            <w:r w:rsidRPr="0063119B">
              <w:rPr>
                <w:szCs w:val="22"/>
              </w:rPr>
              <w:t xml:space="preserve">    EP e TVP sintomáticos</w:t>
            </w:r>
          </w:p>
        </w:tc>
        <w:tc>
          <w:tcPr>
            <w:tcW w:w="3120" w:type="dxa"/>
          </w:tcPr>
          <w:p w14:paraId="0AC10990" w14:textId="77777777" w:rsidR="004A3877" w:rsidRPr="0063119B" w:rsidRDefault="004A3877" w:rsidP="00B52F36">
            <w:pPr>
              <w:spacing w:line="260" w:lineRule="exact"/>
              <w:rPr>
                <w:szCs w:val="22"/>
              </w:rPr>
            </w:pPr>
            <w:r w:rsidRPr="0063119B">
              <w:rPr>
                <w:szCs w:val="22"/>
              </w:rPr>
              <w:t>0</w:t>
            </w:r>
          </w:p>
          <w:p w14:paraId="2A989149" w14:textId="77777777" w:rsidR="004A3877" w:rsidRPr="0063119B" w:rsidRDefault="004A3877" w:rsidP="00B52F36">
            <w:pPr>
              <w:spacing w:line="260" w:lineRule="exact"/>
              <w:rPr>
                <w:szCs w:val="22"/>
              </w:rPr>
            </w:pPr>
          </w:p>
        </w:tc>
        <w:tc>
          <w:tcPr>
            <w:tcW w:w="2880" w:type="dxa"/>
            <w:gridSpan w:val="2"/>
          </w:tcPr>
          <w:p w14:paraId="3A0A6B4C" w14:textId="77777777" w:rsidR="004A3877" w:rsidRPr="0063119B" w:rsidRDefault="004A3877" w:rsidP="00B52F36">
            <w:pPr>
              <w:spacing w:line="260" w:lineRule="exact"/>
              <w:rPr>
                <w:szCs w:val="22"/>
              </w:rPr>
            </w:pPr>
            <w:r w:rsidRPr="0063119B">
              <w:rPr>
                <w:szCs w:val="22"/>
              </w:rPr>
              <w:t>2</w:t>
            </w:r>
          </w:p>
          <w:p w14:paraId="3CC30AEA" w14:textId="77777777" w:rsidR="004A3877" w:rsidRPr="0063119B" w:rsidRDefault="004A3877" w:rsidP="00B52F36">
            <w:pPr>
              <w:spacing w:line="260" w:lineRule="exact"/>
              <w:rPr>
                <w:szCs w:val="22"/>
              </w:rPr>
            </w:pPr>
            <w:r w:rsidRPr="0063119B">
              <w:rPr>
                <w:szCs w:val="22"/>
              </w:rPr>
              <w:t>(&lt;0,1%)</w:t>
            </w:r>
          </w:p>
        </w:tc>
      </w:tr>
      <w:tr w:rsidR="004A3877" w:rsidRPr="0063119B" w14:paraId="4292975D" w14:textId="77777777" w:rsidTr="00B52F36">
        <w:tc>
          <w:tcPr>
            <w:tcW w:w="3360" w:type="dxa"/>
          </w:tcPr>
          <w:p w14:paraId="4376FFC0" w14:textId="77777777" w:rsidR="004A3877" w:rsidRPr="0063119B" w:rsidRDefault="004A3877" w:rsidP="00B52F36">
            <w:pPr>
              <w:spacing w:line="260" w:lineRule="exact"/>
              <w:ind w:left="284" w:hanging="34"/>
              <w:rPr>
                <w:szCs w:val="22"/>
              </w:rPr>
            </w:pPr>
            <w:r w:rsidRPr="0063119B">
              <w:rPr>
                <w:szCs w:val="22"/>
              </w:rPr>
              <w:t>EP fatal/</w:t>
            </w:r>
            <w:r w:rsidR="00A407A9" w:rsidRPr="0063119B">
              <w:rPr>
                <w:szCs w:val="22"/>
              </w:rPr>
              <w:t>m</w:t>
            </w:r>
            <w:r w:rsidRPr="0063119B">
              <w:rPr>
                <w:szCs w:val="22"/>
              </w:rPr>
              <w:t>orte na qual não se pode excluir EP</w:t>
            </w:r>
          </w:p>
        </w:tc>
        <w:tc>
          <w:tcPr>
            <w:tcW w:w="3120" w:type="dxa"/>
          </w:tcPr>
          <w:p w14:paraId="473E5266" w14:textId="77777777" w:rsidR="004A3877" w:rsidRPr="0063119B" w:rsidRDefault="004A3877" w:rsidP="00B52F36">
            <w:pPr>
              <w:spacing w:line="260" w:lineRule="exact"/>
              <w:rPr>
                <w:szCs w:val="22"/>
              </w:rPr>
            </w:pPr>
            <w:r w:rsidRPr="0063119B">
              <w:rPr>
                <w:szCs w:val="22"/>
              </w:rPr>
              <w:t>11</w:t>
            </w:r>
            <w:r w:rsidRPr="0063119B">
              <w:rPr>
                <w:szCs w:val="22"/>
              </w:rPr>
              <w:br/>
              <w:t>(0,5%)</w:t>
            </w:r>
          </w:p>
        </w:tc>
        <w:tc>
          <w:tcPr>
            <w:tcW w:w="2880" w:type="dxa"/>
            <w:gridSpan w:val="2"/>
          </w:tcPr>
          <w:p w14:paraId="3CEBF13D" w14:textId="77777777" w:rsidR="004A3877" w:rsidRPr="0063119B" w:rsidRDefault="004A3877" w:rsidP="00B52F36">
            <w:pPr>
              <w:spacing w:line="260" w:lineRule="exact"/>
              <w:rPr>
                <w:szCs w:val="22"/>
              </w:rPr>
            </w:pPr>
            <w:r w:rsidRPr="0063119B">
              <w:rPr>
                <w:szCs w:val="22"/>
              </w:rPr>
              <w:t>7</w:t>
            </w:r>
            <w:r w:rsidRPr="0063119B">
              <w:rPr>
                <w:szCs w:val="22"/>
              </w:rPr>
              <w:br/>
              <w:t>(0,3%)</w:t>
            </w:r>
          </w:p>
        </w:tc>
      </w:tr>
      <w:tr w:rsidR="004A3877" w:rsidRPr="0063119B" w14:paraId="158F9996" w14:textId="77777777" w:rsidTr="00B52F36">
        <w:tc>
          <w:tcPr>
            <w:tcW w:w="3360" w:type="dxa"/>
          </w:tcPr>
          <w:p w14:paraId="0CC59B56" w14:textId="77777777" w:rsidR="004A3877" w:rsidRPr="0063119B" w:rsidRDefault="004A3877" w:rsidP="00B52F36">
            <w:pPr>
              <w:spacing w:line="260" w:lineRule="exact"/>
              <w:rPr>
                <w:szCs w:val="22"/>
              </w:rPr>
            </w:pPr>
            <w:r w:rsidRPr="0063119B">
              <w:rPr>
                <w:szCs w:val="22"/>
              </w:rPr>
              <w:t>Hemorragia principal ou não principal clinicamente relevante</w:t>
            </w:r>
          </w:p>
        </w:tc>
        <w:tc>
          <w:tcPr>
            <w:tcW w:w="3120" w:type="dxa"/>
          </w:tcPr>
          <w:p w14:paraId="13E4EFD6" w14:textId="77777777" w:rsidR="004A3877" w:rsidRPr="0063119B" w:rsidRDefault="004A3877" w:rsidP="00B52F36">
            <w:pPr>
              <w:spacing w:line="260" w:lineRule="exact"/>
              <w:rPr>
                <w:szCs w:val="22"/>
              </w:rPr>
            </w:pPr>
            <w:r w:rsidRPr="0063119B">
              <w:rPr>
                <w:szCs w:val="22"/>
              </w:rPr>
              <w:t>249</w:t>
            </w:r>
            <w:r w:rsidRPr="0063119B">
              <w:rPr>
                <w:szCs w:val="22"/>
              </w:rPr>
              <w:br/>
              <w:t>(10,3%)</w:t>
            </w:r>
          </w:p>
        </w:tc>
        <w:tc>
          <w:tcPr>
            <w:tcW w:w="2880" w:type="dxa"/>
            <w:gridSpan w:val="2"/>
          </w:tcPr>
          <w:p w14:paraId="50D1A40E" w14:textId="77777777" w:rsidR="004A3877" w:rsidRPr="0063119B" w:rsidRDefault="004A3877" w:rsidP="00B52F36">
            <w:pPr>
              <w:spacing w:line="260" w:lineRule="exact"/>
              <w:rPr>
                <w:szCs w:val="22"/>
              </w:rPr>
            </w:pPr>
            <w:r w:rsidRPr="0063119B">
              <w:rPr>
                <w:szCs w:val="22"/>
              </w:rPr>
              <w:t>274</w:t>
            </w:r>
            <w:r w:rsidRPr="0063119B">
              <w:rPr>
                <w:szCs w:val="22"/>
              </w:rPr>
              <w:br/>
              <w:t>(11,4%)</w:t>
            </w:r>
          </w:p>
        </w:tc>
      </w:tr>
      <w:tr w:rsidR="004A3877" w:rsidRPr="0063119B" w14:paraId="785C4C10" w14:textId="77777777" w:rsidTr="00B52F36">
        <w:tc>
          <w:tcPr>
            <w:tcW w:w="3360" w:type="dxa"/>
          </w:tcPr>
          <w:p w14:paraId="4103C391" w14:textId="77777777" w:rsidR="004A3877" w:rsidRPr="0063119B" w:rsidRDefault="004A3877" w:rsidP="00B52F36">
            <w:pPr>
              <w:spacing w:line="260" w:lineRule="exact"/>
              <w:rPr>
                <w:szCs w:val="22"/>
              </w:rPr>
            </w:pPr>
            <w:r w:rsidRPr="0063119B">
              <w:rPr>
                <w:szCs w:val="22"/>
              </w:rPr>
              <w:t>Acontecimentos hemorrágicos principais</w:t>
            </w:r>
          </w:p>
        </w:tc>
        <w:tc>
          <w:tcPr>
            <w:tcW w:w="3120" w:type="dxa"/>
          </w:tcPr>
          <w:p w14:paraId="487274BB" w14:textId="77777777" w:rsidR="004A3877" w:rsidRPr="0063119B" w:rsidRDefault="004A3877" w:rsidP="00B52F36">
            <w:pPr>
              <w:spacing w:line="260" w:lineRule="exact"/>
              <w:rPr>
                <w:szCs w:val="22"/>
              </w:rPr>
            </w:pPr>
            <w:r w:rsidRPr="0063119B">
              <w:rPr>
                <w:szCs w:val="22"/>
              </w:rPr>
              <w:t>26</w:t>
            </w:r>
            <w:r w:rsidRPr="0063119B">
              <w:rPr>
                <w:szCs w:val="22"/>
              </w:rPr>
              <w:br/>
              <w:t>(1,1%)</w:t>
            </w:r>
          </w:p>
        </w:tc>
        <w:tc>
          <w:tcPr>
            <w:tcW w:w="2880" w:type="dxa"/>
            <w:gridSpan w:val="2"/>
          </w:tcPr>
          <w:p w14:paraId="69F508B7" w14:textId="77777777" w:rsidR="004A3877" w:rsidRPr="0063119B" w:rsidRDefault="004A3877" w:rsidP="00B52F36">
            <w:pPr>
              <w:spacing w:line="260" w:lineRule="exact"/>
              <w:rPr>
                <w:szCs w:val="22"/>
              </w:rPr>
            </w:pPr>
            <w:r w:rsidRPr="0063119B">
              <w:rPr>
                <w:szCs w:val="22"/>
              </w:rPr>
              <w:t>52</w:t>
            </w:r>
            <w:r w:rsidRPr="0063119B">
              <w:rPr>
                <w:szCs w:val="22"/>
              </w:rPr>
              <w:br/>
              <w:t>(2,2%)</w:t>
            </w:r>
          </w:p>
        </w:tc>
      </w:tr>
      <w:tr w:rsidR="004A3877" w:rsidRPr="0063119B" w14:paraId="532D8506" w14:textId="77777777" w:rsidTr="00B52F36">
        <w:trPr>
          <w:gridAfter w:val="1"/>
          <w:wAfter w:w="230" w:type="dxa"/>
        </w:trPr>
        <w:tc>
          <w:tcPr>
            <w:tcW w:w="9200" w:type="dxa"/>
            <w:gridSpan w:val="3"/>
            <w:tcBorders>
              <w:top w:val="nil"/>
              <w:left w:val="nil"/>
              <w:bottom w:val="nil"/>
              <w:right w:val="nil"/>
            </w:tcBorders>
          </w:tcPr>
          <w:p w14:paraId="07DEFE1F" w14:textId="77777777" w:rsidR="004A3877" w:rsidRPr="0063119B" w:rsidRDefault="004A3877" w:rsidP="00B52F36">
            <w:pPr>
              <w:tabs>
                <w:tab w:val="left" w:pos="567"/>
              </w:tabs>
              <w:rPr>
                <w:szCs w:val="22"/>
              </w:rPr>
            </w:pPr>
            <w:r w:rsidRPr="0063119B">
              <w:rPr>
                <w:szCs w:val="22"/>
              </w:rPr>
              <w:t>a)</w:t>
            </w:r>
            <w:r w:rsidRPr="0063119B">
              <w:rPr>
                <w:szCs w:val="22"/>
              </w:rPr>
              <w:tab/>
              <w:t>Rivaroxabano 15 mg duas vezes por dia durante 3 semanas seguido de 20 mg uma vez por dia</w:t>
            </w:r>
          </w:p>
          <w:p w14:paraId="10C7ABEE" w14:textId="77777777" w:rsidR="004A3877" w:rsidRPr="0063119B" w:rsidRDefault="004A3877" w:rsidP="00B52F36">
            <w:pPr>
              <w:tabs>
                <w:tab w:val="left" w:pos="567"/>
              </w:tabs>
              <w:ind w:left="567" w:hanging="567"/>
              <w:rPr>
                <w:szCs w:val="22"/>
              </w:rPr>
            </w:pPr>
            <w:r w:rsidRPr="0063119B">
              <w:rPr>
                <w:szCs w:val="22"/>
              </w:rPr>
              <w:t>b)</w:t>
            </w:r>
            <w:r w:rsidRPr="0063119B">
              <w:rPr>
                <w:szCs w:val="22"/>
              </w:rPr>
              <w:tab/>
              <w:t>Enoxaparina durante pelo menos 5 dias, sobreposta com e seguida de AVK</w:t>
            </w:r>
          </w:p>
          <w:p w14:paraId="571B7392" w14:textId="77777777" w:rsidR="004A3877" w:rsidRPr="0063119B" w:rsidRDefault="004A3877" w:rsidP="00A407A9">
            <w:pPr>
              <w:tabs>
                <w:tab w:val="left" w:pos="567"/>
              </w:tabs>
              <w:ind w:left="567" w:hanging="567"/>
              <w:rPr>
                <w:vanish/>
                <w:szCs w:val="22"/>
              </w:rPr>
            </w:pPr>
            <w:r w:rsidRPr="0063119B">
              <w:rPr>
                <w:b/>
                <w:szCs w:val="22"/>
              </w:rPr>
              <w:t>*</w:t>
            </w:r>
            <w:r w:rsidRPr="0063119B">
              <w:rPr>
                <w:szCs w:val="22"/>
              </w:rPr>
              <w:tab/>
              <w:t xml:space="preserve">p &lt; 0,0026 (não inferioridade para uma </w:t>
            </w:r>
            <w:r w:rsidR="00A407A9" w:rsidRPr="0063119B">
              <w:rPr>
                <w:szCs w:val="22"/>
              </w:rPr>
              <w:t>RR</w:t>
            </w:r>
            <w:r w:rsidRPr="0063119B">
              <w:rPr>
                <w:szCs w:val="22"/>
              </w:rPr>
              <w:t xml:space="preserve"> pré-especificada de 2,0); </w:t>
            </w:r>
            <w:r w:rsidR="00A407A9" w:rsidRPr="0063119B">
              <w:rPr>
                <w:szCs w:val="22"/>
              </w:rPr>
              <w:t>RR</w:t>
            </w:r>
            <w:r w:rsidRPr="0063119B">
              <w:rPr>
                <w:szCs w:val="22"/>
              </w:rPr>
              <w:t>: 1,123 (0,749 </w:t>
            </w:r>
            <w:r w:rsidRPr="0063119B">
              <w:rPr>
                <w:szCs w:val="22"/>
              </w:rPr>
              <w:noBreakHyphen/>
              <w:t> 1,624)</w:t>
            </w:r>
          </w:p>
        </w:tc>
      </w:tr>
    </w:tbl>
    <w:p w14:paraId="145520FB" w14:textId="77777777" w:rsidR="004A3877" w:rsidRPr="0063119B" w:rsidRDefault="004A3877" w:rsidP="004A3877">
      <w:pPr>
        <w:pStyle w:val="Default"/>
        <w:rPr>
          <w:color w:val="auto"/>
          <w:sz w:val="22"/>
          <w:szCs w:val="22"/>
          <w:lang w:val="pt-PT"/>
        </w:rPr>
      </w:pPr>
    </w:p>
    <w:p w14:paraId="20DF02F2" w14:textId="77777777" w:rsidR="004A3877" w:rsidRPr="0063119B" w:rsidRDefault="004A3877" w:rsidP="004A3877">
      <w:pPr>
        <w:pStyle w:val="Default"/>
        <w:keepNext/>
        <w:keepLines/>
        <w:rPr>
          <w:color w:val="auto"/>
          <w:sz w:val="22"/>
          <w:szCs w:val="22"/>
          <w:lang w:val="pt-PT"/>
        </w:rPr>
      </w:pPr>
      <w:r w:rsidRPr="0063119B">
        <w:rPr>
          <w:color w:val="auto"/>
          <w:sz w:val="22"/>
          <w:szCs w:val="22"/>
          <w:lang w:val="pt-PT"/>
        </w:rPr>
        <w:t>Foi realizada uma análise agrupada pré-especificada do resultado dos estudos Einstein DVT e PE (ver Quadro 7).</w:t>
      </w:r>
    </w:p>
    <w:p w14:paraId="2680B583" w14:textId="77777777" w:rsidR="004A3877" w:rsidRPr="0063119B" w:rsidRDefault="004A3877" w:rsidP="004A3877">
      <w:pPr>
        <w:pStyle w:val="Default"/>
        <w:keepNext/>
        <w:keepLines/>
        <w:rPr>
          <w:color w:val="auto"/>
          <w:sz w:val="22"/>
          <w:szCs w:val="22"/>
          <w:lang w:val="pt-PT"/>
        </w:rPr>
      </w:pPr>
    </w:p>
    <w:p w14:paraId="32C033E3" w14:textId="77777777" w:rsidR="004A3877" w:rsidRPr="0063119B" w:rsidRDefault="004A3877" w:rsidP="004A3877">
      <w:pPr>
        <w:pStyle w:val="Default"/>
        <w:keepNext/>
        <w:keepLines/>
        <w:rPr>
          <w:b/>
          <w:color w:val="auto"/>
          <w:sz w:val="22"/>
          <w:szCs w:val="22"/>
          <w:lang w:val="pt-PT"/>
        </w:rPr>
      </w:pPr>
      <w:r w:rsidRPr="0063119B">
        <w:rPr>
          <w:b/>
          <w:color w:val="auto"/>
          <w:sz w:val="22"/>
          <w:szCs w:val="22"/>
          <w:lang w:val="pt-PT"/>
        </w:rPr>
        <w:t>Quadro 7: Resultados de eficácia e segurança da análise agrupada do estudos de fase III Einstein DVT e Einstein PE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20"/>
        <w:gridCol w:w="230"/>
      </w:tblGrid>
      <w:tr w:rsidR="004A3877" w:rsidRPr="0063119B" w14:paraId="01D2A2A3" w14:textId="77777777" w:rsidTr="00B52F36">
        <w:tc>
          <w:tcPr>
            <w:tcW w:w="3360" w:type="dxa"/>
          </w:tcPr>
          <w:p w14:paraId="12936861" w14:textId="77777777" w:rsidR="004A3877" w:rsidRPr="0063119B" w:rsidRDefault="004A3877" w:rsidP="00B52F36">
            <w:pPr>
              <w:keepNext/>
              <w:keepLines/>
              <w:rPr>
                <w:b/>
                <w:bCs/>
                <w:szCs w:val="22"/>
              </w:rPr>
            </w:pPr>
            <w:r w:rsidRPr="0063119B">
              <w:rPr>
                <w:b/>
                <w:bCs/>
                <w:szCs w:val="22"/>
              </w:rPr>
              <w:t>População do estudo</w:t>
            </w:r>
          </w:p>
        </w:tc>
        <w:tc>
          <w:tcPr>
            <w:tcW w:w="6000" w:type="dxa"/>
            <w:gridSpan w:val="3"/>
          </w:tcPr>
          <w:p w14:paraId="3C180DB5" w14:textId="77777777" w:rsidR="004A3877" w:rsidRPr="0063119B" w:rsidRDefault="004A3877" w:rsidP="00B52F36">
            <w:pPr>
              <w:keepNext/>
              <w:keepLines/>
              <w:rPr>
                <w:b/>
                <w:bCs/>
                <w:szCs w:val="22"/>
              </w:rPr>
            </w:pPr>
            <w:r w:rsidRPr="0063119B">
              <w:rPr>
                <w:b/>
                <w:bCs/>
                <w:szCs w:val="22"/>
              </w:rPr>
              <w:t>8.281 doentes com TVP sintomática aguda ou EP</w:t>
            </w:r>
          </w:p>
        </w:tc>
      </w:tr>
      <w:tr w:rsidR="004A3877" w:rsidRPr="0063119B" w14:paraId="1AE3463C" w14:textId="77777777" w:rsidTr="00B52F36">
        <w:tc>
          <w:tcPr>
            <w:tcW w:w="3360" w:type="dxa"/>
            <w:vAlign w:val="center"/>
          </w:tcPr>
          <w:p w14:paraId="08B5FE71" w14:textId="77777777" w:rsidR="004A3877" w:rsidRPr="0063119B" w:rsidRDefault="004A3877" w:rsidP="00B52F36">
            <w:pPr>
              <w:keepNext/>
              <w:keepLines/>
              <w:spacing w:line="260" w:lineRule="exact"/>
              <w:rPr>
                <w:b/>
                <w:bCs/>
                <w:szCs w:val="22"/>
              </w:rPr>
            </w:pPr>
            <w:r w:rsidRPr="0063119B">
              <w:rPr>
                <w:b/>
                <w:bCs/>
                <w:szCs w:val="22"/>
              </w:rPr>
              <w:t>Doses e duração do tratamento</w:t>
            </w:r>
          </w:p>
        </w:tc>
        <w:tc>
          <w:tcPr>
            <w:tcW w:w="3120" w:type="dxa"/>
          </w:tcPr>
          <w:p w14:paraId="48EEE382" w14:textId="77777777" w:rsidR="004A3877" w:rsidRPr="0063119B" w:rsidRDefault="004C32BA" w:rsidP="00B52F36">
            <w:pPr>
              <w:keepNext/>
              <w:keepLines/>
              <w:spacing w:line="260" w:lineRule="exact"/>
              <w:rPr>
                <w:b/>
                <w:bCs/>
                <w:szCs w:val="22"/>
                <w:vertAlign w:val="superscript"/>
              </w:rPr>
            </w:pPr>
            <w:r w:rsidRPr="0063119B">
              <w:rPr>
                <w:b/>
                <w:bCs/>
                <w:noProof/>
                <w:szCs w:val="22"/>
              </w:rPr>
              <w:t>Rivaroxabano</w:t>
            </w:r>
            <w:r w:rsidR="004A3877" w:rsidRPr="0063119B">
              <w:rPr>
                <w:b/>
                <w:bCs/>
                <w:szCs w:val="22"/>
                <w:vertAlign w:val="superscript"/>
              </w:rPr>
              <w:t>a)</w:t>
            </w:r>
          </w:p>
          <w:p w14:paraId="0F9AD460" w14:textId="77777777" w:rsidR="004A3877" w:rsidRPr="0063119B" w:rsidRDefault="004A3877" w:rsidP="00B52F36">
            <w:pPr>
              <w:keepNext/>
              <w:keepLines/>
              <w:spacing w:line="260" w:lineRule="exact"/>
              <w:rPr>
                <w:b/>
                <w:bCs/>
                <w:szCs w:val="22"/>
              </w:rPr>
            </w:pPr>
            <w:r w:rsidRPr="0063119B">
              <w:rPr>
                <w:b/>
                <w:bCs/>
                <w:szCs w:val="22"/>
              </w:rPr>
              <w:t>3, 6 ou 12 meses</w:t>
            </w:r>
          </w:p>
          <w:p w14:paraId="41D22F7B" w14:textId="77777777" w:rsidR="004A3877" w:rsidRPr="0063119B" w:rsidRDefault="004A3877" w:rsidP="00B52F36">
            <w:pPr>
              <w:keepNext/>
              <w:keepLines/>
              <w:spacing w:line="260" w:lineRule="exact"/>
              <w:rPr>
                <w:b/>
                <w:bCs/>
                <w:szCs w:val="22"/>
              </w:rPr>
            </w:pPr>
            <w:r w:rsidRPr="0063119B">
              <w:rPr>
                <w:b/>
                <w:bCs/>
                <w:szCs w:val="22"/>
              </w:rPr>
              <w:t>N=4.150</w:t>
            </w:r>
          </w:p>
        </w:tc>
        <w:tc>
          <w:tcPr>
            <w:tcW w:w="2880" w:type="dxa"/>
            <w:gridSpan w:val="2"/>
          </w:tcPr>
          <w:p w14:paraId="37745BE6" w14:textId="77777777" w:rsidR="004A3877" w:rsidRPr="0063119B" w:rsidRDefault="004A3877" w:rsidP="00B52F36">
            <w:pPr>
              <w:keepNext/>
              <w:keepLines/>
              <w:spacing w:line="260" w:lineRule="exact"/>
              <w:rPr>
                <w:b/>
                <w:bCs/>
                <w:szCs w:val="22"/>
              </w:rPr>
            </w:pPr>
            <w:r w:rsidRPr="0063119B">
              <w:rPr>
                <w:b/>
                <w:bCs/>
                <w:szCs w:val="22"/>
              </w:rPr>
              <w:t>Enoxaparina/AVK</w:t>
            </w:r>
            <w:r w:rsidRPr="0063119B">
              <w:rPr>
                <w:b/>
                <w:bCs/>
                <w:szCs w:val="22"/>
                <w:vertAlign w:val="superscript"/>
              </w:rPr>
              <w:t>b)</w:t>
            </w:r>
          </w:p>
          <w:p w14:paraId="05F654B5" w14:textId="77777777" w:rsidR="004A3877" w:rsidRPr="0063119B" w:rsidRDefault="004A3877" w:rsidP="00B52F36">
            <w:pPr>
              <w:keepNext/>
              <w:keepLines/>
              <w:spacing w:line="260" w:lineRule="exact"/>
              <w:rPr>
                <w:b/>
                <w:bCs/>
                <w:szCs w:val="22"/>
              </w:rPr>
            </w:pPr>
            <w:r w:rsidRPr="0063119B">
              <w:rPr>
                <w:b/>
                <w:bCs/>
                <w:szCs w:val="22"/>
              </w:rPr>
              <w:t>3, 6 ou 12 meses</w:t>
            </w:r>
          </w:p>
          <w:p w14:paraId="561C6889" w14:textId="77777777" w:rsidR="004A3877" w:rsidRPr="0063119B" w:rsidRDefault="004A3877" w:rsidP="00B52F36">
            <w:pPr>
              <w:keepNext/>
              <w:keepLines/>
              <w:spacing w:line="260" w:lineRule="exact"/>
              <w:rPr>
                <w:b/>
                <w:bCs/>
                <w:szCs w:val="22"/>
              </w:rPr>
            </w:pPr>
            <w:r w:rsidRPr="0063119B">
              <w:rPr>
                <w:b/>
                <w:bCs/>
                <w:szCs w:val="22"/>
              </w:rPr>
              <w:t>N=4.131</w:t>
            </w:r>
          </w:p>
        </w:tc>
      </w:tr>
      <w:tr w:rsidR="004A3877" w:rsidRPr="0063119B" w14:paraId="7F086A03" w14:textId="77777777" w:rsidTr="00B52F36">
        <w:tc>
          <w:tcPr>
            <w:tcW w:w="3360" w:type="dxa"/>
          </w:tcPr>
          <w:p w14:paraId="1C0A25F2" w14:textId="77777777" w:rsidR="004A3877" w:rsidRPr="0063119B" w:rsidRDefault="004A3877" w:rsidP="00B52F36">
            <w:pPr>
              <w:keepNext/>
              <w:keepLines/>
              <w:spacing w:line="260" w:lineRule="exact"/>
              <w:rPr>
                <w:szCs w:val="22"/>
              </w:rPr>
            </w:pPr>
            <w:r w:rsidRPr="0063119B">
              <w:rPr>
                <w:szCs w:val="22"/>
              </w:rPr>
              <w:t>TEV sintomático recorrente*</w:t>
            </w:r>
          </w:p>
        </w:tc>
        <w:tc>
          <w:tcPr>
            <w:tcW w:w="3120" w:type="dxa"/>
          </w:tcPr>
          <w:p w14:paraId="4C5E6697" w14:textId="77777777" w:rsidR="004A3877" w:rsidRPr="0063119B" w:rsidRDefault="004A3877" w:rsidP="00B52F36">
            <w:pPr>
              <w:keepNext/>
              <w:keepLines/>
              <w:spacing w:line="260" w:lineRule="exact"/>
              <w:rPr>
                <w:szCs w:val="22"/>
              </w:rPr>
            </w:pPr>
            <w:r w:rsidRPr="0063119B">
              <w:rPr>
                <w:szCs w:val="22"/>
              </w:rPr>
              <w:t>86</w:t>
            </w:r>
            <w:r w:rsidRPr="0063119B">
              <w:rPr>
                <w:szCs w:val="22"/>
              </w:rPr>
              <w:br/>
              <w:t>(2,1%)</w:t>
            </w:r>
          </w:p>
        </w:tc>
        <w:tc>
          <w:tcPr>
            <w:tcW w:w="2880" w:type="dxa"/>
            <w:gridSpan w:val="2"/>
          </w:tcPr>
          <w:p w14:paraId="5C92991A" w14:textId="77777777" w:rsidR="004A3877" w:rsidRPr="0063119B" w:rsidRDefault="004A3877" w:rsidP="00B52F36">
            <w:pPr>
              <w:keepNext/>
              <w:keepLines/>
              <w:spacing w:line="260" w:lineRule="exact"/>
              <w:rPr>
                <w:szCs w:val="22"/>
              </w:rPr>
            </w:pPr>
            <w:r w:rsidRPr="0063119B">
              <w:rPr>
                <w:szCs w:val="22"/>
              </w:rPr>
              <w:t>95</w:t>
            </w:r>
            <w:r w:rsidRPr="0063119B">
              <w:rPr>
                <w:szCs w:val="22"/>
              </w:rPr>
              <w:br/>
              <w:t>(2,3%)</w:t>
            </w:r>
          </w:p>
        </w:tc>
      </w:tr>
      <w:tr w:rsidR="004A3877" w:rsidRPr="0063119B" w14:paraId="37DE81D8" w14:textId="77777777" w:rsidTr="00B52F36">
        <w:tc>
          <w:tcPr>
            <w:tcW w:w="3360" w:type="dxa"/>
          </w:tcPr>
          <w:p w14:paraId="00D7E0B1" w14:textId="77777777" w:rsidR="004A3877" w:rsidRPr="0063119B" w:rsidRDefault="004A3877" w:rsidP="00B52F36">
            <w:pPr>
              <w:keepNext/>
              <w:keepLines/>
              <w:spacing w:line="260" w:lineRule="exact"/>
              <w:rPr>
                <w:szCs w:val="22"/>
              </w:rPr>
            </w:pPr>
            <w:r w:rsidRPr="0063119B">
              <w:rPr>
                <w:szCs w:val="22"/>
              </w:rPr>
              <w:t xml:space="preserve">     EP sintomático recorrente</w:t>
            </w:r>
          </w:p>
        </w:tc>
        <w:tc>
          <w:tcPr>
            <w:tcW w:w="3120" w:type="dxa"/>
          </w:tcPr>
          <w:p w14:paraId="74D3937B" w14:textId="77777777" w:rsidR="004A3877" w:rsidRPr="0063119B" w:rsidRDefault="004A3877" w:rsidP="00B52F36">
            <w:pPr>
              <w:keepNext/>
              <w:keepLines/>
              <w:spacing w:line="260" w:lineRule="exact"/>
              <w:rPr>
                <w:szCs w:val="22"/>
              </w:rPr>
            </w:pPr>
            <w:r w:rsidRPr="0063119B">
              <w:rPr>
                <w:szCs w:val="22"/>
              </w:rPr>
              <w:t>43</w:t>
            </w:r>
            <w:r w:rsidRPr="0063119B">
              <w:rPr>
                <w:szCs w:val="22"/>
              </w:rPr>
              <w:br/>
              <w:t>(1,0%)</w:t>
            </w:r>
          </w:p>
        </w:tc>
        <w:tc>
          <w:tcPr>
            <w:tcW w:w="2880" w:type="dxa"/>
            <w:gridSpan w:val="2"/>
          </w:tcPr>
          <w:p w14:paraId="73CDC3D4" w14:textId="77777777" w:rsidR="004A3877" w:rsidRPr="0063119B" w:rsidRDefault="004A3877" w:rsidP="00B52F36">
            <w:pPr>
              <w:keepNext/>
              <w:keepLines/>
              <w:spacing w:line="260" w:lineRule="exact"/>
              <w:rPr>
                <w:szCs w:val="22"/>
              </w:rPr>
            </w:pPr>
            <w:r w:rsidRPr="0063119B">
              <w:rPr>
                <w:szCs w:val="22"/>
              </w:rPr>
              <w:t>38</w:t>
            </w:r>
            <w:r w:rsidRPr="0063119B">
              <w:rPr>
                <w:szCs w:val="22"/>
              </w:rPr>
              <w:br/>
              <w:t>(0,9%)</w:t>
            </w:r>
          </w:p>
        </w:tc>
      </w:tr>
      <w:tr w:rsidR="004A3877" w:rsidRPr="0063119B" w14:paraId="17164E7A" w14:textId="77777777" w:rsidTr="00B52F36">
        <w:tc>
          <w:tcPr>
            <w:tcW w:w="3360" w:type="dxa"/>
          </w:tcPr>
          <w:p w14:paraId="6E280F9C" w14:textId="77777777" w:rsidR="004A3877" w:rsidRPr="0063119B" w:rsidRDefault="004A3877" w:rsidP="00B52F36">
            <w:pPr>
              <w:keepNext/>
              <w:keepLines/>
              <w:spacing w:line="260" w:lineRule="exact"/>
              <w:rPr>
                <w:szCs w:val="22"/>
              </w:rPr>
            </w:pPr>
            <w:r w:rsidRPr="0063119B">
              <w:rPr>
                <w:szCs w:val="22"/>
              </w:rPr>
              <w:t xml:space="preserve">     TVP sintomática recorrente</w:t>
            </w:r>
          </w:p>
        </w:tc>
        <w:tc>
          <w:tcPr>
            <w:tcW w:w="3120" w:type="dxa"/>
          </w:tcPr>
          <w:p w14:paraId="11EBD334" w14:textId="77777777" w:rsidR="004A3877" w:rsidRPr="0063119B" w:rsidRDefault="004A3877" w:rsidP="00B52F36">
            <w:pPr>
              <w:keepNext/>
              <w:keepLines/>
              <w:spacing w:line="260" w:lineRule="exact"/>
              <w:rPr>
                <w:szCs w:val="22"/>
              </w:rPr>
            </w:pPr>
            <w:r w:rsidRPr="0063119B">
              <w:rPr>
                <w:szCs w:val="22"/>
              </w:rPr>
              <w:t>32</w:t>
            </w:r>
            <w:r w:rsidRPr="0063119B">
              <w:rPr>
                <w:szCs w:val="22"/>
              </w:rPr>
              <w:br/>
              <w:t>(0,8%)</w:t>
            </w:r>
          </w:p>
        </w:tc>
        <w:tc>
          <w:tcPr>
            <w:tcW w:w="2880" w:type="dxa"/>
            <w:gridSpan w:val="2"/>
          </w:tcPr>
          <w:p w14:paraId="1F122B5D" w14:textId="77777777" w:rsidR="004A3877" w:rsidRPr="0063119B" w:rsidRDefault="004A3877" w:rsidP="00B52F36">
            <w:pPr>
              <w:keepNext/>
              <w:keepLines/>
              <w:spacing w:line="260" w:lineRule="exact"/>
              <w:rPr>
                <w:szCs w:val="22"/>
              </w:rPr>
            </w:pPr>
            <w:r w:rsidRPr="0063119B">
              <w:rPr>
                <w:szCs w:val="22"/>
              </w:rPr>
              <w:t>45</w:t>
            </w:r>
            <w:r w:rsidRPr="0063119B">
              <w:rPr>
                <w:szCs w:val="22"/>
              </w:rPr>
              <w:br/>
              <w:t>(1,1%)</w:t>
            </w:r>
          </w:p>
        </w:tc>
      </w:tr>
      <w:tr w:rsidR="004A3877" w:rsidRPr="0063119B" w14:paraId="31DB49F7" w14:textId="77777777" w:rsidTr="00B52F36">
        <w:tc>
          <w:tcPr>
            <w:tcW w:w="3360" w:type="dxa"/>
          </w:tcPr>
          <w:p w14:paraId="4DCD60EE" w14:textId="77777777" w:rsidR="004A3877" w:rsidRPr="0063119B" w:rsidRDefault="004A3877" w:rsidP="00B52F36">
            <w:pPr>
              <w:keepNext/>
              <w:keepLines/>
              <w:spacing w:line="260" w:lineRule="exact"/>
              <w:rPr>
                <w:szCs w:val="22"/>
              </w:rPr>
            </w:pPr>
            <w:r w:rsidRPr="0063119B">
              <w:rPr>
                <w:szCs w:val="22"/>
              </w:rPr>
              <w:t xml:space="preserve">     EP e TVP sintomáticos</w:t>
            </w:r>
          </w:p>
        </w:tc>
        <w:tc>
          <w:tcPr>
            <w:tcW w:w="3120" w:type="dxa"/>
          </w:tcPr>
          <w:p w14:paraId="5B0C76A8" w14:textId="77777777" w:rsidR="004A3877" w:rsidRPr="0063119B" w:rsidRDefault="004A3877" w:rsidP="00B52F36">
            <w:pPr>
              <w:keepNext/>
              <w:keepLines/>
              <w:spacing w:line="260" w:lineRule="exact"/>
              <w:rPr>
                <w:szCs w:val="22"/>
              </w:rPr>
            </w:pPr>
            <w:r w:rsidRPr="0063119B">
              <w:rPr>
                <w:szCs w:val="22"/>
              </w:rPr>
              <w:t>1</w:t>
            </w:r>
          </w:p>
          <w:p w14:paraId="0830EFF7" w14:textId="77777777" w:rsidR="004A3877" w:rsidRPr="0063119B" w:rsidRDefault="004A3877" w:rsidP="00B52F36">
            <w:pPr>
              <w:keepNext/>
              <w:keepLines/>
              <w:spacing w:line="260" w:lineRule="exact"/>
              <w:rPr>
                <w:szCs w:val="22"/>
              </w:rPr>
            </w:pPr>
            <w:r w:rsidRPr="0063119B">
              <w:rPr>
                <w:szCs w:val="22"/>
              </w:rPr>
              <w:t>(&lt;0,1%)</w:t>
            </w:r>
          </w:p>
        </w:tc>
        <w:tc>
          <w:tcPr>
            <w:tcW w:w="2880" w:type="dxa"/>
            <w:gridSpan w:val="2"/>
          </w:tcPr>
          <w:p w14:paraId="58727D8B" w14:textId="77777777" w:rsidR="004A3877" w:rsidRPr="0063119B" w:rsidRDefault="004A3877" w:rsidP="00B52F36">
            <w:pPr>
              <w:keepNext/>
              <w:keepLines/>
              <w:spacing w:line="260" w:lineRule="exact"/>
              <w:rPr>
                <w:szCs w:val="22"/>
              </w:rPr>
            </w:pPr>
            <w:r w:rsidRPr="0063119B">
              <w:rPr>
                <w:szCs w:val="22"/>
              </w:rPr>
              <w:t>2</w:t>
            </w:r>
          </w:p>
          <w:p w14:paraId="3B471AC8" w14:textId="77777777" w:rsidR="004A3877" w:rsidRPr="0063119B" w:rsidRDefault="004A3877" w:rsidP="00B52F36">
            <w:pPr>
              <w:keepNext/>
              <w:keepLines/>
              <w:spacing w:line="260" w:lineRule="exact"/>
              <w:rPr>
                <w:szCs w:val="22"/>
              </w:rPr>
            </w:pPr>
            <w:r w:rsidRPr="0063119B">
              <w:rPr>
                <w:szCs w:val="22"/>
              </w:rPr>
              <w:t>(&lt;0,1%)</w:t>
            </w:r>
          </w:p>
        </w:tc>
      </w:tr>
      <w:tr w:rsidR="004A3877" w:rsidRPr="0063119B" w14:paraId="2823BD52" w14:textId="77777777" w:rsidTr="00B52F36">
        <w:tc>
          <w:tcPr>
            <w:tcW w:w="3360" w:type="dxa"/>
          </w:tcPr>
          <w:p w14:paraId="44B1645E" w14:textId="77777777" w:rsidR="004A3877" w:rsidRPr="0063119B" w:rsidRDefault="004A3877" w:rsidP="00B52F36">
            <w:pPr>
              <w:keepNext/>
              <w:keepLines/>
              <w:spacing w:line="260" w:lineRule="exact"/>
              <w:ind w:left="284" w:hanging="34"/>
              <w:rPr>
                <w:szCs w:val="22"/>
              </w:rPr>
            </w:pPr>
            <w:r w:rsidRPr="0063119B">
              <w:rPr>
                <w:szCs w:val="22"/>
              </w:rPr>
              <w:t>EP fatal/</w:t>
            </w:r>
            <w:r w:rsidR="00A407A9" w:rsidRPr="0063119B">
              <w:rPr>
                <w:szCs w:val="22"/>
              </w:rPr>
              <w:t>m</w:t>
            </w:r>
            <w:r w:rsidRPr="0063119B">
              <w:rPr>
                <w:szCs w:val="22"/>
              </w:rPr>
              <w:t>orte na qual não se pode excluir EP</w:t>
            </w:r>
          </w:p>
        </w:tc>
        <w:tc>
          <w:tcPr>
            <w:tcW w:w="3120" w:type="dxa"/>
          </w:tcPr>
          <w:p w14:paraId="6464499B" w14:textId="77777777" w:rsidR="004A3877" w:rsidRPr="0063119B" w:rsidRDefault="004A3877" w:rsidP="00B52F36">
            <w:pPr>
              <w:keepNext/>
              <w:keepLines/>
              <w:spacing w:line="260" w:lineRule="exact"/>
              <w:rPr>
                <w:szCs w:val="22"/>
              </w:rPr>
            </w:pPr>
            <w:r w:rsidRPr="0063119B">
              <w:rPr>
                <w:szCs w:val="22"/>
              </w:rPr>
              <w:t>15</w:t>
            </w:r>
            <w:r w:rsidRPr="0063119B">
              <w:rPr>
                <w:szCs w:val="22"/>
              </w:rPr>
              <w:br/>
              <w:t>(0,4%)</w:t>
            </w:r>
          </w:p>
        </w:tc>
        <w:tc>
          <w:tcPr>
            <w:tcW w:w="2880" w:type="dxa"/>
            <w:gridSpan w:val="2"/>
          </w:tcPr>
          <w:p w14:paraId="7668A8E1" w14:textId="77777777" w:rsidR="004A3877" w:rsidRPr="0063119B" w:rsidRDefault="004A3877" w:rsidP="00B52F36">
            <w:pPr>
              <w:keepNext/>
              <w:keepLines/>
              <w:spacing w:line="260" w:lineRule="exact"/>
              <w:rPr>
                <w:szCs w:val="22"/>
              </w:rPr>
            </w:pPr>
            <w:r w:rsidRPr="0063119B">
              <w:rPr>
                <w:szCs w:val="22"/>
              </w:rPr>
              <w:t>13</w:t>
            </w:r>
            <w:r w:rsidRPr="0063119B">
              <w:rPr>
                <w:szCs w:val="22"/>
              </w:rPr>
              <w:br/>
              <w:t>(0,3%)</w:t>
            </w:r>
          </w:p>
        </w:tc>
      </w:tr>
      <w:tr w:rsidR="004A3877" w:rsidRPr="0063119B" w14:paraId="6E664747" w14:textId="77777777" w:rsidTr="00B52F36">
        <w:tc>
          <w:tcPr>
            <w:tcW w:w="3360" w:type="dxa"/>
          </w:tcPr>
          <w:p w14:paraId="7E22B6BF" w14:textId="77777777" w:rsidR="004A3877" w:rsidRPr="0063119B" w:rsidRDefault="004A3877" w:rsidP="00B52F36">
            <w:pPr>
              <w:keepNext/>
              <w:keepLines/>
              <w:spacing w:line="260" w:lineRule="exact"/>
              <w:rPr>
                <w:szCs w:val="22"/>
              </w:rPr>
            </w:pPr>
            <w:r w:rsidRPr="0063119B">
              <w:rPr>
                <w:szCs w:val="22"/>
              </w:rPr>
              <w:t>Hemorragia principal ou não principal clinicamente relevante</w:t>
            </w:r>
          </w:p>
        </w:tc>
        <w:tc>
          <w:tcPr>
            <w:tcW w:w="3120" w:type="dxa"/>
          </w:tcPr>
          <w:p w14:paraId="14C9B3ED" w14:textId="77777777" w:rsidR="004A3877" w:rsidRPr="0063119B" w:rsidRDefault="004A3877" w:rsidP="00B52F36">
            <w:pPr>
              <w:keepNext/>
              <w:keepLines/>
              <w:spacing w:line="260" w:lineRule="exact"/>
              <w:rPr>
                <w:szCs w:val="22"/>
              </w:rPr>
            </w:pPr>
            <w:r w:rsidRPr="0063119B">
              <w:rPr>
                <w:szCs w:val="22"/>
              </w:rPr>
              <w:t>388</w:t>
            </w:r>
            <w:r w:rsidRPr="0063119B">
              <w:rPr>
                <w:szCs w:val="22"/>
              </w:rPr>
              <w:br/>
              <w:t>(9,4%)</w:t>
            </w:r>
          </w:p>
        </w:tc>
        <w:tc>
          <w:tcPr>
            <w:tcW w:w="2880" w:type="dxa"/>
            <w:gridSpan w:val="2"/>
          </w:tcPr>
          <w:p w14:paraId="19084C5D" w14:textId="77777777" w:rsidR="004A3877" w:rsidRPr="0063119B" w:rsidRDefault="004A3877" w:rsidP="00B52F36">
            <w:pPr>
              <w:keepNext/>
              <w:keepLines/>
              <w:spacing w:line="260" w:lineRule="exact"/>
              <w:rPr>
                <w:szCs w:val="22"/>
              </w:rPr>
            </w:pPr>
            <w:r w:rsidRPr="0063119B">
              <w:rPr>
                <w:szCs w:val="22"/>
              </w:rPr>
              <w:t>412</w:t>
            </w:r>
            <w:r w:rsidRPr="0063119B">
              <w:rPr>
                <w:szCs w:val="22"/>
              </w:rPr>
              <w:br/>
              <w:t>(10,0%)</w:t>
            </w:r>
          </w:p>
        </w:tc>
      </w:tr>
      <w:tr w:rsidR="004A3877" w:rsidRPr="0063119B" w14:paraId="6AA257C5" w14:textId="77777777" w:rsidTr="00B52F36">
        <w:tc>
          <w:tcPr>
            <w:tcW w:w="3360" w:type="dxa"/>
          </w:tcPr>
          <w:p w14:paraId="64C9512C" w14:textId="77777777" w:rsidR="004A3877" w:rsidRPr="0063119B" w:rsidRDefault="004A3877" w:rsidP="00B52F36">
            <w:pPr>
              <w:spacing w:line="260" w:lineRule="exact"/>
              <w:rPr>
                <w:szCs w:val="22"/>
              </w:rPr>
            </w:pPr>
            <w:r w:rsidRPr="0063119B">
              <w:rPr>
                <w:szCs w:val="22"/>
              </w:rPr>
              <w:t>Acontecimentos hemorrágicos principais</w:t>
            </w:r>
          </w:p>
        </w:tc>
        <w:tc>
          <w:tcPr>
            <w:tcW w:w="3120" w:type="dxa"/>
          </w:tcPr>
          <w:p w14:paraId="1A3BF1DC" w14:textId="77777777" w:rsidR="004A3877" w:rsidRPr="0063119B" w:rsidRDefault="004A3877" w:rsidP="00B52F36">
            <w:pPr>
              <w:spacing w:line="260" w:lineRule="exact"/>
              <w:rPr>
                <w:szCs w:val="22"/>
              </w:rPr>
            </w:pPr>
            <w:r w:rsidRPr="0063119B">
              <w:rPr>
                <w:szCs w:val="22"/>
              </w:rPr>
              <w:t>40</w:t>
            </w:r>
            <w:r w:rsidRPr="0063119B">
              <w:rPr>
                <w:szCs w:val="22"/>
              </w:rPr>
              <w:br/>
              <w:t>(1,0%)</w:t>
            </w:r>
          </w:p>
        </w:tc>
        <w:tc>
          <w:tcPr>
            <w:tcW w:w="2880" w:type="dxa"/>
            <w:gridSpan w:val="2"/>
          </w:tcPr>
          <w:p w14:paraId="08BA357B" w14:textId="77777777" w:rsidR="004A3877" w:rsidRPr="0063119B" w:rsidRDefault="004A3877" w:rsidP="00B52F36">
            <w:pPr>
              <w:spacing w:line="260" w:lineRule="exact"/>
              <w:rPr>
                <w:szCs w:val="22"/>
              </w:rPr>
            </w:pPr>
            <w:r w:rsidRPr="0063119B">
              <w:rPr>
                <w:szCs w:val="22"/>
              </w:rPr>
              <w:t>72</w:t>
            </w:r>
            <w:r w:rsidRPr="0063119B">
              <w:rPr>
                <w:szCs w:val="22"/>
              </w:rPr>
              <w:br/>
              <w:t>(1,7%)</w:t>
            </w:r>
          </w:p>
        </w:tc>
      </w:tr>
      <w:tr w:rsidR="004A3877" w:rsidRPr="0063119B" w14:paraId="66EFC1F4" w14:textId="77777777" w:rsidTr="00B52F36">
        <w:trPr>
          <w:gridAfter w:val="1"/>
          <w:wAfter w:w="230" w:type="dxa"/>
        </w:trPr>
        <w:tc>
          <w:tcPr>
            <w:tcW w:w="9200" w:type="dxa"/>
            <w:gridSpan w:val="3"/>
            <w:tcBorders>
              <w:top w:val="nil"/>
              <w:left w:val="nil"/>
              <w:bottom w:val="nil"/>
              <w:right w:val="nil"/>
            </w:tcBorders>
          </w:tcPr>
          <w:p w14:paraId="710E0139" w14:textId="77777777" w:rsidR="004A3877" w:rsidRPr="0063119B" w:rsidRDefault="004A3877" w:rsidP="00B52F36">
            <w:pPr>
              <w:tabs>
                <w:tab w:val="left" w:pos="567"/>
              </w:tabs>
              <w:rPr>
                <w:szCs w:val="22"/>
              </w:rPr>
            </w:pPr>
            <w:r w:rsidRPr="0063119B">
              <w:rPr>
                <w:szCs w:val="22"/>
              </w:rPr>
              <w:t>a)</w:t>
            </w:r>
            <w:r w:rsidRPr="0063119B">
              <w:rPr>
                <w:szCs w:val="22"/>
              </w:rPr>
              <w:tab/>
              <w:t>Rivaroxabano 15 mg duas vezes por dia durante 3 semanas seguido de 20 mg uma vez por dia</w:t>
            </w:r>
          </w:p>
          <w:p w14:paraId="4151CDAF" w14:textId="77777777" w:rsidR="004A3877" w:rsidRPr="0063119B" w:rsidRDefault="004A3877" w:rsidP="00B52F36">
            <w:pPr>
              <w:tabs>
                <w:tab w:val="left" w:pos="567"/>
              </w:tabs>
              <w:ind w:left="567" w:hanging="567"/>
              <w:rPr>
                <w:szCs w:val="22"/>
              </w:rPr>
            </w:pPr>
            <w:r w:rsidRPr="0063119B">
              <w:rPr>
                <w:szCs w:val="22"/>
              </w:rPr>
              <w:t>b)</w:t>
            </w:r>
            <w:r w:rsidRPr="0063119B">
              <w:rPr>
                <w:szCs w:val="22"/>
              </w:rPr>
              <w:tab/>
              <w:t>Enoxaparina durante pelo menos 5 dias, sobreposta com e seguida de AVK</w:t>
            </w:r>
          </w:p>
          <w:p w14:paraId="7A4C94A7" w14:textId="77777777" w:rsidR="004A3877" w:rsidRPr="0063119B" w:rsidRDefault="004A3877" w:rsidP="00A407A9">
            <w:pPr>
              <w:tabs>
                <w:tab w:val="left" w:pos="567"/>
              </w:tabs>
              <w:ind w:left="567" w:hanging="567"/>
              <w:rPr>
                <w:vanish/>
                <w:szCs w:val="22"/>
              </w:rPr>
            </w:pPr>
            <w:r w:rsidRPr="0063119B">
              <w:rPr>
                <w:b/>
                <w:szCs w:val="22"/>
              </w:rPr>
              <w:t>*</w:t>
            </w:r>
            <w:r w:rsidRPr="0063119B">
              <w:rPr>
                <w:szCs w:val="22"/>
              </w:rPr>
              <w:tab/>
              <w:t xml:space="preserve">p &lt; 0,0001 (não inferioridade para uma </w:t>
            </w:r>
            <w:r w:rsidR="00A407A9" w:rsidRPr="0063119B">
              <w:rPr>
                <w:szCs w:val="22"/>
              </w:rPr>
              <w:t>RR</w:t>
            </w:r>
            <w:r w:rsidRPr="0063119B">
              <w:rPr>
                <w:szCs w:val="22"/>
              </w:rPr>
              <w:t xml:space="preserve"> pré-especificada de 1,75); </w:t>
            </w:r>
            <w:r w:rsidR="00A407A9" w:rsidRPr="0063119B">
              <w:rPr>
                <w:szCs w:val="22"/>
              </w:rPr>
              <w:t>RR</w:t>
            </w:r>
            <w:r w:rsidRPr="0063119B">
              <w:rPr>
                <w:szCs w:val="22"/>
              </w:rPr>
              <w:t>: 0,886 (0,661 </w:t>
            </w:r>
            <w:r w:rsidRPr="0063119B">
              <w:rPr>
                <w:szCs w:val="22"/>
              </w:rPr>
              <w:noBreakHyphen/>
              <w:t> 1,186)</w:t>
            </w:r>
          </w:p>
        </w:tc>
      </w:tr>
    </w:tbl>
    <w:p w14:paraId="16F08E13" w14:textId="77777777" w:rsidR="004A3877" w:rsidRPr="0063119B" w:rsidRDefault="004A3877" w:rsidP="004A3877">
      <w:pPr>
        <w:pStyle w:val="Default"/>
        <w:rPr>
          <w:color w:val="auto"/>
          <w:sz w:val="22"/>
          <w:szCs w:val="22"/>
          <w:lang w:val="pt-PT"/>
        </w:rPr>
      </w:pPr>
    </w:p>
    <w:p w14:paraId="25873FFA" w14:textId="77777777" w:rsidR="004A3877" w:rsidRDefault="004A3877" w:rsidP="004A3877">
      <w:pPr>
        <w:pStyle w:val="Default"/>
        <w:rPr>
          <w:color w:val="auto"/>
          <w:sz w:val="22"/>
          <w:szCs w:val="22"/>
          <w:lang w:val="pt-PT"/>
        </w:rPr>
      </w:pPr>
      <w:r w:rsidRPr="0063119B">
        <w:rPr>
          <w:color w:val="auto"/>
          <w:sz w:val="22"/>
          <w:szCs w:val="22"/>
          <w:lang w:val="pt-PT"/>
        </w:rPr>
        <w:t>O benefício clínico efetivo pré</w:t>
      </w:r>
      <w:r w:rsidRPr="0063119B">
        <w:rPr>
          <w:color w:val="auto"/>
          <w:sz w:val="22"/>
          <w:szCs w:val="22"/>
          <w:lang w:val="pt-PT"/>
        </w:rPr>
        <w:noBreakHyphen/>
        <w:t xml:space="preserve">especificado (objetivo primário da eficácia mais acontecimentos hemorrágicos principais) de uma análise agrupada foi notificado com uma </w:t>
      </w:r>
      <w:r w:rsidR="00A407A9" w:rsidRPr="0063119B">
        <w:rPr>
          <w:color w:val="auto"/>
          <w:sz w:val="22"/>
          <w:szCs w:val="22"/>
          <w:lang w:val="pt-PT"/>
        </w:rPr>
        <w:t>RR</w:t>
      </w:r>
      <w:r w:rsidRPr="0063119B">
        <w:rPr>
          <w:color w:val="auto"/>
          <w:sz w:val="22"/>
          <w:szCs w:val="22"/>
          <w:lang w:val="pt-PT"/>
        </w:rPr>
        <w:t xml:space="preserve"> de 0,771 ((IC 95%: 0,614 </w:t>
      </w:r>
      <w:r w:rsidRPr="0063119B">
        <w:rPr>
          <w:color w:val="auto"/>
          <w:sz w:val="22"/>
          <w:szCs w:val="22"/>
          <w:lang w:val="pt-PT"/>
        </w:rPr>
        <w:noBreakHyphen/>
        <w:t xml:space="preserve"> 0,967), valor-p nominal</w:t>
      </w:r>
      <w:r w:rsidR="00EC413E" w:rsidRPr="0063119B">
        <w:rPr>
          <w:color w:val="auto"/>
          <w:sz w:val="22"/>
          <w:szCs w:val="22"/>
          <w:lang w:val="pt-PT"/>
        </w:rPr>
        <w:t>,</w:t>
      </w:r>
      <w:r w:rsidRPr="0063119B">
        <w:rPr>
          <w:color w:val="auto"/>
          <w:sz w:val="22"/>
          <w:szCs w:val="22"/>
          <w:lang w:val="pt-PT"/>
        </w:rPr>
        <w:t xml:space="preserve"> p</w:t>
      </w:r>
      <w:r w:rsidR="00186506" w:rsidRPr="0063119B">
        <w:rPr>
          <w:color w:val="auto"/>
          <w:sz w:val="22"/>
          <w:szCs w:val="22"/>
          <w:lang w:val="pt-PT"/>
        </w:rPr>
        <w:t> </w:t>
      </w:r>
      <w:r w:rsidRPr="0063119B">
        <w:rPr>
          <w:color w:val="auto"/>
          <w:sz w:val="22"/>
          <w:szCs w:val="22"/>
          <w:lang w:val="pt-PT"/>
        </w:rPr>
        <w:t>=</w:t>
      </w:r>
      <w:r w:rsidR="00186506" w:rsidRPr="0063119B">
        <w:rPr>
          <w:color w:val="auto"/>
          <w:sz w:val="22"/>
          <w:szCs w:val="22"/>
          <w:lang w:val="pt-PT"/>
        </w:rPr>
        <w:t> </w:t>
      </w:r>
      <w:r w:rsidRPr="0063119B">
        <w:rPr>
          <w:color w:val="auto"/>
          <w:sz w:val="22"/>
          <w:szCs w:val="22"/>
          <w:lang w:val="pt-PT"/>
        </w:rPr>
        <w:t>0,0244).</w:t>
      </w:r>
    </w:p>
    <w:p w14:paraId="50AE21D3" w14:textId="77777777" w:rsidR="0083088B" w:rsidRPr="0063119B" w:rsidRDefault="0083088B" w:rsidP="004A3877">
      <w:pPr>
        <w:pStyle w:val="Default"/>
        <w:rPr>
          <w:color w:val="auto"/>
          <w:sz w:val="22"/>
          <w:szCs w:val="22"/>
          <w:lang w:val="pt-PT"/>
        </w:rPr>
      </w:pPr>
    </w:p>
    <w:p w14:paraId="43548AD9" w14:textId="77777777" w:rsidR="004A3877" w:rsidRPr="0063119B" w:rsidRDefault="004A3877" w:rsidP="004A3877">
      <w:pPr>
        <w:pStyle w:val="Default"/>
        <w:rPr>
          <w:iCs/>
          <w:color w:val="auto"/>
          <w:sz w:val="22"/>
          <w:szCs w:val="22"/>
          <w:lang w:val="pt-PT"/>
        </w:rPr>
      </w:pPr>
      <w:r w:rsidRPr="0063119B">
        <w:rPr>
          <w:color w:val="auto"/>
          <w:sz w:val="22"/>
          <w:szCs w:val="22"/>
          <w:lang w:val="pt-PT"/>
        </w:rPr>
        <w:lastRenderedPageBreak/>
        <w:t xml:space="preserve">No estudo Einstein Extension (ver Quadro 8) o rivaroxabano foi superior ao placebo no que respeita aos objetivos primários e secundários da eficácia. </w:t>
      </w:r>
      <w:r w:rsidRPr="0063119B">
        <w:rPr>
          <w:iCs/>
          <w:color w:val="auto"/>
          <w:sz w:val="22"/>
          <w:szCs w:val="22"/>
          <w:lang w:val="pt-PT"/>
        </w:rPr>
        <w:t>Em relação ao objetivo primário de segurança (acontecimentos hemorrágicos principais) verificou</w:t>
      </w:r>
      <w:r w:rsidRPr="0063119B">
        <w:rPr>
          <w:iCs/>
          <w:color w:val="auto"/>
          <w:sz w:val="22"/>
          <w:szCs w:val="22"/>
          <w:lang w:val="pt-PT"/>
        </w:rPr>
        <w:noBreakHyphen/>
        <w:t>se uma taxa de incidência numericamente mais elevada não significativa em doentes tratados com 20 mg de rivaroxabano uma vez por dia em comparação com o placebo. O objetivo secundário de segurança (acontecimentos hemorrágicos principais ou não principais clinicamente relevantes) apresentou taxas mais elevadas em doentes tratados com 20 mg de rivaroxabano uma vez por dia em comparação com o placebo.</w:t>
      </w:r>
    </w:p>
    <w:p w14:paraId="1D5F6F97" w14:textId="77777777" w:rsidR="004A3877" w:rsidRPr="0063119B" w:rsidRDefault="004A3877" w:rsidP="004A3877">
      <w:pPr>
        <w:pStyle w:val="Default"/>
        <w:rPr>
          <w:color w:val="auto"/>
          <w:sz w:val="22"/>
          <w:szCs w:val="22"/>
          <w:lang w:val="pt-PT"/>
        </w:rPr>
      </w:pPr>
    </w:p>
    <w:p w14:paraId="7148B5A4" w14:textId="77777777" w:rsidR="004A3877" w:rsidRPr="0063119B" w:rsidRDefault="004A3877" w:rsidP="004A3877">
      <w:pPr>
        <w:keepNext/>
        <w:rPr>
          <w:vanish/>
          <w:szCs w:val="22"/>
        </w:rPr>
      </w:pPr>
      <w:r w:rsidRPr="0063119B">
        <w:rPr>
          <w:b/>
          <w:szCs w:val="22"/>
        </w:rPr>
        <w:t>Quadro 8: Resultados de eficácia e segurança do estudo de fase III Einstein Extension</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3143"/>
        <w:gridCol w:w="2902"/>
      </w:tblGrid>
      <w:tr w:rsidR="004A3877" w:rsidRPr="0063119B" w14:paraId="2C549EDC" w14:textId="77777777" w:rsidTr="00B52F36">
        <w:tc>
          <w:tcPr>
            <w:tcW w:w="3385" w:type="dxa"/>
          </w:tcPr>
          <w:p w14:paraId="0D6D40DA" w14:textId="77777777" w:rsidR="004A3877" w:rsidRPr="0063119B" w:rsidRDefault="004A3877" w:rsidP="00B52F36">
            <w:pPr>
              <w:keepNext/>
              <w:spacing w:line="260" w:lineRule="exact"/>
              <w:rPr>
                <w:b/>
                <w:bCs/>
                <w:szCs w:val="22"/>
              </w:rPr>
            </w:pPr>
            <w:r w:rsidRPr="0063119B">
              <w:rPr>
                <w:b/>
                <w:bCs/>
                <w:szCs w:val="22"/>
              </w:rPr>
              <w:t>População do estudo</w:t>
            </w:r>
          </w:p>
        </w:tc>
        <w:tc>
          <w:tcPr>
            <w:tcW w:w="6045" w:type="dxa"/>
            <w:gridSpan w:val="2"/>
          </w:tcPr>
          <w:p w14:paraId="335DB0CE" w14:textId="77777777" w:rsidR="004A3877" w:rsidRPr="0063119B" w:rsidRDefault="004A3877" w:rsidP="00B52F36">
            <w:pPr>
              <w:keepNext/>
              <w:spacing w:line="260" w:lineRule="exact"/>
              <w:rPr>
                <w:b/>
                <w:bCs/>
                <w:iCs/>
                <w:szCs w:val="22"/>
              </w:rPr>
            </w:pPr>
            <w:r w:rsidRPr="0063119B">
              <w:rPr>
                <w:b/>
                <w:bCs/>
                <w:szCs w:val="22"/>
              </w:rPr>
              <w:t xml:space="preserve">1.197 doentes submetidos a tratamento continuado e prevenção </w:t>
            </w:r>
            <w:r w:rsidRPr="0063119B">
              <w:rPr>
                <w:b/>
                <w:bCs/>
                <w:iCs/>
                <w:szCs w:val="22"/>
              </w:rPr>
              <w:t>do tromboembolismo venoso recorrente</w:t>
            </w:r>
          </w:p>
        </w:tc>
      </w:tr>
      <w:tr w:rsidR="004A3877" w:rsidRPr="0063119B" w14:paraId="39AD26CC" w14:textId="77777777" w:rsidTr="00B52F36">
        <w:tc>
          <w:tcPr>
            <w:tcW w:w="3385" w:type="dxa"/>
            <w:vAlign w:val="center"/>
          </w:tcPr>
          <w:p w14:paraId="455F3776" w14:textId="77777777" w:rsidR="004A3877" w:rsidRPr="0063119B" w:rsidRDefault="004A3877" w:rsidP="00B52F36">
            <w:pPr>
              <w:keepNext/>
              <w:spacing w:line="260" w:lineRule="exact"/>
              <w:rPr>
                <w:b/>
                <w:bCs/>
                <w:szCs w:val="22"/>
              </w:rPr>
            </w:pPr>
            <w:r w:rsidRPr="0063119B">
              <w:rPr>
                <w:b/>
                <w:bCs/>
                <w:szCs w:val="22"/>
              </w:rPr>
              <w:t>Doses e duração do tratamento</w:t>
            </w:r>
          </w:p>
        </w:tc>
        <w:tc>
          <w:tcPr>
            <w:tcW w:w="3143" w:type="dxa"/>
          </w:tcPr>
          <w:p w14:paraId="70DF8607" w14:textId="77777777" w:rsidR="004A3877" w:rsidRPr="0063119B" w:rsidRDefault="004C32BA" w:rsidP="00B52F36">
            <w:pPr>
              <w:keepNext/>
              <w:spacing w:line="260" w:lineRule="exact"/>
              <w:rPr>
                <w:b/>
                <w:bCs/>
                <w:szCs w:val="22"/>
              </w:rPr>
            </w:pPr>
            <w:r w:rsidRPr="0063119B">
              <w:rPr>
                <w:b/>
                <w:bCs/>
                <w:noProof/>
                <w:szCs w:val="22"/>
              </w:rPr>
              <w:t>Rivaroxabano</w:t>
            </w:r>
            <w:r w:rsidR="004A3877" w:rsidRPr="0063119B">
              <w:rPr>
                <w:b/>
                <w:bCs/>
                <w:szCs w:val="22"/>
                <w:vertAlign w:val="superscript"/>
              </w:rPr>
              <w:t>a)</w:t>
            </w:r>
            <w:r w:rsidR="004A3877" w:rsidRPr="0063119B">
              <w:rPr>
                <w:b/>
                <w:bCs/>
                <w:szCs w:val="22"/>
              </w:rPr>
              <w:t xml:space="preserve"> </w:t>
            </w:r>
            <w:r w:rsidR="004A3877" w:rsidRPr="0063119B">
              <w:rPr>
                <w:b/>
                <w:bCs/>
                <w:szCs w:val="22"/>
              </w:rPr>
              <w:br/>
              <w:t>6 ou 12 meses</w:t>
            </w:r>
          </w:p>
          <w:p w14:paraId="4A25A46B" w14:textId="77777777" w:rsidR="004A3877" w:rsidRPr="0063119B" w:rsidRDefault="004A3877" w:rsidP="00B52F36">
            <w:pPr>
              <w:keepNext/>
              <w:spacing w:line="260" w:lineRule="exact"/>
              <w:rPr>
                <w:b/>
                <w:bCs/>
                <w:szCs w:val="22"/>
              </w:rPr>
            </w:pPr>
            <w:r w:rsidRPr="0063119B">
              <w:rPr>
                <w:b/>
                <w:bCs/>
                <w:szCs w:val="22"/>
              </w:rPr>
              <w:t>N=602</w:t>
            </w:r>
          </w:p>
        </w:tc>
        <w:tc>
          <w:tcPr>
            <w:tcW w:w="2902" w:type="dxa"/>
          </w:tcPr>
          <w:p w14:paraId="212169AD" w14:textId="77777777" w:rsidR="004A3877" w:rsidRPr="0063119B" w:rsidRDefault="004A3877" w:rsidP="00B52F36">
            <w:pPr>
              <w:keepNext/>
              <w:spacing w:line="260" w:lineRule="exact"/>
              <w:rPr>
                <w:b/>
                <w:bCs/>
                <w:szCs w:val="22"/>
              </w:rPr>
            </w:pPr>
            <w:r w:rsidRPr="0063119B">
              <w:rPr>
                <w:b/>
                <w:bCs/>
                <w:szCs w:val="22"/>
              </w:rPr>
              <w:t>Placebo</w:t>
            </w:r>
            <w:r w:rsidRPr="0063119B">
              <w:rPr>
                <w:b/>
                <w:bCs/>
                <w:szCs w:val="22"/>
              </w:rPr>
              <w:br/>
              <w:t>6 ou 12 meses</w:t>
            </w:r>
          </w:p>
          <w:p w14:paraId="19DFCC4B" w14:textId="77777777" w:rsidR="004A3877" w:rsidRPr="0063119B" w:rsidRDefault="004A3877" w:rsidP="00B52F36">
            <w:pPr>
              <w:keepNext/>
              <w:spacing w:line="260" w:lineRule="exact"/>
              <w:rPr>
                <w:b/>
                <w:bCs/>
                <w:szCs w:val="22"/>
              </w:rPr>
            </w:pPr>
            <w:r w:rsidRPr="0063119B">
              <w:rPr>
                <w:b/>
                <w:bCs/>
                <w:szCs w:val="22"/>
              </w:rPr>
              <w:t>N=594</w:t>
            </w:r>
          </w:p>
        </w:tc>
      </w:tr>
      <w:tr w:rsidR="004A3877" w:rsidRPr="0063119B" w14:paraId="24FEE525" w14:textId="77777777" w:rsidTr="00B52F36">
        <w:tc>
          <w:tcPr>
            <w:tcW w:w="3385" w:type="dxa"/>
          </w:tcPr>
          <w:p w14:paraId="42B639E0" w14:textId="77777777" w:rsidR="004A3877" w:rsidRPr="0063119B" w:rsidRDefault="004A3877" w:rsidP="00B52F36">
            <w:pPr>
              <w:keepNext/>
              <w:spacing w:line="260" w:lineRule="exact"/>
              <w:rPr>
                <w:szCs w:val="22"/>
              </w:rPr>
            </w:pPr>
            <w:r w:rsidRPr="0063119B">
              <w:rPr>
                <w:szCs w:val="22"/>
              </w:rPr>
              <w:t>TEV sintomático recorrente*</w:t>
            </w:r>
          </w:p>
        </w:tc>
        <w:tc>
          <w:tcPr>
            <w:tcW w:w="3143" w:type="dxa"/>
          </w:tcPr>
          <w:p w14:paraId="63D71114" w14:textId="77777777" w:rsidR="004A3877" w:rsidRPr="0063119B" w:rsidRDefault="004A3877" w:rsidP="00B52F36">
            <w:pPr>
              <w:keepNext/>
              <w:spacing w:line="260" w:lineRule="exact"/>
              <w:rPr>
                <w:szCs w:val="22"/>
              </w:rPr>
            </w:pPr>
            <w:r w:rsidRPr="0063119B">
              <w:rPr>
                <w:szCs w:val="22"/>
              </w:rPr>
              <w:t>8</w:t>
            </w:r>
            <w:r w:rsidRPr="0063119B">
              <w:rPr>
                <w:szCs w:val="22"/>
              </w:rPr>
              <w:br/>
              <w:t>(1,3%)</w:t>
            </w:r>
          </w:p>
        </w:tc>
        <w:tc>
          <w:tcPr>
            <w:tcW w:w="2902" w:type="dxa"/>
          </w:tcPr>
          <w:p w14:paraId="4CB709C7" w14:textId="77777777" w:rsidR="004A3877" w:rsidRPr="0063119B" w:rsidRDefault="004A3877" w:rsidP="00B52F36">
            <w:pPr>
              <w:keepNext/>
              <w:spacing w:line="260" w:lineRule="exact"/>
              <w:rPr>
                <w:szCs w:val="22"/>
              </w:rPr>
            </w:pPr>
            <w:r w:rsidRPr="0063119B">
              <w:rPr>
                <w:szCs w:val="22"/>
              </w:rPr>
              <w:t>42</w:t>
            </w:r>
            <w:r w:rsidRPr="0063119B">
              <w:rPr>
                <w:szCs w:val="22"/>
              </w:rPr>
              <w:br/>
              <w:t>(7,1%)</w:t>
            </w:r>
          </w:p>
        </w:tc>
      </w:tr>
      <w:tr w:rsidR="004A3877" w:rsidRPr="0063119B" w14:paraId="28353E6B" w14:textId="77777777" w:rsidTr="00B52F36">
        <w:tc>
          <w:tcPr>
            <w:tcW w:w="3385" w:type="dxa"/>
          </w:tcPr>
          <w:p w14:paraId="61A98BB7" w14:textId="77777777" w:rsidR="004A3877" w:rsidRPr="0063119B" w:rsidRDefault="004A3877" w:rsidP="00B52F36">
            <w:pPr>
              <w:keepNext/>
              <w:spacing w:line="260" w:lineRule="exact"/>
              <w:rPr>
                <w:szCs w:val="22"/>
              </w:rPr>
            </w:pPr>
            <w:r w:rsidRPr="0063119B">
              <w:rPr>
                <w:szCs w:val="22"/>
              </w:rPr>
              <w:t xml:space="preserve">      EP sintomático recorrente</w:t>
            </w:r>
          </w:p>
        </w:tc>
        <w:tc>
          <w:tcPr>
            <w:tcW w:w="3143" w:type="dxa"/>
          </w:tcPr>
          <w:p w14:paraId="4061CC10" w14:textId="77777777" w:rsidR="004A3877" w:rsidRPr="0063119B" w:rsidRDefault="004A3877" w:rsidP="00B52F36">
            <w:pPr>
              <w:keepNext/>
              <w:spacing w:line="260" w:lineRule="exact"/>
              <w:rPr>
                <w:szCs w:val="22"/>
              </w:rPr>
            </w:pPr>
            <w:r w:rsidRPr="0063119B">
              <w:rPr>
                <w:szCs w:val="22"/>
              </w:rPr>
              <w:t>2</w:t>
            </w:r>
            <w:r w:rsidRPr="0063119B">
              <w:rPr>
                <w:szCs w:val="22"/>
              </w:rPr>
              <w:br/>
              <w:t>(0,3%)</w:t>
            </w:r>
          </w:p>
        </w:tc>
        <w:tc>
          <w:tcPr>
            <w:tcW w:w="2902" w:type="dxa"/>
          </w:tcPr>
          <w:p w14:paraId="02DE60D3" w14:textId="77777777" w:rsidR="004A3877" w:rsidRPr="0063119B" w:rsidRDefault="004A3877" w:rsidP="00B52F36">
            <w:pPr>
              <w:keepNext/>
              <w:spacing w:line="260" w:lineRule="exact"/>
              <w:rPr>
                <w:szCs w:val="22"/>
              </w:rPr>
            </w:pPr>
            <w:r w:rsidRPr="0063119B">
              <w:rPr>
                <w:szCs w:val="22"/>
              </w:rPr>
              <w:t>13</w:t>
            </w:r>
            <w:r w:rsidRPr="0063119B">
              <w:rPr>
                <w:szCs w:val="22"/>
              </w:rPr>
              <w:br/>
              <w:t>(2,2%)</w:t>
            </w:r>
          </w:p>
        </w:tc>
      </w:tr>
      <w:tr w:rsidR="004A3877" w:rsidRPr="0063119B" w14:paraId="45087797" w14:textId="77777777" w:rsidTr="00B52F36">
        <w:tc>
          <w:tcPr>
            <w:tcW w:w="3385" w:type="dxa"/>
          </w:tcPr>
          <w:p w14:paraId="1DA85875" w14:textId="77777777" w:rsidR="004A3877" w:rsidRPr="0063119B" w:rsidRDefault="004A3877" w:rsidP="00B52F36">
            <w:pPr>
              <w:keepNext/>
              <w:spacing w:line="260" w:lineRule="exact"/>
              <w:rPr>
                <w:szCs w:val="22"/>
              </w:rPr>
            </w:pPr>
            <w:r w:rsidRPr="0063119B">
              <w:rPr>
                <w:szCs w:val="22"/>
              </w:rPr>
              <w:t xml:space="preserve">     TVP sintomática recorrente</w:t>
            </w:r>
          </w:p>
        </w:tc>
        <w:tc>
          <w:tcPr>
            <w:tcW w:w="3143" w:type="dxa"/>
          </w:tcPr>
          <w:p w14:paraId="5E5632DB" w14:textId="77777777" w:rsidR="004A3877" w:rsidRPr="0063119B" w:rsidRDefault="004A3877" w:rsidP="00B52F36">
            <w:pPr>
              <w:keepNext/>
              <w:spacing w:line="260" w:lineRule="exact"/>
              <w:rPr>
                <w:szCs w:val="22"/>
              </w:rPr>
            </w:pPr>
            <w:r w:rsidRPr="0063119B">
              <w:rPr>
                <w:szCs w:val="22"/>
              </w:rPr>
              <w:t>5</w:t>
            </w:r>
            <w:r w:rsidRPr="0063119B">
              <w:rPr>
                <w:szCs w:val="22"/>
              </w:rPr>
              <w:br/>
              <w:t>(0,8%)</w:t>
            </w:r>
          </w:p>
        </w:tc>
        <w:tc>
          <w:tcPr>
            <w:tcW w:w="2902" w:type="dxa"/>
          </w:tcPr>
          <w:p w14:paraId="2BE9D7CC" w14:textId="77777777" w:rsidR="004A3877" w:rsidRPr="0063119B" w:rsidRDefault="004A3877" w:rsidP="00B52F36">
            <w:pPr>
              <w:keepNext/>
              <w:spacing w:line="260" w:lineRule="exact"/>
              <w:rPr>
                <w:szCs w:val="22"/>
              </w:rPr>
            </w:pPr>
            <w:r w:rsidRPr="0063119B">
              <w:rPr>
                <w:szCs w:val="22"/>
              </w:rPr>
              <w:t>31</w:t>
            </w:r>
            <w:r w:rsidRPr="0063119B">
              <w:rPr>
                <w:szCs w:val="22"/>
              </w:rPr>
              <w:br/>
              <w:t>(5,2%)</w:t>
            </w:r>
          </w:p>
        </w:tc>
      </w:tr>
      <w:tr w:rsidR="004A3877" w:rsidRPr="0063119B" w14:paraId="71871361" w14:textId="77777777" w:rsidTr="00B52F36">
        <w:tc>
          <w:tcPr>
            <w:tcW w:w="3385" w:type="dxa"/>
          </w:tcPr>
          <w:p w14:paraId="70E0A475" w14:textId="77777777" w:rsidR="004A3877" w:rsidRPr="0063119B" w:rsidRDefault="004A3877" w:rsidP="00B52F36">
            <w:pPr>
              <w:keepNext/>
              <w:spacing w:line="260" w:lineRule="exact"/>
              <w:ind w:left="252" w:hanging="252"/>
              <w:rPr>
                <w:szCs w:val="22"/>
              </w:rPr>
            </w:pPr>
            <w:r w:rsidRPr="0063119B">
              <w:rPr>
                <w:szCs w:val="22"/>
              </w:rPr>
              <w:t xml:space="preserve">      EP fatal/</w:t>
            </w:r>
            <w:r w:rsidR="00A407A9" w:rsidRPr="0063119B">
              <w:rPr>
                <w:szCs w:val="22"/>
              </w:rPr>
              <w:t xml:space="preserve">morte </w:t>
            </w:r>
            <w:r w:rsidRPr="0063119B">
              <w:rPr>
                <w:szCs w:val="22"/>
              </w:rPr>
              <w:t xml:space="preserve">na qual não se </w:t>
            </w:r>
          </w:p>
          <w:p w14:paraId="75121D14" w14:textId="77777777" w:rsidR="004A3877" w:rsidRPr="0063119B" w:rsidRDefault="004A3877" w:rsidP="00B52F36">
            <w:pPr>
              <w:keepNext/>
              <w:spacing w:line="260" w:lineRule="exact"/>
              <w:ind w:left="284"/>
              <w:rPr>
                <w:szCs w:val="22"/>
              </w:rPr>
            </w:pPr>
            <w:r w:rsidRPr="0063119B">
              <w:rPr>
                <w:szCs w:val="22"/>
              </w:rPr>
              <w:t xml:space="preserve"> pode excluir EP</w:t>
            </w:r>
          </w:p>
        </w:tc>
        <w:tc>
          <w:tcPr>
            <w:tcW w:w="3143" w:type="dxa"/>
          </w:tcPr>
          <w:p w14:paraId="52F27CC7" w14:textId="77777777" w:rsidR="004A3877" w:rsidRPr="0063119B" w:rsidRDefault="004A3877" w:rsidP="00B52F36">
            <w:pPr>
              <w:keepNext/>
              <w:spacing w:line="260" w:lineRule="exact"/>
              <w:rPr>
                <w:szCs w:val="22"/>
              </w:rPr>
            </w:pPr>
            <w:r w:rsidRPr="0063119B">
              <w:rPr>
                <w:szCs w:val="22"/>
              </w:rPr>
              <w:t>1</w:t>
            </w:r>
          </w:p>
          <w:p w14:paraId="3BA9C984" w14:textId="77777777" w:rsidR="004A3877" w:rsidRPr="0063119B" w:rsidRDefault="004A3877" w:rsidP="00B52F36">
            <w:pPr>
              <w:keepNext/>
              <w:spacing w:line="260" w:lineRule="exact"/>
              <w:rPr>
                <w:szCs w:val="22"/>
              </w:rPr>
            </w:pPr>
            <w:r w:rsidRPr="0063119B">
              <w:rPr>
                <w:szCs w:val="22"/>
              </w:rPr>
              <w:t>(0,2%)</w:t>
            </w:r>
          </w:p>
        </w:tc>
        <w:tc>
          <w:tcPr>
            <w:tcW w:w="2902" w:type="dxa"/>
          </w:tcPr>
          <w:p w14:paraId="7BA4A404" w14:textId="77777777" w:rsidR="004A3877" w:rsidRPr="0063119B" w:rsidRDefault="004A3877" w:rsidP="00B52F36">
            <w:pPr>
              <w:keepNext/>
              <w:spacing w:line="260" w:lineRule="exact"/>
              <w:rPr>
                <w:szCs w:val="22"/>
              </w:rPr>
            </w:pPr>
            <w:r w:rsidRPr="0063119B">
              <w:rPr>
                <w:szCs w:val="22"/>
              </w:rPr>
              <w:t>1</w:t>
            </w:r>
          </w:p>
          <w:p w14:paraId="76353033" w14:textId="77777777" w:rsidR="004A3877" w:rsidRPr="0063119B" w:rsidRDefault="004A3877" w:rsidP="00B52F36">
            <w:pPr>
              <w:keepNext/>
              <w:spacing w:line="260" w:lineRule="exact"/>
              <w:rPr>
                <w:szCs w:val="22"/>
              </w:rPr>
            </w:pPr>
            <w:r w:rsidRPr="0063119B">
              <w:rPr>
                <w:szCs w:val="22"/>
              </w:rPr>
              <w:t>(0,2%)</w:t>
            </w:r>
          </w:p>
        </w:tc>
      </w:tr>
      <w:tr w:rsidR="004A3877" w:rsidRPr="0063119B" w14:paraId="20170DD2" w14:textId="77777777" w:rsidTr="00B52F36">
        <w:tc>
          <w:tcPr>
            <w:tcW w:w="3385" w:type="dxa"/>
          </w:tcPr>
          <w:p w14:paraId="65FF5E02" w14:textId="77777777" w:rsidR="004A3877" w:rsidRPr="0063119B" w:rsidRDefault="004A3877" w:rsidP="00B52F36">
            <w:pPr>
              <w:keepNext/>
              <w:spacing w:line="260" w:lineRule="exact"/>
              <w:rPr>
                <w:szCs w:val="22"/>
              </w:rPr>
            </w:pPr>
            <w:r w:rsidRPr="0063119B">
              <w:rPr>
                <w:szCs w:val="22"/>
              </w:rPr>
              <w:t>Acontecimentos hemorrágicos principais</w:t>
            </w:r>
          </w:p>
        </w:tc>
        <w:tc>
          <w:tcPr>
            <w:tcW w:w="3143" w:type="dxa"/>
          </w:tcPr>
          <w:p w14:paraId="10C6509D" w14:textId="77777777" w:rsidR="004A3877" w:rsidRPr="0063119B" w:rsidRDefault="004A3877" w:rsidP="00B52F36">
            <w:pPr>
              <w:keepNext/>
              <w:spacing w:line="260" w:lineRule="exact"/>
              <w:rPr>
                <w:szCs w:val="22"/>
              </w:rPr>
            </w:pPr>
            <w:r w:rsidRPr="0063119B">
              <w:rPr>
                <w:szCs w:val="22"/>
              </w:rPr>
              <w:t>4</w:t>
            </w:r>
            <w:r w:rsidRPr="0063119B">
              <w:rPr>
                <w:szCs w:val="22"/>
              </w:rPr>
              <w:br/>
              <w:t>(0,7%)</w:t>
            </w:r>
          </w:p>
        </w:tc>
        <w:tc>
          <w:tcPr>
            <w:tcW w:w="2902" w:type="dxa"/>
          </w:tcPr>
          <w:p w14:paraId="230F615E" w14:textId="77777777" w:rsidR="004A3877" w:rsidRPr="0063119B" w:rsidRDefault="004A3877" w:rsidP="00B52F36">
            <w:pPr>
              <w:keepNext/>
              <w:spacing w:line="260" w:lineRule="exact"/>
              <w:rPr>
                <w:szCs w:val="22"/>
              </w:rPr>
            </w:pPr>
            <w:r w:rsidRPr="0063119B">
              <w:rPr>
                <w:szCs w:val="22"/>
              </w:rPr>
              <w:t>0</w:t>
            </w:r>
            <w:r w:rsidRPr="0063119B">
              <w:rPr>
                <w:szCs w:val="22"/>
              </w:rPr>
              <w:br/>
              <w:t>(0,0%)</w:t>
            </w:r>
          </w:p>
        </w:tc>
      </w:tr>
      <w:tr w:rsidR="004A3877" w:rsidRPr="0063119B" w14:paraId="371BDABF" w14:textId="77777777" w:rsidTr="00B52F36">
        <w:tc>
          <w:tcPr>
            <w:tcW w:w="3385" w:type="dxa"/>
          </w:tcPr>
          <w:p w14:paraId="2F79ED62" w14:textId="77777777" w:rsidR="004A3877" w:rsidRPr="0063119B" w:rsidRDefault="004A3877" w:rsidP="00B52F36">
            <w:pPr>
              <w:keepNext/>
              <w:spacing w:line="260" w:lineRule="exact"/>
              <w:rPr>
                <w:szCs w:val="22"/>
              </w:rPr>
            </w:pPr>
            <w:r w:rsidRPr="0063119B">
              <w:rPr>
                <w:szCs w:val="22"/>
              </w:rPr>
              <w:t>Hemorragia principal ou não principal clinicamente relevante</w:t>
            </w:r>
          </w:p>
        </w:tc>
        <w:tc>
          <w:tcPr>
            <w:tcW w:w="3143" w:type="dxa"/>
          </w:tcPr>
          <w:p w14:paraId="73949600" w14:textId="77777777" w:rsidR="004A3877" w:rsidRPr="0063119B" w:rsidRDefault="004A3877" w:rsidP="00B52F36">
            <w:pPr>
              <w:keepNext/>
              <w:spacing w:line="260" w:lineRule="exact"/>
              <w:rPr>
                <w:szCs w:val="22"/>
              </w:rPr>
            </w:pPr>
            <w:r w:rsidRPr="0063119B">
              <w:rPr>
                <w:szCs w:val="22"/>
              </w:rPr>
              <w:t>32</w:t>
            </w:r>
            <w:r w:rsidRPr="0063119B">
              <w:rPr>
                <w:szCs w:val="22"/>
              </w:rPr>
              <w:br/>
              <w:t>(5,4%)</w:t>
            </w:r>
          </w:p>
        </w:tc>
        <w:tc>
          <w:tcPr>
            <w:tcW w:w="2902" w:type="dxa"/>
          </w:tcPr>
          <w:p w14:paraId="264B7031" w14:textId="77777777" w:rsidR="004A3877" w:rsidRPr="0063119B" w:rsidRDefault="004A3877" w:rsidP="00B52F36">
            <w:pPr>
              <w:keepNext/>
              <w:spacing w:line="260" w:lineRule="exact"/>
              <w:rPr>
                <w:szCs w:val="22"/>
              </w:rPr>
            </w:pPr>
            <w:r w:rsidRPr="0063119B">
              <w:rPr>
                <w:szCs w:val="22"/>
              </w:rPr>
              <w:t>7</w:t>
            </w:r>
            <w:r w:rsidRPr="0063119B">
              <w:rPr>
                <w:szCs w:val="22"/>
              </w:rPr>
              <w:br/>
              <w:t>(1,2%)</w:t>
            </w:r>
          </w:p>
        </w:tc>
      </w:tr>
    </w:tbl>
    <w:p w14:paraId="42A3AE26" w14:textId="77777777" w:rsidR="00B52F36" w:rsidRPr="0063119B" w:rsidRDefault="00B52F36" w:rsidP="00B52F36">
      <w:pPr>
        <w:tabs>
          <w:tab w:val="left" w:pos="567"/>
        </w:tabs>
        <w:rPr>
          <w:szCs w:val="22"/>
        </w:rPr>
      </w:pPr>
      <w:r w:rsidRPr="0063119B">
        <w:rPr>
          <w:szCs w:val="22"/>
        </w:rPr>
        <w:t>a)</w:t>
      </w:r>
      <w:r w:rsidRPr="0063119B">
        <w:rPr>
          <w:szCs w:val="22"/>
        </w:rPr>
        <w:tab/>
        <w:t>Rivaroxabano 20 mg uma vez por dia</w:t>
      </w:r>
    </w:p>
    <w:p w14:paraId="1C5CBCB3" w14:textId="77777777" w:rsidR="00B52F36" w:rsidRPr="0063119B" w:rsidRDefault="00B52F36" w:rsidP="000746C9">
      <w:pPr>
        <w:pStyle w:val="Default"/>
        <w:tabs>
          <w:tab w:val="left" w:pos="567"/>
        </w:tabs>
        <w:rPr>
          <w:color w:val="auto"/>
          <w:sz w:val="22"/>
          <w:szCs w:val="22"/>
          <w:lang w:val="pt-PT"/>
        </w:rPr>
      </w:pPr>
      <w:r w:rsidRPr="0063119B">
        <w:rPr>
          <w:b/>
          <w:sz w:val="22"/>
          <w:szCs w:val="22"/>
          <w:lang w:val="pt-PT"/>
        </w:rPr>
        <w:t>*</w:t>
      </w:r>
      <w:r w:rsidRPr="0063119B">
        <w:rPr>
          <w:sz w:val="22"/>
          <w:szCs w:val="22"/>
          <w:lang w:val="pt-PT"/>
        </w:rPr>
        <w:tab/>
        <w:t xml:space="preserve">p &lt; 0,0001 (superioridade); </w:t>
      </w:r>
      <w:r w:rsidR="00A407A9" w:rsidRPr="0063119B">
        <w:rPr>
          <w:sz w:val="22"/>
          <w:szCs w:val="22"/>
          <w:lang w:val="pt-PT"/>
        </w:rPr>
        <w:t>RR</w:t>
      </w:r>
      <w:r w:rsidRPr="0063119B">
        <w:rPr>
          <w:sz w:val="22"/>
          <w:szCs w:val="22"/>
          <w:lang w:val="pt-PT"/>
        </w:rPr>
        <w:t>: 0,185 (0,087 </w:t>
      </w:r>
      <w:r w:rsidR="000E46B1" w:rsidRPr="0063119B">
        <w:rPr>
          <w:sz w:val="22"/>
          <w:szCs w:val="22"/>
          <w:lang w:val="pt-PT"/>
        </w:rPr>
        <w:t>-</w:t>
      </w:r>
      <w:r w:rsidRPr="0063119B">
        <w:rPr>
          <w:sz w:val="22"/>
          <w:szCs w:val="22"/>
          <w:lang w:val="pt-PT"/>
        </w:rPr>
        <w:t> 0,393)</w:t>
      </w:r>
    </w:p>
    <w:p w14:paraId="2CBFF126" w14:textId="77777777" w:rsidR="00390935" w:rsidRPr="0063119B" w:rsidRDefault="00390935" w:rsidP="00437410">
      <w:pPr>
        <w:suppressAutoHyphens/>
        <w:rPr>
          <w:noProof/>
          <w:szCs w:val="22"/>
        </w:rPr>
      </w:pPr>
    </w:p>
    <w:p w14:paraId="5A931BA4" w14:textId="77777777" w:rsidR="00B52F36" w:rsidRPr="0063119B" w:rsidRDefault="00B52F36" w:rsidP="00437410">
      <w:pPr>
        <w:suppressAutoHyphens/>
        <w:rPr>
          <w:rFonts w:eastAsia="PMingLiU"/>
          <w:szCs w:val="22"/>
          <w:lang w:eastAsia="zh-TW"/>
        </w:rPr>
      </w:pPr>
      <w:r w:rsidRPr="0063119B">
        <w:rPr>
          <w:rFonts w:eastAsia="PMingLiU"/>
          <w:szCs w:val="22"/>
          <w:lang w:eastAsia="zh-TW"/>
        </w:rPr>
        <w:t>No estudo Einstein Choice (ver Quadro 9), 20 mg e</w:t>
      </w:r>
      <w:r w:rsidR="0044465D" w:rsidRPr="0063119B">
        <w:rPr>
          <w:rFonts w:eastAsia="PMingLiU"/>
          <w:szCs w:val="22"/>
          <w:lang w:eastAsia="zh-TW"/>
        </w:rPr>
        <w:t xml:space="preserve"> 10 </w:t>
      </w:r>
      <w:r w:rsidRPr="0063119B">
        <w:rPr>
          <w:rFonts w:eastAsia="PMingLiU"/>
          <w:szCs w:val="22"/>
          <w:lang w:eastAsia="zh-TW"/>
        </w:rPr>
        <w:t>mg</w:t>
      </w:r>
      <w:r w:rsidR="004C32BA" w:rsidRPr="0063119B">
        <w:rPr>
          <w:rFonts w:eastAsia="PMingLiU"/>
          <w:szCs w:val="22"/>
          <w:lang w:eastAsia="zh-TW"/>
        </w:rPr>
        <w:t xml:space="preserve"> de</w:t>
      </w:r>
      <w:r w:rsidRPr="0063119B">
        <w:rPr>
          <w:rFonts w:eastAsia="PMingLiU"/>
          <w:szCs w:val="22"/>
          <w:lang w:eastAsia="zh-TW"/>
        </w:rPr>
        <w:t xml:space="preserve"> </w:t>
      </w:r>
      <w:r w:rsidR="004C32BA" w:rsidRPr="0063119B">
        <w:rPr>
          <w:noProof/>
          <w:szCs w:val="22"/>
        </w:rPr>
        <w:t>rivaroxabano</w:t>
      </w:r>
      <w:r w:rsidR="004C32BA" w:rsidRPr="0063119B">
        <w:rPr>
          <w:rFonts w:eastAsia="PMingLiU"/>
          <w:szCs w:val="22"/>
          <w:lang w:eastAsia="zh-TW"/>
        </w:rPr>
        <w:t xml:space="preserve"> </w:t>
      </w:r>
      <w:r w:rsidRPr="0063119B">
        <w:rPr>
          <w:rFonts w:eastAsia="PMingLiU"/>
          <w:szCs w:val="22"/>
          <w:lang w:eastAsia="zh-TW"/>
        </w:rPr>
        <w:t>foram ambos superior</w:t>
      </w:r>
      <w:r w:rsidR="00CD3E37" w:rsidRPr="0063119B">
        <w:rPr>
          <w:rFonts w:eastAsia="PMingLiU"/>
          <w:szCs w:val="22"/>
          <w:lang w:eastAsia="zh-TW"/>
        </w:rPr>
        <w:t>es</w:t>
      </w:r>
      <w:r w:rsidRPr="0063119B">
        <w:rPr>
          <w:rFonts w:eastAsia="PMingLiU"/>
          <w:szCs w:val="22"/>
          <w:lang w:eastAsia="zh-TW"/>
        </w:rPr>
        <w:t xml:space="preserve"> aos 100 mg de ácido acetilsalicílico para o objetivo primário da eficácia. O objetivo principal da segurança (acontecimentos hemorrágicos </w:t>
      </w:r>
      <w:r w:rsidR="00417496" w:rsidRPr="0063119B">
        <w:rPr>
          <w:rFonts w:eastAsia="PMingLiU"/>
          <w:szCs w:val="22"/>
          <w:lang w:eastAsia="zh-TW"/>
        </w:rPr>
        <w:t>principais</w:t>
      </w:r>
      <w:r w:rsidRPr="0063119B">
        <w:rPr>
          <w:rFonts w:eastAsia="PMingLiU"/>
          <w:szCs w:val="22"/>
          <w:lang w:eastAsia="zh-TW"/>
        </w:rPr>
        <w:t>) foi semelhante para os doentes tratados com 20 mg e 10 mg</w:t>
      </w:r>
      <w:r w:rsidR="004C32BA" w:rsidRPr="0063119B">
        <w:rPr>
          <w:rFonts w:eastAsia="PMingLiU"/>
          <w:szCs w:val="22"/>
          <w:lang w:eastAsia="zh-TW"/>
        </w:rPr>
        <w:t xml:space="preserve"> de </w:t>
      </w:r>
      <w:r w:rsidR="004C32BA" w:rsidRPr="0063119B">
        <w:rPr>
          <w:noProof/>
          <w:szCs w:val="22"/>
        </w:rPr>
        <w:t>rivaroxabano</w:t>
      </w:r>
      <w:r w:rsidRPr="0063119B">
        <w:rPr>
          <w:rFonts w:eastAsia="PMingLiU"/>
          <w:szCs w:val="22"/>
          <w:lang w:eastAsia="zh-TW"/>
        </w:rPr>
        <w:t xml:space="preserve"> uma vez por dia, em comparação com 100 mg de ácido acetilsalicílico.</w:t>
      </w:r>
    </w:p>
    <w:p w14:paraId="58983E70" w14:textId="77777777" w:rsidR="00B52F36" w:rsidRPr="0063119B" w:rsidRDefault="00B52F36" w:rsidP="00437410">
      <w:pPr>
        <w:suppressAutoHyphens/>
        <w:rPr>
          <w:noProof/>
          <w:szCs w:val="22"/>
        </w:rPr>
      </w:pPr>
    </w:p>
    <w:tbl>
      <w:tblPr>
        <w:tblW w:w="0" w:type="auto"/>
        <w:tblInd w:w="108" w:type="dxa"/>
        <w:tblLook w:val="01E0" w:firstRow="1" w:lastRow="1" w:firstColumn="1" w:lastColumn="1" w:noHBand="0" w:noVBand="0"/>
      </w:tblPr>
      <w:tblGrid>
        <w:gridCol w:w="2699"/>
        <w:gridCol w:w="2147"/>
        <w:gridCol w:w="2038"/>
        <w:gridCol w:w="2079"/>
      </w:tblGrid>
      <w:tr w:rsidR="00B52F36" w:rsidRPr="0063119B" w14:paraId="163926F0" w14:textId="77777777" w:rsidTr="000746C9">
        <w:tc>
          <w:tcPr>
            <w:tcW w:w="9168" w:type="dxa"/>
            <w:gridSpan w:val="4"/>
          </w:tcPr>
          <w:p w14:paraId="63A0430D" w14:textId="77777777" w:rsidR="00B52F36" w:rsidRPr="0063119B" w:rsidRDefault="00745FAD" w:rsidP="00745FAD">
            <w:pPr>
              <w:pStyle w:val="Caption"/>
              <w:keepLines/>
              <w:ind w:left="0"/>
              <w:jc w:val="both"/>
              <w:rPr>
                <w:szCs w:val="22"/>
                <w:lang w:val="pt-PT"/>
              </w:rPr>
            </w:pPr>
            <w:r w:rsidRPr="0063119B">
              <w:rPr>
                <w:szCs w:val="22"/>
                <w:lang w:val="pt-PT"/>
              </w:rPr>
              <w:lastRenderedPageBreak/>
              <w:t>Quadro</w:t>
            </w:r>
            <w:r w:rsidR="00B52F36" w:rsidRPr="0063119B">
              <w:rPr>
                <w:szCs w:val="22"/>
                <w:lang w:val="pt-PT"/>
              </w:rPr>
              <w:t> 9: Resultados da eficácia e segurança do estudo de fase III Einstein Choice</w:t>
            </w:r>
          </w:p>
        </w:tc>
      </w:tr>
      <w:tr w:rsidR="00B52F36" w:rsidRPr="0063119B" w14:paraId="0D2D868A" w14:textId="77777777" w:rsidTr="00074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7" w:type="dxa"/>
            <w:vAlign w:val="center"/>
          </w:tcPr>
          <w:p w14:paraId="2997772B" w14:textId="77777777" w:rsidR="00B52F36" w:rsidRPr="0063119B" w:rsidRDefault="00B52F36" w:rsidP="000746C9">
            <w:pPr>
              <w:pStyle w:val="BayerTableColumnHeadings"/>
              <w:keepNext/>
              <w:keepLines/>
              <w:ind w:left="34"/>
              <w:jc w:val="left"/>
              <w:rPr>
                <w:bCs/>
                <w:szCs w:val="22"/>
              </w:rPr>
            </w:pPr>
            <w:proofErr w:type="spellStart"/>
            <w:r w:rsidRPr="0063119B">
              <w:rPr>
                <w:bCs/>
                <w:szCs w:val="22"/>
              </w:rPr>
              <w:t>População</w:t>
            </w:r>
            <w:proofErr w:type="spellEnd"/>
            <w:r w:rsidRPr="0063119B">
              <w:rPr>
                <w:bCs/>
                <w:szCs w:val="22"/>
              </w:rPr>
              <w:t xml:space="preserve"> do </w:t>
            </w:r>
            <w:proofErr w:type="spellStart"/>
            <w:r w:rsidRPr="0063119B">
              <w:rPr>
                <w:bCs/>
                <w:szCs w:val="22"/>
              </w:rPr>
              <w:t>estudo</w:t>
            </w:r>
            <w:proofErr w:type="spellEnd"/>
          </w:p>
        </w:tc>
        <w:tc>
          <w:tcPr>
            <w:tcW w:w="6401" w:type="dxa"/>
            <w:gridSpan w:val="3"/>
          </w:tcPr>
          <w:p w14:paraId="32C36604" w14:textId="77777777" w:rsidR="00B52F36" w:rsidRPr="0063119B" w:rsidRDefault="00B52F36" w:rsidP="000746C9">
            <w:pPr>
              <w:pStyle w:val="BayerTableColumnHeadings"/>
              <w:keepNext/>
              <w:keepLines/>
              <w:jc w:val="left"/>
              <w:rPr>
                <w:bCs/>
                <w:szCs w:val="22"/>
                <w:lang w:val="pt-PT"/>
              </w:rPr>
            </w:pPr>
            <w:r w:rsidRPr="0063119B">
              <w:rPr>
                <w:bCs/>
                <w:szCs w:val="22"/>
                <w:lang w:val="pt-PT"/>
              </w:rPr>
              <w:t xml:space="preserve">3.396 doentes continuaram a fazer </w:t>
            </w:r>
            <w:r w:rsidRPr="0063119B">
              <w:rPr>
                <w:bCs/>
                <w:iCs/>
                <w:szCs w:val="22"/>
                <w:lang w:val="pt-PT"/>
              </w:rPr>
              <w:t>prevenção do tromboembolismo venoso recorrente</w:t>
            </w:r>
          </w:p>
        </w:tc>
      </w:tr>
      <w:tr w:rsidR="00B52F36" w:rsidRPr="0063119B" w14:paraId="4E3A3271" w14:textId="77777777" w:rsidTr="00074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7" w:type="dxa"/>
            <w:vAlign w:val="center"/>
          </w:tcPr>
          <w:p w14:paraId="268F22DE" w14:textId="77777777" w:rsidR="00B52F36" w:rsidRPr="0063119B" w:rsidRDefault="008B4FFC" w:rsidP="000746C9">
            <w:pPr>
              <w:pStyle w:val="BayerTableRowHeadings"/>
              <w:keepLines/>
              <w:spacing w:before="60" w:after="60"/>
              <w:ind w:left="34"/>
              <w:rPr>
                <w:b/>
                <w:bCs/>
                <w:szCs w:val="22"/>
              </w:rPr>
            </w:pPr>
            <w:r w:rsidRPr="0063119B">
              <w:rPr>
                <w:b/>
                <w:bCs/>
                <w:szCs w:val="22"/>
              </w:rPr>
              <w:t xml:space="preserve">Doses do </w:t>
            </w:r>
            <w:proofErr w:type="spellStart"/>
            <w:r w:rsidRPr="0063119B">
              <w:rPr>
                <w:b/>
                <w:bCs/>
                <w:szCs w:val="22"/>
              </w:rPr>
              <w:t>tratamento</w:t>
            </w:r>
            <w:proofErr w:type="spellEnd"/>
            <w:r w:rsidR="00B52F36" w:rsidRPr="0063119B">
              <w:rPr>
                <w:b/>
                <w:bCs/>
                <w:szCs w:val="22"/>
              </w:rPr>
              <w:t xml:space="preserve"> </w:t>
            </w:r>
          </w:p>
        </w:tc>
        <w:tc>
          <w:tcPr>
            <w:tcW w:w="2185" w:type="dxa"/>
            <w:vAlign w:val="center"/>
          </w:tcPr>
          <w:p w14:paraId="5C39641B" w14:textId="77777777" w:rsidR="00B52F36" w:rsidRPr="0063119B" w:rsidRDefault="004C32BA" w:rsidP="000746C9">
            <w:pPr>
              <w:pStyle w:val="BayerBodyTextFull"/>
              <w:keepNext/>
              <w:keepLines/>
              <w:spacing w:before="60" w:after="60"/>
              <w:ind w:left="12"/>
              <w:rPr>
                <w:b/>
                <w:bCs/>
                <w:sz w:val="22"/>
                <w:szCs w:val="22"/>
                <w:lang w:val="pt-PT"/>
              </w:rPr>
            </w:pPr>
            <w:r w:rsidRPr="0063119B">
              <w:rPr>
                <w:b/>
                <w:bCs/>
                <w:noProof/>
                <w:sz w:val="22"/>
                <w:szCs w:val="22"/>
                <w:lang w:val="pt-PT"/>
              </w:rPr>
              <w:t>Rivaroxabano</w:t>
            </w:r>
            <w:r w:rsidR="00B52F36" w:rsidRPr="0063119B">
              <w:rPr>
                <w:b/>
                <w:bCs/>
                <w:sz w:val="22"/>
                <w:szCs w:val="22"/>
                <w:lang w:val="pt-PT"/>
              </w:rPr>
              <w:t xml:space="preserve"> 20</w:t>
            </w:r>
            <w:r w:rsidR="008B4FFC" w:rsidRPr="0063119B">
              <w:rPr>
                <w:b/>
                <w:bCs/>
                <w:sz w:val="22"/>
                <w:szCs w:val="22"/>
                <w:lang w:val="pt-PT"/>
              </w:rPr>
              <w:t> </w:t>
            </w:r>
            <w:r w:rsidR="00B52F36" w:rsidRPr="0063119B">
              <w:rPr>
                <w:b/>
                <w:bCs/>
                <w:sz w:val="22"/>
                <w:szCs w:val="22"/>
                <w:lang w:val="pt-PT"/>
              </w:rPr>
              <w:t xml:space="preserve">mg </w:t>
            </w:r>
            <w:r w:rsidR="00EC413E" w:rsidRPr="0063119B">
              <w:rPr>
                <w:b/>
                <w:bCs/>
                <w:sz w:val="22"/>
                <w:szCs w:val="22"/>
                <w:lang w:val="pt-PT"/>
              </w:rPr>
              <w:t xml:space="preserve">uma vez </w:t>
            </w:r>
            <w:r w:rsidR="00EC138C" w:rsidRPr="0063119B">
              <w:rPr>
                <w:b/>
                <w:bCs/>
                <w:sz w:val="22"/>
                <w:szCs w:val="22"/>
                <w:lang w:val="pt-PT"/>
              </w:rPr>
              <w:t>por</w:t>
            </w:r>
            <w:r w:rsidR="00EC413E" w:rsidRPr="0063119B">
              <w:rPr>
                <w:b/>
                <w:bCs/>
                <w:sz w:val="22"/>
                <w:szCs w:val="22"/>
                <w:lang w:val="pt-PT"/>
              </w:rPr>
              <w:t xml:space="preserve"> dia</w:t>
            </w:r>
          </w:p>
          <w:p w14:paraId="20C24843" w14:textId="77777777" w:rsidR="00B52F36" w:rsidRPr="0063119B" w:rsidRDefault="008B4FFC" w:rsidP="000746C9">
            <w:pPr>
              <w:pStyle w:val="BayerBodyTextFull"/>
              <w:keepNext/>
              <w:keepLines/>
              <w:spacing w:before="60" w:after="60"/>
              <w:ind w:left="12"/>
              <w:rPr>
                <w:b/>
                <w:bCs/>
                <w:sz w:val="22"/>
                <w:szCs w:val="22"/>
              </w:rPr>
            </w:pPr>
            <w:r w:rsidRPr="0063119B">
              <w:rPr>
                <w:b/>
                <w:bCs/>
                <w:sz w:val="22"/>
                <w:szCs w:val="22"/>
              </w:rPr>
              <w:t>N=1.</w:t>
            </w:r>
            <w:r w:rsidR="00B52F36" w:rsidRPr="0063119B">
              <w:rPr>
                <w:b/>
                <w:bCs/>
                <w:sz w:val="22"/>
                <w:szCs w:val="22"/>
              </w:rPr>
              <w:t>107</w:t>
            </w:r>
          </w:p>
        </w:tc>
        <w:tc>
          <w:tcPr>
            <w:tcW w:w="2069" w:type="dxa"/>
            <w:vAlign w:val="center"/>
          </w:tcPr>
          <w:p w14:paraId="585AEDC2" w14:textId="77777777" w:rsidR="00B52F36" w:rsidRPr="0063119B" w:rsidRDefault="004C32BA" w:rsidP="000746C9">
            <w:pPr>
              <w:pStyle w:val="BayerBodyTextFull"/>
              <w:keepNext/>
              <w:keepLines/>
              <w:spacing w:before="60" w:after="60"/>
              <w:ind w:left="12"/>
              <w:rPr>
                <w:b/>
                <w:bCs/>
                <w:sz w:val="22"/>
                <w:szCs w:val="22"/>
                <w:lang w:val="pt-PT"/>
              </w:rPr>
            </w:pPr>
            <w:r w:rsidRPr="0063119B">
              <w:rPr>
                <w:b/>
                <w:bCs/>
                <w:noProof/>
                <w:sz w:val="22"/>
                <w:szCs w:val="22"/>
                <w:lang w:val="pt-PT"/>
              </w:rPr>
              <w:t>Rivaroxabano</w:t>
            </w:r>
            <w:r w:rsidR="008B4FFC" w:rsidRPr="0063119B">
              <w:rPr>
                <w:b/>
                <w:bCs/>
                <w:sz w:val="22"/>
                <w:szCs w:val="22"/>
                <w:lang w:val="pt-PT"/>
              </w:rPr>
              <w:t xml:space="preserve"> 10 </w:t>
            </w:r>
            <w:r w:rsidR="00B52F36" w:rsidRPr="0063119B">
              <w:rPr>
                <w:b/>
                <w:bCs/>
                <w:sz w:val="22"/>
                <w:szCs w:val="22"/>
                <w:lang w:val="pt-PT"/>
              </w:rPr>
              <w:t xml:space="preserve">mg </w:t>
            </w:r>
            <w:r w:rsidR="00EC138C" w:rsidRPr="0063119B">
              <w:rPr>
                <w:b/>
                <w:bCs/>
                <w:sz w:val="22"/>
                <w:szCs w:val="22"/>
                <w:lang w:val="pt-PT"/>
              </w:rPr>
              <w:t>uma vez por</w:t>
            </w:r>
            <w:r w:rsidR="00EC413E" w:rsidRPr="0063119B">
              <w:rPr>
                <w:b/>
                <w:bCs/>
                <w:sz w:val="22"/>
                <w:szCs w:val="22"/>
                <w:lang w:val="pt-PT"/>
              </w:rPr>
              <w:t xml:space="preserve"> dia</w:t>
            </w:r>
          </w:p>
          <w:p w14:paraId="336006E4" w14:textId="77777777" w:rsidR="00B52F36" w:rsidRPr="0063119B" w:rsidRDefault="008B4FFC" w:rsidP="000746C9">
            <w:pPr>
              <w:pStyle w:val="BayerBodyTextFull"/>
              <w:keepNext/>
              <w:keepLines/>
              <w:spacing w:before="60" w:after="60"/>
              <w:ind w:left="12"/>
              <w:rPr>
                <w:b/>
                <w:bCs/>
                <w:sz w:val="22"/>
                <w:szCs w:val="22"/>
              </w:rPr>
            </w:pPr>
            <w:r w:rsidRPr="0063119B">
              <w:rPr>
                <w:b/>
                <w:bCs/>
                <w:sz w:val="22"/>
                <w:szCs w:val="22"/>
              </w:rPr>
              <w:t>N=1.</w:t>
            </w:r>
            <w:r w:rsidR="00B52F36" w:rsidRPr="0063119B">
              <w:rPr>
                <w:b/>
                <w:bCs/>
                <w:sz w:val="22"/>
                <w:szCs w:val="22"/>
              </w:rPr>
              <w:t>127</w:t>
            </w:r>
          </w:p>
        </w:tc>
        <w:tc>
          <w:tcPr>
            <w:tcW w:w="2147" w:type="dxa"/>
            <w:vAlign w:val="center"/>
          </w:tcPr>
          <w:p w14:paraId="05F52363" w14:textId="77777777" w:rsidR="00B52F36" w:rsidRPr="0063119B" w:rsidRDefault="008B4FFC" w:rsidP="000746C9">
            <w:pPr>
              <w:pStyle w:val="BayerBodyTextFull"/>
              <w:keepNext/>
              <w:keepLines/>
              <w:spacing w:before="60" w:after="60"/>
              <w:ind w:left="12"/>
              <w:rPr>
                <w:b/>
                <w:bCs/>
                <w:sz w:val="22"/>
                <w:szCs w:val="22"/>
                <w:lang w:val="pt-PT"/>
              </w:rPr>
            </w:pPr>
            <w:r w:rsidRPr="0063119B">
              <w:rPr>
                <w:b/>
                <w:bCs/>
                <w:sz w:val="22"/>
                <w:szCs w:val="22"/>
                <w:lang w:val="pt-PT"/>
              </w:rPr>
              <w:t>A</w:t>
            </w:r>
            <w:r w:rsidR="0044465D" w:rsidRPr="0063119B">
              <w:rPr>
                <w:b/>
                <w:bCs/>
                <w:sz w:val="22"/>
                <w:szCs w:val="22"/>
                <w:lang w:val="pt-PT"/>
              </w:rPr>
              <w:t>A</w:t>
            </w:r>
            <w:r w:rsidRPr="0063119B">
              <w:rPr>
                <w:b/>
                <w:bCs/>
                <w:sz w:val="22"/>
                <w:szCs w:val="22"/>
                <w:lang w:val="pt-PT"/>
              </w:rPr>
              <w:t>S 100 </w:t>
            </w:r>
            <w:r w:rsidR="00B52F36" w:rsidRPr="0063119B">
              <w:rPr>
                <w:b/>
                <w:bCs/>
                <w:sz w:val="22"/>
                <w:szCs w:val="22"/>
                <w:lang w:val="pt-PT"/>
              </w:rPr>
              <w:t xml:space="preserve">mg </w:t>
            </w:r>
            <w:r w:rsidR="00EC413E" w:rsidRPr="0063119B">
              <w:rPr>
                <w:b/>
                <w:bCs/>
                <w:sz w:val="22"/>
                <w:szCs w:val="22"/>
                <w:lang w:val="pt-PT"/>
              </w:rPr>
              <w:t xml:space="preserve">uma vez </w:t>
            </w:r>
            <w:r w:rsidR="00EC138C" w:rsidRPr="0063119B">
              <w:rPr>
                <w:b/>
                <w:bCs/>
                <w:sz w:val="22"/>
                <w:szCs w:val="22"/>
                <w:lang w:val="pt-PT"/>
              </w:rPr>
              <w:t>por</w:t>
            </w:r>
            <w:r w:rsidR="00EC413E" w:rsidRPr="0063119B">
              <w:rPr>
                <w:b/>
                <w:bCs/>
                <w:sz w:val="22"/>
                <w:szCs w:val="22"/>
                <w:lang w:val="pt-PT"/>
              </w:rPr>
              <w:t xml:space="preserve"> dia</w:t>
            </w:r>
          </w:p>
          <w:p w14:paraId="285B362D" w14:textId="77777777" w:rsidR="00B52F36" w:rsidRPr="0063119B" w:rsidRDefault="008B4FFC" w:rsidP="000746C9">
            <w:pPr>
              <w:pStyle w:val="BayerBodyTextFull"/>
              <w:keepNext/>
              <w:keepLines/>
              <w:spacing w:before="60" w:after="60"/>
              <w:ind w:left="12"/>
              <w:rPr>
                <w:b/>
                <w:bCs/>
                <w:sz w:val="22"/>
                <w:szCs w:val="22"/>
              </w:rPr>
            </w:pPr>
            <w:r w:rsidRPr="0063119B">
              <w:rPr>
                <w:b/>
                <w:bCs/>
                <w:sz w:val="22"/>
                <w:szCs w:val="22"/>
              </w:rPr>
              <w:t>N=1.</w:t>
            </w:r>
            <w:r w:rsidR="00B52F36" w:rsidRPr="0063119B">
              <w:rPr>
                <w:b/>
                <w:bCs/>
                <w:sz w:val="22"/>
                <w:szCs w:val="22"/>
              </w:rPr>
              <w:t>131</w:t>
            </w:r>
          </w:p>
        </w:tc>
      </w:tr>
      <w:tr w:rsidR="00B52F36" w:rsidRPr="0063119B" w14:paraId="69B24E1E" w14:textId="77777777" w:rsidTr="00074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29ADE794" w14:textId="77777777" w:rsidR="00B52F36" w:rsidRPr="0063119B" w:rsidRDefault="008B4FFC" w:rsidP="008B4FFC">
            <w:pPr>
              <w:pStyle w:val="BayerTableRowHeadings"/>
              <w:spacing w:before="60" w:after="60"/>
              <w:ind w:left="34"/>
              <w:rPr>
                <w:szCs w:val="22"/>
                <w:lang w:val="pt-PT"/>
              </w:rPr>
            </w:pPr>
            <w:r w:rsidRPr="0063119B">
              <w:rPr>
                <w:szCs w:val="22"/>
                <w:lang w:val="pt-PT"/>
              </w:rPr>
              <w:t>Duração mediana do tratamento</w:t>
            </w:r>
            <w:r w:rsidR="00B52F36" w:rsidRPr="0063119B">
              <w:rPr>
                <w:szCs w:val="22"/>
                <w:lang w:val="pt-PT"/>
              </w:rPr>
              <w:t xml:space="preserve"> [</w:t>
            </w:r>
            <w:r w:rsidRPr="0063119B">
              <w:rPr>
                <w:szCs w:val="22"/>
                <w:lang w:val="pt-PT"/>
              </w:rPr>
              <w:t>interval</w:t>
            </w:r>
            <w:r w:rsidR="00B310DB" w:rsidRPr="0063119B">
              <w:rPr>
                <w:szCs w:val="22"/>
                <w:lang w:val="pt-PT"/>
              </w:rPr>
              <w:t>o</w:t>
            </w:r>
            <w:r w:rsidRPr="0063119B">
              <w:rPr>
                <w:szCs w:val="22"/>
                <w:lang w:val="pt-PT"/>
              </w:rPr>
              <w:t xml:space="preserve"> </w:t>
            </w:r>
            <w:r w:rsidR="00B52F36" w:rsidRPr="0063119B">
              <w:rPr>
                <w:szCs w:val="22"/>
                <w:lang w:val="pt-PT"/>
              </w:rPr>
              <w:t>interquartil]</w:t>
            </w:r>
          </w:p>
        </w:tc>
        <w:tc>
          <w:tcPr>
            <w:tcW w:w="2185" w:type="dxa"/>
            <w:vAlign w:val="center"/>
          </w:tcPr>
          <w:p w14:paraId="0F99DA08" w14:textId="77777777" w:rsidR="00B52F36" w:rsidRPr="0063119B" w:rsidRDefault="008B4FFC" w:rsidP="008B4FFC">
            <w:pPr>
              <w:pStyle w:val="BayerBodyTextFull"/>
              <w:keepNext/>
              <w:spacing w:before="60" w:after="60"/>
              <w:ind w:left="12"/>
              <w:rPr>
                <w:sz w:val="22"/>
                <w:szCs w:val="22"/>
              </w:rPr>
            </w:pPr>
            <w:r w:rsidRPr="0063119B">
              <w:rPr>
                <w:sz w:val="22"/>
                <w:szCs w:val="22"/>
              </w:rPr>
              <w:t>349 [189-362] </w:t>
            </w:r>
            <w:proofErr w:type="spellStart"/>
            <w:r w:rsidR="00B52F36" w:rsidRPr="0063119B">
              <w:rPr>
                <w:sz w:val="22"/>
                <w:szCs w:val="22"/>
              </w:rPr>
              <w:t>d</w:t>
            </w:r>
            <w:r w:rsidRPr="0063119B">
              <w:rPr>
                <w:sz w:val="22"/>
                <w:szCs w:val="22"/>
              </w:rPr>
              <w:t>i</w:t>
            </w:r>
            <w:r w:rsidR="00B52F36" w:rsidRPr="0063119B">
              <w:rPr>
                <w:sz w:val="22"/>
                <w:szCs w:val="22"/>
              </w:rPr>
              <w:t>as</w:t>
            </w:r>
            <w:proofErr w:type="spellEnd"/>
          </w:p>
        </w:tc>
        <w:tc>
          <w:tcPr>
            <w:tcW w:w="2069" w:type="dxa"/>
            <w:vAlign w:val="center"/>
          </w:tcPr>
          <w:p w14:paraId="1C4E2067" w14:textId="77777777" w:rsidR="00B52F36" w:rsidRPr="0063119B" w:rsidRDefault="008B4FFC" w:rsidP="008B4FFC">
            <w:pPr>
              <w:pStyle w:val="BayerBodyTextFull"/>
              <w:keepNext/>
              <w:spacing w:before="60" w:after="60"/>
              <w:ind w:left="12"/>
              <w:rPr>
                <w:sz w:val="22"/>
                <w:szCs w:val="22"/>
              </w:rPr>
            </w:pPr>
            <w:r w:rsidRPr="0063119B">
              <w:rPr>
                <w:sz w:val="22"/>
                <w:szCs w:val="22"/>
              </w:rPr>
              <w:t>353 [190-362] </w:t>
            </w:r>
            <w:proofErr w:type="spellStart"/>
            <w:r w:rsidR="00B52F36" w:rsidRPr="0063119B">
              <w:rPr>
                <w:sz w:val="22"/>
                <w:szCs w:val="22"/>
              </w:rPr>
              <w:t>d</w:t>
            </w:r>
            <w:r w:rsidRPr="0063119B">
              <w:rPr>
                <w:sz w:val="22"/>
                <w:szCs w:val="22"/>
              </w:rPr>
              <w:t>i</w:t>
            </w:r>
            <w:r w:rsidR="00B52F36" w:rsidRPr="0063119B">
              <w:rPr>
                <w:sz w:val="22"/>
                <w:szCs w:val="22"/>
              </w:rPr>
              <w:t>as</w:t>
            </w:r>
            <w:proofErr w:type="spellEnd"/>
          </w:p>
        </w:tc>
        <w:tc>
          <w:tcPr>
            <w:tcW w:w="2147" w:type="dxa"/>
            <w:vAlign w:val="center"/>
          </w:tcPr>
          <w:p w14:paraId="7C3DCB6F" w14:textId="77777777" w:rsidR="00B52F36" w:rsidRPr="0063119B" w:rsidRDefault="00B52F36" w:rsidP="008B4FFC">
            <w:pPr>
              <w:pStyle w:val="BayerBodyTextFull"/>
              <w:keepNext/>
              <w:spacing w:before="60" w:after="60"/>
              <w:ind w:left="12"/>
              <w:rPr>
                <w:sz w:val="22"/>
                <w:szCs w:val="22"/>
              </w:rPr>
            </w:pPr>
            <w:r w:rsidRPr="0063119B">
              <w:rPr>
                <w:sz w:val="22"/>
                <w:szCs w:val="22"/>
              </w:rPr>
              <w:t>350 [186</w:t>
            </w:r>
            <w:r w:rsidR="008B4FFC" w:rsidRPr="0063119B">
              <w:rPr>
                <w:sz w:val="22"/>
                <w:szCs w:val="22"/>
              </w:rPr>
              <w:t>-362] </w:t>
            </w:r>
            <w:proofErr w:type="spellStart"/>
            <w:r w:rsidRPr="0063119B">
              <w:rPr>
                <w:sz w:val="22"/>
                <w:szCs w:val="22"/>
              </w:rPr>
              <w:t>d</w:t>
            </w:r>
            <w:r w:rsidR="008B4FFC" w:rsidRPr="0063119B">
              <w:rPr>
                <w:sz w:val="22"/>
                <w:szCs w:val="22"/>
              </w:rPr>
              <w:t>i</w:t>
            </w:r>
            <w:r w:rsidRPr="0063119B">
              <w:rPr>
                <w:sz w:val="22"/>
                <w:szCs w:val="22"/>
              </w:rPr>
              <w:t>as</w:t>
            </w:r>
            <w:proofErr w:type="spellEnd"/>
          </w:p>
        </w:tc>
      </w:tr>
      <w:tr w:rsidR="00B52F36" w:rsidRPr="0063119B" w14:paraId="64F885FF" w14:textId="77777777" w:rsidTr="00074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786BCB35" w14:textId="77777777" w:rsidR="00B52F36" w:rsidRPr="0063119B" w:rsidRDefault="008B4FFC" w:rsidP="008B4FFC">
            <w:pPr>
              <w:pStyle w:val="BayerTableRowHeadings"/>
              <w:spacing w:before="60" w:after="60"/>
              <w:ind w:left="34"/>
              <w:rPr>
                <w:szCs w:val="22"/>
              </w:rPr>
            </w:pPr>
            <w:r w:rsidRPr="0063119B">
              <w:rPr>
                <w:szCs w:val="22"/>
              </w:rPr>
              <w:t xml:space="preserve">TEV </w:t>
            </w:r>
            <w:proofErr w:type="spellStart"/>
            <w:r w:rsidRPr="0063119B">
              <w:rPr>
                <w:szCs w:val="22"/>
              </w:rPr>
              <w:t>sintomático</w:t>
            </w:r>
            <w:proofErr w:type="spellEnd"/>
            <w:r w:rsidRPr="0063119B">
              <w:rPr>
                <w:szCs w:val="22"/>
              </w:rPr>
              <w:t xml:space="preserve"> </w:t>
            </w:r>
            <w:proofErr w:type="spellStart"/>
            <w:r w:rsidRPr="0063119B">
              <w:rPr>
                <w:szCs w:val="22"/>
              </w:rPr>
              <w:t>recorrente</w:t>
            </w:r>
            <w:proofErr w:type="spellEnd"/>
          </w:p>
        </w:tc>
        <w:tc>
          <w:tcPr>
            <w:tcW w:w="2185" w:type="dxa"/>
            <w:vAlign w:val="center"/>
          </w:tcPr>
          <w:p w14:paraId="5A5FA930" w14:textId="77777777" w:rsidR="00B52F36" w:rsidRPr="0063119B" w:rsidRDefault="008B4FFC" w:rsidP="00B52F36">
            <w:pPr>
              <w:pStyle w:val="BayerBodyTextFull"/>
              <w:keepNext/>
              <w:spacing w:before="60" w:after="60"/>
              <w:ind w:left="12"/>
              <w:rPr>
                <w:sz w:val="22"/>
                <w:szCs w:val="22"/>
              </w:rPr>
            </w:pPr>
            <w:r w:rsidRPr="0063119B">
              <w:rPr>
                <w:sz w:val="22"/>
                <w:szCs w:val="22"/>
              </w:rPr>
              <w:t>17</w:t>
            </w:r>
            <w:r w:rsidRPr="0063119B">
              <w:rPr>
                <w:sz w:val="22"/>
                <w:szCs w:val="22"/>
              </w:rPr>
              <w:br/>
              <w:t>(1,</w:t>
            </w:r>
            <w:r w:rsidR="00B52F36" w:rsidRPr="0063119B">
              <w:rPr>
                <w:sz w:val="22"/>
                <w:szCs w:val="22"/>
              </w:rPr>
              <w:t>5</w:t>
            </w:r>
            <w:proofErr w:type="gramStart"/>
            <w:r w:rsidR="00B52F36" w:rsidRPr="0063119B">
              <w:rPr>
                <w:sz w:val="22"/>
                <w:szCs w:val="22"/>
              </w:rPr>
              <w:t>%)*</w:t>
            </w:r>
            <w:proofErr w:type="gramEnd"/>
          </w:p>
        </w:tc>
        <w:tc>
          <w:tcPr>
            <w:tcW w:w="2069" w:type="dxa"/>
            <w:vAlign w:val="center"/>
          </w:tcPr>
          <w:p w14:paraId="22EA76DF" w14:textId="77777777" w:rsidR="00B52F36" w:rsidRPr="0063119B" w:rsidRDefault="008B4FFC" w:rsidP="00B52F36">
            <w:pPr>
              <w:pStyle w:val="BayerBodyTextFull"/>
              <w:keepNext/>
              <w:spacing w:before="60" w:after="60"/>
              <w:ind w:left="12"/>
              <w:rPr>
                <w:sz w:val="22"/>
                <w:szCs w:val="22"/>
              </w:rPr>
            </w:pPr>
            <w:r w:rsidRPr="0063119B">
              <w:rPr>
                <w:sz w:val="22"/>
                <w:szCs w:val="22"/>
              </w:rPr>
              <w:t>13</w:t>
            </w:r>
            <w:r w:rsidRPr="0063119B">
              <w:rPr>
                <w:sz w:val="22"/>
                <w:szCs w:val="22"/>
              </w:rPr>
              <w:br/>
              <w:t>(1,</w:t>
            </w:r>
            <w:r w:rsidR="00B52F36" w:rsidRPr="0063119B">
              <w:rPr>
                <w:sz w:val="22"/>
                <w:szCs w:val="22"/>
              </w:rPr>
              <w:t>2</w:t>
            </w:r>
            <w:proofErr w:type="gramStart"/>
            <w:r w:rsidR="00B52F36" w:rsidRPr="0063119B">
              <w:rPr>
                <w:sz w:val="22"/>
                <w:szCs w:val="22"/>
              </w:rPr>
              <w:t>%)*</w:t>
            </w:r>
            <w:proofErr w:type="gramEnd"/>
            <w:r w:rsidR="00B52F36" w:rsidRPr="0063119B">
              <w:rPr>
                <w:sz w:val="22"/>
                <w:szCs w:val="22"/>
              </w:rPr>
              <w:t>*</w:t>
            </w:r>
          </w:p>
        </w:tc>
        <w:tc>
          <w:tcPr>
            <w:tcW w:w="2147" w:type="dxa"/>
            <w:vAlign w:val="center"/>
          </w:tcPr>
          <w:p w14:paraId="17DF1A16" w14:textId="77777777" w:rsidR="00B52F36" w:rsidRPr="0063119B" w:rsidRDefault="008B4FFC" w:rsidP="00B52F36">
            <w:pPr>
              <w:pStyle w:val="BayerBodyTextFull"/>
              <w:keepNext/>
              <w:spacing w:before="60" w:after="60"/>
              <w:ind w:left="12"/>
              <w:rPr>
                <w:sz w:val="22"/>
                <w:szCs w:val="22"/>
              </w:rPr>
            </w:pPr>
            <w:r w:rsidRPr="0063119B">
              <w:rPr>
                <w:sz w:val="22"/>
                <w:szCs w:val="22"/>
              </w:rPr>
              <w:t>50</w:t>
            </w:r>
            <w:r w:rsidRPr="0063119B">
              <w:rPr>
                <w:sz w:val="22"/>
                <w:szCs w:val="22"/>
              </w:rPr>
              <w:br/>
              <w:t>(4,</w:t>
            </w:r>
            <w:r w:rsidR="00B52F36" w:rsidRPr="0063119B">
              <w:rPr>
                <w:sz w:val="22"/>
                <w:szCs w:val="22"/>
              </w:rPr>
              <w:t>4%)</w:t>
            </w:r>
          </w:p>
        </w:tc>
      </w:tr>
      <w:tr w:rsidR="00B52F36" w:rsidRPr="0063119B" w14:paraId="5FB4BD76" w14:textId="77777777" w:rsidTr="00074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2D3976D5" w14:textId="77777777" w:rsidR="00B52F36" w:rsidRPr="0063119B" w:rsidRDefault="008B4FFC" w:rsidP="008B4FFC">
            <w:pPr>
              <w:pStyle w:val="BayerTableRowHeadings"/>
              <w:tabs>
                <w:tab w:val="left" w:pos="372"/>
              </w:tabs>
              <w:spacing w:before="60" w:after="60"/>
              <w:ind w:left="318"/>
              <w:rPr>
                <w:szCs w:val="22"/>
              </w:rPr>
            </w:pPr>
            <w:r w:rsidRPr="0063119B">
              <w:rPr>
                <w:szCs w:val="22"/>
              </w:rPr>
              <w:t xml:space="preserve">EP </w:t>
            </w:r>
            <w:proofErr w:type="spellStart"/>
            <w:r w:rsidRPr="0063119B">
              <w:rPr>
                <w:szCs w:val="22"/>
              </w:rPr>
              <w:t>sintomático</w:t>
            </w:r>
            <w:proofErr w:type="spellEnd"/>
            <w:r w:rsidRPr="0063119B">
              <w:rPr>
                <w:szCs w:val="22"/>
              </w:rPr>
              <w:t xml:space="preserve"> </w:t>
            </w:r>
            <w:proofErr w:type="spellStart"/>
            <w:r w:rsidRPr="0063119B">
              <w:rPr>
                <w:szCs w:val="22"/>
              </w:rPr>
              <w:t>recorrente</w:t>
            </w:r>
            <w:proofErr w:type="spellEnd"/>
          </w:p>
        </w:tc>
        <w:tc>
          <w:tcPr>
            <w:tcW w:w="2185" w:type="dxa"/>
            <w:vAlign w:val="center"/>
          </w:tcPr>
          <w:p w14:paraId="10909223" w14:textId="77777777" w:rsidR="00B52F36" w:rsidRPr="0063119B" w:rsidRDefault="008B4FFC" w:rsidP="00B52F36">
            <w:pPr>
              <w:pStyle w:val="BayerBodyTextFull"/>
              <w:keepNext/>
              <w:spacing w:before="60" w:after="60"/>
              <w:ind w:left="12"/>
              <w:rPr>
                <w:sz w:val="22"/>
                <w:szCs w:val="22"/>
              </w:rPr>
            </w:pPr>
            <w:r w:rsidRPr="0063119B">
              <w:rPr>
                <w:sz w:val="22"/>
                <w:szCs w:val="22"/>
              </w:rPr>
              <w:t>6</w:t>
            </w:r>
            <w:r w:rsidRPr="0063119B">
              <w:rPr>
                <w:sz w:val="22"/>
                <w:szCs w:val="22"/>
              </w:rPr>
              <w:br/>
              <w:t>(0,</w:t>
            </w:r>
            <w:r w:rsidR="00B52F36" w:rsidRPr="0063119B">
              <w:rPr>
                <w:sz w:val="22"/>
                <w:szCs w:val="22"/>
              </w:rPr>
              <w:t>5%)</w:t>
            </w:r>
          </w:p>
        </w:tc>
        <w:tc>
          <w:tcPr>
            <w:tcW w:w="2069" w:type="dxa"/>
            <w:vAlign w:val="center"/>
          </w:tcPr>
          <w:p w14:paraId="15430A81" w14:textId="77777777" w:rsidR="00B52F36" w:rsidRPr="0063119B" w:rsidRDefault="00B52F36" w:rsidP="00B52F36">
            <w:pPr>
              <w:pStyle w:val="BayerBodyTextFull"/>
              <w:keepNext/>
              <w:spacing w:before="60" w:after="60"/>
              <w:ind w:left="12"/>
              <w:rPr>
                <w:sz w:val="22"/>
                <w:szCs w:val="22"/>
              </w:rPr>
            </w:pPr>
            <w:r w:rsidRPr="0063119B">
              <w:rPr>
                <w:sz w:val="22"/>
                <w:szCs w:val="22"/>
              </w:rPr>
              <w:t>6</w:t>
            </w:r>
            <w:r w:rsidRPr="0063119B">
              <w:rPr>
                <w:sz w:val="22"/>
                <w:szCs w:val="22"/>
              </w:rPr>
              <w:br/>
            </w:r>
            <w:r w:rsidR="008B4FFC" w:rsidRPr="0063119B">
              <w:rPr>
                <w:sz w:val="22"/>
                <w:szCs w:val="22"/>
              </w:rPr>
              <w:t>(0,</w:t>
            </w:r>
            <w:r w:rsidRPr="0063119B">
              <w:rPr>
                <w:sz w:val="22"/>
                <w:szCs w:val="22"/>
              </w:rPr>
              <w:t>5%)</w:t>
            </w:r>
          </w:p>
        </w:tc>
        <w:tc>
          <w:tcPr>
            <w:tcW w:w="2147" w:type="dxa"/>
            <w:vAlign w:val="center"/>
          </w:tcPr>
          <w:p w14:paraId="47F6BCC5" w14:textId="77777777" w:rsidR="00B52F36" w:rsidRPr="0063119B" w:rsidRDefault="008B4FFC" w:rsidP="00B52F36">
            <w:pPr>
              <w:pStyle w:val="BayerBodyTextFull"/>
              <w:keepNext/>
              <w:spacing w:before="60" w:after="60"/>
              <w:ind w:left="12"/>
              <w:rPr>
                <w:sz w:val="22"/>
                <w:szCs w:val="22"/>
              </w:rPr>
            </w:pPr>
            <w:r w:rsidRPr="0063119B">
              <w:rPr>
                <w:sz w:val="22"/>
                <w:szCs w:val="22"/>
              </w:rPr>
              <w:t>19</w:t>
            </w:r>
            <w:r w:rsidRPr="0063119B">
              <w:rPr>
                <w:sz w:val="22"/>
                <w:szCs w:val="22"/>
              </w:rPr>
              <w:br/>
              <w:t>(1,</w:t>
            </w:r>
            <w:r w:rsidR="00B52F36" w:rsidRPr="0063119B">
              <w:rPr>
                <w:sz w:val="22"/>
                <w:szCs w:val="22"/>
              </w:rPr>
              <w:t>7%)</w:t>
            </w:r>
          </w:p>
        </w:tc>
      </w:tr>
      <w:tr w:rsidR="00B52F36" w:rsidRPr="0063119B" w14:paraId="367400BD" w14:textId="77777777" w:rsidTr="00074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33D54749" w14:textId="77777777" w:rsidR="00B52F36" w:rsidRPr="0063119B" w:rsidRDefault="008B4FFC" w:rsidP="008B4FFC">
            <w:pPr>
              <w:pStyle w:val="BayerTableRowHeadings"/>
              <w:tabs>
                <w:tab w:val="left" w:pos="-108"/>
              </w:tabs>
              <w:spacing w:before="60" w:after="60"/>
              <w:ind w:left="318"/>
              <w:rPr>
                <w:szCs w:val="22"/>
              </w:rPr>
            </w:pPr>
            <w:r w:rsidRPr="0063119B">
              <w:rPr>
                <w:szCs w:val="22"/>
              </w:rPr>
              <w:t xml:space="preserve">TVP </w:t>
            </w:r>
            <w:proofErr w:type="spellStart"/>
            <w:r w:rsidRPr="0063119B">
              <w:rPr>
                <w:szCs w:val="22"/>
              </w:rPr>
              <w:t>sintomática</w:t>
            </w:r>
            <w:proofErr w:type="spellEnd"/>
            <w:r w:rsidRPr="0063119B">
              <w:rPr>
                <w:szCs w:val="22"/>
              </w:rPr>
              <w:t xml:space="preserve"> </w:t>
            </w:r>
            <w:proofErr w:type="spellStart"/>
            <w:r w:rsidRPr="0063119B">
              <w:rPr>
                <w:szCs w:val="22"/>
              </w:rPr>
              <w:t>recorrente</w:t>
            </w:r>
            <w:proofErr w:type="spellEnd"/>
          </w:p>
        </w:tc>
        <w:tc>
          <w:tcPr>
            <w:tcW w:w="2185" w:type="dxa"/>
            <w:vAlign w:val="center"/>
          </w:tcPr>
          <w:p w14:paraId="181C992F" w14:textId="77777777" w:rsidR="00B52F36" w:rsidRPr="0063119B" w:rsidRDefault="008B4FFC" w:rsidP="00B52F36">
            <w:pPr>
              <w:pStyle w:val="BayerBodyTextFull"/>
              <w:keepNext/>
              <w:spacing w:before="60" w:after="60"/>
              <w:ind w:left="12"/>
              <w:rPr>
                <w:sz w:val="22"/>
                <w:szCs w:val="22"/>
              </w:rPr>
            </w:pPr>
            <w:r w:rsidRPr="0063119B">
              <w:rPr>
                <w:sz w:val="22"/>
                <w:szCs w:val="22"/>
              </w:rPr>
              <w:t>9</w:t>
            </w:r>
            <w:r w:rsidRPr="0063119B">
              <w:rPr>
                <w:sz w:val="22"/>
                <w:szCs w:val="22"/>
              </w:rPr>
              <w:br/>
              <w:t>(0,</w:t>
            </w:r>
            <w:r w:rsidR="00B52F36" w:rsidRPr="0063119B">
              <w:rPr>
                <w:sz w:val="22"/>
                <w:szCs w:val="22"/>
              </w:rPr>
              <w:t>8%)</w:t>
            </w:r>
          </w:p>
        </w:tc>
        <w:tc>
          <w:tcPr>
            <w:tcW w:w="2069" w:type="dxa"/>
            <w:vAlign w:val="center"/>
          </w:tcPr>
          <w:p w14:paraId="1C2D5580" w14:textId="77777777" w:rsidR="00B52F36" w:rsidRPr="0063119B" w:rsidRDefault="008B4FFC" w:rsidP="00B52F36">
            <w:pPr>
              <w:pStyle w:val="BayerBodyTextFull"/>
              <w:keepNext/>
              <w:spacing w:before="60" w:after="60"/>
              <w:ind w:left="12"/>
              <w:rPr>
                <w:sz w:val="22"/>
                <w:szCs w:val="22"/>
              </w:rPr>
            </w:pPr>
            <w:r w:rsidRPr="0063119B">
              <w:rPr>
                <w:sz w:val="22"/>
                <w:szCs w:val="22"/>
              </w:rPr>
              <w:t>8</w:t>
            </w:r>
            <w:r w:rsidRPr="0063119B">
              <w:rPr>
                <w:sz w:val="22"/>
                <w:szCs w:val="22"/>
              </w:rPr>
              <w:br/>
              <w:t>(0,</w:t>
            </w:r>
            <w:r w:rsidR="00B52F36" w:rsidRPr="0063119B">
              <w:rPr>
                <w:sz w:val="22"/>
                <w:szCs w:val="22"/>
              </w:rPr>
              <w:t>7%)</w:t>
            </w:r>
          </w:p>
        </w:tc>
        <w:tc>
          <w:tcPr>
            <w:tcW w:w="2147" w:type="dxa"/>
            <w:vAlign w:val="center"/>
          </w:tcPr>
          <w:p w14:paraId="1235D689" w14:textId="77777777" w:rsidR="00B52F36" w:rsidRPr="0063119B" w:rsidRDefault="00B52F36" w:rsidP="00B52F36">
            <w:pPr>
              <w:pStyle w:val="BayerBodyTextFull"/>
              <w:keepNext/>
              <w:spacing w:before="60" w:after="60"/>
              <w:ind w:left="12"/>
              <w:rPr>
                <w:sz w:val="22"/>
                <w:szCs w:val="22"/>
              </w:rPr>
            </w:pPr>
            <w:r w:rsidRPr="0063119B">
              <w:rPr>
                <w:sz w:val="22"/>
                <w:szCs w:val="22"/>
              </w:rPr>
              <w:t>30</w:t>
            </w:r>
            <w:r w:rsidRPr="0063119B">
              <w:rPr>
                <w:sz w:val="22"/>
                <w:szCs w:val="22"/>
              </w:rPr>
              <w:br/>
              <w:t>(</w:t>
            </w:r>
            <w:r w:rsidR="008B4FFC" w:rsidRPr="0063119B">
              <w:rPr>
                <w:sz w:val="22"/>
                <w:szCs w:val="22"/>
              </w:rPr>
              <w:t>2,</w:t>
            </w:r>
            <w:r w:rsidRPr="0063119B">
              <w:rPr>
                <w:sz w:val="22"/>
                <w:szCs w:val="22"/>
              </w:rPr>
              <w:t>7%)</w:t>
            </w:r>
          </w:p>
        </w:tc>
      </w:tr>
      <w:tr w:rsidR="00B52F36" w:rsidRPr="0063119B" w14:paraId="21881AFA" w14:textId="77777777" w:rsidTr="00074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1B4D2AA1" w14:textId="77777777" w:rsidR="00B52F36" w:rsidRPr="0063119B" w:rsidRDefault="008B4FFC" w:rsidP="008B4FFC">
            <w:pPr>
              <w:pStyle w:val="BayerTableRowHeadings"/>
              <w:tabs>
                <w:tab w:val="left" w:pos="-1242"/>
              </w:tabs>
              <w:spacing w:before="60" w:after="60"/>
              <w:ind w:left="318"/>
              <w:rPr>
                <w:szCs w:val="22"/>
                <w:lang w:val="pt-PT"/>
              </w:rPr>
            </w:pPr>
            <w:r w:rsidRPr="0063119B">
              <w:rPr>
                <w:szCs w:val="22"/>
                <w:lang w:val="pt-PT"/>
              </w:rPr>
              <w:t>EP f</w:t>
            </w:r>
            <w:r w:rsidR="00B52F36" w:rsidRPr="0063119B">
              <w:rPr>
                <w:szCs w:val="22"/>
                <w:lang w:val="pt-PT"/>
              </w:rPr>
              <w:t>atal/</w:t>
            </w:r>
            <w:r w:rsidRPr="0063119B">
              <w:rPr>
                <w:szCs w:val="22"/>
                <w:lang w:val="pt-PT"/>
              </w:rPr>
              <w:t>morte na qual não se pode excluir EP</w:t>
            </w:r>
          </w:p>
        </w:tc>
        <w:tc>
          <w:tcPr>
            <w:tcW w:w="2185" w:type="dxa"/>
            <w:vAlign w:val="center"/>
          </w:tcPr>
          <w:p w14:paraId="7A691F67" w14:textId="77777777" w:rsidR="00B52F36" w:rsidRPr="0063119B" w:rsidRDefault="008B4FFC" w:rsidP="00B52F36">
            <w:pPr>
              <w:pStyle w:val="BayerBodyTextFull"/>
              <w:keepNext/>
              <w:spacing w:before="60" w:after="60"/>
              <w:ind w:left="12"/>
              <w:rPr>
                <w:sz w:val="22"/>
                <w:szCs w:val="22"/>
              </w:rPr>
            </w:pPr>
            <w:r w:rsidRPr="0063119B">
              <w:rPr>
                <w:sz w:val="22"/>
                <w:szCs w:val="22"/>
              </w:rPr>
              <w:t>2</w:t>
            </w:r>
            <w:r w:rsidRPr="0063119B">
              <w:rPr>
                <w:sz w:val="22"/>
                <w:szCs w:val="22"/>
              </w:rPr>
              <w:br/>
              <w:t>(0,</w:t>
            </w:r>
            <w:r w:rsidR="00B52F36" w:rsidRPr="0063119B">
              <w:rPr>
                <w:sz w:val="22"/>
                <w:szCs w:val="22"/>
              </w:rPr>
              <w:t>2%)</w:t>
            </w:r>
          </w:p>
        </w:tc>
        <w:tc>
          <w:tcPr>
            <w:tcW w:w="2069" w:type="dxa"/>
            <w:vAlign w:val="center"/>
          </w:tcPr>
          <w:p w14:paraId="2DE6A61C" w14:textId="77777777" w:rsidR="00B52F36" w:rsidRPr="0063119B" w:rsidRDefault="008B4FFC" w:rsidP="00B52F36">
            <w:pPr>
              <w:pStyle w:val="BayerBodyTextFull"/>
              <w:keepNext/>
              <w:spacing w:before="60" w:after="60"/>
              <w:ind w:left="12"/>
              <w:rPr>
                <w:sz w:val="22"/>
                <w:szCs w:val="22"/>
              </w:rPr>
            </w:pPr>
            <w:r w:rsidRPr="0063119B">
              <w:rPr>
                <w:sz w:val="22"/>
                <w:szCs w:val="22"/>
              </w:rPr>
              <w:t>0</w:t>
            </w:r>
            <w:r w:rsidRPr="0063119B">
              <w:rPr>
                <w:sz w:val="22"/>
                <w:szCs w:val="22"/>
              </w:rPr>
              <w:br/>
            </w:r>
          </w:p>
        </w:tc>
        <w:tc>
          <w:tcPr>
            <w:tcW w:w="2147" w:type="dxa"/>
            <w:vAlign w:val="center"/>
          </w:tcPr>
          <w:p w14:paraId="047F4509" w14:textId="77777777" w:rsidR="00B52F36" w:rsidRPr="0063119B" w:rsidRDefault="008B4FFC" w:rsidP="00B52F36">
            <w:pPr>
              <w:pStyle w:val="BayerBodyTextFull"/>
              <w:keepNext/>
              <w:spacing w:before="60" w:after="60"/>
              <w:ind w:left="12"/>
              <w:rPr>
                <w:sz w:val="22"/>
                <w:szCs w:val="22"/>
              </w:rPr>
            </w:pPr>
            <w:r w:rsidRPr="0063119B">
              <w:rPr>
                <w:sz w:val="22"/>
                <w:szCs w:val="22"/>
              </w:rPr>
              <w:t>2</w:t>
            </w:r>
            <w:r w:rsidRPr="0063119B">
              <w:rPr>
                <w:sz w:val="22"/>
                <w:szCs w:val="22"/>
              </w:rPr>
              <w:br/>
              <w:t>(0,</w:t>
            </w:r>
            <w:r w:rsidR="00B52F36" w:rsidRPr="0063119B">
              <w:rPr>
                <w:sz w:val="22"/>
                <w:szCs w:val="22"/>
              </w:rPr>
              <w:t>2%)</w:t>
            </w:r>
          </w:p>
        </w:tc>
      </w:tr>
      <w:tr w:rsidR="00B52F36" w:rsidRPr="0063119B" w14:paraId="1E42174B" w14:textId="77777777" w:rsidTr="00074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7D7F9ED7" w14:textId="77777777" w:rsidR="00B52F36" w:rsidRPr="0063119B" w:rsidRDefault="008B4FFC" w:rsidP="00D743DE">
            <w:pPr>
              <w:pStyle w:val="BayerTableRowHeadings"/>
              <w:spacing w:before="60" w:after="60"/>
              <w:ind w:left="34"/>
              <w:rPr>
                <w:szCs w:val="22"/>
                <w:lang w:val="pt-PT"/>
              </w:rPr>
            </w:pPr>
            <w:r w:rsidRPr="0063119B">
              <w:rPr>
                <w:szCs w:val="22"/>
                <w:lang w:val="pt-PT"/>
              </w:rPr>
              <w:t>TEV</w:t>
            </w:r>
            <w:r w:rsidR="00D743DE" w:rsidRPr="0063119B">
              <w:rPr>
                <w:szCs w:val="22"/>
                <w:lang w:val="pt-PT"/>
              </w:rPr>
              <w:t xml:space="preserve"> sintomático recorrente</w:t>
            </w:r>
            <w:r w:rsidRPr="0063119B">
              <w:rPr>
                <w:szCs w:val="22"/>
                <w:lang w:val="pt-PT"/>
              </w:rPr>
              <w:t>, EM, AVC ou embolismo sistémico não do SNC</w:t>
            </w:r>
          </w:p>
        </w:tc>
        <w:tc>
          <w:tcPr>
            <w:tcW w:w="2185" w:type="dxa"/>
            <w:vAlign w:val="center"/>
          </w:tcPr>
          <w:p w14:paraId="23FD9CE3" w14:textId="77777777" w:rsidR="00B52F36" w:rsidRPr="0063119B" w:rsidRDefault="008B4FFC" w:rsidP="00B52F36">
            <w:pPr>
              <w:pStyle w:val="BayerBodyTextFull"/>
              <w:keepNext/>
              <w:spacing w:before="60" w:after="60"/>
              <w:ind w:left="12"/>
              <w:rPr>
                <w:sz w:val="22"/>
                <w:szCs w:val="22"/>
              </w:rPr>
            </w:pPr>
            <w:r w:rsidRPr="0063119B">
              <w:rPr>
                <w:sz w:val="22"/>
                <w:szCs w:val="22"/>
              </w:rPr>
              <w:t>19</w:t>
            </w:r>
            <w:r w:rsidRPr="0063119B">
              <w:rPr>
                <w:sz w:val="22"/>
                <w:szCs w:val="22"/>
              </w:rPr>
              <w:br/>
              <w:t>(1,</w:t>
            </w:r>
            <w:r w:rsidR="00B52F36" w:rsidRPr="0063119B">
              <w:rPr>
                <w:sz w:val="22"/>
                <w:szCs w:val="22"/>
              </w:rPr>
              <w:t>7%)</w:t>
            </w:r>
          </w:p>
        </w:tc>
        <w:tc>
          <w:tcPr>
            <w:tcW w:w="2069" w:type="dxa"/>
            <w:vAlign w:val="center"/>
          </w:tcPr>
          <w:p w14:paraId="537870D4" w14:textId="77777777" w:rsidR="00B52F36" w:rsidRPr="0063119B" w:rsidRDefault="008B4FFC" w:rsidP="00B52F36">
            <w:pPr>
              <w:pStyle w:val="BayerBodyTextFull"/>
              <w:keepNext/>
              <w:spacing w:before="60" w:after="60"/>
              <w:ind w:left="12"/>
              <w:rPr>
                <w:sz w:val="22"/>
                <w:szCs w:val="22"/>
              </w:rPr>
            </w:pPr>
            <w:r w:rsidRPr="0063119B">
              <w:rPr>
                <w:sz w:val="22"/>
                <w:szCs w:val="22"/>
              </w:rPr>
              <w:t>18</w:t>
            </w:r>
            <w:r w:rsidRPr="0063119B">
              <w:rPr>
                <w:sz w:val="22"/>
                <w:szCs w:val="22"/>
              </w:rPr>
              <w:br/>
              <w:t>(1,</w:t>
            </w:r>
            <w:r w:rsidR="00B52F36" w:rsidRPr="0063119B">
              <w:rPr>
                <w:sz w:val="22"/>
                <w:szCs w:val="22"/>
              </w:rPr>
              <w:t>6%)</w:t>
            </w:r>
          </w:p>
        </w:tc>
        <w:tc>
          <w:tcPr>
            <w:tcW w:w="2147" w:type="dxa"/>
            <w:vAlign w:val="center"/>
          </w:tcPr>
          <w:p w14:paraId="4E8D4FFA" w14:textId="77777777" w:rsidR="00B52F36" w:rsidRPr="0063119B" w:rsidRDefault="008B4FFC" w:rsidP="00B52F36">
            <w:pPr>
              <w:pStyle w:val="BayerBodyTextFull"/>
              <w:keepNext/>
              <w:spacing w:before="60" w:after="60"/>
              <w:ind w:left="12"/>
              <w:rPr>
                <w:sz w:val="22"/>
                <w:szCs w:val="22"/>
              </w:rPr>
            </w:pPr>
            <w:r w:rsidRPr="0063119B">
              <w:rPr>
                <w:sz w:val="22"/>
                <w:szCs w:val="22"/>
              </w:rPr>
              <w:t>56</w:t>
            </w:r>
            <w:r w:rsidRPr="0063119B">
              <w:rPr>
                <w:sz w:val="22"/>
                <w:szCs w:val="22"/>
              </w:rPr>
              <w:br/>
              <w:t>(5,</w:t>
            </w:r>
            <w:r w:rsidR="00B52F36" w:rsidRPr="0063119B">
              <w:rPr>
                <w:sz w:val="22"/>
                <w:szCs w:val="22"/>
              </w:rPr>
              <w:t>0%)</w:t>
            </w:r>
          </w:p>
        </w:tc>
      </w:tr>
      <w:tr w:rsidR="00B52F36" w:rsidRPr="0063119B" w14:paraId="59AFEDF3" w14:textId="77777777" w:rsidTr="00074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68845A2E" w14:textId="77777777" w:rsidR="00B52F36" w:rsidRPr="0063119B" w:rsidRDefault="008B4FFC" w:rsidP="008B4FFC">
            <w:pPr>
              <w:pStyle w:val="BayerTableRowHeadings"/>
              <w:spacing w:before="60" w:after="60"/>
              <w:ind w:left="34"/>
              <w:rPr>
                <w:szCs w:val="22"/>
              </w:rPr>
            </w:pPr>
            <w:proofErr w:type="spellStart"/>
            <w:r w:rsidRPr="0063119B">
              <w:rPr>
                <w:szCs w:val="22"/>
              </w:rPr>
              <w:t>Acontecimentos</w:t>
            </w:r>
            <w:proofErr w:type="spellEnd"/>
            <w:r w:rsidRPr="0063119B">
              <w:rPr>
                <w:szCs w:val="22"/>
              </w:rPr>
              <w:t xml:space="preserve"> </w:t>
            </w:r>
            <w:proofErr w:type="spellStart"/>
            <w:r w:rsidRPr="0063119B">
              <w:rPr>
                <w:szCs w:val="22"/>
              </w:rPr>
              <w:t>hemorrágicos</w:t>
            </w:r>
            <w:proofErr w:type="spellEnd"/>
            <w:r w:rsidR="00EC138C" w:rsidRPr="0063119B">
              <w:rPr>
                <w:i/>
                <w:szCs w:val="22"/>
              </w:rPr>
              <w:t xml:space="preserve"> </w:t>
            </w:r>
            <w:proofErr w:type="spellStart"/>
            <w:r w:rsidR="00EC138C" w:rsidRPr="0063119B">
              <w:rPr>
                <w:szCs w:val="22"/>
              </w:rPr>
              <w:t>principais</w:t>
            </w:r>
            <w:proofErr w:type="spellEnd"/>
          </w:p>
        </w:tc>
        <w:tc>
          <w:tcPr>
            <w:tcW w:w="2185" w:type="dxa"/>
            <w:vAlign w:val="center"/>
          </w:tcPr>
          <w:p w14:paraId="388490EB" w14:textId="77777777" w:rsidR="00B52F36" w:rsidRPr="0063119B" w:rsidRDefault="008B4FFC" w:rsidP="00B52F36">
            <w:pPr>
              <w:pStyle w:val="BayerBodyTextFull"/>
              <w:keepNext/>
              <w:spacing w:before="60" w:after="60"/>
              <w:ind w:left="12"/>
              <w:rPr>
                <w:sz w:val="22"/>
                <w:szCs w:val="22"/>
              </w:rPr>
            </w:pPr>
            <w:r w:rsidRPr="0063119B">
              <w:rPr>
                <w:sz w:val="22"/>
                <w:szCs w:val="22"/>
              </w:rPr>
              <w:t>6</w:t>
            </w:r>
            <w:r w:rsidRPr="0063119B">
              <w:rPr>
                <w:sz w:val="22"/>
                <w:szCs w:val="22"/>
              </w:rPr>
              <w:br/>
              <w:t>(0,</w:t>
            </w:r>
            <w:r w:rsidR="00B52F36" w:rsidRPr="0063119B">
              <w:rPr>
                <w:sz w:val="22"/>
                <w:szCs w:val="22"/>
              </w:rPr>
              <w:t>5%)</w:t>
            </w:r>
          </w:p>
        </w:tc>
        <w:tc>
          <w:tcPr>
            <w:tcW w:w="2069" w:type="dxa"/>
            <w:vAlign w:val="center"/>
          </w:tcPr>
          <w:p w14:paraId="50B86B06" w14:textId="77777777" w:rsidR="00B52F36" w:rsidRPr="0063119B" w:rsidRDefault="008B4FFC" w:rsidP="00B52F36">
            <w:pPr>
              <w:pStyle w:val="BayerBodyTextFull"/>
              <w:keepNext/>
              <w:spacing w:before="60" w:after="60"/>
              <w:ind w:left="12"/>
              <w:rPr>
                <w:sz w:val="22"/>
                <w:szCs w:val="22"/>
              </w:rPr>
            </w:pPr>
            <w:r w:rsidRPr="0063119B">
              <w:rPr>
                <w:sz w:val="22"/>
                <w:szCs w:val="22"/>
              </w:rPr>
              <w:t>5</w:t>
            </w:r>
            <w:r w:rsidRPr="0063119B">
              <w:rPr>
                <w:sz w:val="22"/>
                <w:szCs w:val="22"/>
              </w:rPr>
              <w:br/>
              <w:t>(0,</w:t>
            </w:r>
            <w:r w:rsidR="00B52F36" w:rsidRPr="0063119B">
              <w:rPr>
                <w:sz w:val="22"/>
                <w:szCs w:val="22"/>
              </w:rPr>
              <w:t>4%)</w:t>
            </w:r>
          </w:p>
        </w:tc>
        <w:tc>
          <w:tcPr>
            <w:tcW w:w="2147" w:type="dxa"/>
            <w:vAlign w:val="center"/>
          </w:tcPr>
          <w:p w14:paraId="4DEEB559" w14:textId="77777777" w:rsidR="00B52F36" w:rsidRPr="0063119B" w:rsidRDefault="008B4FFC" w:rsidP="00B52F36">
            <w:pPr>
              <w:pStyle w:val="BayerBodyTextFull"/>
              <w:keepNext/>
              <w:spacing w:before="60" w:after="60"/>
              <w:ind w:left="12"/>
              <w:rPr>
                <w:sz w:val="22"/>
                <w:szCs w:val="22"/>
              </w:rPr>
            </w:pPr>
            <w:r w:rsidRPr="0063119B">
              <w:rPr>
                <w:sz w:val="22"/>
                <w:szCs w:val="22"/>
              </w:rPr>
              <w:t>3</w:t>
            </w:r>
            <w:r w:rsidRPr="0063119B">
              <w:rPr>
                <w:sz w:val="22"/>
                <w:szCs w:val="22"/>
              </w:rPr>
              <w:br/>
              <w:t>(0,</w:t>
            </w:r>
            <w:r w:rsidR="00B52F36" w:rsidRPr="0063119B">
              <w:rPr>
                <w:sz w:val="22"/>
                <w:szCs w:val="22"/>
              </w:rPr>
              <w:t>3%)</w:t>
            </w:r>
          </w:p>
        </w:tc>
      </w:tr>
      <w:tr w:rsidR="00B52F36" w:rsidRPr="0063119B" w14:paraId="09182DA3" w14:textId="77777777" w:rsidTr="00074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4D485C37" w14:textId="77777777" w:rsidR="00B52F36" w:rsidRPr="0063119B" w:rsidRDefault="008B4FFC" w:rsidP="008B4FFC">
            <w:pPr>
              <w:pStyle w:val="BayerTableRowHeadings"/>
              <w:spacing w:before="60" w:after="60"/>
              <w:rPr>
                <w:szCs w:val="22"/>
                <w:lang w:val="pt-PT"/>
              </w:rPr>
            </w:pPr>
            <w:r w:rsidRPr="0063119B">
              <w:rPr>
                <w:szCs w:val="22"/>
                <w:lang w:val="pt-PT"/>
              </w:rPr>
              <w:t xml:space="preserve">Hemorragia não </w:t>
            </w:r>
            <w:r w:rsidR="00EC138C" w:rsidRPr="0063119B">
              <w:rPr>
                <w:szCs w:val="22"/>
                <w:lang w:val="pt-PT"/>
              </w:rPr>
              <w:t>principal</w:t>
            </w:r>
            <w:r w:rsidRPr="0063119B">
              <w:rPr>
                <w:szCs w:val="22"/>
                <w:lang w:val="pt-PT"/>
              </w:rPr>
              <w:t xml:space="preserve"> c</w:t>
            </w:r>
            <w:r w:rsidR="00B52F36" w:rsidRPr="0063119B">
              <w:rPr>
                <w:szCs w:val="22"/>
                <w:lang w:val="pt-PT"/>
              </w:rPr>
              <w:t>linica</w:t>
            </w:r>
            <w:r w:rsidRPr="0063119B">
              <w:rPr>
                <w:szCs w:val="22"/>
                <w:lang w:val="pt-PT"/>
              </w:rPr>
              <w:t>mente</w:t>
            </w:r>
            <w:r w:rsidR="00B52F36" w:rsidRPr="0063119B">
              <w:rPr>
                <w:szCs w:val="22"/>
                <w:lang w:val="pt-PT"/>
              </w:rPr>
              <w:t xml:space="preserve"> relevant</w:t>
            </w:r>
            <w:r w:rsidRPr="0063119B">
              <w:rPr>
                <w:szCs w:val="22"/>
                <w:lang w:val="pt-PT"/>
              </w:rPr>
              <w:t>e</w:t>
            </w:r>
          </w:p>
        </w:tc>
        <w:tc>
          <w:tcPr>
            <w:tcW w:w="2185" w:type="dxa"/>
            <w:vAlign w:val="center"/>
          </w:tcPr>
          <w:p w14:paraId="6C069B1F" w14:textId="77777777" w:rsidR="00B52F36" w:rsidRPr="0063119B" w:rsidRDefault="00B52F36" w:rsidP="00B52F36">
            <w:pPr>
              <w:pStyle w:val="BayerBodyTextFull"/>
              <w:keepNext/>
              <w:spacing w:before="60" w:after="60"/>
              <w:ind w:left="12"/>
              <w:rPr>
                <w:sz w:val="22"/>
                <w:szCs w:val="22"/>
              </w:rPr>
            </w:pPr>
            <w:r w:rsidRPr="0063119B">
              <w:rPr>
                <w:sz w:val="22"/>
                <w:szCs w:val="22"/>
              </w:rPr>
              <w:t xml:space="preserve">30 </w:t>
            </w:r>
            <w:r w:rsidRPr="0063119B">
              <w:rPr>
                <w:sz w:val="22"/>
                <w:szCs w:val="22"/>
              </w:rPr>
              <w:br/>
            </w:r>
            <w:r w:rsidR="008B4FFC" w:rsidRPr="0063119B">
              <w:rPr>
                <w:sz w:val="22"/>
                <w:szCs w:val="22"/>
              </w:rPr>
              <w:t>(2,</w:t>
            </w:r>
            <w:r w:rsidRPr="0063119B">
              <w:rPr>
                <w:sz w:val="22"/>
                <w:szCs w:val="22"/>
              </w:rPr>
              <w:t>7</w:t>
            </w:r>
            <w:r w:rsidR="00DC4BF5" w:rsidRPr="0063119B">
              <w:rPr>
                <w:sz w:val="22"/>
                <w:szCs w:val="22"/>
              </w:rPr>
              <w:t>%</w:t>
            </w:r>
            <w:r w:rsidRPr="0063119B">
              <w:rPr>
                <w:sz w:val="22"/>
                <w:szCs w:val="22"/>
              </w:rPr>
              <w:t>)</w:t>
            </w:r>
          </w:p>
        </w:tc>
        <w:tc>
          <w:tcPr>
            <w:tcW w:w="2069" w:type="dxa"/>
            <w:vAlign w:val="center"/>
          </w:tcPr>
          <w:p w14:paraId="5479D8BD" w14:textId="77777777" w:rsidR="00B52F36" w:rsidRPr="0063119B" w:rsidRDefault="00B52F36" w:rsidP="00B52F36">
            <w:pPr>
              <w:pStyle w:val="BayerBodyTextFull"/>
              <w:keepNext/>
              <w:spacing w:before="60" w:after="60"/>
              <w:ind w:left="12"/>
              <w:rPr>
                <w:sz w:val="22"/>
                <w:szCs w:val="22"/>
              </w:rPr>
            </w:pPr>
            <w:r w:rsidRPr="0063119B">
              <w:rPr>
                <w:sz w:val="22"/>
                <w:szCs w:val="22"/>
              </w:rPr>
              <w:t xml:space="preserve">22 </w:t>
            </w:r>
            <w:r w:rsidRPr="0063119B">
              <w:rPr>
                <w:sz w:val="22"/>
                <w:szCs w:val="22"/>
              </w:rPr>
              <w:br/>
            </w:r>
            <w:r w:rsidR="008B4FFC" w:rsidRPr="0063119B">
              <w:rPr>
                <w:sz w:val="22"/>
                <w:szCs w:val="22"/>
              </w:rPr>
              <w:t>(2,</w:t>
            </w:r>
            <w:r w:rsidRPr="0063119B">
              <w:rPr>
                <w:sz w:val="22"/>
                <w:szCs w:val="22"/>
              </w:rPr>
              <w:t>0</w:t>
            </w:r>
            <w:r w:rsidR="00DC4BF5" w:rsidRPr="0063119B">
              <w:rPr>
                <w:sz w:val="22"/>
                <w:szCs w:val="22"/>
              </w:rPr>
              <w:t>%</w:t>
            </w:r>
            <w:r w:rsidRPr="0063119B">
              <w:rPr>
                <w:sz w:val="22"/>
                <w:szCs w:val="22"/>
              </w:rPr>
              <w:t>)</w:t>
            </w:r>
          </w:p>
        </w:tc>
        <w:tc>
          <w:tcPr>
            <w:tcW w:w="2147" w:type="dxa"/>
            <w:vAlign w:val="center"/>
          </w:tcPr>
          <w:p w14:paraId="617CBAD3" w14:textId="77777777" w:rsidR="00B52F36" w:rsidRPr="0063119B" w:rsidRDefault="00B52F36" w:rsidP="00B52F36">
            <w:pPr>
              <w:pStyle w:val="BayerBodyTextFull"/>
              <w:keepNext/>
              <w:spacing w:before="60" w:after="60"/>
              <w:ind w:left="12"/>
              <w:rPr>
                <w:sz w:val="22"/>
                <w:szCs w:val="22"/>
              </w:rPr>
            </w:pPr>
            <w:r w:rsidRPr="0063119B">
              <w:rPr>
                <w:sz w:val="22"/>
                <w:szCs w:val="22"/>
              </w:rPr>
              <w:t>20</w:t>
            </w:r>
            <w:r w:rsidRPr="0063119B">
              <w:rPr>
                <w:sz w:val="22"/>
                <w:szCs w:val="22"/>
              </w:rPr>
              <w:br/>
            </w:r>
            <w:r w:rsidR="008B4FFC" w:rsidRPr="0063119B">
              <w:rPr>
                <w:sz w:val="22"/>
                <w:szCs w:val="22"/>
              </w:rPr>
              <w:t>(1,</w:t>
            </w:r>
            <w:r w:rsidRPr="0063119B">
              <w:rPr>
                <w:sz w:val="22"/>
                <w:szCs w:val="22"/>
              </w:rPr>
              <w:t>8</w:t>
            </w:r>
            <w:r w:rsidR="00DC4BF5" w:rsidRPr="0063119B">
              <w:rPr>
                <w:sz w:val="22"/>
                <w:szCs w:val="22"/>
              </w:rPr>
              <w:t>%</w:t>
            </w:r>
            <w:r w:rsidRPr="0063119B">
              <w:rPr>
                <w:sz w:val="22"/>
                <w:szCs w:val="22"/>
              </w:rPr>
              <w:t>)</w:t>
            </w:r>
          </w:p>
        </w:tc>
      </w:tr>
      <w:tr w:rsidR="00B52F36" w:rsidRPr="0063119B" w14:paraId="0FDB9A8F" w14:textId="77777777" w:rsidTr="00074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7F9B78CA" w14:textId="77777777" w:rsidR="00B52F36" w:rsidRPr="0063119B" w:rsidRDefault="008B4FFC" w:rsidP="008B4FFC">
            <w:pPr>
              <w:pStyle w:val="BayerTableRowHeadings"/>
              <w:spacing w:before="60" w:after="60"/>
              <w:rPr>
                <w:szCs w:val="22"/>
                <w:lang w:val="pt-PT"/>
              </w:rPr>
            </w:pPr>
            <w:r w:rsidRPr="0063119B">
              <w:rPr>
                <w:szCs w:val="22"/>
                <w:lang w:val="pt-PT"/>
              </w:rPr>
              <w:t>TEV sintomático recorrente ou</w:t>
            </w:r>
            <w:r w:rsidR="00B52F36" w:rsidRPr="0063119B">
              <w:rPr>
                <w:szCs w:val="22"/>
                <w:lang w:val="pt-PT"/>
              </w:rPr>
              <w:t xml:space="preserve"> </w:t>
            </w:r>
            <w:r w:rsidRPr="0063119B">
              <w:rPr>
                <w:szCs w:val="22"/>
                <w:lang w:val="pt-PT"/>
              </w:rPr>
              <w:t xml:space="preserve">hemorragia </w:t>
            </w:r>
            <w:r w:rsidR="00EC138C" w:rsidRPr="0063119B">
              <w:rPr>
                <w:szCs w:val="22"/>
                <w:lang w:val="pt-PT"/>
              </w:rPr>
              <w:t xml:space="preserve">principal </w:t>
            </w:r>
            <w:r w:rsidR="00B52F36" w:rsidRPr="0063119B">
              <w:rPr>
                <w:szCs w:val="22"/>
                <w:lang w:val="pt-PT"/>
              </w:rPr>
              <w:t>(</w:t>
            </w:r>
            <w:r w:rsidRPr="0063119B">
              <w:rPr>
                <w:szCs w:val="22"/>
                <w:lang w:val="pt-PT"/>
              </w:rPr>
              <w:t>benefício clínico efetivo</w:t>
            </w:r>
            <w:r w:rsidR="00B52F36" w:rsidRPr="0063119B">
              <w:rPr>
                <w:szCs w:val="22"/>
                <w:lang w:val="pt-PT"/>
              </w:rPr>
              <w:t>)</w:t>
            </w:r>
          </w:p>
        </w:tc>
        <w:tc>
          <w:tcPr>
            <w:tcW w:w="2185" w:type="dxa"/>
            <w:vAlign w:val="center"/>
          </w:tcPr>
          <w:p w14:paraId="0A75CE87" w14:textId="77777777" w:rsidR="00B52F36" w:rsidRPr="0063119B" w:rsidRDefault="008B4FFC" w:rsidP="00B52F36">
            <w:pPr>
              <w:pStyle w:val="BayerBodyTextFull"/>
              <w:keepNext/>
              <w:spacing w:before="60" w:after="60"/>
              <w:ind w:left="12"/>
              <w:rPr>
                <w:sz w:val="22"/>
                <w:szCs w:val="22"/>
              </w:rPr>
            </w:pPr>
            <w:r w:rsidRPr="0063119B">
              <w:rPr>
                <w:sz w:val="22"/>
                <w:szCs w:val="22"/>
              </w:rPr>
              <w:t>23</w:t>
            </w:r>
            <w:r w:rsidRPr="0063119B">
              <w:rPr>
                <w:sz w:val="22"/>
                <w:szCs w:val="22"/>
              </w:rPr>
              <w:br/>
              <w:t>(2,</w:t>
            </w:r>
            <w:r w:rsidR="00B52F36" w:rsidRPr="0063119B">
              <w:rPr>
                <w:sz w:val="22"/>
                <w:szCs w:val="22"/>
              </w:rPr>
              <w:t>1</w:t>
            </w:r>
            <w:proofErr w:type="gramStart"/>
            <w:r w:rsidR="00B52F36" w:rsidRPr="0063119B">
              <w:rPr>
                <w:sz w:val="22"/>
                <w:szCs w:val="22"/>
              </w:rPr>
              <w:t>%)</w:t>
            </w:r>
            <w:r w:rsidR="00B52F36" w:rsidRPr="0063119B">
              <w:rPr>
                <w:sz w:val="22"/>
                <w:szCs w:val="22"/>
                <w:vertAlign w:val="superscript"/>
              </w:rPr>
              <w:t>+</w:t>
            </w:r>
            <w:proofErr w:type="gramEnd"/>
          </w:p>
        </w:tc>
        <w:tc>
          <w:tcPr>
            <w:tcW w:w="2069" w:type="dxa"/>
            <w:vAlign w:val="center"/>
          </w:tcPr>
          <w:p w14:paraId="6480CF4E" w14:textId="77777777" w:rsidR="00B52F36" w:rsidRPr="0063119B" w:rsidRDefault="008B4FFC" w:rsidP="00B52F36">
            <w:pPr>
              <w:pStyle w:val="BayerBodyTextFull"/>
              <w:keepNext/>
              <w:spacing w:before="60" w:after="60"/>
              <w:ind w:left="12"/>
              <w:rPr>
                <w:sz w:val="22"/>
                <w:szCs w:val="22"/>
              </w:rPr>
            </w:pPr>
            <w:r w:rsidRPr="0063119B">
              <w:rPr>
                <w:sz w:val="22"/>
                <w:szCs w:val="22"/>
              </w:rPr>
              <w:t xml:space="preserve">17 </w:t>
            </w:r>
            <w:r w:rsidRPr="0063119B">
              <w:rPr>
                <w:sz w:val="22"/>
                <w:szCs w:val="22"/>
              </w:rPr>
              <w:br/>
              <w:t>(1,</w:t>
            </w:r>
            <w:r w:rsidR="00B52F36" w:rsidRPr="0063119B">
              <w:rPr>
                <w:sz w:val="22"/>
                <w:szCs w:val="22"/>
              </w:rPr>
              <w:t>5</w:t>
            </w:r>
            <w:proofErr w:type="gramStart"/>
            <w:r w:rsidR="00B52F36" w:rsidRPr="0063119B">
              <w:rPr>
                <w:sz w:val="22"/>
                <w:szCs w:val="22"/>
              </w:rPr>
              <w:t>%)</w:t>
            </w:r>
            <w:r w:rsidR="00B52F36" w:rsidRPr="0063119B">
              <w:rPr>
                <w:sz w:val="22"/>
                <w:szCs w:val="22"/>
                <w:vertAlign w:val="superscript"/>
              </w:rPr>
              <w:t>+</w:t>
            </w:r>
            <w:proofErr w:type="gramEnd"/>
            <w:r w:rsidR="00B52F36" w:rsidRPr="0063119B">
              <w:rPr>
                <w:sz w:val="22"/>
                <w:szCs w:val="22"/>
                <w:vertAlign w:val="superscript"/>
              </w:rPr>
              <w:t>+</w:t>
            </w:r>
          </w:p>
        </w:tc>
        <w:tc>
          <w:tcPr>
            <w:tcW w:w="2147" w:type="dxa"/>
            <w:vAlign w:val="center"/>
          </w:tcPr>
          <w:p w14:paraId="3C9DE15E" w14:textId="77777777" w:rsidR="00B52F36" w:rsidRPr="0063119B" w:rsidRDefault="008B4FFC" w:rsidP="00B52F36">
            <w:pPr>
              <w:pStyle w:val="BayerBodyTextFull"/>
              <w:keepNext/>
              <w:spacing w:before="60" w:after="60"/>
              <w:ind w:left="12"/>
              <w:rPr>
                <w:sz w:val="22"/>
                <w:szCs w:val="22"/>
              </w:rPr>
            </w:pPr>
            <w:r w:rsidRPr="0063119B">
              <w:rPr>
                <w:sz w:val="22"/>
                <w:szCs w:val="22"/>
              </w:rPr>
              <w:t xml:space="preserve">53 </w:t>
            </w:r>
            <w:r w:rsidRPr="0063119B">
              <w:rPr>
                <w:sz w:val="22"/>
                <w:szCs w:val="22"/>
              </w:rPr>
              <w:br/>
              <w:t>(4,</w:t>
            </w:r>
            <w:r w:rsidR="00B52F36" w:rsidRPr="0063119B">
              <w:rPr>
                <w:sz w:val="22"/>
                <w:szCs w:val="22"/>
              </w:rPr>
              <w:t>7%)</w:t>
            </w:r>
          </w:p>
        </w:tc>
      </w:tr>
      <w:tr w:rsidR="00B52F36" w:rsidRPr="0063119B" w14:paraId="0BBD1D21" w14:textId="77777777" w:rsidTr="000746C9">
        <w:tc>
          <w:tcPr>
            <w:tcW w:w="9168" w:type="dxa"/>
            <w:gridSpan w:val="4"/>
          </w:tcPr>
          <w:p w14:paraId="76C51765" w14:textId="77777777" w:rsidR="00B52F36" w:rsidRPr="0063119B" w:rsidRDefault="00B52F36" w:rsidP="00B52F36">
            <w:pPr>
              <w:pStyle w:val="BayerTableFootnote"/>
              <w:tabs>
                <w:tab w:val="right" w:pos="480"/>
                <w:tab w:val="left" w:pos="600"/>
              </w:tabs>
              <w:spacing w:after="0"/>
              <w:ind w:left="0" w:firstLine="0"/>
              <w:rPr>
                <w:szCs w:val="22"/>
                <w:lang w:val="pt-PT"/>
              </w:rPr>
            </w:pPr>
            <w:r w:rsidRPr="0063119B">
              <w:rPr>
                <w:szCs w:val="22"/>
                <w:lang w:val="pt-PT"/>
              </w:rPr>
              <w:t xml:space="preserve">* </w:t>
            </w:r>
            <w:r w:rsidR="00A40867" w:rsidRPr="0063119B">
              <w:rPr>
                <w:szCs w:val="22"/>
                <w:lang w:val="pt-PT"/>
              </w:rPr>
              <w:tab/>
              <w:t>p&lt;0,</w:t>
            </w:r>
            <w:r w:rsidRPr="0063119B">
              <w:rPr>
                <w:szCs w:val="22"/>
                <w:lang w:val="pt-PT"/>
              </w:rPr>
              <w:t>001</w:t>
            </w:r>
            <w:r w:rsidR="00240206" w:rsidRPr="0063119B">
              <w:rPr>
                <w:szCs w:val="22"/>
                <w:lang w:val="pt-PT"/>
              </w:rPr>
              <w:t xml:space="preserve"> </w:t>
            </w:r>
            <w:r w:rsidRPr="0063119B">
              <w:rPr>
                <w:szCs w:val="22"/>
                <w:lang w:val="pt-PT"/>
              </w:rPr>
              <w:t>(superiori</w:t>
            </w:r>
            <w:r w:rsidR="00A40867" w:rsidRPr="0063119B">
              <w:rPr>
                <w:szCs w:val="22"/>
                <w:lang w:val="pt-PT"/>
              </w:rPr>
              <w:t xml:space="preserve">dade) </w:t>
            </w:r>
            <w:r w:rsidR="004C32BA" w:rsidRPr="0063119B">
              <w:rPr>
                <w:noProof/>
                <w:szCs w:val="22"/>
                <w:lang w:val="pt-PT"/>
              </w:rPr>
              <w:t>rivaroxabano</w:t>
            </w:r>
            <w:r w:rsidR="00A40867" w:rsidRPr="0063119B">
              <w:rPr>
                <w:szCs w:val="22"/>
                <w:lang w:val="pt-PT"/>
              </w:rPr>
              <w:t xml:space="preserve"> 20 </w:t>
            </w:r>
            <w:r w:rsidRPr="0063119B">
              <w:rPr>
                <w:szCs w:val="22"/>
                <w:lang w:val="pt-PT"/>
              </w:rPr>
              <w:t xml:space="preserve">mg </w:t>
            </w:r>
            <w:r w:rsidR="00EC138C" w:rsidRPr="0063119B">
              <w:rPr>
                <w:szCs w:val="22"/>
                <w:lang w:val="pt-PT"/>
              </w:rPr>
              <w:t>uma vez por dia</w:t>
            </w:r>
            <w:r w:rsidRPr="0063119B">
              <w:rPr>
                <w:szCs w:val="22"/>
                <w:lang w:val="pt-PT"/>
              </w:rPr>
              <w:t xml:space="preserve"> vs A</w:t>
            </w:r>
            <w:r w:rsidR="0044465D" w:rsidRPr="0063119B">
              <w:rPr>
                <w:szCs w:val="22"/>
                <w:lang w:val="pt-PT"/>
              </w:rPr>
              <w:t>A</w:t>
            </w:r>
            <w:r w:rsidRPr="0063119B">
              <w:rPr>
                <w:szCs w:val="22"/>
                <w:lang w:val="pt-PT"/>
              </w:rPr>
              <w:t>S</w:t>
            </w:r>
            <w:r w:rsidR="00A40867" w:rsidRPr="0063119B">
              <w:rPr>
                <w:szCs w:val="22"/>
                <w:lang w:val="pt-PT"/>
              </w:rPr>
              <w:t xml:space="preserve"> 100 </w:t>
            </w:r>
            <w:r w:rsidRPr="0063119B">
              <w:rPr>
                <w:szCs w:val="22"/>
                <w:lang w:val="pt-PT"/>
              </w:rPr>
              <w:t xml:space="preserve">mg </w:t>
            </w:r>
            <w:r w:rsidR="00EC138C" w:rsidRPr="0063119B">
              <w:rPr>
                <w:szCs w:val="22"/>
                <w:lang w:val="pt-PT"/>
              </w:rPr>
              <w:t>uma vez por dia</w:t>
            </w:r>
            <w:r w:rsidRPr="0063119B">
              <w:rPr>
                <w:szCs w:val="22"/>
                <w:lang w:val="pt-PT"/>
              </w:rPr>
              <w:t xml:space="preserve">; </w:t>
            </w:r>
            <w:r w:rsidR="00A40867" w:rsidRPr="0063119B">
              <w:rPr>
                <w:szCs w:val="22"/>
                <w:lang w:val="pt-PT"/>
              </w:rPr>
              <w:t>RR=0,</w:t>
            </w:r>
            <w:r w:rsidRPr="0063119B">
              <w:rPr>
                <w:szCs w:val="22"/>
                <w:lang w:val="pt-PT"/>
              </w:rPr>
              <w:t>34 (0</w:t>
            </w:r>
            <w:r w:rsidR="00A40867" w:rsidRPr="0063119B">
              <w:rPr>
                <w:szCs w:val="22"/>
                <w:lang w:val="pt-PT"/>
              </w:rPr>
              <w:t>,</w:t>
            </w:r>
            <w:r w:rsidRPr="0063119B">
              <w:rPr>
                <w:szCs w:val="22"/>
                <w:lang w:val="pt-PT"/>
              </w:rPr>
              <w:t>20</w:t>
            </w:r>
            <w:r w:rsidR="000E46B1" w:rsidRPr="0063119B">
              <w:rPr>
                <w:szCs w:val="22"/>
                <w:lang w:val="pt-PT"/>
              </w:rPr>
              <w:t>-</w:t>
            </w:r>
            <w:r w:rsidRPr="0063119B">
              <w:rPr>
                <w:szCs w:val="22"/>
                <w:lang w:val="pt-PT"/>
              </w:rPr>
              <w:t>0</w:t>
            </w:r>
            <w:r w:rsidR="00A40867" w:rsidRPr="0063119B">
              <w:rPr>
                <w:szCs w:val="22"/>
                <w:lang w:val="pt-PT"/>
              </w:rPr>
              <w:t>,</w:t>
            </w:r>
            <w:r w:rsidRPr="0063119B">
              <w:rPr>
                <w:szCs w:val="22"/>
                <w:lang w:val="pt-PT"/>
              </w:rPr>
              <w:t>59)</w:t>
            </w:r>
          </w:p>
          <w:p w14:paraId="021F676B" w14:textId="77777777" w:rsidR="00B52F36" w:rsidRPr="0063119B" w:rsidRDefault="00B52F36" w:rsidP="00B52F36">
            <w:pPr>
              <w:pStyle w:val="BayerTableFootnote"/>
              <w:tabs>
                <w:tab w:val="right" w:pos="480"/>
                <w:tab w:val="left" w:pos="600"/>
              </w:tabs>
              <w:spacing w:after="0"/>
              <w:ind w:left="0" w:firstLine="0"/>
              <w:rPr>
                <w:szCs w:val="22"/>
                <w:lang w:val="pt-PT"/>
              </w:rPr>
            </w:pPr>
            <w:r w:rsidRPr="0063119B">
              <w:rPr>
                <w:szCs w:val="22"/>
                <w:lang w:val="pt-PT"/>
              </w:rPr>
              <w:t>** p</w:t>
            </w:r>
            <w:r w:rsidR="00A40867" w:rsidRPr="0063119B">
              <w:rPr>
                <w:szCs w:val="22"/>
                <w:lang w:val="pt-PT"/>
              </w:rPr>
              <w:t xml:space="preserve">&lt;0,001 (superioridade) </w:t>
            </w:r>
            <w:r w:rsidR="004C32BA" w:rsidRPr="0063119B">
              <w:rPr>
                <w:noProof/>
                <w:szCs w:val="22"/>
                <w:lang w:val="pt-PT"/>
              </w:rPr>
              <w:t>rivaroxabano</w:t>
            </w:r>
            <w:r w:rsidR="00A40867" w:rsidRPr="0063119B">
              <w:rPr>
                <w:szCs w:val="22"/>
                <w:lang w:val="pt-PT"/>
              </w:rPr>
              <w:t xml:space="preserve"> 10 </w:t>
            </w:r>
            <w:r w:rsidRPr="0063119B">
              <w:rPr>
                <w:szCs w:val="22"/>
                <w:lang w:val="pt-PT"/>
              </w:rPr>
              <w:t xml:space="preserve">mg </w:t>
            </w:r>
            <w:r w:rsidR="00EC138C" w:rsidRPr="0063119B">
              <w:rPr>
                <w:szCs w:val="22"/>
                <w:lang w:val="pt-PT"/>
              </w:rPr>
              <w:t>uma vez por dia</w:t>
            </w:r>
            <w:r w:rsidRPr="0063119B">
              <w:rPr>
                <w:szCs w:val="22"/>
                <w:lang w:val="pt-PT"/>
              </w:rPr>
              <w:t xml:space="preserve"> vs</w:t>
            </w:r>
            <w:r w:rsidR="00A40867" w:rsidRPr="0063119B">
              <w:rPr>
                <w:szCs w:val="22"/>
                <w:lang w:val="pt-PT"/>
              </w:rPr>
              <w:t xml:space="preserve"> A</w:t>
            </w:r>
            <w:r w:rsidR="0044465D" w:rsidRPr="0063119B">
              <w:rPr>
                <w:szCs w:val="22"/>
                <w:lang w:val="pt-PT"/>
              </w:rPr>
              <w:t>A</w:t>
            </w:r>
            <w:r w:rsidR="00A40867" w:rsidRPr="0063119B">
              <w:rPr>
                <w:szCs w:val="22"/>
                <w:lang w:val="pt-PT"/>
              </w:rPr>
              <w:t xml:space="preserve">S 100 mg </w:t>
            </w:r>
            <w:r w:rsidR="00EC138C" w:rsidRPr="0063119B">
              <w:rPr>
                <w:szCs w:val="22"/>
                <w:lang w:val="pt-PT"/>
              </w:rPr>
              <w:t>uma vez por dia</w:t>
            </w:r>
            <w:r w:rsidR="00A40867" w:rsidRPr="0063119B">
              <w:rPr>
                <w:szCs w:val="22"/>
                <w:lang w:val="pt-PT"/>
              </w:rPr>
              <w:t>; RR=0,26 (0,14</w:t>
            </w:r>
            <w:r w:rsidR="000E46B1" w:rsidRPr="0063119B">
              <w:rPr>
                <w:szCs w:val="22"/>
                <w:lang w:val="pt-PT"/>
              </w:rPr>
              <w:t>-</w:t>
            </w:r>
            <w:r w:rsidR="00A40867" w:rsidRPr="0063119B">
              <w:rPr>
                <w:szCs w:val="22"/>
                <w:lang w:val="pt-PT"/>
              </w:rPr>
              <w:t>0,</w:t>
            </w:r>
            <w:r w:rsidRPr="0063119B">
              <w:rPr>
                <w:szCs w:val="22"/>
                <w:lang w:val="pt-PT"/>
              </w:rPr>
              <w:t>47)</w:t>
            </w:r>
          </w:p>
          <w:p w14:paraId="09CF32BD" w14:textId="77777777" w:rsidR="00B52F36" w:rsidRPr="0063119B" w:rsidRDefault="00B52F36" w:rsidP="00B52F36">
            <w:pPr>
              <w:rPr>
                <w:szCs w:val="22"/>
              </w:rPr>
            </w:pPr>
            <w:r w:rsidRPr="0063119B">
              <w:rPr>
                <w:szCs w:val="22"/>
                <w:vertAlign w:val="superscript"/>
              </w:rPr>
              <w:t xml:space="preserve">+ </w:t>
            </w:r>
            <w:r w:rsidR="004C32BA" w:rsidRPr="0063119B">
              <w:rPr>
                <w:szCs w:val="22"/>
              </w:rPr>
              <w:t>R</w:t>
            </w:r>
            <w:r w:rsidR="004C32BA" w:rsidRPr="0063119B">
              <w:rPr>
                <w:noProof/>
                <w:szCs w:val="22"/>
              </w:rPr>
              <w:t>ivaroxabano</w:t>
            </w:r>
            <w:r w:rsidRPr="0063119B">
              <w:rPr>
                <w:szCs w:val="22"/>
              </w:rPr>
              <w:t xml:space="preserve"> 20 mg </w:t>
            </w:r>
            <w:r w:rsidR="00EC138C" w:rsidRPr="0063119B">
              <w:rPr>
                <w:szCs w:val="22"/>
              </w:rPr>
              <w:t xml:space="preserve">uma vez por dia </w:t>
            </w:r>
            <w:r w:rsidRPr="0063119B">
              <w:rPr>
                <w:szCs w:val="22"/>
              </w:rPr>
              <w:t xml:space="preserve"> vs.</w:t>
            </w:r>
            <w:r w:rsidR="0044465D" w:rsidRPr="0063119B">
              <w:rPr>
                <w:szCs w:val="22"/>
              </w:rPr>
              <w:t xml:space="preserve"> AAS</w:t>
            </w:r>
            <w:r w:rsidRPr="0063119B">
              <w:rPr>
                <w:szCs w:val="22"/>
              </w:rPr>
              <w:t xml:space="preserve"> 100 mg </w:t>
            </w:r>
            <w:r w:rsidR="00EC138C" w:rsidRPr="0063119B">
              <w:rPr>
                <w:szCs w:val="22"/>
              </w:rPr>
              <w:t xml:space="preserve">uma vez por dia </w:t>
            </w:r>
            <w:r w:rsidR="00A40867" w:rsidRPr="0063119B">
              <w:rPr>
                <w:szCs w:val="22"/>
              </w:rPr>
              <w:t>; RR=0,44 (0,27</w:t>
            </w:r>
            <w:r w:rsidR="000E46B1" w:rsidRPr="0063119B">
              <w:rPr>
                <w:szCs w:val="22"/>
              </w:rPr>
              <w:t>-</w:t>
            </w:r>
            <w:r w:rsidR="00A40867" w:rsidRPr="0063119B">
              <w:rPr>
                <w:szCs w:val="22"/>
              </w:rPr>
              <w:t>0,71), p=0,</w:t>
            </w:r>
            <w:r w:rsidRPr="0063119B">
              <w:rPr>
                <w:szCs w:val="22"/>
              </w:rPr>
              <w:t xml:space="preserve">0009 (nominal) </w:t>
            </w:r>
          </w:p>
          <w:p w14:paraId="6CDA3F59" w14:textId="77777777" w:rsidR="00B52F36" w:rsidRPr="0063119B" w:rsidRDefault="00B52F36" w:rsidP="00EC138C">
            <w:pPr>
              <w:pStyle w:val="BayerTableFootnote"/>
              <w:tabs>
                <w:tab w:val="right" w:pos="480"/>
                <w:tab w:val="left" w:pos="600"/>
              </w:tabs>
              <w:ind w:left="0" w:firstLine="0"/>
              <w:rPr>
                <w:szCs w:val="22"/>
                <w:lang w:val="pt-PT"/>
              </w:rPr>
            </w:pPr>
            <w:r w:rsidRPr="0063119B">
              <w:rPr>
                <w:szCs w:val="22"/>
                <w:vertAlign w:val="superscript"/>
                <w:lang w:val="pt-PT"/>
              </w:rPr>
              <w:t>++</w:t>
            </w:r>
            <w:r w:rsidRPr="0063119B">
              <w:rPr>
                <w:szCs w:val="22"/>
                <w:lang w:val="pt-PT"/>
              </w:rPr>
              <w:t xml:space="preserve"> </w:t>
            </w:r>
            <w:r w:rsidR="004C32BA" w:rsidRPr="0063119B">
              <w:rPr>
                <w:szCs w:val="22"/>
                <w:lang w:val="pt-PT"/>
              </w:rPr>
              <w:t>R</w:t>
            </w:r>
            <w:r w:rsidR="004C32BA" w:rsidRPr="0063119B">
              <w:rPr>
                <w:noProof/>
                <w:szCs w:val="22"/>
                <w:lang w:val="pt-PT"/>
              </w:rPr>
              <w:t>ivaroxabano</w:t>
            </w:r>
            <w:r w:rsidRPr="0063119B">
              <w:rPr>
                <w:szCs w:val="22"/>
                <w:lang w:val="pt-PT"/>
              </w:rPr>
              <w:t xml:space="preserve"> 10 mg </w:t>
            </w:r>
            <w:r w:rsidR="00EC138C" w:rsidRPr="0063119B">
              <w:rPr>
                <w:szCs w:val="22"/>
                <w:lang w:val="pt-PT"/>
              </w:rPr>
              <w:t xml:space="preserve">uma vez por dia </w:t>
            </w:r>
            <w:r w:rsidRPr="0063119B">
              <w:rPr>
                <w:szCs w:val="22"/>
                <w:lang w:val="pt-PT"/>
              </w:rPr>
              <w:t>vs. A</w:t>
            </w:r>
            <w:r w:rsidR="0044465D" w:rsidRPr="0063119B">
              <w:rPr>
                <w:szCs w:val="22"/>
                <w:lang w:val="pt-PT"/>
              </w:rPr>
              <w:t>A</w:t>
            </w:r>
            <w:r w:rsidRPr="0063119B">
              <w:rPr>
                <w:szCs w:val="22"/>
                <w:lang w:val="pt-PT"/>
              </w:rPr>
              <w:t>S 100</w:t>
            </w:r>
            <w:r w:rsidR="00A40867" w:rsidRPr="0063119B">
              <w:rPr>
                <w:szCs w:val="22"/>
                <w:lang w:val="pt-PT"/>
              </w:rPr>
              <w:t xml:space="preserve"> mg </w:t>
            </w:r>
            <w:r w:rsidR="00EC138C" w:rsidRPr="0063119B">
              <w:rPr>
                <w:szCs w:val="22"/>
                <w:lang w:val="pt-PT"/>
              </w:rPr>
              <w:t xml:space="preserve">uma vez por dia </w:t>
            </w:r>
            <w:r w:rsidR="00A40867" w:rsidRPr="0063119B">
              <w:rPr>
                <w:szCs w:val="22"/>
                <w:lang w:val="pt-PT"/>
              </w:rPr>
              <w:t>; R</w:t>
            </w:r>
            <w:r w:rsidR="0044465D" w:rsidRPr="0063119B">
              <w:rPr>
                <w:szCs w:val="22"/>
                <w:lang w:val="pt-PT"/>
              </w:rPr>
              <w:t>R=0,</w:t>
            </w:r>
            <w:r w:rsidR="00A40867" w:rsidRPr="0063119B">
              <w:rPr>
                <w:szCs w:val="22"/>
                <w:lang w:val="pt-PT"/>
              </w:rPr>
              <w:t>32 (0,</w:t>
            </w:r>
            <w:r w:rsidRPr="0063119B">
              <w:rPr>
                <w:szCs w:val="22"/>
                <w:lang w:val="pt-PT"/>
              </w:rPr>
              <w:t>18</w:t>
            </w:r>
            <w:r w:rsidR="000E46B1" w:rsidRPr="0063119B">
              <w:rPr>
                <w:szCs w:val="22"/>
                <w:lang w:val="pt-PT"/>
              </w:rPr>
              <w:t>-</w:t>
            </w:r>
            <w:r w:rsidRPr="0063119B">
              <w:rPr>
                <w:szCs w:val="22"/>
                <w:lang w:val="pt-PT"/>
              </w:rPr>
              <w:t>0</w:t>
            </w:r>
            <w:r w:rsidR="00A40867" w:rsidRPr="0063119B">
              <w:rPr>
                <w:szCs w:val="22"/>
                <w:lang w:val="pt-PT"/>
              </w:rPr>
              <w:t>,</w:t>
            </w:r>
            <w:r w:rsidRPr="0063119B">
              <w:rPr>
                <w:szCs w:val="22"/>
                <w:lang w:val="pt-PT"/>
              </w:rPr>
              <w:t>55), p&lt;0</w:t>
            </w:r>
            <w:r w:rsidR="00A40867" w:rsidRPr="0063119B">
              <w:rPr>
                <w:szCs w:val="22"/>
                <w:lang w:val="pt-PT"/>
              </w:rPr>
              <w:t>,</w:t>
            </w:r>
            <w:r w:rsidRPr="0063119B">
              <w:rPr>
                <w:szCs w:val="22"/>
                <w:lang w:val="pt-PT"/>
              </w:rPr>
              <w:t>0001 (nominal)</w:t>
            </w:r>
          </w:p>
        </w:tc>
      </w:tr>
    </w:tbl>
    <w:p w14:paraId="71134397" w14:textId="77777777" w:rsidR="00B52F36" w:rsidRPr="0063119B" w:rsidRDefault="00B52F36" w:rsidP="00B52F36">
      <w:pPr>
        <w:pStyle w:val="Default"/>
        <w:widowControl/>
        <w:rPr>
          <w:color w:val="auto"/>
          <w:sz w:val="22"/>
          <w:szCs w:val="22"/>
          <w:lang w:val="pt-PT"/>
        </w:rPr>
      </w:pPr>
    </w:p>
    <w:p w14:paraId="0B14F870" w14:textId="77777777" w:rsidR="00B52F36" w:rsidRPr="0063119B" w:rsidRDefault="00B52F36" w:rsidP="00B52F36">
      <w:pPr>
        <w:rPr>
          <w:szCs w:val="22"/>
        </w:rPr>
      </w:pPr>
      <w:r w:rsidRPr="0063119B">
        <w:rPr>
          <w:szCs w:val="22"/>
        </w:rPr>
        <w:t>Adicionalmente ao programa de fase III EINSTEIN, foi realizado um estudo de coorte prospetivo, não intervencional, aberto (XALIA) com adjudicação central do resultado</w:t>
      </w:r>
      <w:r w:rsidR="00A40867" w:rsidRPr="0063119B">
        <w:rPr>
          <w:szCs w:val="22"/>
        </w:rPr>
        <w:t>,</w:t>
      </w:r>
      <w:r w:rsidRPr="0063119B">
        <w:rPr>
          <w:szCs w:val="22"/>
        </w:rPr>
        <w:t xml:space="preserve"> incluindo TEV recorrente, acontecimentos hemorrágicos </w:t>
      </w:r>
      <w:r w:rsidR="00417496" w:rsidRPr="0063119B">
        <w:rPr>
          <w:szCs w:val="22"/>
        </w:rPr>
        <w:t xml:space="preserve">principais </w:t>
      </w:r>
      <w:r w:rsidR="00A40867" w:rsidRPr="0063119B">
        <w:rPr>
          <w:szCs w:val="22"/>
        </w:rPr>
        <w:t>e morte. Foram incluídos 5,142 </w:t>
      </w:r>
      <w:r w:rsidRPr="0063119B">
        <w:rPr>
          <w:szCs w:val="22"/>
        </w:rPr>
        <w:t xml:space="preserve">doentes com TVP aguda para investigar a segurança a longo prazo do rivaroxabano comparado com a terapêutica anticoagulante padrão na prática clínica. As taxas de acontecimentos hemorrágicos </w:t>
      </w:r>
      <w:r w:rsidR="00417496" w:rsidRPr="0063119B">
        <w:rPr>
          <w:szCs w:val="22"/>
        </w:rPr>
        <w:t>principais</w:t>
      </w:r>
      <w:r w:rsidRPr="0063119B">
        <w:rPr>
          <w:szCs w:val="22"/>
        </w:rPr>
        <w:t>, TEV recorrente e mortalidade de todas as causas para o rivaroxabano foram de 0,7%, 1,4% e 0,5%</w:t>
      </w:r>
      <w:r w:rsidR="00A40867" w:rsidRPr="0063119B">
        <w:rPr>
          <w:szCs w:val="22"/>
        </w:rPr>
        <w:t>,</w:t>
      </w:r>
      <w:r w:rsidRPr="0063119B">
        <w:rPr>
          <w:szCs w:val="22"/>
        </w:rPr>
        <w:t xml:space="preserve"> respetivamente. Houve diferenças nas características basais dos doentes incluindo idade, cancro e compromisso renal. Uma análise pré-especificada e estratificada por </w:t>
      </w:r>
      <w:r w:rsidRPr="0063119B">
        <w:rPr>
          <w:i/>
          <w:szCs w:val="22"/>
        </w:rPr>
        <w:t xml:space="preserve">propensity score </w:t>
      </w:r>
      <w:r w:rsidRPr="0063119B">
        <w:rPr>
          <w:szCs w:val="22"/>
        </w:rPr>
        <w:t xml:space="preserve">foi utilizada para ajustar as diferenças basais quantificadas mas o confundimento residual pode, apesar disso, influenciar os resultados. As </w:t>
      </w:r>
      <w:r w:rsidR="00A407A9" w:rsidRPr="0063119B">
        <w:rPr>
          <w:szCs w:val="22"/>
        </w:rPr>
        <w:t>RR</w:t>
      </w:r>
      <w:r w:rsidRPr="0063119B">
        <w:rPr>
          <w:szCs w:val="22"/>
        </w:rPr>
        <w:t xml:space="preserve"> ajustadas comparando rivaroxabano e a terapêutica padrão para acontecimentos hemorrágicos </w:t>
      </w:r>
      <w:r w:rsidR="00417496" w:rsidRPr="0063119B">
        <w:rPr>
          <w:szCs w:val="22"/>
        </w:rPr>
        <w:t>principais</w:t>
      </w:r>
      <w:r w:rsidRPr="0063119B">
        <w:rPr>
          <w:szCs w:val="22"/>
        </w:rPr>
        <w:t xml:space="preserve">, TEV recorrente e mortalidade de todas as causas foram de 0,77 (IC 95% 0,40 </w:t>
      </w:r>
      <w:r w:rsidR="000E46B1" w:rsidRPr="0063119B">
        <w:rPr>
          <w:szCs w:val="22"/>
        </w:rPr>
        <w:lastRenderedPageBreak/>
        <w:t>-</w:t>
      </w:r>
      <w:r w:rsidRPr="0063119B">
        <w:rPr>
          <w:szCs w:val="22"/>
        </w:rPr>
        <w:t xml:space="preserve"> 1,50), 0,91 (IC 95% 0,54 </w:t>
      </w:r>
      <w:r w:rsidR="000E46B1" w:rsidRPr="0063119B">
        <w:rPr>
          <w:szCs w:val="22"/>
        </w:rPr>
        <w:t>-</w:t>
      </w:r>
      <w:r w:rsidRPr="0063119B">
        <w:rPr>
          <w:szCs w:val="22"/>
        </w:rPr>
        <w:t xml:space="preserve"> 1,54) e 0</w:t>
      </w:r>
      <w:r w:rsidR="00A40867" w:rsidRPr="0063119B">
        <w:rPr>
          <w:szCs w:val="22"/>
        </w:rPr>
        <w:t xml:space="preserve">,51 (IC 95% 0,24 </w:t>
      </w:r>
      <w:r w:rsidR="000E46B1" w:rsidRPr="0063119B">
        <w:rPr>
          <w:szCs w:val="22"/>
        </w:rPr>
        <w:t>-</w:t>
      </w:r>
      <w:r w:rsidR="00A40867" w:rsidRPr="0063119B">
        <w:rPr>
          <w:szCs w:val="22"/>
        </w:rPr>
        <w:t xml:space="preserve"> 1,07), respe</w:t>
      </w:r>
      <w:r w:rsidRPr="0063119B">
        <w:rPr>
          <w:szCs w:val="22"/>
        </w:rPr>
        <w:t>tivamente.</w:t>
      </w:r>
      <w:r w:rsidR="0083088B">
        <w:rPr>
          <w:szCs w:val="22"/>
        </w:rPr>
        <w:t xml:space="preserve"> </w:t>
      </w:r>
      <w:r w:rsidRPr="0063119B">
        <w:rPr>
          <w:szCs w:val="22"/>
        </w:rPr>
        <w:t>Estes resultados  na prática clínica são consistentes com o perfil de segurança es</w:t>
      </w:r>
      <w:r w:rsidR="00A40867" w:rsidRPr="0063119B">
        <w:rPr>
          <w:szCs w:val="22"/>
        </w:rPr>
        <w:t>tabelecido para esta indicação.</w:t>
      </w:r>
    </w:p>
    <w:p w14:paraId="3E8B887A" w14:textId="0CAACC27" w:rsidR="00B1130D" w:rsidRDefault="00B1130D" w:rsidP="00337111">
      <w:pPr>
        <w:suppressAutoHyphens/>
        <w:rPr>
          <w:noProof/>
          <w:szCs w:val="22"/>
          <w:u w:val="single"/>
        </w:rPr>
      </w:pPr>
    </w:p>
    <w:p w14:paraId="0F669B82" w14:textId="6E7CB838" w:rsidR="00320623" w:rsidRDefault="00320623" w:rsidP="00337111">
      <w:pPr>
        <w:suppressAutoHyphens/>
      </w:pPr>
      <w:r>
        <w:t>Num estudo pós-autorização, não intervencional em mais de 40.000 doentes oriundos de quatro países, sem história de cancro, o rivaroxabano foi prescrito para o tratamento ou prevenção do TVP e EP. As taxas de acontecimentos por 100 doentes-ano, para os acontecimentos tromboembólicos/TEV sintomáticos/clinicamente aparentes, que levaram à hospitalização variaram de 0,64 (IC 95% 0,40 - 0,97) no Reino Unido a 2,30 (IC 95% 2,11 - 2,51) para a Alemanha. As hemorragias resultando em hospitalização ocorreram em taxas de acontecimentos por 100 doentes-ano de 0,31 (IC 95% 0,23 - 0,42) para a hemorragia intracraniana, 0,89 (IC 95% 0,67 - 1,17) para a hemorragia gastrointestinal, 0,44 (IC 95% 0,26 - 0,74) para a hemorragia urogenital e 0,41 (IC 95% 0,31 - 0,54) para outras hemorragias.</w:t>
      </w:r>
    </w:p>
    <w:p w14:paraId="6F974A09" w14:textId="77777777" w:rsidR="00320623" w:rsidRPr="0063119B" w:rsidRDefault="00320623" w:rsidP="00337111">
      <w:pPr>
        <w:suppressAutoHyphens/>
        <w:rPr>
          <w:noProof/>
          <w:szCs w:val="22"/>
          <w:u w:val="single"/>
        </w:rPr>
      </w:pPr>
    </w:p>
    <w:p w14:paraId="09FF751C" w14:textId="77777777" w:rsidR="00B1130D" w:rsidRDefault="00B1130D" w:rsidP="00B1130D">
      <w:pPr>
        <w:keepNext/>
        <w:suppressAutoHyphens/>
        <w:rPr>
          <w:noProof/>
          <w:szCs w:val="22"/>
          <w:u w:val="single"/>
        </w:rPr>
      </w:pPr>
      <w:r w:rsidRPr="0063119B">
        <w:rPr>
          <w:noProof/>
          <w:szCs w:val="22"/>
          <w:u w:val="single"/>
        </w:rPr>
        <w:t xml:space="preserve">Doentes de alto risco com síndrome antifosfolipídica triplo positivos </w:t>
      </w:r>
    </w:p>
    <w:p w14:paraId="283C5CE9" w14:textId="77777777" w:rsidR="00B60DD5" w:rsidRPr="0063119B" w:rsidRDefault="00B60DD5" w:rsidP="00B1130D">
      <w:pPr>
        <w:keepNext/>
        <w:suppressAutoHyphens/>
        <w:rPr>
          <w:noProof/>
          <w:szCs w:val="22"/>
          <w:u w:val="single"/>
        </w:rPr>
      </w:pPr>
    </w:p>
    <w:p w14:paraId="2EC510CA" w14:textId="77777777" w:rsidR="00B1130D" w:rsidRPr="0063119B" w:rsidRDefault="00B1130D" w:rsidP="00B1130D">
      <w:pPr>
        <w:rPr>
          <w:noProof/>
          <w:szCs w:val="22"/>
        </w:rPr>
      </w:pPr>
      <w:r w:rsidRPr="0063119B">
        <w:rPr>
          <w:noProof/>
          <w:szCs w:val="22"/>
        </w:rPr>
        <w:t>Foi realizado um estudo multicêntrico, aleatorizado, sem ocultação, promovido pelo investigador, com avaliação em ocultação do parâmetro de avaliação final para comparar o rivaroxabano com a varfarina em doentes com antecedentes de trombose, diagnosticados com síndrome antifosfolipídica e com risco elevado de acontecimentos tromboembólicos (positivos para a presença dos 3 anticorpos antifosfolípidos: anticoagulante lúpico, anticorpos anticardiolipina e anticorpos anti-beta2 glicoproteína-I). Após o recrutamento de 120 doentes o estudo foi prematuramente terminado devido a um excesso de acontecimentos entre os doentes no braço do rivaroxabano. O tempo de seguimento médio do estudo foi de 569 dias. Foram aleatorizados 59 doentes para o tratamento com 20 mg de rivaroxabano (15 mg para doentes com depuração da creatinina (CrCl) &lt;50 ml/min) e 61 doentes para o tratamento com varfarina (INR 2,0-3,0). Ocorreram acontecimentos tromboembólicos (4 acidentes vasculares cerebrais isquémicos e 3 enfartes do miocárdio) em 12% dos doentes aleatorizados para o tratamento com rivaroxabano. Não foram notificados acontecimentos nos doentes aleatorizados para o tratamento com varfarina. Ocorreram hemorragias graves em 4 doentes (7%) do grupo do rivaroxabano e em 2 doentes (3%) do grupo da varfarina.</w:t>
      </w:r>
    </w:p>
    <w:p w14:paraId="5921ED6C" w14:textId="77777777" w:rsidR="00B1130D" w:rsidRPr="0063119B" w:rsidRDefault="00B1130D" w:rsidP="00337111">
      <w:pPr>
        <w:suppressAutoHyphens/>
        <w:rPr>
          <w:noProof/>
          <w:szCs w:val="22"/>
          <w:u w:val="single"/>
        </w:rPr>
      </w:pPr>
    </w:p>
    <w:p w14:paraId="059E327D" w14:textId="77777777" w:rsidR="00337111" w:rsidRDefault="00337111" w:rsidP="00337111">
      <w:pPr>
        <w:suppressAutoHyphens/>
        <w:rPr>
          <w:noProof/>
          <w:szCs w:val="22"/>
          <w:u w:val="single"/>
        </w:rPr>
      </w:pPr>
      <w:r w:rsidRPr="0063119B">
        <w:rPr>
          <w:noProof/>
          <w:szCs w:val="22"/>
          <w:u w:val="single"/>
        </w:rPr>
        <w:t>População pediátrica</w:t>
      </w:r>
    </w:p>
    <w:p w14:paraId="21038841" w14:textId="77777777" w:rsidR="00B60DD5" w:rsidRPr="0063119B" w:rsidRDefault="00B60DD5" w:rsidP="00337111">
      <w:pPr>
        <w:suppressAutoHyphens/>
        <w:rPr>
          <w:noProof/>
          <w:szCs w:val="22"/>
          <w:u w:val="single"/>
        </w:rPr>
      </w:pPr>
    </w:p>
    <w:p w14:paraId="1F8EEAD9" w14:textId="77777777" w:rsidR="00337111" w:rsidRPr="0063119B" w:rsidRDefault="00337111" w:rsidP="00337111">
      <w:pPr>
        <w:suppressAutoHyphens/>
        <w:rPr>
          <w:rFonts w:eastAsia="SimSun"/>
          <w:szCs w:val="22"/>
          <w:lang w:eastAsia="zh-CN"/>
        </w:rPr>
      </w:pPr>
      <w:r w:rsidRPr="0063119B">
        <w:rPr>
          <w:rFonts w:eastAsia="SimSun"/>
          <w:szCs w:val="22"/>
          <w:lang w:eastAsia="zh-CN"/>
        </w:rPr>
        <w:t xml:space="preserve">A </w:t>
      </w:r>
      <w:r w:rsidRPr="0063119B">
        <w:rPr>
          <w:noProof/>
          <w:szCs w:val="22"/>
        </w:rPr>
        <w:t xml:space="preserve">Agência Europeia de Medicamentos dispensou a obrigação de apresentação dos resultados dos estudos com </w:t>
      </w:r>
      <w:r w:rsidR="004C32BA" w:rsidRPr="0063119B">
        <w:rPr>
          <w:noProof/>
          <w:szCs w:val="22"/>
        </w:rPr>
        <w:t xml:space="preserve">o medicamento de referência contendo rivaroxabano </w:t>
      </w:r>
      <w:r w:rsidRPr="0063119B">
        <w:rPr>
          <w:rFonts w:eastAsia="SimSun"/>
          <w:szCs w:val="22"/>
          <w:lang w:eastAsia="zh-CN"/>
        </w:rPr>
        <w:t xml:space="preserve">em todos os subgrupos da população pediátrica na prevenção de acontecimentos tromboembólicos </w:t>
      </w:r>
      <w:r w:rsidR="003752F4" w:rsidRPr="0063119B">
        <w:rPr>
          <w:rFonts w:eastAsia="SimSun"/>
          <w:szCs w:val="22"/>
          <w:lang w:eastAsia="zh-CN"/>
        </w:rPr>
        <w:t>(v</w:t>
      </w:r>
      <w:r w:rsidRPr="0063119B">
        <w:rPr>
          <w:rFonts w:eastAsia="SimSun"/>
          <w:szCs w:val="22"/>
          <w:lang w:eastAsia="zh-CN"/>
        </w:rPr>
        <w:t>er secção 4.2 para informação sobre utilização pediátrica</w:t>
      </w:r>
      <w:r w:rsidR="003752F4" w:rsidRPr="0063119B">
        <w:rPr>
          <w:rFonts w:eastAsia="SimSun"/>
          <w:szCs w:val="22"/>
          <w:lang w:eastAsia="zh-CN"/>
        </w:rPr>
        <w:t>)</w:t>
      </w:r>
      <w:r w:rsidRPr="0063119B">
        <w:rPr>
          <w:rFonts w:eastAsia="SimSun"/>
          <w:szCs w:val="22"/>
          <w:lang w:eastAsia="zh-CN"/>
        </w:rPr>
        <w:t>.</w:t>
      </w:r>
    </w:p>
    <w:p w14:paraId="48D45A60" w14:textId="77777777" w:rsidR="00337111" w:rsidRPr="0063119B" w:rsidRDefault="00337111" w:rsidP="00337111">
      <w:pPr>
        <w:suppressAutoHyphens/>
        <w:rPr>
          <w:noProof/>
          <w:szCs w:val="22"/>
        </w:rPr>
      </w:pPr>
    </w:p>
    <w:p w14:paraId="159C0306" w14:textId="77777777" w:rsidR="00337111" w:rsidRPr="0063119B" w:rsidRDefault="00337111" w:rsidP="00337111">
      <w:pPr>
        <w:suppressAutoHyphens/>
        <w:ind w:left="567" w:hanging="567"/>
        <w:rPr>
          <w:noProof/>
          <w:szCs w:val="22"/>
        </w:rPr>
      </w:pPr>
      <w:r w:rsidRPr="0063119B">
        <w:rPr>
          <w:b/>
          <w:noProof/>
          <w:szCs w:val="22"/>
        </w:rPr>
        <w:t>5.2</w:t>
      </w:r>
      <w:r w:rsidRPr="0063119B">
        <w:rPr>
          <w:b/>
          <w:noProof/>
          <w:szCs w:val="22"/>
        </w:rPr>
        <w:tab/>
        <w:t>Propriedades farmacocinéticas</w:t>
      </w:r>
    </w:p>
    <w:p w14:paraId="1D2CB11C" w14:textId="77777777" w:rsidR="00337111" w:rsidRPr="0063119B" w:rsidRDefault="00337111" w:rsidP="00337111">
      <w:pPr>
        <w:suppressAutoHyphens/>
        <w:rPr>
          <w:noProof/>
          <w:szCs w:val="22"/>
        </w:rPr>
      </w:pPr>
    </w:p>
    <w:p w14:paraId="56932DED" w14:textId="77777777" w:rsidR="00337111" w:rsidRDefault="00337111" w:rsidP="00337111">
      <w:pPr>
        <w:rPr>
          <w:noProof/>
          <w:szCs w:val="22"/>
          <w:u w:val="single"/>
        </w:rPr>
      </w:pPr>
      <w:r w:rsidRPr="0063119B">
        <w:rPr>
          <w:noProof/>
          <w:szCs w:val="22"/>
          <w:u w:val="single"/>
        </w:rPr>
        <w:t xml:space="preserve">Absorção </w:t>
      </w:r>
    </w:p>
    <w:p w14:paraId="6755C41F" w14:textId="77777777" w:rsidR="00B60DD5" w:rsidRPr="0063119B" w:rsidRDefault="00B60DD5" w:rsidP="00337111">
      <w:pPr>
        <w:rPr>
          <w:noProof/>
          <w:szCs w:val="22"/>
          <w:u w:val="single"/>
        </w:rPr>
      </w:pPr>
    </w:p>
    <w:p w14:paraId="6051D019" w14:textId="77777777" w:rsidR="00337111" w:rsidRPr="0063119B" w:rsidRDefault="00337111" w:rsidP="00337111">
      <w:pPr>
        <w:rPr>
          <w:noProof/>
          <w:szCs w:val="22"/>
        </w:rPr>
      </w:pPr>
      <w:r w:rsidRPr="0063119B">
        <w:rPr>
          <w:noProof/>
          <w:szCs w:val="22"/>
        </w:rPr>
        <w:t>Rivaroxabano é rapidamente absorvido e atinge as concentrações máximas (C</w:t>
      </w:r>
      <w:r w:rsidRPr="0063119B">
        <w:rPr>
          <w:noProof/>
          <w:szCs w:val="22"/>
          <w:vertAlign w:val="subscript"/>
        </w:rPr>
        <w:t>max</w:t>
      </w:r>
      <w:r w:rsidRPr="0063119B">
        <w:rPr>
          <w:noProof/>
          <w:szCs w:val="22"/>
        </w:rPr>
        <w:t>) 2 a 4 horas após a ingestão do comprimido.</w:t>
      </w:r>
    </w:p>
    <w:p w14:paraId="3DA92C12" w14:textId="77777777" w:rsidR="00337111" w:rsidRPr="0063119B" w:rsidRDefault="00337111" w:rsidP="00133335">
      <w:pPr>
        <w:rPr>
          <w:noProof/>
          <w:szCs w:val="22"/>
        </w:rPr>
      </w:pPr>
      <w:r w:rsidRPr="0063119B">
        <w:rPr>
          <w:noProof/>
          <w:szCs w:val="22"/>
        </w:rPr>
        <w:t>A absorção oral de rivaroxabano é quase completa e a biodisponibilidade oral é elevada (80 </w:t>
      </w:r>
      <w:r w:rsidRPr="0063119B">
        <w:rPr>
          <w:noProof/>
          <w:szCs w:val="22"/>
        </w:rPr>
        <w:noBreakHyphen/>
        <w:t> 100%) com o comprimido de</w:t>
      </w:r>
      <w:r w:rsidR="00133335" w:rsidRPr="0063119B">
        <w:rPr>
          <w:noProof/>
          <w:szCs w:val="22"/>
        </w:rPr>
        <w:t xml:space="preserve"> 2,5 </w:t>
      </w:r>
      <w:r w:rsidR="00C94E26" w:rsidRPr="0063119B">
        <w:rPr>
          <w:noProof/>
          <w:szCs w:val="22"/>
        </w:rPr>
        <w:t>m</w:t>
      </w:r>
      <w:r w:rsidR="00133335" w:rsidRPr="0063119B">
        <w:rPr>
          <w:noProof/>
          <w:szCs w:val="22"/>
        </w:rPr>
        <w:t>g e</w:t>
      </w:r>
      <w:r w:rsidRPr="0063119B">
        <w:rPr>
          <w:noProof/>
          <w:szCs w:val="22"/>
        </w:rPr>
        <w:t xml:space="preserve"> 10 mg, independentemente das condições de jejum/pós-prandial. A ingestão com alimentos não afeta a AUC ou a C</w:t>
      </w:r>
      <w:r w:rsidRPr="0063119B">
        <w:rPr>
          <w:noProof/>
          <w:szCs w:val="22"/>
          <w:vertAlign w:val="subscript"/>
        </w:rPr>
        <w:t>max</w:t>
      </w:r>
      <w:r w:rsidRPr="0063119B">
        <w:rPr>
          <w:noProof/>
          <w:szCs w:val="22"/>
        </w:rPr>
        <w:t xml:space="preserve"> da dose de </w:t>
      </w:r>
      <w:r w:rsidR="00133335" w:rsidRPr="0063119B">
        <w:rPr>
          <w:noProof/>
          <w:szCs w:val="22"/>
        </w:rPr>
        <w:t xml:space="preserve">2,5 mg e </w:t>
      </w:r>
      <w:r w:rsidRPr="0063119B">
        <w:rPr>
          <w:noProof/>
          <w:szCs w:val="22"/>
        </w:rPr>
        <w:t>10</w:t>
      </w:r>
      <w:r w:rsidR="00133335" w:rsidRPr="0063119B">
        <w:rPr>
          <w:noProof/>
          <w:szCs w:val="22"/>
        </w:rPr>
        <w:t> </w:t>
      </w:r>
      <w:r w:rsidRPr="0063119B">
        <w:rPr>
          <w:noProof/>
          <w:szCs w:val="22"/>
        </w:rPr>
        <w:t xml:space="preserve">mg de rivaroxabano. Os comprimidos de </w:t>
      </w:r>
      <w:r w:rsidR="00133335" w:rsidRPr="0063119B">
        <w:rPr>
          <w:noProof/>
          <w:szCs w:val="22"/>
        </w:rPr>
        <w:t>2,5 mg e</w:t>
      </w:r>
      <w:r w:rsidRPr="0063119B">
        <w:rPr>
          <w:noProof/>
          <w:szCs w:val="22"/>
        </w:rPr>
        <w:t>10</w:t>
      </w:r>
      <w:r w:rsidRPr="0063119B">
        <w:rPr>
          <w:szCs w:val="22"/>
        </w:rPr>
        <w:t> </w:t>
      </w:r>
      <w:r w:rsidRPr="0063119B">
        <w:rPr>
          <w:noProof/>
          <w:szCs w:val="22"/>
        </w:rPr>
        <w:t xml:space="preserve">mg de rivaroxabano podem ser tomados com ou sem alimentos. </w:t>
      </w:r>
    </w:p>
    <w:p w14:paraId="1E0C71FA" w14:textId="77777777" w:rsidR="00337111" w:rsidRPr="0063119B" w:rsidRDefault="00337111" w:rsidP="00337111">
      <w:pPr>
        <w:rPr>
          <w:noProof/>
          <w:szCs w:val="22"/>
        </w:rPr>
      </w:pPr>
      <w:r w:rsidRPr="0063119B">
        <w:rPr>
          <w:noProof/>
          <w:szCs w:val="22"/>
        </w:rPr>
        <w:t xml:space="preserve">A farmacocinética do rivaroxabano é aproximadamente linear até cerca de 15 mg uma vez ao dia. Em doses superiores, o rivaroxabano revela uma absorção limitada pela dissolução com uma diminuição da biodisponibilidade e uma diminuição da taxa de absorção com o aumento da dose. Esta é mais acentuada em jejum do que no estado alimentado. A variabilidade na farmacocinética do rivaroxabano é moderada com variabilidade interindividual (CV%) variando entre os 30% e os 40%, com exceção do dia da cirurgia e do dia seguinte quando a variabilidade na exposição é elevada (70%). </w:t>
      </w:r>
    </w:p>
    <w:p w14:paraId="5E7D4994" w14:textId="77777777" w:rsidR="00133335" w:rsidRPr="0063119B" w:rsidRDefault="00133335" w:rsidP="00133335">
      <w:pPr>
        <w:rPr>
          <w:noProof/>
          <w:szCs w:val="22"/>
        </w:rPr>
      </w:pPr>
      <w:r w:rsidRPr="0063119B">
        <w:rPr>
          <w:noProof/>
          <w:szCs w:val="22"/>
        </w:rPr>
        <w:t>A absorção de rivaroxabano depende do local da sua libertação no trato gastrointestinal. Foi notificada uma diminuição de 29% e 56% na AUC e na C</w:t>
      </w:r>
      <w:r w:rsidRPr="0063119B">
        <w:rPr>
          <w:noProof/>
          <w:szCs w:val="22"/>
          <w:vertAlign w:val="subscript"/>
        </w:rPr>
        <w:t>max</w:t>
      </w:r>
      <w:r w:rsidRPr="0063119B">
        <w:rPr>
          <w:noProof/>
          <w:szCs w:val="22"/>
        </w:rPr>
        <w:t xml:space="preserve"> comparativamente com o comprimido quando </w:t>
      </w:r>
      <w:r w:rsidR="00CC2D39" w:rsidRPr="0063119B">
        <w:rPr>
          <w:noProof/>
          <w:szCs w:val="22"/>
        </w:rPr>
        <w:t xml:space="preserve">o </w:t>
      </w:r>
      <w:r w:rsidRPr="0063119B">
        <w:rPr>
          <w:noProof/>
          <w:szCs w:val="22"/>
        </w:rPr>
        <w:t>rivaroxabano granulado é libertado no intestino delgado proximal. A exposição é ainda mais reduzida quando</w:t>
      </w:r>
      <w:r w:rsidR="00CC2D39" w:rsidRPr="0063119B">
        <w:rPr>
          <w:noProof/>
          <w:szCs w:val="22"/>
        </w:rPr>
        <w:t xml:space="preserve"> o</w:t>
      </w:r>
      <w:r w:rsidRPr="0063119B">
        <w:rPr>
          <w:noProof/>
          <w:szCs w:val="22"/>
        </w:rPr>
        <w:t xml:space="preserve"> rivaroxabano é libertado no intestino delgado distal, ou no cólon ascendente. Por isso, a </w:t>
      </w:r>
      <w:r w:rsidRPr="0063119B">
        <w:rPr>
          <w:noProof/>
          <w:szCs w:val="22"/>
        </w:rPr>
        <w:lastRenderedPageBreak/>
        <w:t>administração de rivaroxabano distal ao estômago deve ser evitada uma vez que pode resultar na absorção reduzida e na relacionada exposição ao rivaroxabano.</w:t>
      </w:r>
    </w:p>
    <w:p w14:paraId="077C90BB" w14:textId="77777777" w:rsidR="00133335" w:rsidRPr="0063119B" w:rsidRDefault="00133335" w:rsidP="00133335">
      <w:pPr>
        <w:rPr>
          <w:noProof/>
          <w:szCs w:val="22"/>
        </w:rPr>
      </w:pPr>
      <w:r w:rsidRPr="0063119B">
        <w:rPr>
          <w:noProof/>
          <w:szCs w:val="22"/>
        </w:rPr>
        <w:t>A biodisponibilidade (AUC e C</w:t>
      </w:r>
      <w:r w:rsidRPr="0063119B">
        <w:rPr>
          <w:noProof/>
          <w:szCs w:val="22"/>
          <w:vertAlign w:val="subscript"/>
        </w:rPr>
        <w:t>max</w:t>
      </w:r>
      <w:r w:rsidRPr="0063119B">
        <w:rPr>
          <w:noProof/>
          <w:szCs w:val="22"/>
        </w:rPr>
        <w:t>) foi comparável para 20 mg de rivaroxabano administrado por via oral na forma de comprimido esmagado misturado com puré de maçã ou suspenso em água e administrado por meio de sonda gástrica seguido por uma refeição líquida, comparativamente com o comprimido inteiro. Dado o perfil farmacocinético previsível e proporcional à dose de rivaroxabano, os resultados de biodisponibilidade deste estudo são provavelmente aplicáveis a doses mais baixas de rivaroxabano.</w:t>
      </w:r>
    </w:p>
    <w:p w14:paraId="50C900DE" w14:textId="77777777" w:rsidR="00337111" w:rsidRPr="0063119B" w:rsidRDefault="00337111" w:rsidP="00337111">
      <w:pPr>
        <w:rPr>
          <w:i/>
          <w:noProof/>
          <w:szCs w:val="22"/>
          <w:u w:val="single"/>
        </w:rPr>
      </w:pPr>
    </w:p>
    <w:p w14:paraId="4A33218F" w14:textId="77777777" w:rsidR="00337111" w:rsidRDefault="00337111" w:rsidP="00337111">
      <w:pPr>
        <w:rPr>
          <w:noProof/>
          <w:szCs w:val="22"/>
          <w:u w:val="single"/>
        </w:rPr>
      </w:pPr>
      <w:r w:rsidRPr="0063119B">
        <w:rPr>
          <w:noProof/>
          <w:szCs w:val="22"/>
          <w:u w:val="single"/>
        </w:rPr>
        <w:t xml:space="preserve">Distribuição </w:t>
      </w:r>
    </w:p>
    <w:p w14:paraId="269B4DC8" w14:textId="77777777" w:rsidR="00B60DD5" w:rsidRPr="0063119B" w:rsidRDefault="00B60DD5" w:rsidP="00337111">
      <w:pPr>
        <w:rPr>
          <w:noProof/>
          <w:szCs w:val="22"/>
          <w:u w:val="single"/>
        </w:rPr>
      </w:pPr>
    </w:p>
    <w:p w14:paraId="2F03BB89" w14:textId="77777777" w:rsidR="00337111" w:rsidRPr="0063119B" w:rsidRDefault="00337111" w:rsidP="00337111">
      <w:pPr>
        <w:rPr>
          <w:noProof/>
          <w:szCs w:val="22"/>
        </w:rPr>
      </w:pPr>
      <w:r w:rsidRPr="0063119B">
        <w:rPr>
          <w:noProof/>
          <w:szCs w:val="22"/>
        </w:rPr>
        <w:t>A ligação às proteínas plasmáticas no ser humano é elevada, de aproximadamente 92% a 95%, sendo a albumina sérica o principal componente de ligação. O volume de distribuição é moderado sendo o V</w:t>
      </w:r>
      <w:r w:rsidRPr="0063119B">
        <w:rPr>
          <w:noProof/>
          <w:szCs w:val="22"/>
          <w:vertAlign w:val="subscript"/>
        </w:rPr>
        <w:t xml:space="preserve">d </w:t>
      </w:r>
      <w:r w:rsidRPr="0063119B">
        <w:rPr>
          <w:noProof/>
          <w:szCs w:val="22"/>
        </w:rPr>
        <w:t>de aproximadamente 50 litros.</w:t>
      </w:r>
    </w:p>
    <w:p w14:paraId="3D3E545B" w14:textId="77777777" w:rsidR="00337111" w:rsidRPr="0063119B" w:rsidRDefault="00337111" w:rsidP="00337111">
      <w:pPr>
        <w:rPr>
          <w:i/>
          <w:noProof/>
          <w:szCs w:val="22"/>
          <w:u w:val="single"/>
        </w:rPr>
      </w:pPr>
    </w:p>
    <w:p w14:paraId="1B36FBE1" w14:textId="77777777" w:rsidR="00337111" w:rsidRDefault="00337111" w:rsidP="00337111">
      <w:pPr>
        <w:rPr>
          <w:noProof/>
          <w:szCs w:val="22"/>
          <w:u w:val="single"/>
        </w:rPr>
      </w:pPr>
      <w:r w:rsidRPr="0063119B">
        <w:rPr>
          <w:noProof/>
          <w:szCs w:val="22"/>
          <w:u w:val="single"/>
        </w:rPr>
        <w:t xml:space="preserve">Biotransformação e eliminação </w:t>
      </w:r>
    </w:p>
    <w:p w14:paraId="2769B1E5" w14:textId="77777777" w:rsidR="00B60DD5" w:rsidRPr="0063119B" w:rsidRDefault="00B60DD5" w:rsidP="00337111">
      <w:pPr>
        <w:rPr>
          <w:noProof/>
          <w:szCs w:val="22"/>
        </w:rPr>
      </w:pPr>
    </w:p>
    <w:p w14:paraId="1CDA58CA" w14:textId="77777777" w:rsidR="00337111" w:rsidRPr="0063119B" w:rsidRDefault="00337111" w:rsidP="00337111">
      <w:pPr>
        <w:rPr>
          <w:noProof/>
          <w:szCs w:val="22"/>
        </w:rPr>
      </w:pPr>
      <w:r w:rsidRPr="0063119B">
        <w:rPr>
          <w:noProof/>
          <w:szCs w:val="22"/>
        </w:rPr>
        <w:t xml:space="preserve">Da dose de rivaroxabano administrada, aproximadamente 2/3 sofre degradação metabólica, sendo metade da qual eliminada por via renal e a outra metade eliminada por via fecal. O 1/3 final da dose administrada sofre excreção renal direta como substância ativa inalterada na urina, principalmente por secreção renal ativa. </w:t>
      </w:r>
    </w:p>
    <w:p w14:paraId="7F8CF281" w14:textId="77777777" w:rsidR="00337111" w:rsidRPr="0063119B" w:rsidRDefault="00337111" w:rsidP="00337111">
      <w:pPr>
        <w:rPr>
          <w:noProof/>
          <w:szCs w:val="22"/>
        </w:rPr>
      </w:pPr>
      <w:r w:rsidRPr="0063119B">
        <w:rPr>
          <w:noProof/>
          <w:szCs w:val="22"/>
        </w:rPr>
        <w:t xml:space="preserve">O rivaroxabano é metabolizado através do CYP3A4, CYP2J2 e por mecanismos independentes do CYP. Os principais locais de biotransformação são a degradação oxidativa da porção da morfolinona e hidrólise das ligações de amida. Com base em investigações </w:t>
      </w:r>
      <w:r w:rsidRPr="0063119B">
        <w:rPr>
          <w:i/>
          <w:noProof/>
          <w:szCs w:val="22"/>
        </w:rPr>
        <w:t>in vitro,</w:t>
      </w:r>
      <w:r w:rsidRPr="0063119B">
        <w:rPr>
          <w:noProof/>
          <w:szCs w:val="22"/>
        </w:rPr>
        <w:t xml:space="preserve"> o rivaroxabano é um substracto das proteínas transportadoras gp</w:t>
      </w:r>
      <w:r w:rsidR="00A407A9" w:rsidRPr="0063119B">
        <w:rPr>
          <w:noProof/>
          <w:szCs w:val="22"/>
        </w:rPr>
        <w:t>-</w:t>
      </w:r>
      <w:r w:rsidRPr="0063119B">
        <w:rPr>
          <w:noProof/>
          <w:szCs w:val="22"/>
        </w:rPr>
        <w:t xml:space="preserve">P (glicoproteína P) e Bcrp (proteína de resistência do cancro da mama). </w:t>
      </w:r>
    </w:p>
    <w:p w14:paraId="5D4036BF" w14:textId="77777777" w:rsidR="00337111" w:rsidRPr="0063119B" w:rsidRDefault="00337111" w:rsidP="00337111">
      <w:pPr>
        <w:rPr>
          <w:noProof/>
          <w:szCs w:val="22"/>
        </w:rPr>
      </w:pPr>
      <w:r w:rsidRPr="0063119B">
        <w:rPr>
          <w:noProof/>
          <w:szCs w:val="22"/>
        </w:rPr>
        <w:t>O rivaroxabano inalterado é o composto mais importante no plasma humano, sem que estejam presentes outros metabolitos circulantes ativos ou de relevo. Com uma taxa de depuração sistémica de aproximadamente 10 l/h, o rivaroxabano pode ser classificado como uma substância com baixa taxa de</w:t>
      </w:r>
      <w:r w:rsidR="00936111" w:rsidRPr="0063119B">
        <w:rPr>
          <w:noProof/>
          <w:szCs w:val="22"/>
        </w:rPr>
        <w:t xml:space="preserve"> </w:t>
      </w:r>
      <w:r w:rsidRPr="0063119B">
        <w:rPr>
          <w:noProof/>
          <w:szCs w:val="22"/>
        </w:rPr>
        <w:t>depuração. Após a administração intravenosa de uma dose de 1 mg a semivida de eliminação é de cerca de 4,5 horas. Após a administração oral, a eliminação torna-se limitada pela taxa de absorção. A eliminação de rivaroxabano do plasma ocorre com semividas terminais de 5 a 9 horas em indivíduos jovens e com semividas terminais de 11 a 13 horas nos idosos.</w:t>
      </w:r>
    </w:p>
    <w:p w14:paraId="03812F35" w14:textId="77777777" w:rsidR="00337111" w:rsidRPr="0063119B" w:rsidRDefault="00337111" w:rsidP="00337111">
      <w:pPr>
        <w:rPr>
          <w:i/>
          <w:noProof/>
          <w:szCs w:val="22"/>
          <w:u w:val="single"/>
        </w:rPr>
      </w:pPr>
    </w:p>
    <w:p w14:paraId="0DFCB45C" w14:textId="77777777" w:rsidR="00337111" w:rsidRDefault="00337111" w:rsidP="003345A8">
      <w:pPr>
        <w:keepNext/>
        <w:rPr>
          <w:noProof/>
          <w:szCs w:val="22"/>
          <w:u w:val="single"/>
        </w:rPr>
      </w:pPr>
      <w:r w:rsidRPr="0063119B">
        <w:rPr>
          <w:noProof/>
          <w:szCs w:val="22"/>
          <w:u w:val="single"/>
        </w:rPr>
        <w:t>Populações especiais</w:t>
      </w:r>
    </w:p>
    <w:p w14:paraId="329FF86D" w14:textId="77777777" w:rsidR="00B60DD5" w:rsidRPr="0063119B" w:rsidRDefault="00B60DD5" w:rsidP="003345A8">
      <w:pPr>
        <w:keepNext/>
        <w:rPr>
          <w:noProof/>
          <w:szCs w:val="22"/>
          <w:u w:val="single"/>
        </w:rPr>
      </w:pPr>
    </w:p>
    <w:p w14:paraId="3E0A409E" w14:textId="77777777" w:rsidR="00337111" w:rsidRPr="0063119B" w:rsidRDefault="00337111" w:rsidP="003345A8">
      <w:pPr>
        <w:keepNext/>
        <w:rPr>
          <w:i/>
          <w:noProof/>
          <w:szCs w:val="22"/>
        </w:rPr>
      </w:pPr>
      <w:r w:rsidRPr="0063119B">
        <w:rPr>
          <w:i/>
          <w:noProof/>
          <w:szCs w:val="22"/>
        </w:rPr>
        <w:t>Sexo</w:t>
      </w:r>
    </w:p>
    <w:p w14:paraId="2A5DD121" w14:textId="77777777" w:rsidR="00337111" w:rsidRPr="0063119B" w:rsidRDefault="00337111" w:rsidP="00337111">
      <w:pPr>
        <w:rPr>
          <w:noProof/>
          <w:szCs w:val="22"/>
        </w:rPr>
      </w:pPr>
      <w:r w:rsidRPr="0063119B">
        <w:rPr>
          <w:noProof/>
          <w:szCs w:val="22"/>
        </w:rPr>
        <w:t xml:space="preserve">Não se verificaram diferenças clinicamente relevantes na farmacocinética e farmacodinâmica entre doentes do sexo masculino e feminino. </w:t>
      </w:r>
    </w:p>
    <w:p w14:paraId="6C2CAFC2" w14:textId="77777777" w:rsidR="00337111" w:rsidRPr="0063119B" w:rsidRDefault="00337111" w:rsidP="00337111">
      <w:pPr>
        <w:rPr>
          <w:noProof/>
          <w:szCs w:val="22"/>
        </w:rPr>
      </w:pPr>
    </w:p>
    <w:p w14:paraId="095F9E57" w14:textId="77777777" w:rsidR="00337111" w:rsidRDefault="00337111" w:rsidP="00337111">
      <w:pPr>
        <w:rPr>
          <w:i/>
          <w:noProof/>
          <w:szCs w:val="22"/>
        </w:rPr>
      </w:pPr>
      <w:r w:rsidRPr="0063119B">
        <w:rPr>
          <w:i/>
          <w:noProof/>
          <w:szCs w:val="22"/>
        </w:rPr>
        <w:t>População idosa</w:t>
      </w:r>
    </w:p>
    <w:p w14:paraId="344A22A2" w14:textId="77777777" w:rsidR="00B60DD5" w:rsidRPr="0063119B" w:rsidRDefault="00B60DD5" w:rsidP="00337111">
      <w:pPr>
        <w:rPr>
          <w:i/>
          <w:noProof/>
          <w:szCs w:val="22"/>
        </w:rPr>
      </w:pPr>
    </w:p>
    <w:p w14:paraId="1B1F6F14" w14:textId="77777777" w:rsidR="00337111" w:rsidRPr="0063119B" w:rsidRDefault="00337111" w:rsidP="00337111">
      <w:pPr>
        <w:rPr>
          <w:noProof/>
          <w:szCs w:val="22"/>
        </w:rPr>
      </w:pPr>
      <w:r w:rsidRPr="0063119B">
        <w:rPr>
          <w:noProof/>
          <w:szCs w:val="22"/>
        </w:rPr>
        <w:t xml:space="preserve">Os doentes idosos apresentaram concentrações plasmáticas mais elevadas do que doentes mais jovens, com valores médios de AUC de aproximadamente 1,5 vezes superiores, devido principalmente a uma redução (aparente) na taxa de depuração total e renal. Não são necessários ajustes posológicos. </w:t>
      </w:r>
    </w:p>
    <w:p w14:paraId="1FF51E05" w14:textId="77777777" w:rsidR="00337111" w:rsidRPr="0063119B" w:rsidRDefault="00337111" w:rsidP="00337111">
      <w:pPr>
        <w:rPr>
          <w:i/>
          <w:noProof/>
          <w:szCs w:val="22"/>
          <w:u w:val="single"/>
        </w:rPr>
      </w:pPr>
    </w:p>
    <w:p w14:paraId="198D71CC" w14:textId="77777777" w:rsidR="00337111" w:rsidRPr="0063119B" w:rsidRDefault="00337111" w:rsidP="00337111">
      <w:pPr>
        <w:rPr>
          <w:i/>
          <w:noProof/>
          <w:szCs w:val="22"/>
        </w:rPr>
      </w:pPr>
      <w:r w:rsidRPr="0063119B">
        <w:rPr>
          <w:i/>
          <w:noProof/>
          <w:szCs w:val="22"/>
        </w:rPr>
        <w:t xml:space="preserve">Diferentes categorias de peso </w:t>
      </w:r>
    </w:p>
    <w:p w14:paraId="625359A0" w14:textId="77777777" w:rsidR="00337111" w:rsidRPr="0063119B" w:rsidRDefault="00337111" w:rsidP="00337111">
      <w:pPr>
        <w:rPr>
          <w:noProof/>
          <w:szCs w:val="22"/>
        </w:rPr>
      </w:pPr>
      <w:r w:rsidRPr="0063119B">
        <w:rPr>
          <w:noProof/>
          <w:szCs w:val="22"/>
        </w:rPr>
        <w:t>Os extremos no peso corporal (&lt; 50 kg ou &gt; 120 kg) tiveram apenas uma pequena influência sobre as concentrações plasmáticas do rivaroxabano (menos de 25%). Não são necessários ajustes posológicos.</w:t>
      </w:r>
    </w:p>
    <w:p w14:paraId="32A24A02" w14:textId="77777777" w:rsidR="00337111" w:rsidRPr="0063119B" w:rsidRDefault="00337111" w:rsidP="00337111">
      <w:pPr>
        <w:rPr>
          <w:i/>
          <w:noProof/>
          <w:szCs w:val="22"/>
          <w:u w:val="single"/>
        </w:rPr>
      </w:pPr>
    </w:p>
    <w:p w14:paraId="16FE045F" w14:textId="77777777" w:rsidR="00337111" w:rsidRPr="0063119B" w:rsidRDefault="00337111" w:rsidP="00337111">
      <w:pPr>
        <w:rPr>
          <w:noProof/>
          <w:szCs w:val="22"/>
        </w:rPr>
      </w:pPr>
      <w:r w:rsidRPr="0063119B">
        <w:rPr>
          <w:i/>
          <w:noProof/>
          <w:szCs w:val="22"/>
        </w:rPr>
        <w:t xml:space="preserve">Diferenças interétnicas </w:t>
      </w:r>
    </w:p>
    <w:p w14:paraId="29FA7B97" w14:textId="77777777" w:rsidR="00337111" w:rsidRPr="0063119B" w:rsidRDefault="00337111" w:rsidP="00337111">
      <w:pPr>
        <w:rPr>
          <w:noProof/>
          <w:szCs w:val="22"/>
        </w:rPr>
      </w:pPr>
      <w:r w:rsidRPr="0063119B">
        <w:rPr>
          <w:noProof/>
          <w:szCs w:val="22"/>
        </w:rPr>
        <w:t>Não foram observadas diferenças interétnicas clinicamente relevantes em relação à farmacocinética e farmacodinâmica</w:t>
      </w:r>
      <w:r w:rsidR="0045515D" w:rsidRPr="0063119B">
        <w:rPr>
          <w:noProof/>
          <w:szCs w:val="22"/>
        </w:rPr>
        <w:t xml:space="preserve"> do rivaroxabano</w:t>
      </w:r>
      <w:r w:rsidRPr="0063119B">
        <w:rPr>
          <w:noProof/>
          <w:szCs w:val="22"/>
        </w:rPr>
        <w:t>, entre os doentes Caucasianos, Afro-Americanos, Hispânicos, Japoneses ou Chineses.</w:t>
      </w:r>
    </w:p>
    <w:p w14:paraId="096429D9" w14:textId="77777777" w:rsidR="00337111" w:rsidRPr="0063119B" w:rsidRDefault="00337111" w:rsidP="00337111">
      <w:pPr>
        <w:rPr>
          <w:noProof/>
          <w:szCs w:val="22"/>
        </w:rPr>
      </w:pPr>
    </w:p>
    <w:p w14:paraId="62A62313" w14:textId="77777777" w:rsidR="00337111" w:rsidRPr="0063119B" w:rsidRDefault="0054678E" w:rsidP="00337111">
      <w:pPr>
        <w:rPr>
          <w:noProof/>
          <w:szCs w:val="22"/>
        </w:rPr>
      </w:pPr>
      <w:r w:rsidRPr="0063119B">
        <w:rPr>
          <w:i/>
          <w:noProof/>
          <w:szCs w:val="22"/>
        </w:rPr>
        <w:t>Compromisso</w:t>
      </w:r>
      <w:r w:rsidR="00337111" w:rsidRPr="0063119B">
        <w:rPr>
          <w:i/>
          <w:noProof/>
          <w:szCs w:val="22"/>
        </w:rPr>
        <w:t xml:space="preserve"> hepátic</w:t>
      </w:r>
      <w:r w:rsidRPr="0063119B">
        <w:rPr>
          <w:i/>
          <w:noProof/>
          <w:szCs w:val="22"/>
        </w:rPr>
        <w:t>o</w:t>
      </w:r>
    </w:p>
    <w:p w14:paraId="1A9C876A" w14:textId="77777777" w:rsidR="00337111" w:rsidRPr="0063119B" w:rsidRDefault="00337111" w:rsidP="00337111">
      <w:pPr>
        <w:rPr>
          <w:noProof/>
          <w:szCs w:val="22"/>
        </w:rPr>
      </w:pPr>
      <w:r w:rsidRPr="0063119B">
        <w:rPr>
          <w:noProof/>
          <w:szCs w:val="22"/>
        </w:rPr>
        <w:lastRenderedPageBreak/>
        <w:t xml:space="preserve">Os doentes com cirrose e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ligeir</w:t>
      </w:r>
      <w:r w:rsidR="0054678E" w:rsidRPr="0063119B">
        <w:rPr>
          <w:noProof/>
          <w:szCs w:val="22"/>
        </w:rPr>
        <w:t>o</w:t>
      </w:r>
      <w:r w:rsidRPr="0063119B">
        <w:rPr>
          <w:noProof/>
          <w:szCs w:val="22"/>
        </w:rPr>
        <w:t xml:space="preserve"> (classificados como Child Pugh A) apresentaram, apenas, pequenas alterações na farmacocinética do rivaroxabano (aumento de 1,2 vezes da AUC do rivaroxabano, em média), quase comparável ao grupo controlo saudável correspondente. Em doentes com cirrose e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moderad</w:t>
      </w:r>
      <w:r w:rsidR="0054678E" w:rsidRPr="0063119B">
        <w:rPr>
          <w:noProof/>
          <w:szCs w:val="22"/>
        </w:rPr>
        <w:t>o</w:t>
      </w:r>
      <w:r w:rsidRPr="0063119B">
        <w:rPr>
          <w:noProof/>
          <w:szCs w:val="22"/>
        </w:rPr>
        <w:t xml:space="preserve"> (classificados como Child Pugh B), a média da AUC do rivaroxabano foi significativamente aumentada em 2,3 vezes, em comparação com voluntários saudáveis. A AUC não ligada aumentou 2,6 vezes. Estes doentes tiveram também diminuição da eliminação renal do rivaroxabano, semelhante aos doentes com compromisso renal moderado. Não existem dados em doentes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grave.</w:t>
      </w:r>
    </w:p>
    <w:p w14:paraId="0203BC7D" w14:textId="77777777" w:rsidR="00337111" w:rsidRPr="0063119B" w:rsidRDefault="00337111" w:rsidP="00337111">
      <w:pPr>
        <w:rPr>
          <w:noProof/>
          <w:szCs w:val="22"/>
        </w:rPr>
      </w:pPr>
      <w:r w:rsidRPr="0063119B">
        <w:rPr>
          <w:noProof/>
          <w:szCs w:val="22"/>
        </w:rPr>
        <w:t xml:space="preserve">A inibição da atividade do </w:t>
      </w:r>
      <w:r w:rsidR="00133335" w:rsidRPr="0063119B">
        <w:rPr>
          <w:noProof/>
          <w:szCs w:val="22"/>
        </w:rPr>
        <w:t>f</w:t>
      </w:r>
      <w:r w:rsidRPr="0063119B">
        <w:rPr>
          <w:noProof/>
          <w:szCs w:val="22"/>
        </w:rPr>
        <w:t>ator</w:t>
      </w:r>
      <w:r w:rsidR="00133335" w:rsidRPr="0063119B">
        <w:rPr>
          <w:noProof/>
          <w:szCs w:val="22"/>
        </w:rPr>
        <w:t> </w:t>
      </w:r>
      <w:r w:rsidRPr="0063119B">
        <w:rPr>
          <w:noProof/>
          <w:szCs w:val="22"/>
        </w:rPr>
        <w:t xml:space="preserve">Xa aumentou de um fator de 2,6 em doentes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moderad</w:t>
      </w:r>
      <w:r w:rsidR="0054678E" w:rsidRPr="0063119B">
        <w:rPr>
          <w:noProof/>
          <w:szCs w:val="22"/>
        </w:rPr>
        <w:t>o</w:t>
      </w:r>
      <w:r w:rsidRPr="0063119B">
        <w:rPr>
          <w:noProof/>
          <w:szCs w:val="22"/>
        </w:rPr>
        <w:t xml:space="preserve"> em comparação com voluntários saudáveis; de forma semelhante, o prolongamento do TP aumentou de um fator de 2,1. Doentes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moderad</w:t>
      </w:r>
      <w:r w:rsidR="0054678E" w:rsidRPr="0063119B">
        <w:rPr>
          <w:noProof/>
          <w:szCs w:val="22"/>
        </w:rPr>
        <w:t xml:space="preserve">o </w:t>
      </w:r>
      <w:r w:rsidRPr="0063119B">
        <w:rPr>
          <w:noProof/>
          <w:szCs w:val="22"/>
        </w:rPr>
        <w:t xml:space="preserve">foram mais sensíveis ao rivaroxabano resultando numa relação farmacocinética/farmacodinâmica mais acentuada entre a concentração e o TP. </w:t>
      </w:r>
    </w:p>
    <w:p w14:paraId="6462A5C1" w14:textId="77777777" w:rsidR="00337111" w:rsidRPr="0063119B" w:rsidRDefault="00CB2D49" w:rsidP="00337111">
      <w:pPr>
        <w:rPr>
          <w:noProof/>
          <w:szCs w:val="22"/>
        </w:rPr>
      </w:pPr>
      <w:r w:rsidRPr="0063119B">
        <w:rPr>
          <w:noProof/>
          <w:szCs w:val="22"/>
        </w:rPr>
        <w:t>O rivaroxabano é</w:t>
      </w:r>
      <w:r w:rsidR="00337111" w:rsidRPr="0063119B">
        <w:rPr>
          <w:noProof/>
          <w:szCs w:val="22"/>
        </w:rPr>
        <w:t xml:space="preserve"> contraindicado em doentes com doença hepática associada a coagulopatia e risco de hemorragia clinicamente relevante, incluindo doentes com cirrose com Child Pugh B e C (ver secção 4.3). </w:t>
      </w:r>
    </w:p>
    <w:p w14:paraId="377DCC9C" w14:textId="77777777" w:rsidR="00337111" w:rsidRPr="0063119B" w:rsidRDefault="00337111" w:rsidP="00337111">
      <w:pPr>
        <w:rPr>
          <w:i/>
          <w:noProof/>
          <w:szCs w:val="22"/>
          <w:u w:val="single"/>
        </w:rPr>
      </w:pPr>
    </w:p>
    <w:p w14:paraId="701F51F0" w14:textId="77777777" w:rsidR="00337111" w:rsidRPr="0063119B" w:rsidRDefault="00337111" w:rsidP="00337111">
      <w:pPr>
        <w:rPr>
          <w:i/>
          <w:noProof/>
          <w:szCs w:val="22"/>
        </w:rPr>
      </w:pPr>
      <w:r w:rsidRPr="0063119B">
        <w:rPr>
          <w:i/>
          <w:noProof/>
          <w:szCs w:val="22"/>
        </w:rPr>
        <w:t xml:space="preserve">Compromisso renal </w:t>
      </w:r>
    </w:p>
    <w:p w14:paraId="7C975926" w14:textId="77777777" w:rsidR="00337111" w:rsidRPr="0063119B" w:rsidRDefault="00337111" w:rsidP="00337111">
      <w:pPr>
        <w:rPr>
          <w:noProof/>
          <w:szCs w:val="22"/>
        </w:rPr>
      </w:pPr>
      <w:r w:rsidRPr="0063119B">
        <w:rPr>
          <w:noProof/>
          <w:szCs w:val="22"/>
        </w:rPr>
        <w:t xml:space="preserve">Verificou-se um aumento da exposição a rivaroxabano correlacionado com a diminuição da função renal, avaliada através das determinações da taxa de depuração da creatinina. Nos indivíduos com compromisso renal ligeiro (taxa de depuração da creatinina de 50 - 80 ml/min), moderado (taxa de depuração da creatinina 30 - 49 ml/min) e grave (taxa de depuração da creatinina 15 </w:t>
      </w:r>
      <w:r w:rsidR="000E46B1" w:rsidRPr="0063119B">
        <w:rPr>
          <w:noProof/>
          <w:szCs w:val="22"/>
        </w:rPr>
        <w:t>-</w:t>
      </w:r>
      <w:r w:rsidRPr="0063119B">
        <w:rPr>
          <w:noProof/>
          <w:szCs w:val="22"/>
        </w:rPr>
        <w:t xml:space="preserve"> 29 ml/min), as concentrações plasmáticas (AUC) de rivaroxabano aumentaram 1,4, 1,5 e 1,6 vezes, respetivamente. Os aumentos correspondentes nos efeitos farmacodinâmicos foram mais acentuados. Em indivíduos com compromisso renal ligeiro, moderado e grave a inibição total da atividade do fator Xa aumentou por um fator de 1,5, 1,9 e 2,0, respetivamente, em comparação com voluntários saudáveis; o prolongamento do TP aumentou, de forma semelhante, por um fator de 1,3, 2,2 e 2,4 respetivamente. Não existem dados em doentes com uma taxa de depuração de creatinina &lt; 15 ml/min.</w:t>
      </w:r>
    </w:p>
    <w:p w14:paraId="5543F579" w14:textId="77777777" w:rsidR="00337111" w:rsidRPr="0063119B" w:rsidRDefault="00337111" w:rsidP="00337111">
      <w:pPr>
        <w:rPr>
          <w:noProof/>
          <w:szCs w:val="22"/>
        </w:rPr>
      </w:pPr>
      <w:r w:rsidRPr="0063119B">
        <w:rPr>
          <w:noProof/>
          <w:szCs w:val="22"/>
        </w:rPr>
        <w:t>Devido à elevada ligação às proteínas plasmáticas, não se espera que o rivaroxabano seja dialisável.</w:t>
      </w:r>
    </w:p>
    <w:p w14:paraId="2B2D07BD" w14:textId="77777777" w:rsidR="00337111" w:rsidRPr="0063119B" w:rsidRDefault="00337111" w:rsidP="00337111">
      <w:pPr>
        <w:rPr>
          <w:szCs w:val="22"/>
        </w:rPr>
      </w:pPr>
      <w:r w:rsidRPr="0063119B">
        <w:rPr>
          <w:noProof/>
          <w:szCs w:val="22"/>
        </w:rPr>
        <w:t xml:space="preserve">A utilização não é recomendada em doentes com uma taxa de depuração de creatinina &lt; 15 ml/min. </w:t>
      </w:r>
      <w:r w:rsidR="00CB2D49" w:rsidRPr="0063119B">
        <w:rPr>
          <w:noProof/>
          <w:szCs w:val="22"/>
        </w:rPr>
        <w:t xml:space="preserve">O rivaroxabano </w:t>
      </w:r>
      <w:r w:rsidRPr="0063119B">
        <w:rPr>
          <w:noProof/>
          <w:szCs w:val="22"/>
        </w:rPr>
        <w:t>deve ser u</w:t>
      </w:r>
      <w:r w:rsidR="00CB2D49" w:rsidRPr="0063119B">
        <w:rPr>
          <w:noProof/>
          <w:szCs w:val="22"/>
        </w:rPr>
        <w:t>tiliz</w:t>
      </w:r>
      <w:r w:rsidRPr="0063119B">
        <w:rPr>
          <w:noProof/>
          <w:szCs w:val="22"/>
        </w:rPr>
        <w:t>ado com precaução em doentes com uma taxa de depuração de creatinina entre 15 </w:t>
      </w:r>
      <w:r w:rsidR="000E46B1" w:rsidRPr="0063119B">
        <w:rPr>
          <w:noProof/>
          <w:szCs w:val="22"/>
        </w:rPr>
        <w:t>-</w:t>
      </w:r>
      <w:r w:rsidRPr="0063119B">
        <w:rPr>
          <w:noProof/>
          <w:szCs w:val="22"/>
        </w:rPr>
        <w:t xml:space="preserve"> 29 ml/min (ver secção 4.4). </w:t>
      </w:r>
    </w:p>
    <w:p w14:paraId="798E9CE5" w14:textId="77777777" w:rsidR="00337111" w:rsidRPr="0063119B" w:rsidRDefault="00337111" w:rsidP="00337111">
      <w:pPr>
        <w:rPr>
          <w:szCs w:val="22"/>
        </w:rPr>
      </w:pPr>
    </w:p>
    <w:p w14:paraId="6F260914" w14:textId="77777777" w:rsidR="00337111" w:rsidRDefault="00337111" w:rsidP="00DE7D95">
      <w:pPr>
        <w:keepNext/>
        <w:rPr>
          <w:szCs w:val="22"/>
          <w:u w:val="single"/>
        </w:rPr>
      </w:pPr>
      <w:r w:rsidRPr="0063119B">
        <w:rPr>
          <w:szCs w:val="22"/>
          <w:u w:val="single"/>
        </w:rPr>
        <w:t>Dados farmacocinéticos em doentes</w:t>
      </w:r>
    </w:p>
    <w:p w14:paraId="21374944" w14:textId="77777777" w:rsidR="0083088B" w:rsidRPr="0063119B" w:rsidRDefault="0083088B" w:rsidP="00DE7D95">
      <w:pPr>
        <w:keepNext/>
        <w:rPr>
          <w:szCs w:val="22"/>
          <w:u w:val="single"/>
        </w:rPr>
      </w:pPr>
    </w:p>
    <w:p w14:paraId="61027910" w14:textId="77777777" w:rsidR="00337111" w:rsidRPr="0063119B" w:rsidRDefault="00337111" w:rsidP="00337111">
      <w:pPr>
        <w:rPr>
          <w:noProof/>
          <w:szCs w:val="22"/>
        </w:rPr>
      </w:pPr>
      <w:r w:rsidRPr="0063119B">
        <w:rPr>
          <w:szCs w:val="22"/>
        </w:rPr>
        <w:t>Nos doentes tratados com rivaroxabano para prevenção da TEV na dose de 10 mg uma vez por dia, a média geométrica da concentração (intervalo de previsão de 90%) 2 </w:t>
      </w:r>
      <w:r w:rsidRPr="0063119B">
        <w:rPr>
          <w:szCs w:val="22"/>
        </w:rPr>
        <w:noBreakHyphen/>
        <w:t> 4 h e cerca de 24 h após a dose (representando, aproximadamente as concentrações máximas e mínimas durante o intervalo de doses) foi, respetivamente, de 101 (7 </w:t>
      </w:r>
      <w:r w:rsidRPr="0063119B">
        <w:rPr>
          <w:szCs w:val="22"/>
        </w:rPr>
        <w:noBreakHyphen/>
        <w:t> 273) e 14 (4 </w:t>
      </w:r>
      <w:r w:rsidRPr="0063119B">
        <w:rPr>
          <w:szCs w:val="22"/>
        </w:rPr>
        <w:noBreakHyphen/>
        <w:t> 51) </w:t>
      </w:r>
      <w:r w:rsidR="00A407A9" w:rsidRPr="0063119B">
        <w:rPr>
          <w:szCs w:val="22"/>
        </w:rPr>
        <w:t>mcg</w:t>
      </w:r>
      <w:r w:rsidRPr="0063119B">
        <w:rPr>
          <w:szCs w:val="22"/>
        </w:rPr>
        <w:t>/l.</w:t>
      </w:r>
    </w:p>
    <w:p w14:paraId="36EB3FF7" w14:textId="77777777" w:rsidR="00337111" w:rsidRPr="0063119B" w:rsidRDefault="00337111" w:rsidP="00337111">
      <w:pPr>
        <w:suppressAutoHyphens/>
        <w:ind w:left="567" w:hanging="567"/>
        <w:rPr>
          <w:b/>
          <w:noProof/>
          <w:szCs w:val="22"/>
        </w:rPr>
      </w:pPr>
    </w:p>
    <w:p w14:paraId="7A01C8CF" w14:textId="77777777" w:rsidR="00337111" w:rsidRDefault="00337111" w:rsidP="00337111">
      <w:pPr>
        <w:suppressAutoHyphens/>
        <w:ind w:left="567" w:hanging="567"/>
        <w:rPr>
          <w:noProof/>
          <w:szCs w:val="22"/>
          <w:u w:val="single"/>
        </w:rPr>
      </w:pPr>
      <w:r w:rsidRPr="0063119B">
        <w:rPr>
          <w:noProof/>
          <w:szCs w:val="22"/>
          <w:u w:val="single"/>
        </w:rPr>
        <w:t>Relação farmacocinética/farmacodinâmica</w:t>
      </w:r>
    </w:p>
    <w:p w14:paraId="3181A47C" w14:textId="77777777" w:rsidR="0083088B" w:rsidRPr="0063119B" w:rsidRDefault="0083088B" w:rsidP="00337111">
      <w:pPr>
        <w:suppressAutoHyphens/>
        <w:ind w:left="567" w:hanging="567"/>
        <w:rPr>
          <w:noProof/>
          <w:szCs w:val="22"/>
          <w:u w:val="single"/>
        </w:rPr>
      </w:pPr>
    </w:p>
    <w:p w14:paraId="5590097B" w14:textId="77777777" w:rsidR="00337111" w:rsidRPr="0063119B" w:rsidRDefault="00337111" w:rsidP="00337111">
      <w:pPr>
        <w:suppressAutoHyphens/>
        <w:rPr>
          <w:noProof/>
          <w:szCs w:val="22"/>
        </w:rPr>
      </w:pPr>
      <w:r w:rsidRPr="0063119B">
        <w:rPr>
          <w:noProof/>
          <w:szCs w:val="22"/>
        </w:rPr>
        <w:t xml:space="preserve">A relação farmacocinética/farmacodinâmica (PK/PD) entre a concentração plasmática de rivaroxabano e os diversos </w:t>
      </w:r>
      <w:r w:rsidRPr="0063119B">
        <w:rPr>
          <w:i/>
          <w:noProof/>
          <w:szCs w:val="22"/>
        </w:rPr>
        <w:t>endpoints</w:t>
      </w:r>
      <w:r w:rsidRPr="0063119B">
        <w:rPr>
          <w:noProof/>
          <w:szCs w:val="22"/>
        </w:rPr>
        <w:t xml:space="preserve"> farmacodinâmicos (inibição do </w:t>
      </w:r>
      <w:r w:rsidR="00133335" w:rsidRPr="0063119B">
        <w:rPr>
          <w:noProof/>
          <w:szCs w:val="22"/>
        </w:rPr>
        <w:t>fator </w:t>
      </w:r>
      <w:r w:rsidRPr="0063119B">
        <w:rPr>
          <w:noProof/>
          <w:szCs w:val="22"/>
        </w:rPr>
        <w:t>Xa, TP, aPTT, Heptest) têm sido avaliados após a administração de um amplo intervalo de doses (5</w:t>
      </w:r>
      <w:r w:rsidR="00C94E26" w:rsidRPr="0063119B">
        <w:rPr>
          <w:noProof/>
          <w:szCs w:val="22"/>
        </w:rPr>
        <w:t> </w:t>
      </w:r>
      <w:r w:rsidRPr="0063119B">
        <w:rPr>
          <w:noProof/>
          <w:szCs w:val="22"/>
        </w:rPr>
        <w:t>-</w:t>
      </w:r>
      <w:r w:rsidR="00C94E26" w:rsidRPr="0063119B">
        <w:rPr>
          <w:noProof/>
          <w:szCs w:val="22"/>
        </w:rPr>
        <w:t> </w:t>
      </w:r>
      <w:r w:rsidRPr="0063119B">
        <w:rPr>
          <w:noProof/>
          <w:szCs w:val="22"/>
        </w:rPr>
        <w:t xml:space="preserve">30 mg duas vezes ao dia). A relação entre a concentração de rivaroxabano e a atividade do </w:t>
      </w:r>
      <w:r w:rsidR="00133335" w:rsidRPr="0063119B">
        <w:rPr>
          <w:noProof/>
          <w:szCs w:val="22"/>
        </w:rPr>
        <w:t>fator </w:t>
      </w:r>
      <w:r w:rsidRPr="0063119B">
        <w:rPr>
          <w:noProof/>
          <w:szCs w:val="22"/>
        </w:rPr>
        <w:t>Xa foi melhor descrita por um modelo E</w:t>
      </w:r>
      <w:r w:rsidRPr="0063119B">
        <w:rPr>
          <w:noProof/>
          <w:szCs w:val="22"/>
          <w:vertAlign w:val="subscript"/>
        </w:rPr>
        <w:t xml:space="preserve">max </w:t>
      </w:r>
      <w:r w:rsidRPr="0063119B">
        <w:rPr>
          <w:noProof/>
          <w:szCs w:val="22"/>
        </w:rPr>
        <w:t>. Para TP, os dados são, geralmente, melhor descritos pelo modelo de interseção linear. Dependendo dos diferentes reagentes TP utilizados, o declive diferiu consideravelmente. Quando foi utilizad</w:t>
      </w:r>
      <w:r w:rsidR="002E5E0A" w:rsidRPr="0063119B">
        <w:rPr>
          <w:noProof/>
          <w:szCs w:val="22"/>
        </w:rPr>
        <w:t>o o</w:t>
      </w:r>
      <w:r w:rsidRPr="0063119B">
        <w:rPr>
          <w:noProof/>
          <w:szCs w:val="22"/>
        </w:rPr>
        <w:t xml:space="preserve"> TP </w:t>
      </w:r>
      <w:r w:rsidR="002E5E0A" w:rsidRPr="0063119B">
        <w:rPr>
          <w:noProof/>
          <w:szCs w:val="22"/>
        </w:rPr>
        <w:t xml:space="preserve">da </w:t>
      </w:r>
      <w:r w:rsidRPr="0063119B">
        <w:rPr>
          <w:noProof/>
          <w:szCs w:val="22"/>
        </w:rPr>
        <w:t xml:space="preserve">Neoplastin, o TP no estado basal foi de cerca de 13 seg. e o declive foi de 3 a 4 seg. (100 </w:t>
      </w:r>
      <w:r w:rsidR="00377739" w:rsidRPr="0063119B">
        <w:rPr>
          <w:szCs w:val="22"/>
        </w:rPr>
        <w:t>mcg</w:t>
      </w:r>
      <w:r w:rsidRPr="0063119B">
        <w:rPr>
          <w:noProof/>
          <w:szCs w:val="22"/>
        </w:rPr>
        <w:t>/l). Os resultados das análises PK/PD na Fase II e III foram consistentes com os dados estabelecidos nos indivíduos saudáveis.</w:t>
      </w:r>
    </w:p>
    <w:p w14:paraId="11C884C2" w14:textId="77777777" w:rsidR="00337111" w:rsidRPr="0063119B" w:rsidRDefault="00337111" w:rsidP="00337111">
      <w:pPr>
        <w:suppressAutoHyphens/>
        <w:rPr>
          <w:noProof/>
          <w:szCs w:val="22"/>
        </w:rPr>
      </w:pPr>
      <w:r w:rsidRPr="0063119B">
        <w:rPr>
          <w:noProof/>
          <w:szCs w:val="22"/>
        </w:rPr>
        <w:t xml:space="preserve">Nos doentes, o </w:t>
      </w:r>
      <w:r w:rsidR="00133335" w:rsidRPr="0063119B">
        <w:rPr>
          <w:noProof/>
          <w:szCs w:val="22"/>
        </w:rPr>
        <w:t>fator </w:t>
      </w:r>
      <w:r w:rsidRPr="0063119B">
        <w:rPr>
          <w:noProof/>
          <w:szCs w:val="22"/>
        </w:rPr>
        <w:t>Xa e TP no estado basal foram influenciados pela cirurgia, resultando numa diferença no declive concentração-TP entre o dia após a cirurgia e o estado estacionário.</w:t>
      </w:r>
    </w:p>
    <w:p w14:paraId="5499CE7B" w14:textId="77777777" w:rsidR="00337111" w:rsidRPr="0063119B" w:rsidRDefault="00337111" w:rsidP="00337111">
      <w:pPr>
        <w:suppressAutoHyphens/>
        <w:rPr>
          <w:noProof/>
          <w:szCs w:val="22"/>
        </w:rPr>
      </w:pPr>
    </w:p>
    <w:p w14:paraId="2B9333E1" w14:textId="77777777" w:rsidR="00337111" w:rsidRDefault="00337111" w:rsidP="00337111">
      <w:pPr>
        <w:suppressAutoHyphens/>
        <w:rPr>
          <w:noProof/>
          <w:szCs w:val="22"/>
          <w:u w:val="single"/>
        </w:rPr>
      </w:pPr>
      <w:r w:rsidRPr="0063119B">
        <w:rPr>
          <w:noProof/>
          <w:szCs w:val="22"/>
          <w:u w:val="single"/>
        </w:rPr>
        <w:t>População pediátrica</w:t>
      </w:r>
    </w:p>
    <w:p w14:paraId="493A077E" w14:textId="77777777" w:rsidR="0083088B" w:rsidRPr="0063119B" w:rsidRDefault="0083088B" w:rsidP="00337111">
      <w:pPr>
        <w:suppressAutoHyphens/>
        <w:rPr>
          <w:noProof/>
          <w:szCs w:val="22"/>
          <w:u w:val="single"/>
        </w:rPr>
      </w:pPr>
    </w:p>
    <w:p w14:paraId="523E54EC" w14:textId="77777777" w:rsidR="00337111" w:rsidRPr="0063119B" w:rsidRDefault="00337111" w:rsidP="00337111">
      <w:pPr>
        <w:suppressAutoHyphens/>
        <w:rPr>
          <w:noProof/>
          <w:szCs w:val="22"/>
        </w:rPr>
      </w:pPr>
      <w:r w:rsidRPr="0063119B">
        <w:rPr>
          <w:noProof/>
          <w:szCs w:val="22"/>
        </w:rPr>
        <w:lastRenderedPageBreak/>
        <w:t>A segurança e eficácia em crianças e adolescentes até aos 18 anos de idade não foram estabelecidas</w:t>
      </w:r>
      <w:r w:rsidR="005F5271">
        <w:rPr>
          <w:noProof/>
          <w:szCs w:val="22"/>
        </w:rPr>
        <w:t xml:space="preserve"> </w:t>
      </w:r>
      <w:r w:rsidR="005F5271">
        <w:rPr>
          <w:szCs w:val="22"/>
        </w:rPr>
        <w:t>na indicação prevenção primária de TEV</w:t>
      </w:r>
      <w:r w:rsidRPr="0063119B">
        <w:rPr>
          <w:noProof/>
          <w:szCs w:val="22"/>
        </w:rPr>
        <w:t>.</w:t>
      </w:r>
    </w:p>
    <w:p w14:paraId="3C4CCE02" w14:textId="77777777" w:rsidR="00337111" w:rsidRPr="0063119B" w:rsidRDefault="00337111" w:rsidP="00337111">
      <w:pPr>
        <w:suppressAutoHyphens/>
        <w:rPr>
          <w:noProof/>
          <w:szCs w:val="22"/>
        </w:rPr>
      </w:pPr>
    </w:p>
    <w:p w14:paraId="6987E842" w14:textId="77777777" w:rsidR="00337111" w:rsidRPr="0063119B" w:rsidRDefault="00337111" w:rsidP="00337111">
      <w:pPr>
        <w:keepNext/>
        <w:suppressAutoHyphens/>
        <w:ind w:left="567" w:hanging="567"/>
        <w:rPr>
          <w:b/>
          <w:noProof/>
          <w:szCs w:val="22"/>
        </w:rPr>
      </w:pPr>
      <w:r w:rsidRPr="0063119B">
        <w:rPr>
          <w:b/>
          <w:noProof/>
          <w:szCs w:val="22"/>
        </w:rPr>
        <w:t>5.3</w:t>
      </w:r>
      <w:r w:rsidRPr="0063119B">
        <w:rPr>
          <w:b/>
          <w:noProof/>
          <w:szCs w:val="22"/>
        </w:rPr>
        <w:tab/>
        <w:t>Dados de segurança pré-clínica</w:t>
      </w:r>
    </w:p>
    <w:p w14:paraId="1DE61B66" w14:textId="77777777" w:rsidR="00337111" w:rsidRPr="0063119B" w:rsidRDefault="00337111" w:rsidP="00337111">
      <w:pPr>
        <w:keepNext/>
        <w:rPr>
          <w:noProof/>
          <w:szCs w:val="22"/>
        </w:rPr>
      </w:pPr>
      <w:r w:rsidRPr="0063119B">
        <w:rPr>
          <w:noProof/>
          <w:szCs w:val="22"/>
        </w:rPr>
        <w:t xml:space="preserve">Os dados não clinícos não revelam riscos especiais para o ser humano, segundo estudos convencionais de farmacologia de segurança, toxicidade de dose única, fototoxicidade, genotoxicidade, potencial carcinogénico e toxicidade </w:t>
      </w:r>
      <w:r w:rsidR="00133335" w:rsidRPr="0063119B">
        <w:rPr>
          <w:noProof/>
          <w:szCs w:val="22"/>
        </w:rPr>
        <w:t>juvenil</w:t>
      </w:r>
      <w:r w:rsidRPr="0063119B">
        <w:rPr>
          <w:noProof/>
          <w:szCs w:val="22"/>
        </w:rPr>
        <w:t>.</w:t>
      </w:r>
    </w:p>
    <w:p w14:paraId="1FB5CF5B" w14:textId="77777777" w:rsidR="00337111" w:rsidRPr="0063119B" w:rsidRDefault="00337111" w:rsidP="00337111">
      <w:pPr>
        <w:rPr>
          <w:noProof/>
          <w:szCs w:val="22"/>
        </w:rPr>
      </w:pPr>
      <w:r w:rsidRPr="0063119B">
        <w:rPr>
          <w:noProof/>
          <w:szCs w:val="22"/>
        </w:rPr>
        <w:t>Os efeitos observados em estudos de toxicidade de dose repetida foram devidos principalmente à atividade farmacodinâmica exagerada do rivaroxabano. Nos ratos, o aumento dos níveis plasmáticos de IgG e IgA foram observados em níveis de exposição clinicamente relevantes.</w:t>
      </w:r>
    </w:p>
    <w:p w14:paraId="1CE08B7C" w14:textId="77777777" w:rsidR="00337111" w:rsidRPr="0063119B" w:rsidRDefault="00337111" w:rsidP="00337111">
      <w:pPr>
        <w:rPr>
          <w:noProof/>
          <w:szCs w:val="22"/>
        </w:rPr>
      </w:pPr>
      <w:r w:rsidRPr="0063119B">
        <w:rPr>
          <w:noProof/>
          <w:szCs w:val="22"/>
        </w:rPr>
        <w:t>Não foi observado nenhum efeito sobre a fertilidade masculina ou feminina em ratos. Os estudos em animais demonstraram toxicidade reprodutiva relacionada com o modo de ação farmacológico de rivaroxabano (ex.: complicações hemorrágicas). Em concentrações plasmáticas clinicamente relevantes foram observados toxicidade embrio-fetal (perda pós-implantação, ossificação retardada/desenvolvida, múltiplas manchas hepáticas de cor clara) e um aumento da incidência de malformações frequentes, bem como alterações placentárias. No estudo pré- e pós-natal em ratos, observou-se redução da viabilidade da descendência em doses que foram tóxicas para as mães.</w:t>
      </w:r>
    </w:p>
    <w:p w14:paraId="6D53DB14" w14:textId="77777777" w:rsidR="00337111" w:rsidRPr="0063119B" w:rsidRDefault="00337111" w:rsidP="00337111">
      <w:pPr>
        <w:suppressAutoHyphens/>
        <w:rPr>
          <w:noProof/>
          <w:szCs w:val="22"/>
        </w:rPr>
      </w:pPr>
    </w:p>
    <w:p w14:paraId="45086F99" w14:textId="77777777" w:rsidR="00337111" w:rsidRPr="0063119B" w:rsidRDefault="00337111" w:rsidP="00337111">
      <w:pPr>
        <w:suppressAutoHyphens/>
        <w:ind w:left="567" w:hanging="567"/>
        <w:rPr>
          <w:b/>
          <w:noProof/>
          <w:szCs w:val="22"/>
        </w:rPr>
      </w:pPr>
    </w:p>
    <w:p w14:paraId="6FAE189F" w14:textId="77777777" w:rsidR="00337111" w:rsidRPr="0063119B" w:rsidRDefault="00337111" w:rsidP="00337111">
      <w:pPr>
        <w:keepNext/>
        <w:suppressAutoHyphens/>
        <w:ind w:left="567" w:hanging="567"/>
        <w:rPr>
          <w:noProof/>
          <w:szCs w:val="22"/>
        </w:rPr>
      </w:pPr>
      <w:r w:rsidRPr="0063119B">
        <w:rPr>
          <w:b/>
          <w:noProof/>
          <w:szCs w:val="22"/>
        </w:rPr>
        <w:t>6.</w:t>
      </w:r>
      <w:r w:rsidRPr="0063119B">
        <w:rPr>
          <w:b/>
          <w:noProof/>
          <w:szCs w:val="22"/>
        </w:rPr>
        <w:tab/>
        <w:t>INFORMAÇÕES FARMACÊUTICAS</w:t>
      </w:r>
    </w:p>
    <w:p w14:paraId="04F37604" w14:textId="77777777" w:rsidR="00337111" w:rsidRPr="0063119B" w:rsidRDefault="00337111" w:rsidP="00337111">
      <w:pPr>
        <w:keepNext/>
        <w:suppressAutoHyphens/>
        <w:rPr>
          <w:noProof/>
          <w:szCs w:val="22"/>
        </w:rPr>
      </w:pPr>
    </w:p>
    <w:p w14:paraId="0B031A73" w14:textId="77777777" w:rsidR="00337111" w:rsidRPr="0063119B" w:rsidRDefault="00337111" w:rsidP="00337111">
      <w:pPr>
        <w:keepNext/>
        <w:suppressAutoHyphens/>
        <w:ind w:left="567" w:hanging="567"/>
        <w:rPr>
          <w:noProof/>
          <w:szCs w:val="22"/>
        </w:rPr>
      </w:pPr>
      <w:r w:rsidRPr="0063119B">
        <w:rPr>
          <w:b/>
          <w:noProof/>
          <w:szCs w:val="22"/>
        </w:rPr>
        <w:t>6.1.</w:t>
      </w:r>
      <w:r w:rsidRPr="0063119B">
        <w:rPr>
          <w:b/>
          <w:noProof/>
          <w:szCs w:val="22"/>
        </w:rPr>
        <w:tab/>
        <w:t>Lista dos excipientes</w:t>
      </w:r>
    </w:p>
    <w:p w14:paraId="111A5A96" w14:textId="77777777" w:rsidR="00337111" w:rsidRPr="0063119B" w:rsidRDefault="00337111" w:rsidP="00337111">
      <w:pPr>
        <w:keepNext/>
        <w:suppressAutoHyphens/>
        <w:rPr>
          <w:noProof/>
          <w:szCs w:val="22"/>
        </w:rPr>
      </w:pPr>
    </w:p>
    <w:p w14:paraId="3B11F7CC" w14:textId="77777777" w:rsidR="00337111" w:rsidRPr="0063119B" w:rsidRDefault="00337111" w:rsidP="00337111">
      <w:pPr>
        <w:keepNext/>
        <w:suppressAutoHyphens/>
        <w:rPr>
          <w:noProof/>
          <w:szCs w:val="22"/>
          <w:u w:val="single"/>
        </w:rPr>
      </w:pPr>
      <w:r w:rsidRPr="0063119B">
        <w:rPr>
          <w:noProof/>
          <w:szCs w:val="22"/>
          <w:u w:val="single"/>
        </w:rPr>
        <w:t>Núcleo do comprimido</w:t>
      </w:r>
    </w:p>
    <w:p w14:paraId="3B5C15A4" w14:textId="77777777" w:rsidR="00CB2D49" w:rsidRPr="0063119B" w:rsidRDefault="00CB2D49" w:rsidP="00337111">
      <w:pPr>
        <w:keepNext/>
        <w:suppressAutoHyphens/>
        <w:rPr>
          <w:noProof/>
          <w:szCs w:val="22"/>
        </w:rPr>
      </w:pPr>
    </w:p>
    <w:p w14:paraId="56B707D3" w14:textId="77777777" w:rsidR="00CB2D49" w:rsidRPr="0063119B" w:rsidRDefault="00337111" w:rsidP="00CB2D49">
      <w:pPr>
        <w:keepNext/>
        <w:suppressAutoHyphens/>
        <w:rPr>
          <w:noProof/>
          <w:szCs w:val="22"/>
        </w:rPr>
      </w:pPr>
      <w:r w:rsidRPr="0063119B">
        <w:rPr>
          <w:noProof/>
          <w:szCs w:val="22"/>
        </w:rPr>
        <w:t>Lactose mono</w:t>
      </w:r>
      <w:r w:rsidR="00CB2D49" w:rsidRPr="0063119B">
        <w:rPr>
          <w:noProof/>
          <w:szCs w:val="22"/>
        </w:rPr>
        <w:t>-</w:t>
      </w:r>
      <w:r w:rsidRPr="0063119B">
        <w:rPr>
          <w:noProof/>
          <w:szCs w:val="22"/>
        </w:rPr>
        <w:t>hidratada</w:t>
      </w:r>
    </w:p>
    <w:p w14:paraId="46B3FBEC" w14:textId="77777777" w:rsidR="00337111" w:rsidRPr="0063119B" w:rsidRDefault="00CB2D49" w:rsidP="00337111">
      <w:pPr>
        <w:keepNext/>
        <w:suppressAutoHyphens/>
        <w:rPr>
          <w:noProof/>
          <w:szCs w:val="22"/>
        </w:rPr>
      </w:pPr>
      <w:r w:rsidRPr="0063119B">
        <w:rPr>
          <w:noProof/>
          <w:szCs w:val="22"/>
        </w:rPr>
        <w:t>Croscarmelose sódica (E468)</w:t>
      </w:r>
    </w:p>
    <w:p w14:paraId="01D47783" w14:textId="77777777" w:rsidR="00CB2D49" w:rsidRPr="0063119B" w:rsidRDefault="00CB2D49" w:rsidP="00CB2D49">
      <w:pPr>
        <w:keepNext/>
        <w:suppressAutoHyphens/>
        <w:rPr>
          <w:noProof/>
          <w:szCs w:val="22"/>
        </w:rPr>
      </w:pPr>
      <w:r w:rsidRPr="0063119B">
        <w:rPr>
          <w:noProof/>
          <w:szCs w:val="22"/>
        </w:rPr>
        <w:t>Laurilsulfato de sódio (E487)</w:t>
      </w:r>
    </w:p>
    <w:p w14:paraId="4EF989D9" w14:textId="77777777" w:rsidR="00337111" w:rsidRPr="0063119B" w:rsidRDefault="00337111" w:rsidP="00337111">
      <w:pPr>
        <w:keepNext/>
        <w:suppressAutoHyphens/>
        <w:rPr>
          <w:noProof/>
          <w:szCs w:val="22"/>
        </w:rPr>
      </w:pPr>
      <w:r w:rsidRPr="0063119B">
        <w:rPr>
          <w:noProof/>
          <w:szCs w:val="22"/>
        </w:rPr>
        <w:t>Hipromelose</w:t>
      </w:r>
      <w:r w:rsidR="00F00CF2" w:rsidRPr="0063119B">
        <w:rPr>
          <w:noProof/>
          <w:szCs w:val="22"/>
        </w:rPr>
        <w:t xml:space="preserve"> 2910</w:t>
      </w:r>
      <w:r w:rsidR="0033059D" w:rsidRPr="0063119B">
        <w:rPr>
          <w:noProof/>
          <w:szCs w:val="22"/>
        </w:rPr>
        <w:t xml:space="preserve"> (viscosidade nominal 5,1 mPa</w:t>
      </w:r>
      <w:r w:rsidR="00E37B71" w:rsidRPr="0063119B">
        <w:rPr>
          <w:noProof/>
          <w:szCs w:val="22"/>
        </w:rPr>
        <w:t>.</w:t>
      </w:r>
      <w:r w:rsidR="0033059D" w:rsidRPr="0063119B">
        <w:rPr>
          <w:noProof/>
          <w:szCs w:val="22"/>
        </w:rPr>
        <w:t>S)</w:t>
      </w:r>
      <w:r w:rsidR="00CB2D49" w:rsidRPr="0063119B">
        <w:rPr>
          <w:noProof/>
          <w:szCs w:val="22"/>
        </w:rPr>
        <w:t xml:space="preserve"> (E464)</w:t>
      </w:r>
    </w:p>
    <w:p w14:paraId="562A1895" w14:textId="77777777" w:rsidR="00CB2D49" w:rsidRPr="0063119B" w:rsidRDefault="00CB2D49" w:rsidP="00CB2D49">
      <w:pPr>
        <w:keepNext/>
        <w:suppressAutoHyphens/>
        <w:rPr>
          <w:noProof/>
          <w:szCs w:val="22"/>
        </w:rPr>
      </w:pPr>
      <w:r w:rsidRPr="0063119B">
        <w:rPr>
          <w:noProof/>
          <w:szCs w:val="22"/>
        </w:rPr>
        <w:t>Celulose microcristalina (E460)</w:t>
      </w:r>
    </w:p>
    <w:p w14:paraId="27FDF94D" w14:textId="77777777" w:rsidR="00CB2D49" w:rsidRPr="0063119B" w:rsidRDefault="00CB2D49" w:rsidP="00CB2D49">
      <w:pPr>
        <w:keepNext/>
        <w:suppressAutoHyphens/>
        <w:rPr>
          <w:noProof/>
          <w:szCs w:val="22"/>
        </w:rPr>
      </w:pPr>
      <w:r w:rsidRPr="0063119B">
        <w:rPr>
          <w:noProof/>
          <w:szCs w:val="22"/>
        </w:rPr>
        <w:t>Sílica coloidal anidra (E551)</w:t>
      </w:r>
    </w:p>
    <w:p w14:paraId="5551CB66" w14:textId="77777777" w:rsidR="00337111" w:rsidRPr="0063119B" w:rsidRDefault="00337111" w:rsidP="00337111">
      <w:pPr>
        <w:keepNext/>
        <w:suppressAutoHyphens/>
        <w:rPr>
          <w:noProof/>
          <w:szCs w:val="22"/>
        </w:rPr>
      </w:pPr>
      <w:r w:rsidRPr="0063119B">
        <w:rPr>
          <w:noProof/>
          <w:szCs w:val="22"/>
        </w:rPr>
        <w:t>Estearato de magnésio</w:t>
      </w:r>
      <w:r w:rsidR="00CB2D49" w:rsidRPr="0063119B">
        <w:rPr>
          <w:noProof/>
          <w:szCs w:val="22"/>
        </w:rPr>
        <w:t xml:space="preserve"> (E572)</w:t>
      </w:r>
    </w:p>
    <w:p w14:paraId="3DF4EC62" w14:textId="77777777" w:rsidR="00337111" w:rsidRPr="0063119B" w:rsidRDefault="00337111" w:rsidP="00337111">
      <w:pPr>
        <w:suppressAutoHyphens/>
        <w:rPr>
          <w:i/>
          <w:noProof/>
          <w:szCs w:val="22"/>
          <w:u w:val="single"/>
        </w:rPr>
      </w:pPr>
    </w:p>
    <w:p w14:paraId="781D4DC1" w14:textId="77777777" w:rsidR="00337111" w:rsidRPr="0063119B" w:rsidRDefault="00337111" w:rsidP="00A9161F">
      <w:pPr>
        <w:keepNext/>
        <w:suppressAutoHyphens/>
        <w:rPr>
          <w:noProof/>
          <w:szCs w:val="22"/>
          <w:u w:val="single"/>
        </w:rPr>
      </w:pPr>
      <w:r w:rsidRPr="0063119B">
        <w:rPr>
          <w:noProof/>
          <w:szCs w:val="22"/>
          <w:u w:val="single"/>
        </w:rPr>
        <w:t>Revestimento do comprimido</w:t>
      </w:r>
    </w:p>
    <w:p w14:paraId="173CE35F" w14:textId="77777777" w:rsidR="00CB2D49" w:rsidRPr="0063119B" w:rsidRDefault="00CB2D49" w:rsidP="00337111">
      <w:pPr>
        <w:suppressAutoHyphens/>
        <w:rPr>
          <w:noProof/>
          <w:szCs w:val="22"/>
        </w:rPr>
      </w:pPr>
    </w:p>
    <w:p w14:paraId="15EB698A" w14:textId="77777777" w:rsidR="00337111" w:rsidRPr="0063119B" w:rsidRDefault="00F00CF2" w:rsidP="00337111">
      <w:pPr>
        <w:suppressAutoHyphens/>
        <w:rPr>
          <w:noProof/>
          <w:szCs w:val="22"/>
        </w:rPr>
      </w:pPr>
      <w:r w:rsidRPr="0063119B">
        <w:rPr>
          <w:noProof/>
          <w:szCs w:val="22"/>
        </w:rPr>
        <w:t>Macrog</w:t>
      </w:r>
      <w:r w:rsidR="0033059D" w:rsidRPr="0063119B">
        <w:rPr>
          <w:noProof/>
          <w:szCs w:val="22"/>
        </w:rPr>
        <w:t xml:space="preserve">ol </w:t>
      </w:r>
      <w:r w:rsidR="00CB2D49" w:rsidRPr="0063119B">
        <w:rPr>
          <w:noProof/>
          <w:szCs w:val="22"/>
        </w:rPr>
        <w:t>4000 (E1521)</w:t>
      </w:r>
    </w:p>
    <w:p w14:paraId="033C8530" w14:textId="77777777" w:rsidR="00337111" w:rsidRPr="0063119B" w:rsidRDefault="00337111" w:rsidP="00337111">
      <w:pPr>
        <w:suppressAutoHyphens/>
        <w:rPr>
          <w:noProof/>
          <w:szCs w:val="22"/>
        </w:rPr>
      </w:pPr>
      <w:r w:rsidRPr="0063119B">
        <w:rPr>
          <w:noProof/>
          <w:szCs w:val="22"/>
        </w:rPr>
        <w:t>Hipromelose</w:t>
      </w:r>
      <w:r w:rsidR="00F00CF2" w:rsidRPr="0063119B">
        <w:rPr>
          <w:noProof/>
          <w:szCs w:val="22"/>
        </w:rPr>
        <w:t xml:space="preserve"> 2910</w:t>
      </w:r>
      <w:r w:rsidR="0033059D" w:rsidRPr="0063119B">
        <w:rPr>
          <w:noProof/>
          <w:szCs w:val="22"/>
        </w:rPr>
        <w:t xml:space="preserve"> (viscosidade nominal 5,1 mPa</w:t>
      </w:r>
      <w:r w:rsidR="00E37B71" w:rsidRPr="0063119B">
        <w:rPr>
          <w:noProof/>
          <w:szCs w:val="22"/>
        </w:rPr>
        <w:t>.</w:t>
      </w:r>
      <w:r w:rsidR="0033059D" w:rsidRPr="0063119B">
        <w:rPr>
          <w:noProof/>
          <w:szCs w:val="22"/>
        </w:rPr>
        <w:t>S)</w:t>
      </w:r>
      <w:r w:rsidR="00CB2D49" w:rsidRPr="0063119B">
        <w:rPr>
          <w:noProof/>
          <w:szCs w:val="22"/>
        </w:rPr>
        <w:t xml:space="preserve"> (E464)</w:t>
      </w:r>
    </w:p>
    <w:p w14:paraId="43CE42CD" w14:textId="77777777" w:rsidR="00337111" w:rsidRPr="0063119B" w:rsidRDefault="00337111" w:rsidP="00337111">
      <w:pPr>
        <w:suppressAutoHyphens/>
        <w:rPr>
          <w:noProof/>
          <w:szCs w:val="22"/>
        </w:rPr>
      </w:pPr>
      <w:r w:rsidRPr="0063119B">
        <w:rPr>
          <w:noProof/>
          <w:szCs w:val="22"/>
        </w:rPr>
        <w:t xml:space="preserve">Dióxido de titânio (E171) </w:t>
      </w:r>
    </w:p>
    <w:p w14:paraId="5AE58D70" w14:textId="77777777" w:rsidR="00337111" w:rsidRPr="0063119B" w:rsidRDefault="00337111" w:rsidP="00337111">
      <w:pPr>
        <w:suppressAutoHyphens/>
        <w:rPr>
          <w:noProof/>
          <w:szCs w:val="22"/>
        </w:rPr>
      </w:pPr>
      <w:r w:rsidRPr="0063119B">
        <w:rPr>
          <w:noProof/>
          <w:szCs w:val="22"/>
        </w:rPr>
        <w:t>Óxido de ferro vermelho (E172)</w:t>
      </w:r>
    </w:p>
    <w:p w14:paraId="336FDFCC" w14:textId="77777777" w:rsidR="00337111" w:rsidRPr="0063119B" w:rsidRDefault="00337111" w:rsidP="00337111">
      <w:pPr>
        <w:suppressAutoHyphens/>
        <w:rPr>
          <w:noProof/>
          <w:szCs w:val="22"/>
        </w:rPr>
      </w:pPr>
    </w:p>
    <w:p w14:paraId="65E97457" w14:textId="77777777" w:rsidR="00337111" w:rsidRPr="0063119B" w:rsidRDefault="00337111" w:rsidP="00337111">
      <w:pPr>
        <w:keepNext/>
        <w:suppressAutoHyphens/>
        <w:ind w:left="567" w:hanging="567"/>
        <w:rPr>
          <w:b/>
          <w:noProof/>
          <w:szCs w:val="22"/>
        </w:rPr>
      </w:pPr>
      <w:r w:rsidRPr="0063119B">
        <w:rPr>
          <w:b/>
          <w:noProof/>
          <w:szCs w:val="22"/>
        </w:rPr>
        <w:t>6.2</w:t>
      </w:r>
      <w:r w:rsidRPr="0063119B">
        <w:rPr>
          <w:b/>
          <w:noProof/>
          <w:szCs w:val="22"/>
        </w:rPr>
        <w:tab/>
        <w:t>Incompatibilidades</w:t>
      </w:r>
    </w:p>
    <w:p w14:paraId="482128A3" w14:textId="77777777" w:rsidR="00337111" w:rsidRPr="0063119B" w:rsidRDefault="00337111" w:rsidP="00337111">
      <w:pPr>
        <w:keepNext/>
        <w:rPr>
          <w:noProof/>
          <w:szCs w:val="22"/>
        </w:rPr>
      </w:pPr>
    </w:p>
    <w:p w14:paraId="3B20D8CC" w14:textId="77777777" w:rsidR="00337111" w:rsidRPr="0063119B" w:rsidRDefault="00337111" w:rsidP="00337111">
      <w:pPr>
        <w:keepNext/>
        <w:rPr>
          <w:noProof/>
          <w:szCs w:val="22"/>
        </w:rPr>
      </w:pPr>
      <w:r w:rsidRPr="0063119B">
        <w:rPr>
          <w:noProof/>
          <w:szCs w:val="22"/>
        </w:rPr>
        <w:t>Não aplicável.</w:t>
      </w:r>
    </w:p>
    <w:p w14:paraId="7629CCF1" w14:textId="77777777" w:rsidR="00337111" w:rsidRPr="0063119B" w:rsidRDefault="00337111" w:rsidP="00337111">
      <w:pPr>
        <w:suppressAutoHyphens/>
        <w:rPr>
          <w:noProof/>
          <w:szCs w:val="22"/>
        </w:rPr>
      </w:pPr>
    </w:p>
    <w:p w14:paraId="3CA83AA7" w14:textId="77777777" w:rsidR="00337111" w:rsidRPr="0063119B" w:rsidRDefault="00337111" w:rsidP="00337111">
      <w:pPr>
        <w:suppressAutoHyphens/>
        <w:ind w:left="567" w:hanging="567"/>
        <w:rPr>
          <w:noProof/>
          <w:szCs w:val="22"/>
        </w:rPr>
      </w:pPr>
      <w:r w:rsidRPr="0063119B">
        <w:rPr>
          <w:b/>
          <w:noProof/>
          <w:szCs w:val="22"/>
        </w:rPr>
        <w:t>6.3</w:t>
      </w:r>
      <w:r w:rsidRPr="0063119B">
        <w:rPr>
          <w:b/>
          <w:noProof/>
          <w:szCs w:val="22"/>
        </w:rPr>
        <w:tab/>
        <w:t>Prazo de validade</w:t>
      </w:r>
    </w:p>
    <w:p w14:paraId="1CDEF150" w14:textId="77777777" w:rsidR="00337111" w:rsidRPr="0063119B" w:rsidRDefault="00337111" w:rsidP="00337111">
      <w:pPr>
        <w:suppressAutoHyphens/>
        <w:rPr>
          <w:noProof/>
          <w:szCs w:val="22"/>
        </w:rPr>
      </w:pPr>
    </w:p>
    <w:p w14:paraId="2FDC38F8" w14:textId="77777777" w:rsidR="00337111" w:rsidRPr="0063119B" w:rsidRDefault="00CB2D49" w:rsidP="00337111">
      <w:pPr>
        <w:suppressAutoHyphens/>
        <w:rPr>
          <w:noProof/>
          <w:szCs w:val="22"/>
        </w:rPr>
      </w:pPr>
      <w:r w:rsidRPr="0063119B">
        <w:rPr>
          <w:noProof/>
          <w:szCs w:val="22"/>
        </w:rPr>
        <w:t>2 </w:t>
      </w:r>
      <w:r w:rsidR="00337111" w:rsidRPr="0063119B">
        <w:rPr>
          <w:noProof/>
          <w:szCs w:val="22"/>
        </w:rPr>
        <w:t>anos</w:t>
      </w:r>
      <w:r w:rsidR="00932EC8" w:rsidRPr="0063119B">
        <w:rPr>
          <w:noProof/>
          <w:szCs w:val="22"/>
        </w:rPr>
        <w:t>.</w:t>
      </w:r>
    </w:p>
    <w:p w14:paraId="2E8250B2" w14:textId="77777777" w:rsidR="00337111" w:rsidRDefault="00337111" w:rsidP="00337111">
      <w:pPr>
        <w:suppressAutoHyphens/>
        <w:rPr>
          <w:noProof/>
          <w:szCs w:val="22"/>
        </w:rPr>
      </w:pPr>
    </w:p>
    <w:p w14:paraId="585E84E5" w14:textId="77777777" w:rsidR="005F5271" w:rsidRPr="005F5271" w:rsidRDefault="005F5271" w:rsidP="005F5271">
      <w:pPr>
        <w:autoSpaceDE w:val="0"/>
        <w:autoSpaceDN w:val="0"/>
        <w:adjustRightInd w:val="0"/>
        <w:rPr>
          <w:color w:val="000000"/>
          <w:szCs w:val="22"/>
          <w:lang w:eastAsia="pt-PT"/>
        </w:rPr>
      </w:pPr>
      <w:r w:rsidRPr="005F5271">
        <w:rPr>
          <w:color w:val="000000"/>
          <w:szCs w:val="22"/>
          <w:lang w:eastAsia="pt-PT"/>
        </w:rPr>
        <w:t xml:space="preserve">Comprimidos triturados </w:t>
      </w:r>
    </w:p>
    <w:p w14:paraId="3D1D22ED" w14:textId="77777777" w:rsidR="005F5271" w:rsidRDefault="005F5271" w:rsidP="005F5271">
      <w:pPr>
        <w:suppressAutoHyphens/>
        <w:rPr>
          <w:color w:val="000000"/>
          <w:szCs w:val="22"/>
          <w:lang w:eastAsia="pt-PT"/>
        </w:rPr>
      </w:pPr>
      <w:r w:rsidRPr="005F5271">
        <w:rPr>
          <w:color w:val="000000"/>
          <w:szCs w:val="22"/>
          <w:lang w:eastAsia="pt-PT"/>
        </w:rPr>
        <w:t>Os comprimidos triturados de rivaroxabano são estáveis na água e no puré de maçã até 4 horas.</w:t>
      </w:r>
    </w:p>
    <w:p w14:paraId="21D1C0DB" w14:textId="77777777" w:rsidR="005F5271" w:rsidRPr="0063119B" w:rsidRDefault="005F5271" w:rsidP="005F5271">
      <w:pPr>
        <w:suppressAutoHyphens/>
        <w:rPr>
          <w:noProof/>
          <w:szCs w:val="22"/>
        </w:rPr>
      </w:pPr>
    </w:p>
    <w:p w14:paraId="06E05479" w14:textId="77777777" w:rsidR="00337111" w:rsidRPr="0063119B" w:rsidRDefault="00337111" w:rsidP="00337111">
      <w:pPr>
        <w:suppressAutoHyphens/>
        <w:ind w:left="567" w:hanging="567"/>
        <w:rPr>
          <w:noProof/>
          <w:szCs w:val="22"/>
        </w:rPr>
      </w:pPr>
      <w:r w:rsidRPr="0063119B">
        <w:rPr>
          <w:b/>
          <w:noProof/>
          <w:szCs w:val="22"/>
        </w:rPr>
        <w:t>6.4</w:t>
      </w:r>
      <w:r w:rsidRPr="0063119B">
        <w:rPr>
          <w:b/>
          <w:noProof/>
          <w:szCs w:val="22"/>
        </w:rPr>
        <w:tab/>
        <w:t>Precauções especiais de conservação</w:t>
      </w:r>
    </w:p>
    <w:p w14:paraId="6715614C" w14:textId="77777777" w:rsidR="00337111" w:rsidRPr="0063119B" w:rsidRDefault="00337111" w:rsidP="00337111">
      <w:pPr>
        <w:suppressAutoHyphens/>
        <w:rPr>
          <w:noProof/>
          <w:szCs w:val="22"/>
        </w:rPr>
      </w:pPr>
    </w:p>
    <w:p w14:paraId="3A429B6B" w14:textId="77777777" w:rsidR="00337111" w:rsidRPr="0063119B" w:rsidRDefault="00337111" w:rsidP="00337111">
      <w:pPr>
        <w:suppressAutoHyphens/>
        <w:rPr>
          <w:noProof/>
          <w:szCs w:val="22"/>
        </w:rPr>
      </w:pPr>
      <w:r w:rsidRPr="0063119B">
        <w:rPr>
          <w:noProof/>
          <w:szCs w:val="22"/>
        </w:rPr>
        <w:t>Este medicamento não necessita de condições especiais de conservação.</w:t>
      </w:r>
    </w:p>
    <w:p w14:paraId="2851268C" w14:textId="77777777" w:rsidR="00337111" w:rsidRPr="0063119B" w:rsidRDefault="00337111" w:rsidP="00337111">
      <w:pPr>
        <w:suppressAutoHyphens/>
        <w:rPr>
          <w:noProof/>
          <w:szCs w:val="22"/>
        </w:rPr>
      </w:pPr>
    </w:p>
    <w:p w14:paraId="4C40980F" w14:textId="77777777" w:rsidR="00337111" w:rsidRPr="0063119B" w:rsidRDefault="00337111" w:rsidP="00337111">
      <w:pPr>
        <w:suppressAutoHyphens/>
        <w:ind w:left="567" w:hanging="567"/>
        <w:rPr>
          <w:noProof/>
          <w:szCs w:val="22"/>
        </w:rPr>
      </w:pPr>
      <w:r w:rsidRPr="0063119B">
        <w:rPr>
          <w:b/>
          <w:noProof/>
          <w:szCs w:val="22"/>
        </w:rPr>
        <w:t>6.5</w:t>
      </w:r>
      <w:r w:rsidRPr="0063119B">
        <w:rPr>
          <w:b/>
          <w:noProof/>
          <w:szCs w:val="22"/>
        </w:rPr>
        <w:tab/>
        <w:t>Natureza e conteúdo do recipiente</w:t>
      </w:r>
    </w:p>
    <w:p w14:paraId="65165110" w14:textId="77777777" w:rsidR="00337111" w:rsidRPr="0063119B" w:rsidRDefault="00337111" w:rsidP="00337111">
      <w:pPr>
        <w:suppressAutoHyphens/>
        <w:rPr>
          <w:noProof/>
          <w:szCs w:val="22"/>
        </w:rPr>
      </w:pPr>
    </w:p>
    <w:p w14:paraId="2430B5F2" w14:textId="77777777" w:rsidR="00337111" w:rsidRPr="0063119B" w:rsidRDefault="00337111" w:rsidP="00337111">
      <w:pPr>
        <w:suppressAutoHyphens/>
        <w:rPr>
          <w:noProof/>
          <w:szCs w:val="22"/>
        </w:rPr>
      </w:pPr>
      <w:r w:rsidRPr="0063119B">
        <w:rPr>
          <w:noProof/>
          <w:szCs w:val="22"/>
        </w:rPr>
        <w:lastRenderedPageBreak/>
        <w:t xml:space="preserve">Blisters de </w:t>
      </w:r>
      <w:r w:rsidR="00CB2D49" w:rsidRPr="0063119B">
        <w:rPr>
          <w:noProof/>
          <w:szCs w:val="22"/>
        </w:rPr>
        <w:t>PVC transparente</w:t>
      </w:r>
      <w:r w:rsidRPr="0063119B">
        <w:rPr>
          <w:noProof/>
          <w:szCs w:val="22"/>
        </w:rPr>
        <w:t>/alumínio em embalagens de 5, 10</w:t>
      </w:r>
      <w:r w:rsidR="00A40867" w:rsidRPr="0063119B">
        <w:rPr>
          <w:noProof/>
          <w:szCs w:val="22"/>
        </w:rPr>
        <w:t>, 14, 28,</w:t>
      </w:r>
      <w:r w:rsidRPr="0063119B">
        <w:rPr>
          <w:noProof/>
          <w:szCs w:val="22"/>
        </w:rPr>
        <w:t xml:space="preserve"> 30</w:t>
      </w:r>
      <w:r w:rsidR="00CB2D49" w:rsidRPr="0063119B">
        <w:rPr>
          <w:noProof/>
          <w:szCs w:val="22"/>
        </w:rPr>
        <w:t>,</w:t>
      </w:r>
      <w:r w:rsidR="00A40867" w:rsidRPr="0063119B">
        <w:rPr>
          <w:noProof/>
          <w:szCs w:val="22"/>
        </w:rPr>
        <w:t xml:space="preserve"> 98</w:t>
      </w:r>
      <w:r w:rsidR="00CB2D49" w:rsidRPr="0063119B">
        <w:rPr>
          <w:noProof/>
          <w:szCs w:val="22"/>
        </w:rPr>
        <w:t xml:space="preserve"> ou 100</w:t>
      </w:r>
      <w:r w:rsidR="00A40867" w:rsidRPr="0063119B">
        <w:rPr>
          <w:noProof/>
          <w:szCs w:val="22"/>
        </w:rPr>
        <w:t> </w:t>
      </w:r>
      <w:r w:rsidRPr="0063119B">
        <w:rPr>
          <w:noProof/>
          <w:szCs w:val="22"/>
        </w:rPr>
        <w:t xml:space="preserve">comprimidos </w:t>
      </w:r>
      <w:r w:rsidR="00B236C2" w:rsidRPr="0063119B">
        <w:rPr>
          <w:noProof/>
          <w:szCs w:val="22"/>
        </w:rPr>
        <w:t xml:space="preserve">revestidos por película </w:t>
      </w:r>
      <w:r w:rsidRPr="0063119B">
        <w:rPr>
          <w:noProof/>
          <w:szCs w:val="22"/>
        </w:rPr>
        <w:t xml:space="preserve">ou blisters </w:t>
      </w:r>
      <w:r w:rsidR="00CB2D49" w:rsidRPr="0063119B">
        <w:rPr>
          <w:noProof/>
          <w:szCs w:val="22"/>
        </w:rPr>
        <w:t xml:space="preserve">perfurados </w:t>
      </w:r>
      <w:r w:rsidRPr="0063119B">
        <w:rPr>
          <w:noProof/>
          <w:szCs w:val="22"/>
        </w:rPr>
        <w:t>para dose unitária em embalagens de 10 x 1</w:t>
      </w:r>
      <w:r w:rsidR="0033059D" w:rsidRPr="0063119B">
        <w:rPr>
          <w:noProof/>
          <w:szCs w:val="22"/>
        </w:rPr>
        <w:t xml:space="preserve"> ou</w:t>
      </w:r>
      <w:r w:rsidRPr="0063119B">
        <w:rPr>
          <w:noProof/>
          <w:szCs w:val="22"/>
        </w:rPr>
        <w:t xml:space="preserve"> 100 x 1</w:t>
      </w:r>
      <w:r w:rsidR="00CB2D49" w:rsidRPr="0063119B">
        <w:rPr>
          <w:noProof/>
          <w:szCs w:val="22"/>
        </w:rPr>
        <w:t> </w:t>
      </w:r>
      <w:r w:rsidRPr="0063119B">
        <w:rPr>
          <w:noProof/>
          <w:szCs w:val="22"/>
        </w:rPr>
        <w:t>comprimidos.</w:t>
      </w:r>
    </w:p>
    <w:p w14:paraId="7BC0C44D" w14:textId="77777777" w:rsidR="00215EBA" w:rsidRPr="0063119B" w:rsidRDefault="00215EBA" w:rsidP="00215EBA">
      <w:pPr>
        <w:suppressAutoHyphens/>
        <w:rPr>
          <w:szCs w:val="22"/>
        </w:rPr>
      </w:pPr>
      <w:r w:rsidRPr="0063119B">
        <w:rPr>
          <w:noProof/>
          <w:szCs w:val="22"/>
        </w:rPr>
        <w:t>Frascos de PEAD com um fecho</w:t>
      </w:r>
      <w:r w:rsidRPr="0063119B">
        <w:rPr>
          <w:szCs w:val="22"/>
        </w:rPr>
        <w:t xml:space="preserve"> de polipropileno branco opaco, resistente à abertura por crianças, revestido com um selo de indução. Apresentação de 30 ou 90 comprimidos revestidos por película.</w:t>
      </w:r>
    </w:p>
    <w:p w14:paraId="2D37B170" w14:textId="77777777" w:rsidR="00215EBA" w:rsidRPr="0063119B" w:rsidRDefault="00215EBA" w:rsidP="00215EBA">
      <w:pPr>
        <w:suppressAutoHyphens/>
        <w:rPr>
          <w:szCs w:val="22"/>
        </w:rPr>
      </w:pPr>
      <w:r w:rsidRPr="0063119B">
        <w:rPr>
          <w:noProof/>
          <w:szCs w:val="22"/>
        </w:rPr>
        <w:t>Frascos de PEAD com um fecho</w:t>
      </w:r>
      <w:r w:rsidRPr="0063119B">
        <w:rPr>
          <w:szCs w:val="22"/>
        </w:rPr>
        <w:t xml:space="preserve"> de rosca contínua de polipropileno branco opaco, resistente à abertura por crianças, revestido com um selo de indução. Apresentação de 500 comprimidos revestidos por película.</w:t>
      </w:r>
    </w:p>
    <w:p w14:paraId="4C9EEC14" w14:textId="77777777" w:rsidR="008246B9" w:rsidRPr="0063119B" w:rsidRDefault="008246B9" w:rsidP="00337111">
      <w:pPr>
        <w:suppressAutoHyphens/>
        <w:rPr>
          <w:noProof/>
          <w:szCs w:val="22"/>
        </w:rPr>
      </w:pPr>
    </w:p>
    <w:p w14:paraId="07D3A5AB" w14:textId="77777777" w:rsidR="00337111" w:rsidRPr="0063119B" w:rsidRDefault="00337111" w:rsidP="00337111">
      <w:pPr>
        <w:suppressAutoHyphens/>
        <w:rPr>
          <w:noProof/>
          <w:szCs w:val="22"/>
        </w:rPr>
      </w:pPr>
      <w:r w:rsidRPr="0063119B">
        <w:rPr>
          <w:noProof/>
          <w:szCs w:val="22"/>
        </w:rPr>
        <w:t>É possível que não sejam comercializadas todas as apresentações.</w:t>
      </w:r>
    </w:p>
    <w:p w14:paraId="5D8741E6" w14:textId="77777777" w:rsidR="00337111" w:rsidRPr="0063119B" w:rsidRDefault="00337111" w:rsidP="00337111">
      <w:pPr>
        <w:suppressAutoHyphens/>
        <w:rPr>
          <w:noProof/>
          <w:szCs w:val="22"/>
        </w:rPr>
      </w:pPr>
    </w:p>
    <w:p w14:paraId="28F7F7E9" w14:textId="77777777" w:rsidR="00337111" w:rsidRDefault="00337111" w:rsidP="00B316E9">
      <w:pPr>
        <w:keepNext/>
        <w:suppressAutoHyphens/>
        <w:ind w:left="567" w:hanging="567"/>
        <w:rPr>
          <w:b/>
          <w:bCs/>
          <w:szCs w:val="22"/>
        </w:rPr>
      </w:pPr>
      <w:r w:rsidRPr="0063119B">
        <w:rPr>
          <w:b/>
          <w:noProof/>
          <w:szCs w:val="22"/>
        </w:rPr>
        <w:t>6.6</w:t>
      </w:r>
      <w:r w:rsidRPr="0063119B">
        <w:rPr>
          <w:b/>
          <w:noProof/>
          <w:szCs w:val="22"/>
        </w:rPr>
        <w:tab/>
        <w:t>Precauções especiais de eliminação</w:t>
      </w:r>
      <w:r w:rsidR="00215EBA" w:rsidRPr="0063119B">
        <w:rPr>
          <w:b/>
          <w:noProof/>
          <w:szCs w:val="22"/>
        </w:rPr>
        <w:t xml:space="preserve"> </w:t>
      </w:r>
      <w:r w:rsidR="00215EBA" w:rsidRPr="0063119B">
        <w:rPr>
          <w:b/>
          <w:bCs/>
          <w:szCs w:val="22"/>
        </w:rPr>
        <w:t>e manuseamento</w:t>
      </w:r>
    </w:p>
    <w:p w14:paraId="4BEE79F0" w14:textId="77777777" w:rsidR="00337111" w:rsidRPr="0063119B" w:rsidRDefault="00337111" w:rsidP="00B316E9">
      <w:pPr>
        <w:keepNext/>
        <w:suppressAutoHyphens/>
        <w:rPr>
          <w:noProof/>
          <w:szCs w:val="22"/>
        </w:rPr>
      </w:pPr>
    </w:p>
    <w:p w14:paraId="16C8D34B" w14:textId="77777777" w:rsidR="00337111" w:rsidRPr="0063119B" w:rsidRDefault="00A82450" w:rsidP="00B316E9">
      <w:pPr>
        <w:keepNext/>
        <w:suppressAutoHyphens/>
        <w:rPr>
          <w:noProof/>
          <w:szCs w:val="22"/>
        </w:rPr>
      </w:pPr>
      <w:bookmarkStart w:id="3" w:name="_Hlk519071894"/>
      <w:r w:rsidRPr="0063119B">
        <w:rPr>
          <w:noProof/>
          <w:szCs w:val="22"/>
        </w:rPr>
        <w:t>Qualquer medicamento não utilizado ou resíduos devem ser eliminados de acordo com as exigências locais.</w:t>
      </w:r>
      <w:bookmarkEnd w:id="3"/>
    </w:p>
    <w:p w14:paraId="315E9553" w14:textId="77777777" w:rsidR="00337111" w:rsidRDefault="00337111" w:rsidP="00337111">
      <w:pPr>
        <w:suppressAutoHyphens/>
        <w:rPr>
          <w:noProof/>
          <w:szCs w:val="22"/>
        </w:rPr>
      </w:pPr>
    </w:p>
    <w:p w14:paraId="14936A05" w14:textId="77777777" w:rsidR="005F5271" w:rsidRPr="005F5271" w:rsidRDefault="005F5271" w:rsidP="005F5271">
      <w:pPr>
        <w:autoSpaceDE w:val="0"/>
        <w:autoSpaceDN w:val="0"/>
        <w:adjustRightInd w:val="0"/>
        <w:rPr>
          <w:color w:val="000000"/>
          <w:szCs w:val="22"/>
          <w:lang w:eastAsia="pt-PT"/>
        </w:rPr>
      </w:pPr>
      <w:r w:rsidRPr="005F5271">
        <w:rPr>
          <w:color w:val="000000"/>
          <w:szCs w:val="22"/>
          <w:lang w:eastAsia="pt-PT"/>
        </w:rPr>
        <w:t xml:space="preserve">Trituração dos comprimidos </w:t>
      </w:r>
    </w:p>
    <w:p w14:paraId="765705A0" w14:textId="77777777" w:rsidR="005F5271" w:rsidRDefault="005F5271" w:rsidP="005F5271">
      <w:pPr>
        <w:suppressAutoHyphens/>
        <w:rPr>
          <w:color w:val="000000"/>
          <w:szCs w:val="22"/>
          <w:lang w:eastAsia="pt-PT"/>
        </w:rPr>
      </w:pPr>
      <w:r w:rsidRPr="005F5271">
        <w:rPr>
          <w:color w:val="000000"/>
          <w:szCs w:val="22"/>
          <w:lang w:eastAsia="pt-PT"/>
        </w:rPr>
        <w:t>Os comprimidos de rivaroxabano podem ser esmagados e suspensos em 50 ml de água e administrados através de uma sonda nasogástrica ou uma sonda de alimentação gástrica após confirmação da colocação gástrica da sonda. Em seguida, a sonda deve ser irrigada com água. Uma vez que a absorção do rivaroxabano depende do local de libertação da substância ativa, deverá evitar-se a administração do rivaroxabano em posição distal em relação ao estômago, o que pode resultar numa absorção reduzida e, por conseguinte, numa exposição reduzida à subtância ativa. Não é necessária nutrição entérica após a administração dos comprimidos de 10 mg.</w:t>
      </w:r>
    </w:p>
    <w:p w14:paraId="037FB3BB" w14:textId="77777777" w:rsidR="005F5271" w:rsidRPr="0063119B" w:rsidRDefault="005F5271" w:rsidP="005F5271">
      <w:pPr>
        <w:suppressAutoHyphens/>
        <w:rPr>
          <w:noProof/>
          <w:szCs w:val="22"/>
        </w:rPr>
      </w:pPr>
    </w:p>
    <w:p w14:paraId="551EAFED" w14:textId="77777777" w:rsidR="00337111" w:rsidRPr="0063119B" w:rsidRDefault="00337111" w:rsidP="00337111">
      <w:pPr>
        <w:suppressAutoHyphens/>
        <w:rPr>
          <w:noProof/>
          <w:szCs w:val="22"/>
        </w:rPr>
      </w:pPr>
    </w:p>
    <w:p w14:paraId="154FEA45" w14:textId="77777777" w:rsidR="00337111" w:rsidRPr="0063119B" w:rsidRDefault="00337111" w:rsidP="00337111">
      <w:pPr>
        <w:suppressAutoHyphens/>
        <w:ind w:left="567" w:hanging="567"/>
        <w:rPr>
          <w:noProof/>
          <w:szCs w:val="22"/>
        </w:rPr>
      </w:pPr>
      <w:r w:rsidRPr="0063119B">
        <w:rPr>
          <w:b/>
          <w:noProof/>
          <w:szCs w:val="22"/>
        </w:rPr>
        <w:t>7.</w:t>
      </w:r>
      <w:r w:rsidRPr="0063119B">
        <w:rPr>
          <w:b/>
          <w:noProof/>
          <w:szCs w:val="22"/>
        </w:rPr>
        <w:tab/>
        <w:t>TITULAR DA AUTORIZAÇÃO DE INTRODUÇÃO NO MERCADO</w:t>
      </w:r>
    </w:p>
    <w:p w14:paraId="35DB245F" w14:textId="77777777" w:rsidR="00337111" w:rsidRPr="0063119B" w:rsidRDefault="00337111" w:rsidP="00337111">
      <w:pPr>
        <w:suppressAutoHyphens/>
        <w:rPr>
          <w:noProof/>
          <w:szCs w:val="22"/>
        </w:rPr>
      </w:pPr>
    </w:p>
    <w:p w14:paraId="330F190B" w14:textId="77777777" w:rsidR="00215EBA" w:rsidRPr="0063119B" w:rsidRDefault="00215EBA" w:rsidP="00215EBA">
      <w:pPr>
        <w:rPr>
          <w:szCs w:val="22"/>
          <w:lang w:val="en-GB"/>
        </w:rPr>
      </w:pPr>
      <w:r w:rsidRPr="0063119B">
        <w:rPr>
          <w:szCs w:val="22"/>
          <w:lang w:val="en-GB"/>
        </w:rPr>
        <w:t>Accord Healthcare S.L.U.</w:t>
      </w:r>
    </w:p>
    <w:p w14:paraId="65408E3D" w14:textId="77777777" w:rsidR="00215EBA" w:rsidRPr="0063119B" w:rsidRDefault="00215EBA" w:rsidP="00215EBA">
      <w:pPr>
        <w:rPr>
          <w:szCs w:val="22"/>
        </w:rPr>
      </w:pPr>
      <w:r w:rsidRPr="0063119B">
        <w:rPr>
          <w:szCs w:val="22"/>
        </w:rPr>
        <w:t xml:space="preserve">World Trade Center, Moll de Barcelona, s/n, Edifici Est 6ª planta, </w:t>
      </w:r>
    </w:p>
    <w:p w14:paraId="789DB2CB" w14:textId="77777777" w:rsidR="00215EBA" w:rsidRPr="0063119B" w:rsidRDefault="00215EBA" w:rsidP="00215EBA">
      <w:pPr>
        <w:rPr>
          <w:szCs w:val="22"/>
        </w:rPr>
      </w:pPr>
      <w:r w:rsidRPr="0063119B">
        <w:rPr>
          <w:szCs w:val="22"/>
        </w:rPr>
        <w:t>Barcelona, 08039</w:t>
      </w:r>
    </w:p>
    <w:p w14:paraId="54E10085" w14:textId="77777777" w:rsidR="00215EBA" w:rsidRPr="0063119B" w:rsidRDefault="00215EBA" w:rsidP="00215EBA">
      <w:pPr>
        <w:rPr>
          <w:szCs w:val="22"/>
        </w:rPr>
      </w:pPr>
      <w:r w:rsidRPr="0063119B">
        <w:rPr>
          <w:szCs w:val="22"/>
        </w:rPr>
        <w:t>Espanha</w:t>
      </w:r>
    </w:p>
    <w:p w14:paraId="56DDC203" w14:textId="77777777" w:rsidR="00337111" w:rsidRPr="0063119B" w:rsidRDefault="00337111" w:rsidP="00337111">
      <w:pPr>
        <w:suppressAutoHyphens/>
        <w:rPr>
          <w:noProof/>
          <w:szCs w:val="22"/>
        </w:rPr>
      </w:pPr>
    </w:p>
    <w:p w14:paraId="1468C2D0" w14:textId="77777777" w:rsidR="00337111" w:rsidRPr="0063119B" w:rsidRDefault="00337111" w:rsidP="00337111">
      <w:pPr>
        <w:suppressAutoHyphens/>
        <w:rPr>
          <w:noProof/>
          <w:szCs w:val="22"/>
        </w:rPr>
      </w:pPr>
    </w:p>
    <w:p w14:paraId="12065140" w14:textId="77777777" w:rsidR="00337111" w:rsidRPr="0063119B" w:rsidRDefault="00337111" w:rsidP="00337111">
      <w:pPr>
        <w:suppressAutoHyphens/>
        <w:ind w:left="567" w:hanging="567"/>
        <w:rPr>
          <w:b/>
          <w:noProof/>
          <w:szCs w:val="22"/>
        </w:rPr>
      </w:pPr>
      <w:r w:rsidRPr="0063119B">
        <w:rPr>
          <w:b/>
          <w:noProof/>
          <w:szCs w:val="22"/>
        </w:rPr>
        <w:t>8.</w:t>
      </w:r>
      <w:r w:rsidRPr="0063119B">
        <w:rPr>
          <w:b/>
          <w:noProof/>
          <w:szCs w:val="22"/>
        </w:rPr>
        <w:tab/>
        <w:t>NÚMERO(S) DA AUTORIZAÇÃO DE INTRODUÇÃO NO MERCADO</w:t>
      </w:r>
    </w:p>
    <w:p w14:paraId="1767B3C2" w14:textId="77777777" w:rsidR="00337111" w:rsidRPr="0063119B" w:rsidRDefault="00337111" w:rsidP="00337111">
      <w:pPr>
        <w:suppressAutoHyphens/>
        <w:rPr>
          <w:noProof/>
          <w:szCs w:val="22"/>
        </w:rPr>
      </w:pPr>
    </w:p>
    <w:p w14:paraId="0067D31A" w14:textId="77777777" w:rsidR="00337111" w:rsidRDefault="00F00CF2" w:rsidP="00337111">
      <w:pPr>
        <w:suppressAutoHyphens/>
        <w:rPr>
          <w:szCs w:val="22"/>
        </w:rPr>
      </w:pPr>
      <w:r w:rsidRPr="0063119B">
        <w:rPr>
          <w:szCs w:val="22"/>
        </w:rPr>
        <w:t>EU/1/20/1488/012-023</w:t>
      </w:r>
    </w:p>
    <w:p w14:paraId="2A1A33B6" w14:textId="77777777" w:rsidR="00453DA7" w:rsidRPr="0063119B" w:rsidRDefault="00453DA7" w:rsidP="00337111">
      <w:pPr>
        <w:suppressAutoHyphens/>
        <w:rPr>
          <w:noProof/>
          <w:szCs w:val="22"/>
        </w:rPr>
      </w:pPr>
    </w:p>
    <w:p w14:paraId="4A3E877D" w14:textId="77777777" w:rsidR="00337111" w:rsidRPr="0063119B" w:rsidRDefault="00337111" w:rsidP="00337111">
      <w:pPr>
        <w:suppressAutoHyphens/>
        <w:rPr>
          <w:noProof/>
          <w:szCs w:val="22"/>
        </w:rPr>
      </w:pPr>
    </w:p>
    <w:p w14:paraId="5BE09B61" w14:textId="77777777" w:rsidR="00337111" w:rsidRPr="0063119B" w:rsidRDefault="00337111" w:rsidP="00337111">
      <w:pPr>
        <w:keepNext/>
        <w:suppressAutoHyphens/>
        <w:ind w:left="567" w:hanging="567"/>
        <w:rPr>
          <w:b/>
          <w:noProof/>
          <w:szCs w:val="22"/>
        </w:rPr>
      </w:pPr>
      <w:r w:rsidRPr="0063119B">
        <w:rPr>
          <w:b/>
          <w:noProof/>
          <w:szCs w:val="22"/>
        </w:rPr>
        <w:t>9.</w:t>
      </w:r>
      <w:r w:rsidRPr="0063119B">
        <w:rPr>
          <w:b/>
          <w:noProof/>
          <w:szCs w:val="22"/>
        </w:rPr>
        <w:tab/>
        <w:t>DATA DA PRIMEIRA AUTORIZAÇÃO/RENOVAÇÃO DA AUTORIZAÇÃO DE INTRODUÇÃO NO MERCADO</w:t>
      </w:r>
    </w:p>
    <w:p w14:paraId="52B5B154" w14:textId="77777777" w:rsidR="00337111" w:rsidRPr="0063119B" w:rsidRDefault="00337111" w:rsidP="00337111">
      <w:pPr>
        <w:keepNext/>
        <w:suppressAutoHyphens/>
        <w:rPr>
          <w:noProof/>
          <w:szCs w:val="22"/>
        </w:rPr>
      </w:pPr>
    </w:p>
    <w:p w14:paraId="1F60BC3C" w14:textId="77777777" w:rsidR="00337111" w:rsidRDefault="00337111" w:rsidP="00215EBA">
      <w:pPr>
        <w:keepNext/>
        <w:suppressAutoHyphens/>
        <w:rPr>
          <w:noProof/>
          <w:szCs w:val="22"/>
        </w:rPr>
      </w:pPr>
      <w:r w:rsidRPr="0063119B">
        <w:rPr>
          <w:noProof/>
          <w:szCs w:val="22"/>
        </w:rPr>
        <w:t xml:space="preserve">Data da primeira autorização: </w:t>
      </w:r>
      <w:r w:rsidR="0052614A" w:rsidRPr="0052614A">
        <w:rPr>
          <w:noProof/>
          <w:szCs w:val="22"/>
        </w:rPr>
        <w:t>16 de novembro de 2020</w:t>
      </w:r>
    </w:p>
    <w:p w14:paraId="389CC735" w14:textId="186AE748" w:rsidR="00E01960" w:rsidRPr="0063119B" w:rsidRDefault="00E01960" w:rsidP="00215EBA">
      <w:pPr>
        <w:keepNext/>
        <w:suppressAutoHyphens/>
        <w:rPr>
          <w:noProof/>
          <w:szCs w:val="22"/>
        </w:rPr>
      </w:pPr>
      <w:r w:rsidRPr="00E01960">
        <w:rPr>
          <w:noProof/>
          <w:szCs w:val="22"/>
        </w:rPr>
        <w:t>Data da última renovação: 6 de agosto de 2025</w:t>
      </w:r>
    </w:p>
    <w:p w14:paraId="5D21FFAB" w14:textId="77777777" w:rsidR="00337111" w:rsidRPr="0063119B" w:rsidRDefault="00337111" w:rsidP="00337111">
      <w:pPr>
        <w:suppressAutoHyphens/>
        <w:rPr>
          <w:noProof/>
          <w:szCs w:val="22"/>
        </w:rPr>
      </w:pPr>
    </w:p>
    <w:p w14:paraId="7C5A33F6" w14:textId="77777777" w:rsidR="00A9161F" w:rsidRPr="0063119B" w:rsidRDefault="00A9161F" w:rsidP="00337111">
      <w:pPr>
        <w:suppressAutoHyphens/>
        <w:rPr>
          <w:noProof/>
          <w:szCs w:val="22"/>
        </w:rPr>
      </w:pPr>
    </w:p>
    <w:p w14:paraId="2B885356" w14:textId="77777777" w:rsidR="00337111" w:rsidRPr="0063119B" w:rsidRDefault="00337111" w:rsidP="001F10F8">
      <w:pPr>
        <w:keepNext/>
        <w:keepLines/>
        <w:suppressAutoHyphens/>
        <w:rPr>
          <w:b/>
          <w:noProof/>
          <w:szCs w:val="22"/>
        </w:rPr>
      </w:pPr>
      <w:r w:rsidRPr="0063119B">
        <w:rPr>
          <w:b/>
          <w:noProof/>
          <w:szCs w:val="22"/>
        </w:rPr>
        <w:t>10.</w:t>
      </w:r>
      <w:r w:rsidRPr="0063119B">
        <w:rPr>
          <w:b/>
          <w:noProof/>
          <w:szCs w:val="22"/>
        </w:rPr>
        <w:tab/>
        <w:t>DATA DA REVISÃO DO TEXTO</w:t>
      </w:r>
    </w:p>
    <w:p w14:paraId="27F1E488" w14:textId="77777777" w:rsidR="00337111" w:rsidRDefault="00337111" w:rsidP="001F10F8">
      <w:pPr>
        <w:keepNext/>
        <w:keepLines/>
        <w:suppressAutoHyphens/>
        <w:ind w:right="14"/>
        <w:rPr>
          <w:noProof/>
          <w:szCs w:val="22"/>
        </w:rPr>
      </w:pPr>
    </w:p>
    <w:p w14:paraId="05D90A87" w14:textId="77777777" w:rsidR="00453DA7" w:rsidRPr="0063119B" w:rsidRDefault="00453DA7" w:rsidP="001F10F8">
      <w:pPr>
        <w:keepNext/>
        <w:keepLines/>
        <w:suppressAutoHyphens/>
        <w:ind w:right="14"/>
        <w:rPr>
          <w:noProof/>
          <w:szCs w:val="22"/>
        </w:rPr>
      </w:pPr>
    </w:p>
    <w:p w14:paraId="72759DB4" w14:textId="77777777" w:rsidR="00337111" w:rsidRPr="0063119B" w:rsidRDefault="00337111" w:rsidP="00337111">
      <w:pPr>
        <w:suppressAutoHyphens/>
        <w:ind w:right="14"/>
        <w:rPr>
          <w:b/>
          <w:noProof/>
          <w:szCs w:val="22"/>
        </w:rPr>
      </w:pPr>
      <w:r w:rsidRPr="0063119B">
        <w:rPr>
          <w:noProof/>
          <w:szCs w:val="22"/>
        </w:rPr>
        <w:t xml:space="preserve">Está disponível informação pormenorizada sobre este medicamento no sítio da internet da Agência Europeia de Medicamentos: </w:t>
      </w:r>
      <w:hyperlink r:id="rId17" w:history="1">
        <w:r w:rsidR="00767D16" w:rsidRPr="0063119B">
          <w:rPr>
            <w:rStyle w:val="Hyperlink"/>
            <w:noProof/>
            <w:szCs w:val="22"/>
          </w:rPr>
          <w:t>http://www.ema.europa.eu</w:t>
        </w:r>
      </w:hyperlink>
      <w:r w:rsidRPr="0063119B">
        <w:rPr>
          <w:noProof/>
          <w:szCs w:val="22"/>
        </w:rPr>
        <w:t>.</w:t>
      </w:r>
    </w:p>
    <w:p w14:paraId="252FF93B" w14:textId="77777777" w:rsidR="00337111" w:rsidRPr="0063119B" w:rsidRDefault="00337111" w:rsidP="00453DA7">
      <w:pPr>
        <w:suppressAutoHyphens/>
        <w:jc w:val="both"/>
        <w:rPr>
          <w:b/>
          <w:noProof/>
          <w:szCs w:val="22"/>
        </w:rPr>
      </w:pPr>
      <w:r w:rsidRPr="0063119B">
        <w:rPr>
          <w:b/>
          <w:noProof/>
          <w:szCs w:val="22"/>
        </w:rPr>
        <w:br w:type="page"/>
      </w:r>
      <w:r w:rsidRPr="0063119B">
        <w:rPr>
          <w:b/>
          <w:noProof/>
          <w:szCs w:val="22"/>
        </w:rPr>
        <w:lastRenderedPageBreak/>
        <w:t>1.</w:t>
      </w:r>
      <w:r w:rsidRPr="0063119B">
        <w:rPr>
          <w:b/>
          <w:noProof/>
          <w:szCs w:val="22"/>
        </w:rPr>
        <w:tab/>
        <w:t>NOME DO MEDICAMENTO</w:t>
      </w:r>
    </w:p>
    <w:p w14:paraId="3C790335" w14:textId="77777777" w:rsidR="00337111" w:rsidRPr="0063119B" w:rsidRDefault="00337111" w:rsidP="00337111">
      <w:pPr>
        <w:suppressAutoHyphens/>
        <w:rPr>
          <w:noProof/>
          <w:szCs w:val="22"/>
        </w:rPr>
      </w:pPr>
    </w:p>
    <w:p w14:paraId="097CD9A1" w14:textId="77777777" w:rsidR="00337111" w:rsidRPr="0063119B" w:rsidRDefault="00607DE4" w:rsidP="005500AB">
      <w:pPr>
        <w:outlineLvl w:val="2"/>
        <w:rPr>
          <w:noProof/>
          <w:szCs w:val="22"/>
        </w:rPr>
      </w:pPr>
      <w:r>
        <w:rPr>
          <w:noProof/>
          <w:szCs w:val="22"/>
        </w:rPr>
        <w:t>Rivaroxabano</w:t>
      </w:r>
      <w:r w:rsidR="00215EBA" w:rsidRPr="0063119B">
        <w:rPr>
          <w:noProof/>
          <w:szCs w:val="22"/>
        </w:rPr>
        <w:t xml:space="preserve"> Accord</w:t>
      </w:r>
      <w:r w:rsidR="00337111" w:rsidRPr="0063119B">
        <w:rPr>
          <w:noProof/>
          <w:szCs w:val="22"/>
        </w:rPr>
        <w:t xml:space="preserve"> 15 mg comprimidos revestidos por película</w:t>
      </w:r>
    </w:p>
    <w:p w14:paraId="15B5B302" w14:textId="77777777" w:rsidR="00337111" w:rsidRPr="0063119B" w:rsidRDefault="00337111" w:rsidP="00337111">
      <w:pPr>
        <w:suppressAutoHyphens/>
        <w:rPr>
          <w:noProof/>
          <w:szCs w:val="22"/>
        </w:rPr>
      </w:pPr>
    </w:p>
    <w:p w14:paraId="76A10C12" w14:textId="77777777" w:rsidR="00337111" w:rsidRPr="0063119B" w:rsidRDefault="00337111" w:rsidP="00337111">
      <w:pPr>
        <w:suppressAutoHyphens/>
        <w:rPr>
          <w:noProof/>
          <w:szCs w:val="22"/>
        </w:rPr>
      </w:pPr>
    </w:p>
    <w:p w14:paraId="1B58FF29" w14:textId="77777777" w:rsidR="00337111" w:rsidRPr="0063119B" w:rsidRDefault="00337111" w:rsidP="00337111">
      <w:pPr>
        <w:suppressAutoHyphens/>
        <w:ind w:left="567" w:hanging="567"/>
        <w:rPr>
          <w:noProof/>
          <w:szCs w:val="22"/>
        </w:rPr>
      </w:pPr>
      <w:r w:rsidRPr="0063119B">
        <w:rPr>
          <w:b/>
          <w:noProof/>
          <w:szCs w:val="22"/>
        </w:rPr>
        <w:t>2.</w:t>
      </w:r>
      <w:r w:rsidRPr="0063119B">
        <w:rPr>
          <w:b/>
          <w:noProof/>
          <w:szCs w:val="22"/>
        </w:rPr>
        <w:tab/>
        <w:t>COMPOSIÇÃO QUALITATIVA E QUANTITATIVA</w:t>
      </w:r>
    </w:p>
    <w:p w14:paraId="40417BAC" w14:textId="77777777" w:rsidR="00337111" w:rsidRPr="0063119B" w:rsidRDefault="00337111" w:rsidP="00337111">
      <w:pPr>
        <w:suppressAutoHyphens/>
        <w:rPr>
          <w:noProof/>
          <w:szCs w:val="22"/>
        </w:rPr>
      </w:pPr>
    </w:p>
    <w:p w14:paraId="2B323CAB" w14:textId="77777777" w:rsidR="00337111" w:rsidRPr="0063119B" w:rsidRDefault="00337111" w:rsidP="00337111">
      <w:pPr>
        <w:suppressAutoHyphens/>
        <w:rPr>
          <w:noProof/>
          <w:szCs w:val="22"/>
        </w:rPr>
      </w:pPr>
      <w:r w:rsidRPr="0063119B">
        <w:rPr>
          <w:noProof/>
          <w:szCs w:val="22"/>
        </w:rPr>
        <w:t>Cada comprimido revestido por película contém 15 mg de rivaroxabano.</w:t>
      </w:r>
    </w:p>
    <w:p w14:paraId="414E3507" w14:textId="77777777" w:rsidR="00337111" w:rsidRPr="0063119B" w:rsidRDefault="00337111" w:rsidP="00337111">
      <w:pPr>
        <w:suppressAutoHyphens/>
        <w:rPr>
          <w:noProof/>
          <w:szCs w:val="22"/>
        </w:rPr>
      </w:pPr>
    </w:p>
    <w:p w14:paraId="70551D44" w14:textId="77777777" w:rsidR="00337111" w:rsidRPr="0063119B" w:rsidRDefault="00337111" w:rsidP="00337111">
      <w:pPr>
        <w:suppressAutoHyphens/>
        <w:rPr>
          <w:noProof/>
          <w:szCs w:val="22"/>
          <w:u w:val="single"/>
        </w:rPr>
      </w:pPr>
      <w:r w:rsidRPr="0063119B">
        <w:rPr>
          <w:noProof/>
          <w:szCs w:val="22"/>
          <w:u w:val="single"/>
        </w:rPr>
        <w:t>Excipiente com efeito conhecido:</w:t>
      </w:r>
    </w:p>
    <w:p w14:paraId="0C509DBC" w14:textId="77777777" w:rsidR="00337111" w:rsidRPr="0063119B" w:rsidRDefault="00337111" w:rsidP="00337111">
      <w:pPr>
        <w:suppressAutoHyphens/>
        <w:rPr>
          <w:noProof/>
          <w:szCs w:val="22"/>
        </w:rPr>
      </w:pPr>
      <w:r w:rsidRPr="0063119B">
        <w:rPr>
          <w:noProof/>
          <w:szCs w:val="22"/>
        </w:rPr>
        <w:t xml:space="preserve">Cada comprimido revestido por película contém </w:t>
      </w:r>
      <w:r w:rsidR="00215EBA" w:rsidRPr="0063119B">
        <w:rPr>
          <w:noProof/>
          <w:szCs w:val="22"/>
        </w:rPr>
        <w:t>20,920</w:t>
      </w:r>
      <w:r w:rsidRPr="0063119B">
        <w:rPr>
          <w:noProof/>
          <w:szCs w:val="22"/>
        </w:rPr>
        <w:t xml:space="preserve"> mg de lactose </w:t>
      </w:r>
      <w:r w:rsidR="00B236C2" w:rsidRPr="0063119B">
        <w:rPr>
          <w:szCs w:val="22"/>
        </w:rPr>
        <w:t xml:space="preserve">(na forma de </w:t>
      </w:r>
      <w:r w:rsidRPr="0063119B">
        <w:rPr>
          <w:noProof/>
          <w:szCs w:val="22"/>
        </w:rPr>
        <w:t>mono</w:t>
      </w:r>
      <w:r w:rsidR="00B236C2" w:rsidRPr="0063119B">
        <w:rPr>
          <w:noProof/>
          <w:szCs w:val="22"/>
        </w:rPr>
        <w:t>-</w:t>
      </w:r>
      <w:r w:rsidRPr="0063119B">
        <w:rPr>
          <w:noProof/>
          <w:szCs w:val="22"/>
        </w:rPr>
        <w:t>hidrat</w:t>
      </w:r>
      <w:r w:rsidR="00B236C2" w:rsidRPr="0063119B">
        <w:rPr>
          <w:noProof/>
          <w:szCs w:val="22"/>
        </w:rPr>
        <w:t>o)</w:t>
      </w:r>
      <w:r w:rsidRPr="0063119B">
        <w:rPr>
          <w:noProof/>
          <w:szCs w:val="22"/>
        </w:rPr>
        <w:t>, ver secção 4.4.</w:t>
      </w:r>
    </w:p>
    <w:p w14:paraId="0BBFFBA8" w14:textId="77777777" w:rsidR="00337111" w:rsidRPr="0063119B" w:rsidRDefault="00337111" w:rsidP="00337111">
      <w:pPr>
        <w:suppressAutoHyphens/>
        <w:rPr>
          <w:noProof/>
          <w:szCs w:val="22"/>
        </w:rPr>
      </w:pPr>
    </w:p>
    <w:p w14:paraId="5F262503" w14:textId="77777777" w:rsidR="00337111" w:rsidRPr="0063119B" w:rsidRDefault="00337111" w:rsidP="00337111">
      <w:pPr>
        <w:suppressAutoHyphens/>
        <w:rPr>
          <w:noProof/>
          <w:szCs w:val="22"/>
        </w:rPr>
      </w:pPr>
      <w:r w:rsidRPr="0063119B">
        <w:rPr>
          <w:noProof/>
          <w:szCs w:val="22"/>
        </w:rPr>
        <w:t>Lista completa de excipientes, ver secção 6.1.</w:t>
      </w:r>
    </w:p>
    <w:p w14:paraId="5566BAC8" w14:textId="77777777" w:rsidR="00337111" w:rsidRPr="0063119B" w:rsidRDefault="00337111" w:rsidP="00337111">
      <w:pPr>
        <w:suppressAutoHyphens/>
        <w:rPr>
          <w:noProof/>
          <w:szCs w:val="22"/>
        </w:rPr>
      </w:pPr>
    </w:p>
    <w:p w14:paraId="61186A90" w14:textId="77777777" w:rsidR="00337111" w:rsidRPr="0063119B" w:rsidRDefault="00337111" w:rsidP="00337111">
      <w:pPr>
        <w:suppressAutoHyphens/>
        <w:rPr>
          <w:noProof/>
          <w:szCs w:val="22"/>
        </w:rPr>
      </w:pPr>
    </w:p>
    <w:p w14:paraId="00BD0356" w14:textId="77777777" w:rsidR="00337111" w:rsidRPr="0063119B" w:rsidRDefault="00337111" w:rsidP="00337111">
      <w:pPr>
        <w:suppressAutoHyphens/>
        <w:ind w:left="567" w:hanging="567"/>
        <w:rPr>
          <w:noProof/>
          <w:szCs w:val="22"/>
        </w:rPr>
      </w:pPr>
      <w:r w:rsidRPr="0063119B">
        <w:rPr>
          <w:b/>
          <w:noProof/>
          <w:szCs w:val="22"/>
        </w:rPr>
        <w:t>3.</w:t>
      </w:r>
      <w:r w:rsidRPr="0063119B">
        <w:rPr>
          <w:b/>
          <w:noProof/>
          <w:szCs w:val="22"/>
        </w:rPr>
        <w:tab/>
        <w:t>FORMA FARMACÊUTICA</w:t>
      </w:r>
    </w:p>
    <w:p w14:paraId="6E35B8BB" w14:textId="77777777" w:rsidR="00337111" w:rsidRPr="0063119B" w:rsidRDefault="00337111" w:rsidP="00337111">
      <w:pPr>
        <w:suppressAutoHyphens/>
        <w:rPr>
          <w:noProof/>
          <w:szCs w:val="22"/>
        </w:rPr>
      </w:pPr>
    </w:p>
    <w:p w14:paraId="1DFCCA82" w14:textId="77777777" w:rsidR="00337111" w:rsidRPr="0063119B" w:rsidRDefault="00337111" w:rsidP="00337111">
      <w:pPr>
        <w:suppressAutoHyphens/>
        <w:rPr>
          <w:noProof/>
          <w:szCs w:val="22"/>
        </w:rPr>
      </w:pPr>
      <w:r w:rsidRPr="0063119B">
        <w:rPr>
          <w:noProof/>
          <w:szCs w:val="22"/>
        </w:rPr>
        <w:t>Comprimido revestido por película (comprimido)</w:t>
      </w:r>
    </w:p>
    <w:p w14:paraId="05F1A3E3" w14:textId="77777777" w:rsidR="00BA146C" w:rsidRPr="0063119B" w:rsidRDefault="00BA146C" w:rsidP="00337111">
      <w:pPr>
        <w:suppressAutoHyphens/>
        <w:rPr>
          <w:noProof/>
          <w:szCs w:val="22"/>
        </w:rPr>
      </w:pPr>
    </w:p>
    <w:p w14:paraId="2228F9F5" w14:textId="77777777" w:rsidR="00337111" w:rsidRPr="0063119B" w:rsidRDefault="00337111" w:rsidP="00337111">
      <w:pPr>
        <w:suppressAutoHyphens/>
        <w:rPr>
          <w:noProof/>
          <w:szCs w:val="22"/>
        </w:rPr>
      </w:pPr>
      <w:r w:rsidRPr="0063119B">
        <w:rPr>
          <w:noProof/>
          <w:szCs w:val="22"/>
        </w:rPr>
        <w:t>Comprimidos</w:t>
      </w:r>
      <w:r w:rsidR="00215EBA" w:rsidRPr="0063119B">
        <w:rPr>
          <w:noProof/>
          <w:szCs w:val="22"/>
        </w:rPr>
        <w:t xml:space="preserve"> revestidos por película,</w:t>
      </w:r>
      <w:r w:rsidRPr="0063119B">
        <w:rPr>
          <w:noProof/>
          <w:szCs w:val="22"/>
        </w:rPr>
        <w:t xml:space="preserve"> biconvexos, redondos</w:t>
      </w:r>
      <w:r w:rsidR="00215EBA" w:rsidRPr="0063119B">
        <w:rPr>
          <w:noProof/>
          <w:szCs w:val="22"/>
        </w:rPr>
        <w:t>, com aproximadamente</w:t>
      </w:r>
      <w:r w:rsidRPr="0063119B">
        <w:rPr>
          <w:noProof/>
          <w:szCs w:val="22"/>
        </w:rPr>
        <w:t xml:space="preserve"> </w:t>
      </w:r>
      <w:r w:rsidR="00215EBA" w:rsidRPr="0063119B">
        <w:rPr>
          <w:noProof/>
          <w:szCs w:val="22"/>
        </w:rPr>
        <w:t>5</w:t>
      </w:r>
      <w:r w:rsidR="00B37D0C" w:rsidRPr="0063119B">
        <w:rPr>
          <w:noProof/>
          <w:szCs w:val="22"/>
        </w:rPr>
        <w:t>,00</w:t>
      </w:r>
      <w:r w:rsidRPr="0063119B">
        <w:rPr>
          <w:noProof/>
          <w:szCs w:val="22"/>
        </w:rPr>
        <w:t xml:space="preserve"> mm de diâmetro, de cor vermelha, </w:t>
      </w:r>
      <w:r w:rsidR="00215EBA" w:rsidRPr="0063119B">
        <w:rPr>
          <w:noProof/>
          <w:szCs w:val="22"/>
        </w:rPr>
        <w:t>com a gravação “IL</w:t>
      </w:r>
      <w:r w:rsidR="00353165" w:rsidRPr="0063119B">
        <w:rPr>
          <w:noProof/>
          <w:szCs w:val="22"/>
        </w:rPr>
        <w:t>”</w:t>
      </w:r>
      <w:r w:rsidRPr="0063119B">
        <w:rPr>
          <w:noProof/>
          <w:szCs w:val="22"/>
        </w:rPr>
        <w:t xml:space="preserve"> numa das faces e “</w:t>
      </w:r>
      <w:r w:rsidR="00353165" w:rsidRPr="0063119B">
        <w:rPr>
          <w:noProof/>
          <w:szCs w:val="22"/>
        </w:rPr>
        <w:t>2</w:t>
      </w:r>
      <w:r w:rsidRPr="0063119B">
        <w:rPr>
          <w:noProof/>
          <w:szCs w:val="22"/>
        </w:rPr>
        <w:t>” na outra face.</w:t>
      </w:r>
    </w:p>
    <w:p w14:paraId="1909F237" w14:textId="77777777" w:rsidR="00337111" w:rsidRPr="0063119B" w:rsidRDefault="00337111" w:rsidP="00337111">
      <w:pPr>
        <w:suppressAutoHyphens/>
        <w:rPr>
          <w:noProof/>
          <w:szCs w:val="22"/>
        </w:rPr>
      </w:pPr>
    </w:p>
    <w:p w14:paraId="2D9DE307" w14:textId="77777777" w:rsidR="00337111" w:rsidRPr="0063119B" w:rsidRDefault="00337111" w:rsidP="00337111">
      <w:pPr>
        <w:suppressAutoHyphens/>
        <w:rPr>
          <w:noProof/>
          <w:szCs w:val="22"/>
        </w:rPr>
      </w:pPr>
    </w:p>
    <w:p w14:paraId="1D1B3C1E" w14:textId="77777777" w:rsidR="00337111" w:rsidRPr="0063119B" w:rsidRDefault="00337111" w:rsidP="00337111">
      <w:pPr>
        <w:suppressAutoHyphens/>
        <w:ind w:left="567" w:hanging="567"/>
        <w:rPr>
          <w:noProof/>
          <w:szCs w:val="22"/>
        </w:rPr>
      </w:pPr>
      <w:r w:rsidRPr="0063119B">
        <w:rPr>
          <w:b/>
          <w:noProof/>
          <w:szCs w:val="22"/>
        </w:rPr>
        <w:t>4.</w:t>
      </w:r>
      <w:r w:rsidRPr="0063119B">
        <w:rPr>
          <w:b/>
          <w:noProof/>
          <w:szCs w:val="22"/>
        </w:rPr>
        <w:tab/>
        <w:t>INFORMAÇÕES CLÍNICAS</w:t>
      </w:r>
    </w:p>
    <w:p w14:paraId="38DE03B2" w14:textId="77777777" w:rsidR="00337111" w:rsidRPr="0063119B" w:rsidRDefault="00337111" w:rsidP="00337111">
      <w:pPr>
        <w:suppressAutoHyphens/>
        <w:rPr>
          <w:noProof/>
          <w:szCs w:val="22"/>
        </w:rPr>
      </w:pPr>
    </w:p>
    <w:p w14:paraId="3840915E" w14:textId="77777777" w:rsidR="00337111" w:rsidRPr="0063119B" w:rsidRDefault="00337111" w:rsidP="00337111">
      <w:pPr>
        <w:suppressAutoHyphens/>
        <w:ind w:left="567" w:hanging="567"/>
        <w:rPr>
          <w:noProof/>
          <w:szCs w:val="22"/>
        </w:rPr>
      </w:pPr>
      <w:r w:rsidRPr="0063119B">
        <w:rPr>
          <w:b/>
          <w:noProof/>
          <w:szCs w:val="22"/>
        </w:rPr>
        <w:t>4.1</w:t>
      </w:r>
      <w:r w:rsidRPr="0063119B">
        <w:rPr>
          <w:b/>
          <w:noProof/>
          <w:szCs w:val="22"/>
        </w:rPr>
        <w:tab/>
        <w:t>Indicações terapêuticas</w:t>
      </w:r>
    </w:p>
    <w:p w14:paraId="2015847D" w14:textId="77777777" w:rsidR="00337111" w:rsidRDefault="00337111" w:rsidP="00337111">
      <w:pPr>
        <w:suppressAutoHyphens/>
        <w:rPr>
          <w:noProof/>
          <w:szCs w:val="22"/>
        </w:rPr>
      </w:pPr>
    </w:p>
    <w:p w14:paraId="748871DE" w14:textId="77777777" w:rsidR="005F5271" w:rsidRPr="0063119B" w:rsidRDefault="005F5271" w:rsidP="00337111">
      <w:pPr>
        <w:suppressAutoHyphens/>
        <w:rPr>
          <w:noProof/>
          <w:szCs w:val="22"/>
        </w:rPr>
      </w:pPr>
      <w:r>
        <w:rPr>
          <w:noProof/>
          <w:szCs w:val="22"/>
        </w:rPr>
        <w:t>Adultos</w:t>
      </w:r>
    </w:p>
    <w:p w14:paraId="31855646" w14:textId="77777777" w:rsidR="00337111" w:rsidRPr="0063119B" w:rsidRDefault="00337111" w:rsidP="00337111">
      <w:pPr>
        <w:suppressAutoHyphens/>
        <w:rPr>
          <w:noProof/>
          <w:szCs w:val="22"/>
        </w:rPr>
      </w:pPr>
      <w:r w:rsidRPr="0063119B">
        <w:rPr>
          <w:noProof/>
          <w:szCs w:val="22"/>
        </w:rPr>
        <w:t>Prevenção do acidente vascular cerebral e do embolismo sistémico em doentes adultos com fibrilhação auricular não-valvular com um ou mais fatores de risco, tais como insuficiência cardíaca congestiva, hipertensão, idade ≥ 75 anos, diabetes mellitus, antecedentes de acidente vascular cerebral ou acidente isquémico transitório.</w:t>
      </w:r>
    </w:p>
    <w:p w14:paraId="634B8263" w14:textId="77777777" w:rsidR="00337111" w:rsidRPr="0063119B" w:rsidRDefault="00337111" w:rsidP="00337111">
      <w:pPr>
        <w:suppressAutoHyphens/>
        <w:rPr>
          <w:noProof/>
          <w:szCs w:val="22"/>
        </w:rPr>
      </w:pPr>
    </w:p>
    <w:p w14:paraId="62D5EA54" w14:textId="77777777" w:rsidR="00337111" w:rsidRPr="0063119B" w:rsidRDefault="00337111" w:rsidP="00337111">
      <w:pPr>
        <w:suppressAutoHyphens/>
        <w:rPr>
          <w:noProof/>
          <w:szCs w:val="22"/>
        </w:rPr>
      </w:pPr>
      <w:r w:rsidRPr="0063119B">
        <w:rPr>
          <w:noProof/>
          <w:szCs w:val="22"/>
        </w:rPr>
        <w:t>Tratamento da trombose venosa profunda (TVP) e embolismo pulmonar (EP) e prevenção da TVP recorrente e EP em adultos (Ver secção 4.4 para doentes com EP hemodinamicamente instáveis).</w:t>
      </w:r>
    </w:p>
    <w:p w14:paraId="438B749A" w14:textId="77777777" w:rsidR="00337111" w:rsidRDefault="00337111" w:rsidP="00337111">
      <w:pPr>
        <w:suppressAutoHyphens/>
        <w:rPr>
          <w:noProof/>
          <w:szCs w:val="22"/>
        </w:rPr>
      </w:pPr>
    </w:p>
    <w:p w14:paraId="58051AD9" w14:textId="77777777" w:rsidR="005F5271" w:rsidRPr="005F5271" w:rsidRDefault="005F5271" w:rsidP="005F5271">
      <w:pPr>
        <w:autoSpaceDE w:val="0"/>
        <w:autoSpaceDN w:val="0"/>
        <w:adjustRightInd w:val="0"/>
        <w:rPr>
          <w:color w:val="000000"/>
          <w:szCs w:val="22"/>
          <w:lang w:eastAsia="pt-PT"/>
        </w:rPr>
      </w:pPr>
      <w:r w:rsidRPr="005F5271">
        <w:rPr>
          <w:i/>
          <w:iCs/>
          <w:color w:val="000000"/>
          <w:szCs w:val="22"/>
          <w:lang w:eastAsia="pt-PT"/>
        </w:rPr>
        <w:t xml:space="preserve">População pediátrica </w:t>
      </w:r>
    </w:p>
    <w:p w14:paraId="56E3EE0B" w14:textId="77777777" w:rsidR="005F5271" w:rsidRDefault="005F5271" w:rsidP="005F5271">
      <w:pPr>
        <w:suppressAutoHyphens/>
        <w:rPr>
          <w:color w:val="000000"/>
          <w:szCs w:val="22"/>
          <w:lang w:eastAsia="pt-PT"/>
        </w:rPr>
      </w:pPr>
      <w:r w:rsidRPr="005F5271">
        <w:rPr>
          <w:color w:val="000000"/>
          <w:szCs w:val="22"/>
          <w:lang w:eastAsia="pt-PT"/>
        </w:rPr>
        <w:t>Tratamento do tromboembolismo venoso (TEV) e prevenção da recorrência de TEV em crianças e adolescentes com idade inferior a 18 anos e com um peso entre 30 kg e 50 kg após, pelo menos, 5 dias de tratamento anticoagulante parentérico inicial.</w:t>
      </w:r>
    </w:p>
    <w:p w14:paraId="012FF577" w14:textId="77777777" w:rsidR="005F5271" w:rsidRPr="0063119B" w:rsidRDefault="005F5271" w:rsidP="005F5271">
      <w:pPr>
        <w:suppressAutoHyphens/>
        <w:rPr>
          <w:noProof/>
          <w:szCs w:val="22"/>
        </w:rPr>
      </w:pPr>
    </w:p>
    <w:p w14:paraId="27E88510" w14:textId="77777777" w:rsidR="00337111" w:rsidRPr="0063119B" w:rsidRDefault="00337111" w:rsidP="00337111">
      <w:pPr>
        <w:suppressAutoHyphens/>
        <w:ind w:left="567" w:hanging="567"/>
        <w:rPr>
          <w:noProof/>
          <w:szCs w:val="22"/>
        </w:rPr>
      </w:pPr>
      <w:r w:rsidRPr="0063119B">
        <w:rPr>
          <w:b/>
          <w:noProof/>
          <w:szCs w:val="22"/>
        </w:rPr>
        <w:t>4.2</w:t>
      </w:r>
      <w:r w:rsidRPr="0063119B">
        <w:rPr>
          <w:b/>
          <w:noProof/>
          <w:szCs w:val="22"/>
        </w:rPr>
        <w:tab/>
        <w:t>Posologia e modo de administração</w:t>
      </w:r>
    </w:p>
    <w:p w14:paraId="1E457E73" w14:textId="77777777" w:rsidR="00337111" w:rsidRPr="0063119B" w:rsidRDefault="00337111" w:rsidP="00337111">
      <w:pPr>
        <w:suppressAutoHyphens/>
        <w:rPr>
          <w:noProof/>
          <w:szCs w:val="22"/>
        </w:rPr>
      </w:pPr>
    </w:p>
    <w:p w14:paraId="6B10B344" w14:textId="77777777" w:rsidR="00337111" w:rsidRDefault="00337111" w:rsidP="00337111">
      <w:pPr>
        <w:suppressAutoHyphens/>
        <w:rPr>
          <w:noProof/>
          <w:szCs w:val="22"/>
          <w:u w:val="single"/>
        </w:rPr>
      </w:pPr>
      <w:r w:rsidRPr="0063119B">
        <w:rPr>
          <w:noProof/>
          <w:szCs w:val="22"/>
          <w:u w:val="single"/>
        </w:rPr>
        <w:t>Posologia</w:t>
      </w:r>
    </w:p>
    <w:p w14:paraId="7ABA23B6" w14:textId="77777777" w:rsidR="005F6FAD" w:rsidRPr="0063119B" w:rsidRDefault="005F6FAD" w:rsidP="00337111">
      <w:pPr>
        <w:suppressAutoHyphens/>
        <w:rPr>
          <w:noProof/>
          <w:szCs w:val="22"/>
          <w:u w:val="single"/>
        </w:rPr>
      </w:pPr>
    </w:p>
    <w:p w14:paraId="51F8E3D8" w14:textId="77777777" w:rsidR="00337111" w:rsidRPr="0063119B" w:rsidRDefault="00337111" w:rsidP="00337111">
      <w:pPr>
        <w:suppressAutoHyphens/>
        <w:rPr>
          <w:i/>
          <w:szCs w:val="22"/>
        </w:rPr>
      </w:pPr>
      <w:r w:rsidRPr="0063119B">
        <w:rPr>
          <w:i/>
          <w:szCs w:val="22"/>
        </w:rPr>
        <w:t>Prevenção do acidente vascular cerebral e do embolismo sistémico</w:t>
      </w:r>
      <w:r w:rsidR="00F13D22">
        <w:rPr>
          <w:i/>
          <w:szCs w:val="22"/>
        </w:rPr>
        <w:t xml:space="preserve"> em adultos</w:t>
      </w:r>
    </w:p>
    <w:p w14:paraId="5449B081" w14:textId="77777777" w:rsidR="00337111" w:rsidRPr="0063119B" w:rsidRDefault="00337111" w:rsidP="00337111">
      <w:pPr>
        <w:rPr>
          <w:szCs w:val="22"/>
        </w:rPr>
      </w:pPr>
      <w:r w:rsidRPr="0063119B">
        <w:rPr>
          <w:szCs w:val="22"/>
        </w:rPr>
        <w:t>A dose recomendada, que também é a dose máxima recomendada, é de 20 mg uma vez por dia.</w:t>
      </w:r>
    </w:p>
    <w:p w14:paraId="2A05394E" w14:textId="77777777" w:rsidR="00337111" w:rsidRPr="0063119B" w:rsidRDefault="00337111" w:rsidP="00337111">
      <w:pPr>
        <w:rPr>
          <w:szCs w:val="22"/>
        </w:rPr>
      </w:pPr>
    </w:p>
    <w:p w14:paraId="25742327" w14:textId="77777777" w:rsidR="00337111" w:rsidRPr="0063119B" w:rsidRDefault="00337111" w:rsidP="00337111">
      <w:pPr>
        <w:rPr>
          <w:szCs w:val="22"/>
        </w:rPr>
      </w:pPr>
      <w:r w:rsidRPr="0063119B">
        <w:rPr>
          <w:szCs w:val="22"/>
        </w:rPr>
        <w:t xml:space="preserve">A terapêutica com </w:t>
      </w:r>
      <w:r w:rsidR="00607DE4">
        <w:rPr>
          <w:szCs w:val="22"/>
        </w:rPr>
        <w:t>Rivaroxabano</w:t>
      </w:r>
      <w:r w:rsidR="00215EBA" w:rsidRPr="0063119B">
        <w:rPr>
          <w:szCs w:val="22"/>
        </w:rPr>
        <w:t xml:space="preserve"> Accord</w:t>
      </w:r>
      <w:r w:rsidRPr="0063119B">
        <w:rPr>
          <w:szCs w:val="22"/>
        </w:rPr>
        <w:t xml:space="preserve"> deve continuar durante um período prolongado, desde que o benefício da prevenção do acidente vascular cerebral e do embolismo sistémico supere o risco de hemorragia (ver secção 4.4).</w:t>
      </w:r>
    </w:p>
    <w:p w14:paraId="73756362" w14:textId="77777777" w:rsidR="00337111" w:rsidRPr="0063119B" w:rsidRDefault="00337111" w:rsidP="00EF3721">
      <w:pPr>
        <w:tabs>
          <w:tab w:val="left" w:pos="1830"/>
        </w:tabs>
        <w:rPr>
          <w:szCs w:val="22"/>
        </w:rPr>
      </w:pPr>
    </w:p>
    <w:p w14:paraId="7972AD18" w14:textId="77777777" w:rsidR="00337111" w:rsidRPr="0063119B" w:rsidRDefault="00337111" w:rsidP="00337111">
      <w:pPr>
        <w:rPr>
          <w:szCs w:val="22"/>
        </w:rPr>
      </w:pPr>
      <w:r w:rsidRPr="0063119B">
        <w:rPr>
          <w:szCs w:val="22"/>
        </w:rPr>
        <w:t xml:space="preserve">No caso de esquecimento de uma dose, o doente deve tomar imediatamente </w:t>
      </w:r>
      <w:r w:rsidR="00607DE4">
        <w:rPr>
          <w:szCs w:val="22"/>
        </w:rPr>
        <w:t>Rivaroxabano</w:t>
      </w:r>
      <w:r w:rsidR="00215EBA" w:rsidRPr="0063119B">
        <w:rPr>
          <w:szCs w:val="22"/>
        </w:rPr>
        <w:t xml:space="preserve"> Accord</w:t>
      </w:r>
      <w:r w:rsidRPr="0063119B">
        <w:rPr>
          <w:szCs w:val="22"/>
        </w:rPr>
        <w:t xml:space="preserve"> e continuar no dia seguinte com a toma uma vez ao dia, conforme recomendado. Não deve ser tomada uma dose a dobrar no mesmo dia para compensar uma dose esquecida.</w:t>
      </w:r>
    </w:p>
    <w:p w14:paraId="3F6773B8" w14:textId="77777777" w:rsidR="006D2FA6" w:rsidRPr="0063119B" w:rsidRDefault="006D2FA6" w:rsidP="00337111">
      <w:pPr>
        <w:rPr>
          <w:i/>
          <w:szCs w:val="22"/>
        </w:rPr>
      </w:pPr>
    </w:p>
    <w:p w14:paraId="7ECF3960" w14:textId="77777777" w:rsidR="00337111" w:rsidRPr="0063119B" w:rsidRDefault="00337111" w:rsidP="00B316E9">
      <w:pPr>
        <w:keepNext/>
        <w:rPr>
          <w:i/>
          <w:szCs w:val="22"/>
        </w:rPr>
      </w:pPr>
      <w:r w:rsidRPr="0063119B">
        <w:rPr>
          <w:i/>
          <w:szCs w:val="22"/>
        </w:rPr>
        <w:lastRenderedPageBreak/>
        <w:t>Tratamento da TVP, tratamento do EP e prevenção da TVP recorrente e EP</w:t>
      </w:r>
      <w:r w:rsidR="00F13D22">
        <w:rPr>
          <w:i/>
          <w:szCs w:val="22"/>
        </w:rPr>
        <w:t xml:space="preserve"> em adultos</w:t>
      </w:r>
    </w:p>
    <w:p w14:paraId="6ED9086A" w14:textId="77777777" w:rsidR="00337111" w:rsidRPr="0063119B" w:rsidRDefault="00337111" w:rsidP="00B316E9">
      <w:pPr>
        <w:keepNext/>
        <w:rPr>
          <w:szCs w:val="22"/>
        </w:rPr>
      </w:pPr>
      <w:r w:rsidRPr="0063119B">
        <w:rPr>
          <w:szCs w:val="22"/>
        </w:rPr>
        <w:t>A dose recomendada para o tratamento inicial da TVP aguda ou EP é de 15 mg duas vezes por dia durante as primeiras três semanas, seguida de 20 mg uma vez por dia para continuação do tratamento e prevenção da TVP recorrente e EP.</w:t>
      </w:r>
    </w:p>
    <w:p w14:paraId="1724C41F" w14:textId="77777777" w:rsidR="00441EA2" w:rsidRPr="0063119B" w:rsidRDefault="00441EA2" w:rsidP="00337111">
      <w:pPr>
        <w:rPr>
          <w:szCs w:val="22"/>
        </w:rPr>
      </w:pPr>
    </w:p>
    <w:p w14:paraId="7884853E" w14:textId="77777777" w:rsidR="008246B9" w:rsidRPr="0063119B" w:rsidRDefault="008246B9" w:rsidP="008246B9">
      <w:pPr>
        <w:suppressAutoHyphens/>
        <w:rPr>
          <w:szCs w:val="22"/>
        </w:rPr>
      </w:pPr>
      <w:r w:rsidRPr="0063119B">
        <w:rPr>
          <w:szCs w:val="22"/>
        </w:rPr>
        <w:t xml:space="preserve">Deve considerar-se uma terapêutica de curta duração (pelo menos 3 meses) em doentes com TVP ou EP provocados por fatores de riscos </w:t>
      </w:r>
      <w:r w:rsidR="00D701F0" w:rsidRPr="0063119B">
        <w:rPr>
          <w:szCs w:val="22"/>
        </w:rPr>
        <w:t>principais</w:t>
      </w:r>
      <w:r w:rsidRPr="0063119B">
        <w:rPr>
          <w:szCs w:val="22"/>
        </w:rPr>
        <w:t>, transitórios (</w:t>
      </w:r>
      <w:r w:rsidR="007B517A" w:rsidRPr="0063119B">
        <w:rPr>
          <w:szCs w:val="22"/>
        </w:rPr>
        <w:t xml:space="preserve">ex.:grande </w:t>
      </w:r>
      <w:r w:rsidRPr="0063119B">
        <w:rPr>
          <w:szCs w:val="22"/>
        </w:rPr>
        <w:t xml:space="preserve">cirurgia ou trauma recentes). Deve considerar-se uma maior duração da terapêutica em doentes com TVP ou EP provocados, não relacionados com fatores de risco </w:t>
      </w:r>
      <w:r w:rsidR="00D701F0" w:rsidRPr="0063119B">
        <w:rPr>
          <w:szCs w:val="22"/>
        </w:rPr>
        <w:t>principais</w:t>
      </w:r>
      <w:r w:rsidRPr="0063119B">
        <w:rPr>
          <w:szCs w:val="22"/>
        </w:rPr>
        <w:t>, transitórios, TVP ou EP não provocados ou antecedentes de TVP ou EP recorrente.</w:t>
      </w:r>
    </w:p>
    <w:p w14:paraId="0EF88D45" w14:textId="77777777" w:rsidR="008246B9" w:rsidRPr="0063119B" w:rsidRDefault="008246B9" w:rsidP="008246B9">
      <w:pPr>
        <w:rPr>
          <w:szCs w:val="22"/>
        </w:rPr>
      </w:pPr>
    </w:p>
    <w:p w14:paraId="70503959" w14:textId="77777777" w:rsidR="008246B9" w:rsidRPr="0063119B" w:rsidRDefault="008246B9" w:rsidP="008246B9">
      <w:pPr>
        <w:rPr>
          <w:szCs w:val="22"/>
        </w:rPr>
      </w:pPr>
      <w:r w:rsidRPr="0063119B">
        <w:rPr>
          <w:szCs w:val="22"/>
        </w:rPr>
        <w:t>Quando há indicação para a extensão da p</w:t>
      </w:r>
      <w:r w:rsidRPr="0063119B">
        <w:rPr>
          <w:rFonts w:eastAsia="Malgun Gothic"/>
          <w:szCs w:val="22"/>
          <w:lang w:eastAsia="de-DE"/>
        </w:rPr>
        <w:t>revenção da TVP e EP recorrentes (depois de se completar, pelo menos, 6 meses de terapêutica para a TVP ou EP</w:t>
      </w:r>
      <w:r w:rsidRPr="0063119B">
        <w:rPr>
          <w:szCs w:val="22"/>
        </w:rPr>
        <w:t xml:space="preserve">), a dose recomendada é de 10 mg uma vez por dia. </w:t>
      </w:r>
      <w:r w:rsidR="002160EF" w:rsidRPr="0063119B">
        <w:rPr>
          <w:szCs w:val="22"/>
        </w:rPr>
        <w:t>Em</w:t>
      </w:r>
      <w:r w:rsidRPr="0063119B">
        <w:rPr>
          <w:szCs w:val="22"/>
        </w:rPr>
        <w:t xml:space="preserve"> doentes nos quais o</w:t>
      </w:r>
      <w:r w:rsidRPr="0063119B">
        <w:rPr>
          <w:rFonts w:eastAsia="Malgun Gothic"/>
          <w:szCs w:val="22"/>
          <w:lang w:eastAsia="de-DE"/>
        </w:rPr>
        <w:t xml:space="preserve"> risco de TVP ou EP recorrente é considerado elevado, tal como naqueles com comorbilidades </w:t>
      </w:r>
      <w:r w:rsidRPr="0063119B">
        <w:rPr>
          <w:szCs w:val="22"/>
        </w:rPr>
        <w:t>complicadas, ou que desenvolveram TVP ou EP recorrente durante a extensão da prevenção</w:t>
      </w:r>
      <w:r w:rsidR="00E07D24" w:rsidRPr="0063119B">
        <w:rPr>
          <w:szCs w:val="22"/>
        </w:rPr>
        <w:t xml:space="preserve"> com 10</w:t>
      </w:r>
      <w:r w:rsidR="00674A0E" w:rsidRPr="0063119B">
        <w:rPr>
          <w:szCs w:val="22"/>
        </w:rPr>
        <w:t> </w:t>
      </w:r>
      <w:r w:rsidR="00E07D24" w:rsidRPr="0063119B">
        <w:rPr>
          <w:szCs w:val="22"/>
        </w:rPr>
        <w:t xml:space="preserve">mg </w:t>
      </w:r>
      <w:r w:rsidR="00674A0E" w:rsidRPr="0063119B">
        <w:rPr>
          <w:szCs w:val="22"/>
        </w:rPr>
        <w:t xml:space="preserve">de </w:t>
      </w:r>
      <w:bookmarkStart w:id="4" w:name="_Hlk49085804"/>
      <w:r w:rsidR="00674A0E" w:rsidRPr="0063119B">
        <w:rPr>
          <w:szCs w:val="22"/>
        </w:rPr>
        <w:t>rivaroxabano</w:t>
      </w:r>
      <w:bookmarkEnd w:id="4"/>
      <w:r w:rsidR="00674A0E" w:rsidRPr="0063119B">
        <w:rPr>
          <w:szCs w:val="22"/>
        </w:rPr>
        <w:t xml:space="preserve">, </w:t>
      </w:r>
      <w:r w:rsidR="00E07D24" w:rsidRPr="0063119B">
        <w:rPr>
          <w:szCs w:val="22"/>
        </w:rPr>
        <w:t>uma vez por dia</w:t>
      </w:r>
      <w:r w:rsidR="002160EF" w:rsidRPr="0063119B">
        <w:rPr>
          <w:szCs w:val="22"/>
        </w:rPr>
        <w:t>, deve considerar-se  uma dose de 20 mg</w:t>
      </w:r>
      <w:r w:rsidR="00674A0E" w:rsidRPr="0063119B">
        <w:rPr>
          <w:szCs w:val="22"/>
        </w:rPr>
        <w:t xml:space="preserve"> de rivaroxabano</w:t>
      </w:r>
      <w:r w:rsidR="002160EF" w:rsidRPr="0063119B">
        <w:rPr>
          <w:szCs w:val="22"/>
        </w:rPr>
        <w:t>, uma vez por dia</w:t>
      </w:r>
    </w:p>
    <w:p w14:paraId="50B50EC1" w14:textId="77777777" w:rsidR="008246B9" w:rsidRPr="0063119B" w:rsidRDefault="008246B9" w:rsidP="008246B9">
      <w:pPr>
        <w:rPr>
          <w:szCs w:val="22"/>
        </w:rPr>
      </w:pPr>
    </w:p>
    <w:p w14:paraId="4D03F308" w14:textId="77777777" w:rsidR="008246B9" w:rsidRPr="0063119B" w:rsidRDefault="008246B9" w:rsidP="008246B9">
      <w:pPr>
        <w:rPr>
          <w:szCs w:val="22"/>
        </w:rPr>
      </w:pPr>
      <w:r w:rsidRPr="0063119B">
        <w:rPr>
          <w:szCs w:val="22"/>
        </w:rPr>
        <w:t>A duração da terapêutica e a seleção da dose devem ser individualizadas após cuidadosa avaliação do benefício do</w:t>
      </w:r>
      <w:r w:rsidR="007A34AB" w:rsidRPr="0063119B">
        <w:rPr>
          <w:szCs w:val="22"/>
        </w:rPr>
        <w:t xml:space="preserve"> tr</w:t>
      </w:r>
      <w:r w:rsidRPr="0063119B">
        <w:rPr>
          <w:szCs w:val="22"/>
        </w:rPr>
        <w:t>at</w:t>
      </w:r>
      <w:r w:rsidR="007A34AB" w:rsidRPr="0063119B">
        <w:rPr>
          <w:szCs w:val="22"/>
        </w:rPr>
        <w:t>a</w:t>
      </w:r>
      <w:r w:rsidRPr="0063119B">
        <w:rPr>
          <w:szCs w:val="22"/>
        </w:rPr>
        <w:t>ment</w:t>
      </w:r>
      <w:r w:rsidR="007A34AB" w:rsidRPr="0063119B">
        <w:rPr>
          <w:szCs w:val="22"/>
        </w:rPr>
        <w:t>o</w:t>
      </w:r>
      <w:r w:rsidRPr="0063119B">
        <w:rPr>
          <w:szCs w:val="22"/>
        </w:rPr>
        <w:t xml:space="preserve"> em relação ao risco de hemorragia (ver secção 4.4)</w:t>
      </w:r>
      <w:r w:rsidR="006D2317" w:rsidRPr="0063119B">
        <w:rPr>
          <w:szCs w:val="22"/>
        </w:rPr>
        <w:t>.</w:t>
      </w:r>
    </w:p>
    <w:p w14:paraId="2B8F497B" w14:textId="77777777" w:rsidR="008246B9" w:rsidRPr="0063119B" w:rsidRDefault="008246B9" w:rsidP="008246B9">
      <w:pPr>
        <w:tabs>
          <w:tab w:val="left" w:pos="708"/>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8246B9" w:rsidRPr="0063119B" w14:paraId="1EA4F2A6" w14:textId="77777777" w:rsidTr="00E67357">
        <w:trPr>
          <w:trHeight w:val="315"/>
        </w:trPr>
        <w:tc>
          <w:tcPr>
            <w:tcW w:w="2339" w:type="dxa"/>
          </w:tcPr>
          <w:p w14:paraId="3302C9C7" w14:textId="77777777" w:rsidR="008246B9" w:rsidRPr="0063119B" w:rsidRDefault="008246B9" w:rsidP="00E67357">
            <w:pPr>
              <w:spacing w:line="260" w:lineRule="exact"/>
              <w:rPr>
                <w:szCs w:val="22"/>
              </w:rPr>
            </w:pPr>
          </w:p>
        </w:tc>
        <w:tc>
          <w:tcPr>
            <w:tcW w:w="2371" w:type="dxa"/>
          </w:tcPr>
          <w:p w14:paraId="0D03A5D2" w14:textId="77777777" w:rsidR="008246B9" w:rsidRPr="001B6FEC" w:rsidRDefault="008246B9" w:rsidP="00E67357">
            <w:pPr>
              <w:spacing w:line="260" w:lineRule="exact"/>
              <w:rPr>
                <w:b/>
                <w:bCs/>
                <w:szCs w:val="22"/>
              </w:rPr>
            </w:pPr>
            <w:r w:rsidRPr="001B6FEC">
              <w:rPr>
                <w:b/>
                <w:bCs/>
                <w:szCs w:val="22"/>
              </w:rPr>
              <w:t>Período de tempo</w:t>
            </w:r>
          </w:p>
        </w:tc>
        <w:tc>
          <w:tcPr>
            <w:tcW w:w="2371" w:type="dxa"/>
          </w:tcPr>
          <w:p w14:paraId="5FFD2A8D" w14:textId="77777777" w:rsidR="008246B9" w:rsidRPr="001B6FEC" w:rsidRDefault="008246B9" w:rsidP="00E67357">
            <w:pPr>
              <w:spacing w:line="260" w:lineRule="exact"/>
              <w:rPr>
                <w:b/>
                <w:bCs/>
                <w:szCs w:val="22"/>
              </w:rPr>
            </w:pPr>
            <w:r w:rsidRPr="001B6FEC">
              <w:rPr>
                <w:b/>
                <w:bCs/>
                <w:szCs w:val="22"/>
              </w:rPr>
              <w:t>Esquema posológico</w:t>
            </w:r>
          </w:p>
        </w:tc>
        <w:tc>
          <w:tcPr>
            <w:tcW w:w="2143" w:type="dxa"/>
          </w:tcPr>
          <w:p w14:paraId="0E564515" w14:textId="77777777" w:rsidR="008246B9" w:rsidRPr="001B6FEC" w:rsidRDefault="008246B9" w:rsidP="00E67357">
            <w:pPr>
              <w:spacing w:line="260" w:lineRule="exact"/>
              <w:rPr>
                <w:b/>
                <w:bCs/>
                <w:szCs w:val="22"/>
              </w:rPr>
            </w:pPr>
            <w:r w:rsidRPr="001B6FEC">
              <w:rPr>
                <w:b/>
                <w:bCs/>
                <w:szCs w:val="22"/>
              </w:rPr>
              <w:t>Dose diária total</w:t>
            </w:r>
          </w:p>
        </w:tc>
      </w:tr>
      <w:tr w:rsidR="008246B9" w:rsidRPr="0063119B" w14:paraId="0EDE0F28" w14:textId="77777777" w:rsidTr="00E67357">
        <w:trPr>
          <w:trHeight w:val="575"/>
        </w:trPr>
        <w:tc>
          <w:tcPr>
            <w:tcW w:w="2339" w:type="dxa"/>
            <w:vMerge w:val="restart"/>
          </w:tcPr>
          <w:p w14:paraId="38FD90BD" w14:textId="77777777" w:rsidR="008246B9" w:rsidRPr="0063119B" w:rsidRDefault="008246B9" w:rsidP="00E67357">
            <w:pPr>
              <w:spacing w:line="260" w:lineRule="exact"/>
              <w:rPr>
                <w:szCs w:val="22"/>
              </w:rPr>
            </w:pPr>
            <w:r w:rsidRPr="0063119B">
              <w:rPr>
                <w:szCs w:val="22"/>
              </w:rPr>
              <w:t>Tratamento e prevenção da TVP e EP</w:t>
            </w:r>
            <w:r w:rsidR="007A34AB" w:rsidRPr="0063119B">
              <w:rPr>
                <w:szCs w:val="22"/>
              </w:rPr>
              <w:t xml:space="preserve"> recorrentes</w:t>
            </w:r>
          </w:p>
        </w:tc>
        <w:tc>
          <w:tcPr>
            <w:tcW w:w="2371" w:type="dxa"/>
          </w:tcPr>
          <w:p w14:paraId="72A6729B" w14:textId="77777777" w:rsidR="008246B9" w:rsidRPr="0063119B" w:rsidRDefault="008246B9" w:rsidP="00E67357">
            <w:pPr>
              <w:spacing w:line="260" w:lineRule="exact"/>
              <w:rPr>
                <w:szCs w:val="22"/>
              </w:rPr>
            </w:pPr>
            <w:r w:rsidRPr="0063119B">
              <w:rPr>
                <w:szCs w:val="22"/>
              </w:rPr>
              <w:t>Dia 1-21</w:t>
            </w:r>
          </w:p>
        </w:tc>
        <w:tc>
          <w:tcPr>
            <w:tcW w:w="2371" w:type="dxa"/>
          </w:tcPr>
          <w:p w14:paraId="76879D3D" w14:textId="77777777" w:rsidR="008246B9" w:rsidRPr="0063119B" w:rsidRDefault="008246B9" w:rsidP="00E67357">
            <w:pPr>
              <w:spacing w:line="260" w:lineRule="exact"/>
              <w:rPr>
                <w:szCs w:val="22"/>
              </w:rPr>
            </w:pPr>
            <w:r w:rsidRPr="0063119B">
              <w:rPr>
                <w:szCs w:val="22"/>
              </w:rPr>
              <w:t>15 mg duas vezes por dia</w:t>
            </w:r>
          </w:p>
        </w:tc>
        <w:tc>
          <w:tcPr>
            <w:tcW w:w="2143" w:type="dxa"/>
          </w:tcPr>
          <w:p w14:paraId="4BA833F5" w14:textId="77777777" w:rsidR="008246B9" w:rsidRPr="0063119B" w:rsidRDefault="008246B9" w:rsidP="00E67357">
            <w:pPr>
              <w:spacing w:line="260" w:lineRule="exact"/>
              <w:rPr>
                <w:szCs w:val="22"/>
              </w:rPr>
            </w:pPr>
            <w:r w:rsidRPr="0063119B">
              <w:rPr>
                <w:szCs w:val="22"/>
              </w:rPr>
              <w:t>30 mg</w:t>
            </w:r>
          </w:p>
        </w:tc>
      </w:tr>
      <w:tr w:rsidR="008246B9" w:rsidRPr="0063119B" w14:paraId="673AC0B7" w14:textId="77777777" w:rsidTr="00E67357">
        <w:trPr>
          <w:trHeight w:val="479"/>
        </w:trPr>
        <w:tc>
          <w:tcPr>
            <w:tcW w:w="2339" w:type="dxa"/>
            <w:vMerge/>
          </w:tcPr>
          <w:p w14:paraId="77F81A24" w14:textId="77777777" w:rsidR="008246B9" w:rsidRPr="0063119B" w:rsidRDefault="008246B9" w:rsidP="00E67357">
            <w:pPr>
              <w:spacing w:line="260" w:lineRule="exact"/>
              <w:rPr>
                <w:szCs w:val="22"/>
              </w:rPr>
            </w:pPr>
          </w:p>
        </w:tc>
        <w:tc>
          <w:tcPr>
            <w:tcW w:w="2371" w:type="dxa"/>
          </w:tcPr>
          <w:p w14:paraId="040FC228" w14:textId="77777777" w:rsidR="008246B9" w:rsidRPr="0063119B" w:rsidRDefault="007A34AB" w:rsidP="007A34AB">
            <w:pPr>
              <w:spacing w:line="260" w:lineRule="exact"/>
              <w:rPr>
                <w:szCs w:val="22"/>
              </w:rPr>
            </w:pPr>
            <w:r w:rsidRPr="0063119B">
              <w:rPr>
                <w:szCs w:val="22"/>
              </w:rPr>
              <w:t>D</w:t>
            </w:r>
            <w:r w:rsidR="008246B9" w:rsidRPr="0063119B">
              <w:rPr>
                <w:szCs w:val="22"/>
              </w:rPr>
              <w:t>ia 22 e</w:t>
            </w:r>
            <w:r w:rsidRPr="0063119B">
              <w:rPr>
                <w:szCs w:val="22"/>
              </w:rPr>
              <w:t xml:space="preserve"> seguintes</w:t>
            </w:r>
          </w:p>
        </w:tc>
        <w:tc>
          <w:tcPr>
            <w:tcW w:w="2371" w:type="dxa"/>
          </w:tcPr>
          <w:p w14:paraId="6B981B5F" w14:textId="77777777" w:rsidR="008246B9" w:rsidRPr="0063119B" w:rsidRDefault="008246B9" w:rsidP="00E67357">
            <w:pPr>
              <w:spacing w:line="260" w:lineRule="exact"/>
              <w:rPr>
                <w:szCs w:val="22"/>
              </w:rPr>
            </w:pPr>
            <w:r w:rsidRPr="0063119B">
              <w:rPr>
                <w:szCs w:val="22"/>
              </w:rPr>
              <w:t>20 mg uma vez por dia</w:t>
            </w:r>
          </w:p>
        </w:tc>
        <w:tc>
          <w:tcPr>
            <w:tcW w:w="2143" w:type="dxa"/>
          </w:tcPr>
          <w:p w14:paraId="455EF71C" w14:textId="77777777" w:rsidR="008246B9" w:rsidRPr="0063119B" w:rsidRDefault="008246B9" w:rsidP="00E67357">
            <w:pPr>
              <w:spacing w:line="260" w:lineRule="exact"/>
              <w:rPr>
                <w:szCs w:val="22"/>
              </w:rPr>
            </w:pPr>
            <w:r w:rsidRPr="0063119B">
              <w:rPr>
                <w:szCs w:val="22"/>
              </w:rPr>
              <w:t>20 mg</w:t>
            </w:r>
          </w:p>
        </w:tc>
      </w:tr>
      <w:tr w:rsidR="008246B9" w:rsidRPr="0063119B" w14:paraId="5087B01C" w14:textId="77777777" w:rsidTr="00E67357">
        <w:trPr>
          <w:trHeight w:val="814"/>
        </w:trPr>
        <w:tc>
          <w:tcPr>
            <w:tcW w:w="2339" w:type="dxa"/>
          </w:tcPr>
          <w:p w14:paraId="54001AA0" w14:textId="77777777" w:rsidR="008246B9" w:rsidRPr="0063119B" w:rsidRDefault="008246B9" w:rsidP="00E67357">
            <w:pPr>
              <w:spacing w:line="260" w:lineRule="exact"/>
              <w:rPr>
                <w:szCs w:val="22"/>
              </w:rPr>
            </w:pPr>
            <w:r w:rsidRPr="0063119B">
              <w:rPr>
                <w:szCs w:val="22"/>
              </w:rPr>
              <w:t>Prevenção da TVP e EP recorrentes</w:t>
            </w:r>
          </w:p>
        </w:tc>
        <w:tc>
          <w:tcPr>
            <w:tcW w:w="2371" w:type="dxa"/>
          </w:tcPr>
          <w:p w14:paraId="230A466A" w14:textId="77777777" w:rsidR="008246B9" w:rsidRPr="0063119B" w:rsidRDefault="008246B9" w:rsidP="00E67357">
            <w:pPr>
              <w:spacing w:line="260" w:lineRule="exact"/>
              <w:rPr>
                <w:szCs w:val="22"/>
              </w:rPr>
            </w:pPr>
            <w:r w:rsidRPr="0063119B">
              <w:rPr>
                <w:szCs w:val="22"/>
              </w:rPr>
              <w:t>Depois de se ter completado, pelo menos, 6 meses de terapêutica para a TVP ou EP</w:t>
            </w:r>
          </w:p>
        </w:tc>
        <w:tc>
          <w:tcPr>
            <w:tcW w:w="2371" w:type="dxa"/>
          </w:tcPr>
          <w:p w14:paraId="5C3C25A0" w14:textId="77777777" w:rsidR="008246B9" w:rsidRPr="0063119B" w:rsidRDefault="008246B9" w:rsidP="00E67357">
            <w:pPr>
              <w:spacing w:line="260" w:lineRule="exact"/>
              <w:rPr>
                <w:szCs w:val="22"/>
              </w:rPr>
            </w:pPr>
            <w:r w:rsidRPr="0063119B">
              <w:rPr>
                <w:szCs w:val="22"/>
              </w:rPr>
              <w:t>10 mg uma vez por dia ou</w:t>
            </w:r>
          </w:p>
          <w:p w14:paraId="0A7C5228" w14:textId="77777777" w:rsidR="008246B9" w:rsidRPr="0063119B" w:rsidRDefault="008246B9" w:rsidP="00E67357">
            <w:pPr>
              <w:spacing w:line="260" w:lineRule="exact"/>
              <w:rPr>
                <w:szCs w:val="22"/>
              </w:rPr>
            </w:pPr>
            <w:r w:rsidRPr="0063119B">
              <w:rPr>
                <w:szCs w:val="22"/>
              </w:rPr>
              <w:t>20 mg uma vez por dia</w:t>
            </w:r>
          </w:p>
        </w:tc>
        <w:tc>
          <w:tcPr>
            <w:tcW w:w="2143" w:type="dxa"/>
          </w:tcPr>
          <w:p w14:paraId="5E6872A4" w14:textId="77777777" w:rsidR="008246B9" w:rsidRPr="0063119B" w:rsidRDefault="008246B9" w:rsidP="00E67357">
            <w:pPr>
              <w:spacing w:line="260" w:lineRule="exact"/>
              <w:rPr>
                <w:szCs w:val="22"/>
              </w:rPr>
            </w:pPr>
            <w:r w:rsidRPr="0063119B">
              <w:rPr>
                <w:szCs w:val="22"/>
              </w:rPr>
              <w:t>10 </w:t>
            </w:r>
            <w:r w:rsidR="006D2317" w:rsidRPr="0063119B">
              <w:rPr>
                <w:szCs w:val="22"/>
              </w:rPr>
              <w:t>mg</w:t>
            </w:r>
          </w:p>
          <w:p w14:paraId="6802DA90" w14:textId="77777777" w:rsidR="008246B9" w:rsidRPr="0063119B" w:rsidRDefault="008246B9" w:rsidP="00E67357">
            <w:pPr>
              <w:spacing w:line="260" w:lineRule="exact"/>
              <w:rPr>
                <w:szCs w:val="22"/>
              </w:rPr>
            </w:pPr>
            <w:r w:rsidRPr="0063119B">
              <w:rPr>
                <w:szCs w:val="22"/>
              </w:rPr>
              <w:t>ou 20 mg</w:t>
            </w:r>
          </w:p>
        </w:tc>
      </w:tr>
    </w:tbl>
    <w:p w14:paraId="007C0E4C" w14:textId="77777777" w:rsidR="00830720" w:rsidRPr="0063119B" w:rsidRDefault="00830720" w:rsidP="00337111">
      <w:pPr>
        <w:rPr>
          <w:szCs w:val="22"/>
          <w:lang w:val="en-US"/>
        </w:rPr>
      </w:pPr>
    </w:p>
    <w:p w14:paraId="323D3135" w14:textId="77777777" w:rsidR="002E099B" w:rsidRPr="0063119B" w:rsidRDefault="002E099B" w:rsidP="00337111">
      <w:pPr>
        <w:rPr>
          <w:szCs w:val="22"/>
        </w:rPr>
      </w:pPr>
      <w:r w:rsidRPr="0063119B">
        <w:rPr>
          <w:szCs w:val="22"/>
        </w:rPr>
        <w:t xml:space="preserve">Está disponível uma embalagem </w:t>
      </w:r>
      <w:r w:rsidR="007F0B0F" w:rsidRPr="0063119B">
        <w:rPr>
          <w:szCs w:val="22"/>
        </w:rPr>
        <w:t xml:space="preserve">de tratamento inicial </w:t>
      </w:r>
      <w:r w:rsidRPr="0063119B">
        <w:rPr>
          <w:szCs w:val="22"/>
        </w:rPr>
        <w:t xml:space="preserve">de </w:t>
      </w:r>
      <w:r w:rsidR="00607DE4">
        <w:rPr>
          <w:szCs w:val="22"/>
        </w:rPr>
        <w:t>Rivaroxabano</w:t>
      </w:r>
      <w:r w:rsidR="00674A0E" w:rsidRPr="0063119B">
        <w:rPr>
          <w:szCs w:val="22"/>
        </w:rPr>
        <w:t xml:space="preserve"> Accord</w:t>
      </w:r>
      <w:r w:rsidRPr="0063119B">
        <w:rPr>
          <w:szCs w:val="22"/>
        </w:rPr>
        <w:t xml:space="preserve"> para 4</w:t>
      </w:r>
      <w:r w:rsidR="00674A0E" w:rsidRPr="0063119B">
        <w:rPr>
          <w:szCs w:val="22"/>
        </w:rPr>
        <w:t> </w:t>
      </w:r>
      <w:r w:rsidRPr="0063119B">
        <w:rPr>
          <w:szCs w:val="22"/>
        </w:rPr>
        <w:t xml:space="preserve">semanas </w:t>
      </w:r>
      <w:r w:rsidR="00FF3BCD" w:rsidRPr="0063119B">
        <w:rPr>
          <w:szCs w:val="22"/>
        </w:rPr>
        <w:t>de modo a facilitar a alteração de dose de 15</w:t>
      </w:r>
      <w:r w:rsidR="00674A0E" w:rsidRPr="0063119B">
        <w:rPr>
          <w:szCs w:val="22"/>
        </w:rPr>
        <w:t> </w:t>
      </w:r>
      <w:r w:rsidR="00FF3BCD" w:rsidRPr="0063119B">
        <w:rPr>
          <w:szCs w:val="22"/>
        </w:rPr>
        <w:t>mg para 20</w:t>
      </w:r>
      <w:r w:rsidR="00674A0E" w:rsidRPr="0063119B">
        <w:rPr>
          <w:szCs w:val="22"/>
        </w:rPr>
        <w:t> </w:t>
      </w:r>
      <w:r w:rsidR="00FF3BCD" w:rsidRPr="0063119B">
        <w:rPr>
          <w:szCs w:val="22"/>
        </w:rPr>
        <w:t xml:space="preserve">mg  </w:t>
      </w:r>
      <w:r w:rsidRPr="0063119B">
        <w:rPr>
          <w:szCs w:val="22"/>
        </w:rPr>
        <w:t>após o Dia 21 no tratamento do TVP/EP.</w:t>
      </w:r>
    </w:p>
    <w:p w14:paraId="70958F8D" w14:textId="77777777" w:rsidR="002E099B" w:rsidRPr="0063119B" w:rsidRDefault="002E099B" w:rsidP="00337111">
      <w:pPr>
        <w:rPr>
          <w:szCs w:val="22"/>
        </w:rPr>
      </w:pPr>
    </w:p>
    <w:p w14:paraId="34B0FCA3" w14:textId="77777777" w:rsidR="00337111" w:rsidRPr="0063119B" w:rsidRDefault="00337111" w:rsidP="00337111">
      <w:pPr>
        <w:rPr>
          <w:szCs w:val="22"/>
        </w:rPr>
      </w:pPr>
      <w:r w:rsidRPr="0063119B">
        <w:rPr>
          <w:szCs w:val="22"/>
        </w:rPr>
        <w:t>No caso de esquecimento de uma dose durante a fase de tratamento de 15 mg duas</w:t>
      </w:r>
      <w:r w:rsidR="00674A0E" w:rsidRPr="0063119B">
        <w:rPr>
          <w:szCs w:val="22"/>
        </w:rPr>
        <w:t xml:space="preserve"> </w:t>
      </w:r>
      <w:r w:rsidRPr="0063119B">
        <w:rPr>
          <w:szCs w:val="22"/>
        </w:rPr>
        <w:t>vezes por dia (dia 1 </w:t>
      </w:r>
      <w:r w:rsidRPr="0063119B">
        <w:rPr>
          <w:szCs w:val="22"/>
        </w:rPr>
        <w:noBreakHyphen/>
        <w:t xml:space="preserve"> 21), o doente deve tomar imediatamente </w:t>
      </w:r>
      <w:r w:rsidR="00607DE4">
        <w:rPr>
          <w:szCs w:val="22"/>
        </w:rPr>
        <w:t>Rivaroxabano</w:t>
      </w:r>
      <w:r w:rsidR="00674A0E" w:rsidRPr="0063119B">
        <w:rPr>
          <w:szCs w:val="22"/>
        </w:rPr>
        <w:t xml:space="preserve"> Accord</w:t>
      </w:r>
      <w:r w:rsidRPr="0063119B">
        <w:rPr>
          <w:szCs w:val="22"/>
        </w:rPr>
        <w:t xml:space="preserve"> para assegurar a toma de 30 mg de </w:t>
      </w:r>
      <w:r w:rsidR="00674A0E" w:rsidRPr="0063119B">
        <w:rPr>
          <w:szCs w:val="22"/>
        </w:rPr>
        <w:t>rivaroxabano</w:t>
      </w:r>
      <w:r w:rsidRPr="0063119B">
        <w:rPr>
          <w:szCs w:val="22"/>
        </w:rPr>
        <w:t xml:space="preserve"> por dia. Neste caso podem tomar</w:t>
      </w:r>
      <w:r w:rsidRPr="0063119B">
        <w:rPr>
          <w:szCs w:val="22"/>
        </w:rPr>
        <w:noBreakHyphen/>
        <w:t>se dois comprimidos de 15 mg ao mesmo tempo. O doente deve continuar no dia seguinte a toma diária e regular de 15</w:t>
      </w:r>
      <w:r w:rsidR="00674A0E" w:rsidRPr="0063119B">
        <w:rPr>
          <w:szCs w:val="22"/>
        </w:rPr>
        <w:t> </w:t>
      </w:r>
      <w:r w:rsidRPr="0063119B">
        <w:rPr>
          <w:szCs w:val="22"/>
        </w:rPr>
        <w:t>mg duas vezes por dia, conforme recomendado.</w:t>
      </w:r>
    </w:p>
    <w:p w14:paraId="04D8C45F" w14:textId="77777777" w:rsidR="00337111" w:rsidRPr="0063119B" w:rsidRDefault="00337111" w:rsidP="00337111">
      <w:pPr>
        <w:rPr>
          <w:szCs w:val="22"/>
        </w:rPr>
      </w:pPr>
    </w:p>
    <w:p w14:paraId="0AF22B1C" w14:textId="77777777" w:rsidR="00337111" w:rsidRPr="0063119B" w:rsidRDefault="00337111" w:rsidP="00337111">
      <w:pPr>
        <w:rPr>
          <w:szCs w:val="22"/>
        </w:rPr>
      </w:pPr>
      <w:r w:rsidRPr="0063119B">
        <w:rPr>
          <w:szCs w:val="22"/>
        </w:rPr>
        <w:t xml:space="preserve">No caso de esquecimento de uma dose durante a fase de tratamento de uma toma diária, o doente deve tomar imediatamente </w:t>
      </w:r>
      <w:r w:rsidR="00607DE4">
        <w:rPr>
          <w:szCs w:val="22"/>
        </w:rPr>
        <w:t>Rivaroxabano</w:t>
      </w:r>
      <w:r w:rsidR="00674A0E" w:rsidRPr="0063119B">
        <w:rPr>
          <w:szCs w:val="22"/>
        </w:rPr>
        <w:t xml:space="preserve"> Accord</w:t>
      </w:r>
      <w:r w:rsidRPr="0063119B">
        <w:rPr>
          <w:szCs w:val="22"/>
        </w:rPr>
        <w:t xml:space="preserve"> e continuar no dia seguinte com a toma diária, conforme recomendado. Não deve ser tomada uma dose a dobrar no mesmo dia para compensar uma dose esquecida.</w:t>
      </w:r>
    </w:p>
    <w:p w14:paraId="076C864D" w14:textId="77777777" w:rsidR="00337111" w:rsidRDefault="00337111" w:rsidP="00337111">
      <w:pPr>
        <w:rPr>
          <w:szCs w:val="22"/>
        </w:rPr>
      </w:pPr>
    </w:p>
    <w:p w14:paraId="6968E321" w14:textId="77777777" w:rsidR="00F13D22" w:rsidRDefault="00F13D22" w:rsidP="00337111">
      <w:pPr>
        <w:rPr>
          <w:i/>
          <w:iCs/>
          <w:szCs w:val="22"/>
        </w:rPr>
      </w:pPr>
      <w:r>
        <w:rPr>
          <w:i/>
          <w:iCs/>
          <w:szCs w:val="22"/>
        </w:rPr>
        <w:t>Tratamento do TEV e prevenção da recorrência de TEV em crianças e adolescentes</w:t>
      </w:r>
    </w:p>
    <w:p w14:paraId="77DE5ACD" w14:textId="77777777" w:rsidR="00F13D22" w:rsidRPr="00F13D22" w:rsidRDefault="00F13D22" w:rsidP="00F13D22">
      <w:pPr>
        <w:autoSpaceDE w:val="0"/>
        <w:autoSpaceDN w:val="0"/>
        <w:adjustRightInd w:val="0"/>
        <w:rPr>
          <w:color w:val="000000"/>
          <w:szCs w:val="22"/>
          <w:lang w:eastAsia="pt-PT"/>
        </w:rPr>
      </w:pPr>
      <w:r w:rsidRPr="00F13D22">
        <w:rPr>
          <w:color w:val="000000"/>
          <w:szCs w:val="22"/>
          <w:lang w:eastAsia="pt-PT"/>
        </w:rPr>
        <w:t xml:space="preserve">O tratamento com </w:t>
      </w:r>
      <w:r>
        <w:rPr>
          <w:szCs w:val="22"/>
        </w:rPr>
        <w:t>Rivaroxabano</w:t>
      </w:r>
      <w:r w:rsidRPr="0063119B">
        <w:rPr>
          <w:szCs w:val="22"/>
        </w:rPr>
        <w:t xml:space="preserve"> Accord </w:t>
      </w:r>
      <w:r w:rsidRPr="00F13D22">
        <w:rPr>
          <w:color w:val="000000"/>
          <w:szCs w:val="22"/>
          <w:lang w:eastAsia="pt-PT"/>
        </w:rPr>
        <w:t xml:space="preserve">em crianças e adolescentes com idade inferior a 18 anos deve ser iniciado após, pelo menos, 5 dias de tratamento anticoagulante parentérico inicial (ver secção 5.1). </w:t>
      </w:r>
    </w:p>
    <w:p w14:paraId="284E674E" w14:textId="77777777" w:rsidR="00F13D22" w:rsidRDefault="00F13D22" w:rsidP="00F13D22">
      <w:pPr>
        <w:autoSpaceDE w:val="0"/>
        <w:autoSpaceDN w:val="0"/>
        <w:adjustRightInd w:val="0"/>
        <w:rPr>
          <w:color w:val="000000"/>
          <w:szCs w:val="22"/>
          <w:lang w:eastAsia="pt-PT"/>
        </w:rPr>
      </w:pPr>
    </w:p>
    <w:p w14:paraId="62DDE67D" w14:textId="77777777" w:rsidR="00F13D22" w:rsidRPr="00F13D22" w:rsidRDefault="00F13D22" w:rsidP="00F13D22">
      <w:pPr>
        <w:autoSpaceDE w:val="0"/>
        <w:autoSpaceDN w:val="0"/>
        <w:adjustRightInd w:val="0"/>
        <w:rPr>
          <w:color w:val="000000"/>
          <w:szCs w:val="22"/>
          <w:lang w:eastAsia="pt-PT"/>
        </w:rPr>
      </w:pPr>
      <w:r w:rsidRPr="00F13D22">
        <w:rPr>
          <w:color w:val="000000"/>
          <w:szCs w:val="22"/>
          <w:lang w:eastAsia="pt-PT"/>
        </w:rPr>
        <w:t xml:space="preserve">A dose para crianças e adolescentes é calculada com base no peso corporal. </w:t>
      </w:r>
    </w:p>
    <w:p w14:paraId="75E02A5D" w14:textId="77777777" w:rsidR="00F13D22" w:rsidRDefault="00F13D22" w:rsidP="00F13D22">
      <w:pPr>
        <w:autoSpaceDE w:val="0"/>
        <w:autoSpaceDN w:val="0"/>
        <w:adjustRightInd w:val="0"/>
        <w:rPr>
          <w:color w:val="000000"/>
          <w:szCs w:val="22"/>
          <w:lang w:eastAsia="pt-PT"/>
        </w:rPr>
      </w:pPr>
      <w:r w:rsidRPr="00F13D22">
        <w:rPr>
          <w:rFonts w:ascii="Arial" w:hAnsi="Arial" w:cs="Arial"/>
          <w:color w:val="000000"/>
          <w:szCs w:val="22"/>
          <w:lang w:eastAsia="pt-PT"/>
        </w:rPr>
        <w:t>-</w:t>
      </w:r>
      <w:r>
        <w:rPr>
          <w:rFonts w:ascii="Arial" w:hAnsi="Arial" w:cs="Arial"/>
          <w:color w:val="000000"/>
          <w:szCs w:val="22"/>
          <w:lang w:eastAsia="pt-PT"/>
        </w:rPr>
        <w:tab/>
      </w:r>
      <w:r w:rsidRPr="00F13D22">
        <w:rPr>
          <w:color w:val="000000"/>
          <w:szCs w:val="22"/>
          <w:lang w:eastAsia="pt-PT"/>
        </w:rPr>
        <w:t xml:space="preserve">Peso corporal entre 30 kg e 50 kg: </w:t>
      </w:r>
    </w:p>
    <w:p w14:paraId="33C633A3" w14:textId="77777777" w:rsidR="00F13D22" w:rsidRPr="00F13D22" w:rsidRDefault="00F13D22" w:rsidP="00EF3721">
      <w:pPr>
        <w:autoSpaceDE w:val="0"/>
        <w:autoSpaceDN w:val="0"/>
        <w:adjustRightInd w:val="0"/>
        <w:ind w:left="720"/>
        <w:rPr>
          <w:color w:val="000000"/>
          <w:szCs w:val="22"/>
          <w:lang w:eastAsia="pt-PT"/>
        </w:rPr>
      </w:pPr>
      <w:r w:rsidRPr="00F13D22">
        <w:rPr>
          <w:color w:val="000000"/>
          <w:szCs w:val="22"/>
          <w:lang w:eastAsia="pt-PT"/>
        </w:rPr>
        <w:t xml:space="preserve">recomenda-se uma dose de 15 mg de rivaroxabano uma vez por dia. Esta é a dose máxima diária. </w:t>
      </w:r>
    </w:p>
    <w:p w14:paraId="55B7C5D0" w14:textId="77777777" w:rsidR="00F13D22" w:rsidRDefault="00F13D22" w:rsidP="00F13D22">
      <w:pPr>
        <w:autoSpaceDE w:val="0"/>
        <w:autoSpaceDN w:val="0"/>
        <w:adjustRightInd w:val="0"/>
        <w:rPr>
          <w:color w:val="000000"/>
          <w:szCs w:val="22"/>
          <w:lang w:eastAsia="pt-PT"/>
        </w:rPr>
      </w:pPr>
      <w:r w:rsidRPr="00F13D22">
        <w:rPr>
          <w:rFonts w:ascii="Arial" w:hAnsi="Arial" w:cs="Arial"/>
          <w:color w:val="000000"/>
          <w:szCs w:val="22"/>
          <w:lang w:eastAsia="pt-PT"/>
        </w:rPr>
        <w:t>-</w:t>
      </w:r>
      <w:r>
        <w:rPr>
          <w:rFonts w:ascii="Arial" w:hAnsi="Arial" w:cs="Arial"/>
          <w:color w:val="000000"/>
          <w:szCs w:val="22"/>
          <w:lang w:eastAsia="pt-PT"/>
        </w:rPr>
        <w:tab/>
      </w:r>
      <w:r w:rsidRPr="00F13D22">
        <w:rPr>
          <w:color w:val="000000"/>
          <w:szCs w:val="22"/>
          <w:lang w:eastAsia="pt-PT"/>
        </w:rPr>
        <w:t xml:space="preserve">Peso corporal igual ou superior a 50 kg: </w:t>
      </w:r>
    </w:p>
    <w:p w14:paraId="062C8EFD" w14:textId="77777777" w:rsidR="00F13D22" w:rsidRDefault="00F13D22" w:rsidP="00F13D22">
      <w:pPr>
        <w:autoSpaceDE w:val="0"/>
        <w:autoSpaceDN w:val="0"/>
        <w:adjustRightInd w:val="0"/>
        <w:ind w:left="720"/>
        <w:rPr>
          <w:color w:val="000000"/>
          <w:szCs w:val="22"/>
          <w:lang w:eastAsia="pt-PT"/>
        </w:rPr>
      </w:pPr>
      <w:r w:rsidRPr="00F13D22">
        <w:rPr>
          <w:color w:val="000000"/>
          <w:szCs w:val="22"/>
          <w:lang w:eastAsia="pt-PT"/>
        </w:rPr>
        <w:lastRenderedPageBreak/>
        <w:t xml:space="preserve">recomenda-se uma dose de 20 mg de rivaroxabano uma vez por dia. Esta é a dose máxima diária. </w:t>
      </w:r>
    </w:p>
    <w:p w14:paraId="76762BE4" w14:textId="77777777" w:rsidR="00561F70" w:rsidRDefault="00561F70" w:rsidP="00F13D22">
      <w:pPr>
        <w:autoSpaceDE w:val="0"/>
        <w:autoSpaceDN w:val="0"/>
        <w:adjustRightInd w:val="0"/>
        <w:ind w:left="720"/>
        <w:rPr>
          <w:color w:val="000000"/>
          <w:szCs w:val="22"/>
          <w:lang w:eastAsia="pt-PT"/>
        </w:rPr>
      </w:pPr>
      <w:r>
        <w:t xml:space="preserve">Para doentes com peso corporal inferior a 30 kg, consultar o Resumo das Características do Medicamento </w:t>
      </w:r>
      <w:r w:rsidR="00ED6A91">
        <w:t xml:space="preserve">de outros medicamentos contendo rivaroxabano </w:t>
      </w:r>
      <w:r>
        <w:t>granulado para suspensão oral</w:t>
      </w:r>
      <w:r w:rsidR="00ED6A91">
        <w:t xml:space="preserve"> disponíveis no mercado</w:t>
      </w:r>
      <w:r>
        <w:t>.</w:t>
      </w:r>
    </w:p>
    <w:p w14:paraId="2E7EBB92" w14:textId="77777777" w:rsidR="00F13D22" w:rsidRPr="00F13D22" w:rsidRDefault="00F13D22" w:rsidP="00EF3721">
      <w:pPr>
        <w:autoSpaceDE w:val="0"/>
        <w:autoSpaceDN w:val="0"/>
        <w:adjustRightInd w:val="0"/>
        <w:ind w:left="720"/>
        <w:rPr>
          <w:color w:val="000000"/>
          <w:szCs w:val="22"/>
          <w:lang w:eastAsia="pt-PT"/>
        </w:rPr>
      </w:pPr>
    </w:p>
    <w:p w14:paraId="4EEE9FB0" w14:textId="77777777" w:rsidR="00F13D22" w:rsidRPr="00F13D22" w:rsidRDefault="00F13D22" w:rsidP="00F13D22">
      <w:pPr>
        <w:autoSpaceDE w:val="0"/>
        <w:autoSpaceDN w:val="0"/>
        <w:adjustRightInd w:val="0"/>
        <w:rPr>
          <w:color w:val="000000"/>
          <w:szCs w:val="22"/>
          <w:lang w:eastAsia="pt-PT"/>
        </w:rPr>
      </w:pPr>
      <w:r w:rsidRPr="00F13D22">
        <w:rPr>
          <w:color w:val="000000"/>
          <w:szCs w:val="22"/>
          <w:lang w:eastAsia="pt-PT"/>
        </w:rPr>
        <w:t xml:space="preserve">O peso da criança deve ser monitorizado e a dose deve ser revista regularmente. Isto é para assegurar que se mantém uma dose terapêutica. Os ajustes da dose devem ser apenas feitos com base nas alterações no peso corporal. </w:t>
      </w:r>
    </w:p>
    <w:p w14:paraId="33710000" w14:textId="77777777" w:rsidR="00F13D22" w:rsidRDefault="00F13D22" w:rsidP="00F13D22">
      <w:pPr>
        <w:autoSpaceDE w:val="0"/>
        <w:autoSpaceDN w:val="0"/>
        <w:adjustRightInd w:val="0"/>
        <w:rPr>
          <w:color w:val="000000"/>
          <w:szCs w:val="22"/>
          <w:lang w:eastAsia="pt-PT"/>
        </w:rPr>
      </w:pPr>
    </w:p>
    <w:p w14:paraId="1119CA68" w14:textId="77777777" w:rsidR="00F13D22" w:rsidRPr="00F13D22" w:rsidRDefault="00F13D22" w:rsidP="00F13D22">
      <w:pPr>
        <w:autoSpaceDE w:val="0"/>
        <w:autoSpaceDN w:val="0"/>
        <w:adjustRightInd w:val="0"/>
        <w:rPr>
          <w:color w:val="000000"/>
          <w:szCs w:val="22"/>
          <w:lang w:eastAsia="pt-PT"/>
        </w:rPr>
      </w:pPr>
      <w:r w:rsidRPr="00F13D22">
        <w:rPr>
          <w:color w:val="000000"/>
          <w:szCs w:val="22"/>
          <w:lang w:eastAsia="pt-PT"/>
        </w:rPr>
        <w:t>O tratamento deve continuar durante, pelo menos, 3 meses em crianças e adolescentes. O tratamento pode ser prolongado até 12 meses quando clinicamente necessário. Não existem dados disponíveis em crianças para apoiar uma redução da dose após seis meses de tratamento. Deve avaliar-se o benefício-risco da terapêutica continuada após 3 meses numa base individual, tendo em conta o risco de</w:t>
      </w:r>
      <w:r>
        <w:rPr>
          <w:color w:val="000000"/>
          <w:szCs w:val="22"/>
          <w:lang w:eastAsia="pt-PT"/>
        </w:rPr>
        <w:t xml:space="preserve"> </w:t>
      </w:r>
      <w:r w:rsidRPr="00F13D22">
        <w:rPr>
          <w:color w:val="000000"/>
          <w:szCs w:val="22"/>
          <w:lang w:eastAsia="pt-PT"/>
        </w:rPr>
        <w:t xml:space="preserve">trombose recorrente versus o potencial risco de hemorragia. </w:t>
      </w:r>
    </w:p>
    <w:p w14:paraId="2576B96C" w14:textId="77777777" w:rsidR="00F13D22" w:rsidRDefault="00F13D22" w:rsidP="00F13D22">
      <w:pPr>
        <w:rPr>
          <w:color w:val="000000"/>
          <w:szCs w:val="22"/>
          <w:lang w:eastAsia="pt-PT"/>
        </w:rPr>
      </w:pPr>
    </w:p>
    <w:p w14:paraId="56B41C34" w14:textId="77777777" w:rsidR="00F13D22" w:rsidRDefault="00F13D22" w:rsidP="00F13D22">
      <w:pPr>
        <w:rPr>
          <w:color w:val="000000"/>
          <w:sz w:val="20"/>
          <w:lang w:eastAsia="pt-PT"/>
        </w:rPr>
      </w:pPr>
      <w:r w:rsidRPr="00F13D22">
        <w:rPr>
          <w:color w:val="000000"/>
          <w:szCs w:val="22"/>
          <w:lang w:eastAsia="pt-PT"/>
        </w:rPr>
        <w:t>Se houver esquecimento de uma dose, a dose esquecida deve ser tomada assim que possível uma vez detetada, mas apenas no mesmo dia. Se isto não for possível, o doente deve saltar a dose e continuar com a dose seguinte, conforme prescrito. O doente não deve tomar duas doses para compensar uma dose que se esqueceu de tomar</w:t>
      </w:r>
      <w:r w:rsidRPr="00F13D22">
        <w:rPr>
          <w:color w:val="000000"/>
          <w:sz w:val="20"/>
          <w:lang w:eastAsia="pt-PT"/>
        </w:rPr>
        <w:t>.</w:t>
      </w:r>
    </w:p>
    <w:p w14:paraId="56AAEB07" w14:textId="77777777" w:rsidR="00F13D22" w:rsidRPr="0063119B" w:rsidRDefault="00F13D22" w:rsidP="00F13D22">
      <w:pPr>
        <w:rPr>
          <w:szCs w:val="22"/>
        </w:rPr>
      </w:pPr>
    </w:p>
    <w:p w14:paraId="76075A36" w14:textId="77777777" w:rsidR="00337111" w:rsidRPr="0063119B" w:rsidRDefault="00337111" w:rsidP="00337111">
      <w:pPr>
        <w:rPr>
          <w:i/>
          <w:szCs w:val="22"/>
        </w:rPr>
      </w:pPr>
      <w:r w:rsidRPr="0063119B">
        <w:rPr>
          <w:i/>
          <w:szCs w:val="22"/>
        </w:rPr>
        <w:t xml:space="preserve">Passagem de </w:t>
      </w:r>
      <w:r w:rsidR="00674A0E" w:rsidRPr="0063119B">
        <w:rPr>
          <w:i/>
          <w:szCs w:val="22"/>
        </w:rPr>
        <w:t>a</w:t>
      </w:r>
      <w:r w:rsidRPr="0063119B">
        <w:rPr>
          <w:i/>
          <w:szCs w:val="22"/>
        </w:rPr>
        <w:t xml:space="preserve">ntagonistas da Vitamina K (AVK) para </w:t>
      </w:r>
      <w:r w:rsidR="00674A0E" w:rsidRPr="0063119B">
        <w:rPr>
          <w:i/>
          <w:szCs w:val="22"/>
        </w:rPr>
        <w:t>rivaroxabano</w:t>
      </w:r>
    </w:p>
    <w:p w14:paraId="131CAE53" w14:textId="77777777" w:rsidR="00337111" w:rsidRPr="0063119B" w:rsidRDefault="00F13D22" w:rsidP="00337111">
      <w:pPr>
        <w:rPr>
          <w:iCs/>
          <w:szCs w:val="22"/>
        </w:rPr>
      </w:pPr>
      <w:r>
        <w:rPr>
          <w:iCs/>
          <w:szCs w:val="22"/>
        </w:rPr>
        <w:t>-</w:t>
      </w:r>
      <w:r>
        <w:rPr>
          <w:iCs/>
          <w:szCs w:val="22"/>
        </w:rPr>
        <w:tab/>
        <w:t>P</w:t>
      </w:r>
      <w:r w:rsidR="00337111" w:rsidRPr="0063119B">
        <w:rPr>
          <w:iCs/>
          <w:szCs w:val="22"/>
        </w:rPr>
        <w:t xml:space="preserve">revenção do acidente vascular cerebral e embolismo sistémico, o tratamento com AVK deve ser interrompido e a terapêutica com </w:t>
      </w:r>
      <w:r w:rsidR="00607DE4">
        <w:rPr>
          <w:iCs/>
          <w:szCs w:val="22"/>
        </w:rPr>
        <w:t>Rivaroxabano</w:t>
      </w:r>
      <w:r w:rsidR="00674A0E" w:rsidRPr="0063119B">
        <w:rPr>
          <w:iCs/>
          <w:szCs w:val="22"/>
        </w:rPr>
        <w:t xml:space="preserve"> Accord</w:t>
      </w:r>
      <w:r w:rsidR="00337111" w:rsidRPr="0063119B">
        <w:rPr>
          <w:iCs/>
          <w:szCs w:val="22"/>
        </w:rPr>
        <w:t xml:space="preserve"> deve ser iniciada quando o </w:t>
      </w:r>
      <w:r w:rsidR="00B236C2" w:rsidRPr="0063119B">
        <w:rPr>
          <w:i/>
          <w:iCs/>
          <w:szCs w:val="22"/>
        </w:rPr>
        <w:t>International Normali</w:t>
      </w:r>
      <w:r w:rsidR="00FC3A6C" w:rsidRPr="0063119B">
        <w:rPr>
          <w:i/>
          <w:iCs/>
          <w:szCs w:val="22"/>
        </w:rPr>
        <w:t>s</w:t>
      </w:r>
      <w:r w:rsidR="00B236C2" w:rsidRPr="0063119B">
        <w:rPr>
          <w:i/>
          <w:iCs/>
          <w:szCs w:val="22"/>
        </w:rPr>
        <w:t xml:space="preserve">ed Ratio </w:t>
      </w:r>
      <w:r w:rsidR="00B236C2" w:rsidRPr="0063119B">
        <w:rPr>
          <w:iCs/>
          <w:szCs w:val="22"/>
        </w:rPr>
        <w:t>(</w:t>
      </w:r>
      <w:r w:rsidR="00337111" w:rsidRPr="0063119B">
        <w:rPr>
          <w:iCs/>
          <w:szCs w:val="22"/>
        </w:rPr>
        <w:t>INR</w:t>
      </w:r>
      <w:r w:rsidR="00B236C2" w:rsidRPr="0063119B">
        <w:rPr>
          <w:iCs/>
          <w:szCs w:val="22"/>
        </w:rPr>
        <w:t>)</w:t>
      </w:r>
      <w:r w:rsidR="00337111" w:rsidRPr="0063119B">
        <w:rPr>
          <w:iCs/>
          <w:szCs w:val="22"/>
        </w:rPr>
        <w:t xml:space="preserve"> for ≤ 3,0.</w:t>
      </w:r>
    </w:p>
    <w:p w14:paraId="4E585E6C" w14:textId="77777777" w:rsidR="00F13D22" w:rsidRDefault="00F13D22" w:rsidP="00337111">
      <w:pPr>
        <w:rPr>
          <w:iCs/>
          <w:szCs w:val="22"/>
        </w:rPr>
      </w:pPr>
      <w:r>
        <w:rPr>
          <w:iCs/>
          <w:szCs w:val="22"/>
        </w:rPr>
        <w:t>-</w:t>
      </w:r>
      <w:r>
        <w:rPr>
          <w:iCs/>
          <w:szCs w:val="22"/>
        </w:rPr>
        <w:tab/>
        <w:t>Tratamento da</w:t>
      </w:r>
      <w:r w:rsidR="00337111" w:rsidRPr="0063119B">
        <w:rPr>
          <w:iCs/>
          <w:szCs w:val="22"/>
        </w:rPr>
        <w:t xml:space="preserve"> TVP, EP e na prevenção da recorrência</w:t>
      </w:r>
      <w:r w:rsidRPr="00F13D22">
        <w:rPr>
          <w:szCs w:val="22"/>
        </w:rPr>
        <w:t xml:space="preserve"> </w:t>
      </w:r>
      <w:r>
        <w:rPr>
          <w:szCs w:val="22"/>
        </w:rPr>
        <w:t>em adultos e tratamento do TEV e prevenção da recorrência em doentes pediátricos</w:t>
      </w:r>
      <w:r>
        <w:rPr>
          <w:iCs/>
          <w:szCs w:val="22"/>
        </w:rPr>
        <w:t>:</w:t>
      </w:r>
    </w:p>
    <w:p w14:paraId="2F2B3EE2" w14:textId="77777777" w:rsidR="00337111" w:rsidRPr="0063119B" w:rsidRDefault="00F13D22" w:rsidP="00EF3721">
      <w:pPr>
        <w:ind w:firstLine="720"/>
        <w:rPr>
          <w:iCs/>
          <w:szCs w:val="22"/>
        </w:rPr>
      </w:pPr>
      <w:r>
        <w:rPr>
          <w:iCs/>
          <w:szCs w:val="22"/>
        </w:rPr>
        <w:t>O</w:t>
      </w:r>
      <w:r w:rsidR="00337111" w:rsidRPr="0063119B">
        <w:rPr>
          <w:iCs/>
          <w:szCs w:val="22"/>
        </w:rPr>
        <w:t xml:space="preserve"> tratamento com AVK deve ser interrompido e a terapêutica com </w:t>
      </w:r>
      <w:r w:rsidR="00607DE4">
        <w:rPr>
          <w:iCs/>
          <w:szCs w:val="22"/>
        </w:rPr>
        <w:t>Rivaroxabano</w:t>
      </w:r>
      <w:r w:rsidR="00674A0E" w:rsidRPr="0063119B">
        <w:rPr>
          <w:iCs/>
          <w:szCs w:val="22"/>
        </w:rPr>
        <w:t xml:space="preserve"> Accord</w:t>
      </w:r>
      <w:r w:rsidR="00337111" w:rsidRPr="0063119B">
        <w:rPr>
          <w:iCs/>
          <w:szCs w:val="22"/>
        </w:rPr>
        <w:t xml:space="preserve"> deve ser iniciada assim que o INR for ≤ 2,5.</w:t>
      </w:r>
    </w:p>
    <w:p w14:paraId="2918424A" w14:textId="77777777" w:rsidR="00337111" w:rsidRPr="0063119B" w:rsidRDefault="00337111" w:rsidP="00337111">
      <w:pPr>
        <w:rPr>
          <w:iCs/>
          <w:szCs w:val="22"/>
        </w:rPr>
      </w:pPr>
      <w:r w:rsidRPr="0063119B">
        <w:rPr>
          <w:iCs/>
          <w:szCs w:val="22"/>
        </w:rPr>
        <w:t xml:space="preserve">Durante a passagem de doentes de AVK para </w:t>
      </w:r>
      <w:r w:rsidR="00674A0E" w:rsidRPr="0063119B">
        <w:rPr>
          <w:iCs/>
          <w:szCs w:val="22"/>
        </w:rPr>
        <w:t>rivaroxabano</w:t>
      </w:r>
      <w:r w:rsidRPr="0063119B">
        <w:rPr>
          <w:iCs/>
          <w:szCs w:val="22"/>
        </w:rPr>
        <w:t xml:space="preserve">, os valores do INR estarão falsamente elevados após a toma de </w:t>
      </w:r>
      <w:r w:rsidR="00674A0E" w:rsidRPr="0063119B">
        <w:rPr>
          <w:szCs w:val="22"/>
        </w:rPr>
        <w:t>rivaroxabano</w:t>
      </w:r>
      <w:r w:rsidRPr="0063119B">
        <w:rPr>
          <w:iCs/>
          <w:szCs w:val="22"/>
        </w:rPr>
        <w:t xml:space="preserve">. O INR não é uma medida válida para determinar a atividade anticoagulante de </w:t>
      </w:r>
      <w:r w:rsidR="00674A0E" w:rsidRPr="0063119B">
        <w:rPr>
          <w:szCs w:val="22"/>
        </w:rPr>
        <w:t>rivaroxabano</w:t>
      </w:r>
      <w:r w:rsidRPr="0063119B">
        <w:rPr>
          <w:iCs/>
          <w:szCs w:val="22"/>
        </w:rPr>
        <w:t xml:space="preserve"> e, portanto, não deve ser utilizado (ver secção 4.5).</w:t>
      </w:r>
    </w:p>
    <w:p w14:paraId="22B3D0B9" w14:textId="77777777" w:rsidR="00337111" w:rsidRPr="0063119B" w:rsidRDefault="00337111" w:rsidP="00337111">
      <w:pPr>
        <w:rPr>
          <w:iCs/>
          <w:szCs w:val="22"/>
        </w:rPr>
      </w:pPr>
    </w:p>
    <w:p w14:paraId="675B19C1" w14:textId="77777777" w:rsidR="00337111" w:rsidRPr="0063119B" w:rsidRDefault="00337111" w:rsidP="003345A8">
      <w:pPr>
        <w:keepNext/>
        <w:rPr>
          <w:i/>
          <w:iCs/>
          <w:szCs w:val="22"/>
        </w:rPr>
      </w:pPr>
      <w:r w:rsidRPr="0063119B">
        <w:rPr>
          <w:i/>
          <w:iCs/>
          <w:szCs w:val="22"/>
        </w:rPr>
        <w:t xml:space="preserve">Passagem de </w:t>
      </w:r>
      <w:r w:rsidR="00674A0E" w:rsidRPr="0063119B">
        <w:rPr>
          <w:i/>
          <w:iCs/>
          <w:szCs w:val="22"/>
        </w:rPr>
        <w:t xml:space="preserve">rivaroxabano </w:t>
      </w:r>
      <w:r w:rsidRPr="0063119B">
        <w:rPr>
          <w:i/>
          <w:iCs/>
          <w:szCs w:val="22"/>
        </w:rPr>
        <w:t xml:space="preserve">para os </w:t>
      </w:r>
      <w:r w:rsidR="00674A0E" w:rsidRPr="0063119B">
        <w:rPr>
          <w:i/>
          <w:iCs/>
          <w:szCs w:val="22"/>
        </w:rPr>
        <w:t>a</w:t>
      </w:r>
      <w:r w:rsidRPr="0063119B">
        <w:rPr>
          <w:i/>
          <w:iCs/>
          <w:szCs w:val="22"/>
        </w:rPr>
        <w:t>ntagonistas da Vitamina K (AVK)</w:t>
      </w:r>
    </w:p>
    <w:p w14:paraId="2CF7E512" w14:textId="77777777" w:rsidR="00337111" w:rsidRPr="0063119B" w:rsidRDefault="00337111" w:rsidP="00337111">
      <w:pPr>
        <w:autoSpaceDE w:val="0"/>
        <w:autoSpaceDN w:val="0"/>
        <w:adjustRightInd w:val="0"/>
        <w:rPr>
          <w:rFonts w:eastAsia="MS Mincho"/>
          <w:szCs w:val="22"/>
          <w:lang w:eastAsia="ja-JP"/>
        </w:rPr>
      </w:pPr>
      <w:r w:rsidRPr="0063119B">
        <w:rPr>
          <w:szCs w:val="22"/>
        </w:rPr>
        <w:t xml:space="preserve">Existe um potencial de anticoagulação inadequado durante a transição de </w:t>
      </w:r>
      <w:r w:rsidR="00674A0E" w:rsidRPr="0063119B">
        <w:rPr>
          <w:szCs w:val="22"/>
        </w:rPr>
        <w:t>rivaroxabano</w:t>
      </w:r>
      <w:r w:rsidRPr="0063119B">
        <w:rPr>
          <w:szCs w:val="22"/>
        </w:rPr>
        <w:t xml:space="preserve"> para os AVK. Deve ser assegurada uma anticoagulação contínua adequada durante a transição para um anticoagulante alternativo. Deve salientar</w:t>
      </w:r>
      <w:r w:rsidRPr="0063119B">
        <w:rPr>
          <w:szCs w:val="22"/>
        </w:rPr>
        <w:noBreakHyphen/>
        <w:t xml:space="preserve">se que </w:t>
      </w:r>
      <w:r w:rsidR="00674A0E" w:rsidRPr="0063119B">
        <w:rPr>
          <w:szCs w:val="22"/>
        </w:rPr>
        <w:t xml:space="preserve">o rivaroxabano </w:t>
      </w:r>
      <w:r w:rsidRPr="0063119B">
        <w:rPr>
          <w:szCs w:val="22"/>
        </w:rPr>
        <w:t>pode contribuir para um INR elevado.</w:t>
      </w:r>
    </w:p>
    <w:p w14:paraId="3D1BA2DB" w14:textId="77777777" w:rsidR="00674A0E" w:rsidRPr="0063119B" w:rsidRDefault="00337111" w:rsidP="00337111">
      <w:pPr>
        <w:autoSpaceDE w:val="0"/>
        <w:autoSpaceDN w:val="0"/>
        <w:adjustRightInd w:val="0"/>
        <w:rPr>
          <w:rFonts w:eastAsia="MS Mincho"/>
          <w:szCs w:val="22"/>
          <w:lang w:eastAsia="ja-JP"/>
        </w:rPr>
      </w:pPr>
      <w:r w:rsidRPr="0063119B">
        <w:rPr>
          <w:rFonts w:eastAsia="MS Mincho"/>
          <w:szCs w:val="22"/>
          <w:lang w:eastAsia="ja-JP"/>
        </w:rPr>
        <w:t xml:space="preserve">Em doentes que passam de </w:t>
      </w:r>
      <w:r w:rsidR="00674A0E" w:rsidRPr="0063119B">
        <w:rPr>
          <w:szCs w:val="22"/>
        </w:rPr>
        <w:t>rivaroxabano</w:t>
      </w:r>
      <w:r w:rsidRPr="0063119B">
        <w:rPr>
          <w:rFonts w:eastAsia="MS Mincho"/>
          <w:szCs w:val="22"/>
          <w:lang w:eastAsia="ja-JP"/>
        </w:rPr>
        <w:t xml:space="preserve"> para um AVK, o AVK deve ser administrado simultaneamente até o INR ser ≥ 2,0.</w:t>
      </w:r>
    </w:p>
    <w:p w14:paraId="684371B0" w14:textId="77777777" w:rsidR="00337111" w:rsidRPr="0063119B" w:rsidRDefault="00337111" w:rsidP="00337111">
      <w:pPr>
        <w:autoSpaceDE w:val="0"/>
        <w:autoSpaceDN w:val="0"/>
        <w:adjustRightInd w:val="0"/>
        <w:rPr>
          <w:rFonts w:eastAsia="MS Mincho"/>
          <w:szCs w:val="22"/>
          <w:lang w:eastAsia="ja-JP"/>
        </w:rPr>
      </w:pPr>
      <w:r w:rsidRPr="0063119B">
        <w:rPr>
          <w:rFonts w:eastAsia="MS Mincho"/>
          <w:szCs w:val="22"/>
          <w:lang w:eastAsia="ja-JP"/>
        </w:rPr>
        <w:t>Durante os dois primeiros dias do período de passagem, deve utilizar</w:t>
      </w:r>
      <w:r w:rsidRPr="0063119B">
        <w:rPr>
          <w:rFonts w:eastAsia="MS Mincho"/>
          <w:szCs w:val="22"/>
          <w:lang w:eastAsia="ja-JP"/>
        </w:rPr>
        <w:noBreakHyphen/>
        <w:t>se a dose inicial padrão do AVK, seguida de uma dose do AVK</w:t>
      </w:r>
      <w:r w:rsidR="00317EE7" w:rsidRPr="0063119B">
        <w:rPr>
          <w:rFonts w:eastAsia="MS Mincho"/>
          <w:szCs w:val="22"/>
          <w:lang w:eastAsia="ja-JP"/>
        </w:rPr>
        <w:t>, com</w:t>
      </w:r>
      <w:r w:rsidRPr="0063119B">
        <w:rPr>
          <w:rFonts w:eastAsia="MS Mincho"/>
          <w:szCs w:val="22"/>
          <w:lang w:eastAsia="ja-JP"/>
        </w:rPr>
        <w:t xml:space="preserve"> base nas determinações do INR. Enquanto os doentes estiverem a tomar simultaneamente </w:t>
      </w:r>
      <w:r w:rsidR="00674A0E" w:rsidRPr="0063119B">
        <w:rPr>
          <w:rFonts w:eastAsia="MS Mincho"/>
          <w:szCs w:val="22"/>
          <w:lang w:eastAsia="ja-JP"/>
        </w:rPr>
        <w:t xml:space="preserve">o </w:t>
      </w:r>
      <w:r w:rsidR="00674A0E" w:rsidRPr="0063119B">
        <w:rPr>
          <w:szCs w:val="22"/>
        </w:rPr>
        <w:t>rivaroxabano</w:t>
      </w:r>
      <w:r w:rsidR="00674A0E" w:rsidRPr="0063119B">
        <w:rPr>
          <w:rFonts w:eastAsia="MS Mincho"/>
          <w:szCs w:val="22"/>
          <w:lang w:eastAsia="ja-JP"/>
        </w:rPr>
        <w:t xml:space="preserve"> </w:t>
      </w:r>
      <w:r w:rsidRPr="0063119B">
        <w:rPr>
          <w:rFonts w:eastAsia="MS Mincho"/>
          <w:szCs w:val="22"/>
          <w:lang w:eastAsia="ja-JP"/>
        </w:rPr>
        <w:t xml:space="preserve">e o AVK, o INR não deve ser determinado antes das 24 horas após a dose precedente de </w:t>
      </w:r>
      <w:r w:rsidR="009A6E6E" w:rsidRPr="0063119B">
        <w:rPr>
          <w:iCs/>
          <w:szCs w:val="22"/>
        </w:rPr>
        <w:t>rivaroxabano</w:t>
      </w:r>
      <w:r w:rsidRPr="0063119B">
        <w:rPr>
          <w:rFonts w:eastAsia="MS Mincho"/>
          <w:szCs w:val="22"/>
          <w:lang w:eastAsia="ja-JP"/>
        </w:rPr>
        <w:t xml:space="preserve"> e antes da dose seguinte. Assim que </w:t>
      </w:r>
      <w:r w:rsidR="00607DE4">
        <w:rPr>
          <w:rFonts w:eastAsia="MS Mincho"/>
          <w:szCs w:val="22"/>
          <w:lang w:eastAsia="ja-JP"/>
        </w:rPr>
        <w:t>Rivaroxabano</w:t>
      </w:r>
      <w:r w:rsidR="00674A0E" w:rsidRPr="0063119B">
        <w:rPr>
          <w:rFonts w:eastAsia="MS Mincho"/>
          <w:szCs w:val="22"/>
          <w:lang w:eastAsia="ja-JP"/>
        </w:rPr>
        <w:t xml:space="preserve"> Accord</w:t>
      </w:r>
      <w:r w:rsidRPr="0063119B">
        <w:rPr>
          <w:rFonts w:eastAsia="MS Mincho"/>
          <w:szCs w:val="22"/>
          <w:lang w:eastAsia="ja-JP"/>
        </w:rPr>
        <w:t xml:space="preserve"> for interrompido, a determinação do INR pode ser efetuada com fiabilidade pelo menos 24 horas após a última dose (ver secções 4.5 e 5.2).</w:t>
      </w:r>
    </w:p>
    <w:p w14:paraId="7E6D6DBC" w14:textId="77777777" w:rsidR="00337111" w:rsidRDefault="00337111" w:rsidP="00337111">
      <w:pPr>
        <w:rPr>
          <w:iCs/>
          <w:szCs w:val="22"/>
        </w:rPr>
      </w:pPr>
    </w:p>
    <w:p w14:paraId="4717CEB7" w14:textId="77777777" w:rsidR="00F13D22" w:rsidRPr="00F13D22" w:rsidRDefault="00F13D22" w:rsidP="00F13D22">
      <w:pPr>
        <w:autoSpaceDE w:val="0"/>
        <w:autoSpaceDN w:val="0"/>
        <w:adjustRightInd w:val="0"/>
        <w:rPr>
          <w:color w:val="000000"/>
          <w:szCs w:val="22"/>
          <w:lang w:eastAsia="pt-PT"/>
        </w:rPr>
      </w:pPr>
      <w:r w:rsidRPr="00F13D22">
        <w:rPr>
          <w:color w:val="000000"/>
          <w:szCs w:val="22"/>
          <w:lang w:eastAsia="pt-PT"/>
        </w:rPr>
        <w:t xml:space="preserve">Doentes pediátricos: </w:t>
      </w:r>
    </w:p>
    <w:p w14:paraId="77622169" w14:textId="77777777" w:rsidR="00F13D22" w:rsidRDefault="00F13D22" w:rsidP="00F13D22">
      <w:pPr>
        <w:rPr>
          <w:color w:val="000000"/>
          <w:szCs w:val="22"/>
          <w:lang w:eastAsia="pt-PT"/>
        </w:rPr>
      </w:pPr>
      <w:r w:rsidRPr="00F13D22">
        <w:rPr>
          <w:color w:val="000000"/>
          <w:szCs w:val="22"/>
          <w:lang w:eastAsia="pt-PT"/>
        </w:rPr>
        <w:t xml:space="preserve">As crianças que passam de </w:t>
      </w:r>
      <w:r>
        <w:rPr>
          <w:noProof/>
          <w:szCs w:val="22"/>
        </w:rPr>
        <w:t>Rivaroxabano</w:t>
      </w:r>
      <w:r w:rsidRPr="0063119B">
        <w:rPr>
          <w:noProof/>
          <w:szCs w:val="22"/>
        </w:rPr>
        <w:t xml:space="preserve"> Accord </w:t>
      </w:r>
      <w:r w:rsidRPr="00F13D22">
        <w:rPr>
          <w:color w:val="000000"/>
          <w:szCs w:val="22"/>
          <w:lang w:eastAsia="pt-PT"/>
        </w:rPr>
        <w:t xml:space="preserve">para AVK têm de continuar com </w:t>
      </w:r>
      <w:r>
        <w:rPr>
          <w:noProof/>
          <w:szCs w:val="22"/>
        </w:rPr>
        <w:t>Rivaroxabano</w:t>
      </w:r>
      <w:r w:rsidRPr="0063119B">
        <w:rPr>
          <w:noProof/>
          <w:szCs w:val="22"/>
        </w:rPr>
        <w:t xml:space="preserve"> Accord </w:t>
      </w:r>
      <w:r w:rsidRPr="00F13D22">
        <w:rPr>
          <w:color w:val="000000"/>
          <w:szCs w:val="22"/>
          <w:lang w:eastAsia="pt-PT"/>
        </w:rPr>
        <w:t xml:space="preserve">durante 48 horas após a primeira dose de AVK. Após 2 dias de coadministração, deve efetuar-se a determinação do INR antes da dose seguinte de </w:t>
      </w:r>
      <w:r>
        <w:rPr>
          <w:noProof/>
          <w:szCs w:val="22"/>
        </w:rPr>
        <w:t>Rivaroxabano</w:t>
      </w:r>
      <w:r w:rsidRPr="0063119B">
        <w:rPr>
          <w:noProof/>
          <w:szCs w:val="22"/>
        </w:rPr>
        <w:t xml:space="preserve"> Accord </w:t>
      </w:r>
      <w:r w:rsidRPr="00F13D22">
        <w:rPr>
          <w:color w:val="000000"/>
          <w:szCs w:val="22"/>
          <w:lang w:eastAsia="pt-PT"/>
        </w:rPr>
        <w:t xml:space="preserve">programada. Aconselha-se que se continue com a coadministração de </w:t>
      </w:r>
      <w:r>
        <w:rPr>
          <w:noProof/>
          <w:szCs w:val="22"/>
        </w:rPr>
        <w:t>Rivaroxabano</w:t>
      </w:r>
      <w:r w:rsidRPr="0063119B">
        <w:rPr>
          <w:noProof/>
          <w:szCs w:val="22"/>
        </w:rPr>
        <w:t xml:space="preserve"> Accord </w:t>
      </w:r>
      <w:r w:rsidRPr="00F13D22">
        <w:rPr>
          <w:color w:val="000000"/>
          <w:szCs w:val="22"/>
          <w:lang w:eastAsia="pt-PT"/>
        </w:rPr>
        <w:t>e</w:t>
      </w:r>
      <w:r>
        <w:rPr>
          <w:color w:val="000000"/>
          <w:szCs w:val="22"/>
          <w:lang w:eastAsia="pt-PT"/>
        </w:rPr>
        <w:t xml:space="preserve"> </w:t>
      </w:r>
      <w:r>
        <w:rPr>
          <w:szCs w:val="22"/>
        </w:rPr>
        <w:t xml:space="preserve">AVK até o INR ser ≥ 2,0. Assim que </w:t>
      </w:r>
      <w:r>
        <w:rPr>
          <w:noProof/>
          <w:szCs w:val="22"/>
        </w:rPr>
        <w:t>Rivaroxabano</w:t>
      </w:r>
      <w:r w:rsidRPr="0063119B">
        <w:rPr>
          <w:noProof/>
          <w:szCs w:val="22"/>
        </w:rPr>
        <w:t xml:space="preserve"> Accord </w:t>
      </w:r>
      <w:r>
        <w:rPr>
          <w:szCs w:val="22"/>
        </w:rPr>
        <w:t>for descontinuado, a determinação do INR poderá ser efetuada de forma fiável 24 horas após a última dose (ver acima e secção 4.5).</w:t>
      </w:r>
    </w:p>
    <w:p w14:paraId="0AA8BEAC" w14:textId="77777777" w:rsidR="00F13D22" w:rsidRPr="0063119B" w:rsidRDefault="00F13D22" w:rsidP="00F13D22">
      <w:pPr>
        <w:rPr>
          <w:iCs/>
          <w:szCs w:val="22"/>
        </w:rPr>
      </w:pPr>
    </w:p>
    <w:p w14:paraId="06A773FA" w14:textId="77777777" w:rsidR="00337111" w:rsidRPr="0063119B" w:rsidRDefault="00337111" w:rsidP="00337111">
      <w:pPr>
        <w:rPr>
          <w:i/>
          <w:iCs/>
          <w:szCs w:val="22"/>
        </w:rPr>
      </w:pPr>
      <w:r w:rsidRPr="0063119B">
        <w:rPr>
          <w:i/>
          <w:iCs/>
          <w:szCs w:val="22"/>
        </w:rPr>
        <w:t xml:space="preserve">Passagem de anticoagulantes parentéricos para </w:t>
      </w:r>
      <w:r w:rsidR="00674A0E" w:rsidRPr="0063119B">
        <w:rPr>
          <w:i/>
          <w:iCs/>
          <w:szCs w:val="22"/>
        </w:rPr>
        <w:t>rivaroxabano</w:t>
      </w:r>
    </w:p>
    <w:p w14:paraId="6118E6BB" w14:textId="77777777" w:rsidR="00337111" w:rsidRPr="0063119B" w:rsidRDefault="00337111" w:rsidP="00337111">
      <w:pPr>
        <w:autoSpaceDE w:val="0"/>
        <w:autoSpaceDN w:val="0"/>
        <w:adjustRightInd w:val="0"/>
        <w:rPr>
          <w:rFonts w:eastAsia="MS Mincho"/>
          <w:bCs/>
          <w:szCs w:val="22"/>
          <w:lang w:eastAsia="ja-JP"/>
        </w:rPr>
      </w:pPr>
      <w:r w:rsidRPr="0063119B">
        <w:rPr>
          <w:rFonts w:eastAsia="MS Mincho"/>
          <w:bCs/>
          <w:szCs w:val="22"/>
          <w:lang w:eastAsia="ja-JP"/>
        </w:rPr>
        <w:t xml:space="preserve">Em doentes </w:t>
      </w:r>
      <w:r w:rsidR="00F13D22">
        <w:rPr>
          <w:szCs w:val="22"/>
        </w:rPr>
        <w:t xml:space="preserve">adultos e pediátricos </w:t>
      </w:r>
      <w:r w:rsidRPr="0063119B">
        <w:rPr>
          <w:rFonts w:eastAsia="MS Mincho"/>
          <w:bCs/>
          <w:szCs w:val="22"/>
          <w:lang w:eastAsia="ja-JP"/>
        </w:rPr>
        <w:t xml:space="preserve">atualmente a serem tratados com um anticoagulante parentérico, </w:t>
      </w:r>
      <w:r w:rsidR="00160025" w:rsidRPr="0063119B">
        <w:rPr>
          <w:rFonts w:eastAsia="MS Mincho"/>
          <w:bCs/>
          <w:szCs w:val="22"/>
          <w:lang w:eastAsia="ja-JP"/>
        </w:rPr>
        <w:t xml:space="preserve">interromper o anticoagulante parentérico e iniciar </w:t>
      </w:r>
      <w:r w:rsidR="00674A0E" w:rsidRPr="0063119B">
        <w:rPr>
          <w:rFonts w:eastAsia="MS Mincho"/>
          <w:bCs/>
          <w:szCs w:val="22"/>
          <w:lang w:eastAsia="ja-JP"/>
        </w:rPr>
        <w:t xml:space="preserve">o </w:t>
      </w:r>
      <w:r w:rsidR="00674A0E" w:rsidRPr="0063119B">
        <w:rPr>
          <w:szCs w:val="22"/>
        </w:rPr>
        <w:t>rivaroxabano</w:t>
      </w:r>
      <w:r w:rsidR="00674A0E" w:rsidRPr="0063119B">
        <w:rPr>
          <w:rFonts w:eastAsia="MS Mincho"/>
          <w:bCs/>
          <w:szCs w:val="22"/>
          <w:lang w:eastAsia="ja-JP"/>
        </w:rPr>
        <w:t xml:space="preserve"> </w:t>
      </w:r>
      <w:r w:rsidRPr="0063119B">
        <w:rPr>
          <w:rFonts w:eastAsia="MS Mincho"/>
          <w:bCs/>
          <w:szCs w:val="22"/>
          <w:lang w:eastAsia="ja-JP"/>
        </w:rPr>
        <w:t xml:space="preserve">0 a 2 horas antes da hora prevista </w:t>
      </w:r>
      <w:r w:rsidRPr="0063119B">
        <w:rPr>
          <w:rFonts w:eastAsia="MS Mincho"/>
          <w:bCs/>
          <w:szCs w:val="22"/>
          <w:lang w:eastAsia="ja-JP"/>
        </w:rPr>
        <w:lastRenderedPageBreak/>
        <w:t xml:space="preserve">para a administração seguinte do medicamento parentérico (ex.: </w:t>
      </w:r>
      <w:r w:rsidR="00B236C2" w:rsidRPr="0063119B">
        <w:rPr>
          <w:rFonts w:eastAsia="MS Mincho"/>
          <w:bCs/>
          <w:szCs w:val="22"/>
          <w:lang w:eastAsia="ja-JP"/>
        </w:rPr>
        <w:t>heparinas de baixo peso molecular</w:t>
      </w:r>
      <w:r w:rsidRPr="0063119B">
        <w:rPr>
          <w:rFonts w:eastAsia="MS Mincho"/>
          <w:bCs/>
          <w:szCs w:val="22"/>
          <w:lang w:eastAsia="ja-JP"/>
        </w:rPr>
        <w:t>) ou na altura da interrupção de um medicamento parentérico em administração contínua (ex.: heparina não fracionada intravenosa).</w:t>
      </w:r>
    </w:p>
    <w:p w14:paraId="13587485" w14:textId="77777777" w:rsidR="00337111" w:rsidRPr="0063119B" w:rsidRDefault="00337111" w:rsidP="00337111">
      <w:pPr>
        <w:autoSpaceDE w:val="0"/>
        <w:autoSpaceDN w:val="0"/>
        <w:adjustRightInd w:val="0"/>
        <w:rPr>
          <w:rFonts w:eastAsia="MS Mincho"/>
          <w:bCs/>
          <w:szCs w:val="22"/>
          <w:lang w:eastAsia="ja-JP"/>
        </w:rPr>
      </w:pPr>
    </w:p>
    <w:p w14:paraId="437ACAF6" w14:textId="77777777" w:rsidR="00337111" w:rsidRPr="0063119B" w:rsidRDefault="00337111" w:rsidP="00337111">
      <w:pPr>
        <w:autoSpaceDE w:val="0"/>
        <w:autoSpaceDN w:val="0"/>
        <w:adjustRightInd w:val="0"/>
        <w:rPr>
          <w:rFonts w:eastAsia="MS Mincho"/>
          <w:bCs/>
          <w:i/>
          <w:szCs w:val="22"/>
          <w:lang w:eastAsia="ja-JP"/>
        </w:rPr>
      </w:pPr>
      <w:r w:rsidRPr="0063119B">
        <w:rPr>
          <w:rFonts w:eastAsia="MS Mincho"/>
          <w:bCs/>
          <w:i/>
          <w:szCs w:val="22"/>
          <w:lang w:eastAsia="ja-JP"/>
        </w:rPr>
        <w:t xml:space="preserve">Passagem de </w:t>
      </w:r>
      <w:r w:rsidR="00674A0E" w:rsidRPr="0063119B">
        <w:rPr>
          <w:rFonts w:eastAsia="MS Mincho"/>
          <w:bCs/>
          <w:i/>
          <w:szCs w:val="22"/>
          <w:lang w:eastAsia="ja-JP"/>
        </w:rPr>
        <w:t xml:space="preserve">rivaroxabano </w:t>
      </w:r>
      <w:r w:rsidRPr="0063119B">
        <w:rPr>
          <w:rFonts w:eastAsia="MS Mincho"/>
          <w:bCs/>
          <w:i/>
          <w:szCs w:val="22"/>
          <w:lang w:eastAsia="ja-JP"/>
        </w:rPr>
        <w:t>para anticoagulantes parentéricos</w:t>
      </w:r>
    </w:p>
    <w:p w14:paraId="58C9257E" w14:textId="77777777" w:rsidR="00337111" w:rsidRPr="0063119B" w:rsidRDefault="00F13D22" w:rsidP="00337111">
      <w:pPr>
        <w:rPr>
          <w:szCs w:val="22"/>
        </w:rPr>
      </w:pPr>
      <w:r>
        <w:rPr>
          <w:szCs w:val="22"/>
        </w:rPr>
        <w:t xml:space="preserve">Descontinuar </w:t>
      </w:r>
      <w:r w:rsidR="00015AD9">
        <w:rPr>
          <w:noProof/>
          <w:szCs w:val="22"/>
        </w:rPr>
        <w:t>Rivaroxabano</w:t>
      </w:r>
      <w:r w:rsidR="00015AD9" w:rsidRPr="0063119B">
        <w:rPr>
          <w:noProof/>
          <w:szCs w:val="22"/>
        </w:rPr>
        <w:t xml:space="preserve"> Accord </w:t>
      </w:r>
      <w:r>
        <w:rPr>
          <w:szCs w:val="22"/>
        </w:rPr>
        <w:t xml:space="preserve">e </w:t>
      </w:r>
      <w:r>
        <w:rPr>
          <w:rFonts w:eastAsia="MS Mincho"/>
          <w:szCs w:val="22"/>
          <w:lang w:eastAsia="ja-JP"/>
        </w:rPr>
        <w:t>a</w:t>
      </w:r>
      <w:r w:rsidR="00337111" w:rsidRPr="0063119B">
        <w:rPr>
          <w:rFonts w:eastAsia="MS Mincho"/>
          <w:szCs w:val="22"/>
          <w:lang w:eastAsia="ja-JP"/>
        </w:rPr>
        <w:t xml:space="preserve">dministrar a primeira dose do anticoagulante parentérico na altura em que deve ser tomada a dose seguinte de </w:t>
      </w:r>
      <w:r w:rsidR="00674A0E" w:rsidRPr="0063119B">
        <w:rPr>
          <w:szCs w:val="22"/>
        </w:rPr>
        <w:t>rivaroxabano</w:t>
      </w:r>
      <w:r w:rsidR="00337111" w:rsidRPr="0063119B">
        <w:rPr>
          <w:rFonts w:eastAsia="MS Mincho"/>
          <w:szCs w:val="22"/>
          <w:lang w:eastAsia="ja-JP"/>
        </w:rPr>
        <w:t>.</w:t>
      </w:r>
    </w:p>
    <w:p w14:paraId="37B042B8" w14:textId="77777777" w:rsidR="00337111" w:rsidRPr="0063119B" w:rsidRDefault="00337111" w:rsidP="00337111">
      <w:pPr>
        <w:suppressAutoHyphens/>
        <w:rPr>
          <w:szCs w:val="22"/>
          <w:u w:val="single"/>
        </w:rPr>
      </w:pPr>
    </w:p>
    <w:p w14:paraId="7FFC4E8D" w14:textId="77777777" w:rsidR="00337111" w:rsidRDefault="00337111" w:rsidP="00337111">
      <w:pPr>
        <w:keepNext/>
        <w:suppressAutoHyphens/>
        <w:rPr>
          <w:szCs w:val="22"/>
          <w:u w:val="single"/>
        </w:rPr>
      </w:pPr>
      <w:r w:rsidRPr="0063119B">
        <w:rPr>
          <w:szCs w:val="22"/>
          <w:u w:val="single"/>
        </w:rPr>
        <w:t>Populações especiais</w:t>
      </w:r>
    </w:p>
    <w:p w14:paraId="0D5E82E4" w14:textId="77777777" w:rsidR="005F6FAD" w:rsidRPr="0063119B" w:rsidRDefault="005F6FAD" w:rsidP="00337111">
      <w:pPr>
        <w:keepNext/>
        <w:suppressAutoHyphens/>
        <w:rPr>
          <w:szCs w:val="22"/>
          <w:u w:val="single"/>
        </w:rPr>
      </w:pPr>
    </w:p>
    <w:p w14:paraId="7DD02E7B" w14:textId="77777777" w:rsidR="00337111" w:rsidRPr="0063119B" w:rsidRDefault="00337111" w:rsidP="00337111">
      <w:pPr>
        <w:keepNext/>
        <w:suppressAutoHyphens/>
        <w:rPr>
          <w:i/>
          <w:noProof/>
          <w:szCs w:val="22"/>
        </w:rPr>
      </w:pPr>
      <w:r w:rsidRPr="0063119B">
        <w:rPr>
          <w:i/>
          <w:noProof/>
          <w:szCs w:val="22"/>
        </w:rPr>
        <w:t>Compromisso renal</w:t>
      </w:r>
    </w:p>
    <w:p w14:paraId="369413BA" w14:textId="77777777" w:rsidR="009D10A4" w:rsidRDefault="009D10A4" w:rsidP="00DB34E0">
      <w:pPr>
        <w:suppressAutoHyphens/>
        <w:rPr>
          <w:noProof/>
          <w:szCs w:val="22"/>
        </w:rPr>
      </w:pPr>
      <w:r>
        <w:rPr>
          <w:noProof/>
          <w:szCs w:val="22"/>
        </w:rPr>
        <w:t>Adultos:</w:t>
      </w:r>
    </w:p>
    <w:p w14:paraId="69C5A7E6" w14:textId="77777777" w:rsidR="00DB34E0" w:rsidRPr="0063119B" w:rsidRDefault="00DB34E0" w:rsidP="00DB34E0">
      <w:pPr>
        <w:suppressAutoHyphens/>
        <w:rPr>
          <w:noProof/>
          <w:szCs w:val="22"/>
        </w:rPr>
      </w:pPr>
      <w:r w:rsidRPr="0063119B">
        <w:rPr>
          <w:noProof/>
          <w:szCs w:val="22"/>
        </w:rPr>
        <w:t>Dados clínicos limitados em doentes com compromisso renal grave (taxa de depuração da creatinina 15 - 29 ml/min) indicam que as concentrações plasmáticas de rivaroxabano estão significativamente aumentadas</w:t>
      </w:r>
      <w:r w:rsidR="00817F0A" w:rsidRPr="0063119B">
        <w:rPr>
          <w:noProof/>
          <w:szCs w:val="22"/>
        </w:rPr>
        <w:t xml:space="preserve">. </w:t>
      </w:r>
      <w:r w:rsidR="00307880" w:rsidRPr="0063119B">
        <w:rPr>
          <w:noProof/>
          <w:szCs w:val="22"/>
        </w:rPr>
        <w:t>Assim</w:t>
      </w:r>
      <w:r w:rsidRPr="0063119B">
        <w:rPr>
          <w:noProof/>
          <w:szCs w:val="22"/>
        </w:rPr>
        <w:t xml:space="preserve">, </w:t>
      </w:r>
      <w:r w:rsidR="00607DE4">
        <w:rPr>
          <w:noProof/>
          <w:szCs w:val="22"/>
        </w:rPr>
        <w:t>Rivaroxabano</w:t>
      </w:r>
      <w:r w:rsidR="00674A0E" w:rsidRPr="0063119B">
        <w:rPr>
          <w:noProof/>
          <w:szCs w:val="22"/>
        </w:rPr>
        <w:t xml:space="preserve"> Accord</w:t>
      </w:r>
      <w:r w:rsidRPr="0063119B">
        <w:rPr>
          <w:noProof/>
          <w:szCs w:val="22"/>
        </w:rPr>
        <w:t xml:space="preserve"> deve ser utilizado com precaução nestes doentes. Não é recomendada a utilização em doentes com taxa de depuração da creatinina &lt; 15 ml/min (ver secções 4.4 e 5.2).</w:t>
      </w:r>
    </w:p>
    <w:p w14:paraId="5EC720E2" w14:textId="77777777" w:rsidR="00337111" w:rsidRPr="0063119B" w:rsidRDefault="00337111" w:rsidP="00337111">
      <w:pPr>
        <w:rPr>
          <w:szCs w:val="22"/>
        </w:rPr>
      </w:pPr>
      <w:r w:rsidRPr="0063119B">
        <w:rPr>
          <w:szCs w:val="22"/>
        </w:rPr>
        <w:t>Em doentes com compromisso renal moderado (taxa de depuração da creatinina de 30 </w:t>
      </w:r>
      <w:r w:rsidRPr="0063119B">
        <w:rPr>
          <w:szCs w:val="22"/>
        </w:rPr>
        <w:noBreakHyphen/>
        <w:t> 49 ml/min) ou grave (taxa de depuração da creatinina de 15 </w:t>
      </w:r>
      <w:r w:rsidRPr="0063119B">
        <w:rPr>
          <w:szCs w:val="22"/>
        </w:rPr>
        <w:noBreakHyphen/>
        <w:t> 29 ml/min) devem ser seguidas as seguintes recomendações posológicas:</w:t>
      </w:r>
    </w:p>
    <w:p w14:paraId="18456162" w14:textId="77777777" w:rsidR="00337111" w:rsidRPr="0063119B" w:rsidRDefault="00337111" w:rsidP="00337111">
      <w:pPr>
        <w:rPr>
          <w:szCs w:val="22"/>
        </w:rPr>
      </w:pPr>
    </w:p>
    <w:p w14:paraId="38B5B9EE" w14:textId="77777777" w:rsidR="00337111" w:rsidRPr="0063119B" w:rsidRDefault="00337111" w:rsidP="00FF261B">
      <w:pPr>
        <w:numPr>
          <w:ilvl w:val="0"/>
          <w:numId w:val="7"/>
        </w:numPr>
        <w:rPr>
          <w:szCs w:val="22"/>
        </w:rPr>
      </w:pPr>
      <w:r w:rsidRPr="0063119B">
        <w:rPr>
          <w:szCs w:val="22"/>
        </w:rPr>
        <w:t>Na prevenção do acidente vascular cerebral e do embolismo sistémico em doentes com fibrilhação auricular não-valvular, a dose recomendada é de 15 mg uma vez por dia (ver secção 5.2).</w:t>
      </w:r>
    </w:p>
    <w:p w14:paraId="2EAAA452" w14:textId="77777777" w:rsidR="00337111" w:rsidRPr="0063119B" w:rsidRDefault="00337111" w:rsidP="00337111">
      <w:pPr>
        <w:ind w:left="567"/>
        <w:rPr>
          <w:szCs w:val="22"/>
        </w:rPr>
      </w:pPr>
    </w:p>
    <w:p w14:paraId="636EB4DB" w14:textId="77777777" w:rsidR="00337111" w:rsidRPr="0063119B" w:rsidRDefault="00337111" w:rsidP="00337111">
      <w:pPr>
        <w:suppressAutoHyphens/>
        <w:ind w:left="567" w:hanging="567"/>
        <w:rPr>
          <w:szCs w:val="22"/>
        </w:rPr>
      </w:pPr>
      <w:r w:rsidRPr="0063119B">
        <w:rPr>
          <w:szCs w:val="22"/>
        </w:rPr>
        <w:noBreakHyphen/>
      </w:r>
      <w:r w:rsidRPr="0063119B">
        <w:rPr>
          <w:szCs w:val="22"/>
        </w:rPr>
        <w:tab/>
        <w:t xml:space="preserve">No tratamento da TVP, tratamento do EP e prevenção da TVP recorrente e EP: os doentes devem ser tratados com 15 mg duas vezes por dia durante as primeiras 3 semanas. </w:t>
      </w:r>
    </w:p>
    <w:p w14:paraId="291D11F2" w14:textId="77777777" w:rsidR="00337111" w:rsidRPr="0063119B" w:rsidRDefault="00337111" w:rsidP="00337111">
      <w:pPr>
        <w:suppressAutoHyphens/>
        <w:ind w:left="567"/>
        <w:rPr>
          <w:szCs w:val="22"/>
        </w:rPr>
      </w:pPr>
      <w:r w:rsidRPr="0063119B">
        <w:rPr>
          <w:szCs w:val="22"/>
        </w:rPr>
        <w:t xml:space="preserve">Após isto, </w:t>
      </w:r>
      <w:r w:rsidR="007A34AB" w:rsidRPr="0063119B">
        <w:rPr>
          <w:szCs w:val="22"/>
        </w:rPr>
        <w:t xml:space="preserve">quando </w:t>
      </w:r>
      <w:r w:rsidRPr="0063119B">
        <w:rPr>
          <w:szCs w:val="22"/>
        </w:rPr>
        <w:t>a dose recomendada é de 20 mg uma vez por dia</w:t>
      </w:r>
      <w:r w:rsidR="007A34AB" w:rsidRPr="0063119B">
        <w:rPr>
          <w:szCs w:val="22"/>
        </w:rPr>
        <w:t>,</w:t>
      </w:r>
      <w:r w:rsidRPr="0063119B">
        <w:rPr>
          <w:szCs w:val="22"/>
        </w:rPr>
        <w:t xml:space="preserve"> </w:t>
      </w:r>
      <w:r w:rsidR="00B84E15" w:rsidRPr="0063119B">
        <w:rPr>
          <w:szCs w:val="22"/>
        </w:rPr>
        <w:t>deve considerar-se um</w:t>
      </w:r>
      <w:r w:rsidR="007A34AB" w:rsidRPr="0063119B">
        <w:rPr>
          <w:szCs w:val="22"/>
        </w:rPr>
        <w:t>a</w:t>
      </w:r>
      <w:r w:rsidRPr="0063119B">
        <w:rPr>
          <w:szCs w:val="22"/>
        </w:rPr>
        <w:t xml:space="preserve"> redução da dose de 20 mg uma vez por dia para 15 mg uma vez por dia se o risco avaliado de hemorragia do doente se sobrepõe ao risco de TVP recorrente e EP. A recomendação para utilização de 15 mg tem por base modelos farmacocinéticos, não tendo sido estudada neste contexto clínico (ver secções</w:t>
      </w:r>
      <w:r w:rsidR="003C019A" w:rsidRPr="0063119B">
        <w:rPr>
          <w:szCs w:val="22"/>
        </w:rPr>
        <w:t> </w:t>
      </w:r>
      <w:r w:rsidRPr="0063119B">
        <w:rPr>
          <w:szCs w:val="22"/>
        </w:rPr>
        <w:t>4.4, 5.1 e 5.2).</w:t>
      </w:r>
    </w:p>
    <w:p w14:paraId="5B464954" w14:textId="77777777" w:rsidR="007A34AB" w:rsidRPr="0063119B" w:rsidRDefault="007A34AB" w:rsidP="00FB3537">
      <w:pPr>
        <w:ind w:left="567"/>
        <w:rPr>
          <w:szCs w:val="22"/>
        </w:rPr>
      </w:pPr>
      <w:r w:rsidRPr="0063119B">
        <w:rPr>
          <w:szCs w:val="22"/>
        </w:rPr>
        <w:t xml:space="preserve">Quando a dose recomendada é de 10 mg uma vez por dia, </w:t>
      </w:r>
      <w:r w:rsidRPr="0063119B">
        <w:rPr>
          <w:noProof/>
          <w:szCs w:val="22"/>
        </w:rPr>
        <w:t>não é necessário ajuste posológico da dose recomendada.</w:t>
      </w:r>
    </w:p>
    <w:p w14:paraId="3278023E" w14:textId="77777777" w:rsidR="00337111" w:rsidRPr="0063119B" w:rsidRDefault="00337111" w:rsidP="00337111">
      <w:pPr>
        <w:suppressAutoHyphens/>
        <w:ind w:left="567" w:hanging="567"/>
        <w:rPr>
          <w:szCs w:val="22"/>
        </w:rPr>
      </w:pPr>
    </w:p>
    <w:p w14:paraId="40FADF7D" w14:textId="77777777" w:rsidR="00DB34E0" w:rsidRPr="0063119B" w:rsidRDefault="00DB34E0" w:rsidP="00DB34E0">
      <w:pPr>
        <w:keepNext/>
        <w:suppressAutoHyphens/>
        <w:rPr>
          <w:noProof/>
          <w:szCs w:val="22"/>
        </w:rPr>
      </w:pPr>
      <w:r w:rsidRPr="0063119B">
        <w:rPr>
          <w:noProof/>
          <w:szCs w:val="22"/>
        </w:rPr>
        <w:t>Não é necessário ajuste posológico em doentes com compromisso renal ligeiro (taxa de depuração da creatinina 50 </w:t>
      </w:r>
      <w:r w:rsidRPr="0063119B">
        <w:rPr>
          <w:noProof/>
          <w:szCs w:val="22"/>
        </w:rPr>
        <w:noBreakHyphen/>
        <w:t> 80 ml/min) (ver secção 5.2).</w:t>
      </w:r>
    </w:p>
    <w:p w14:paraId="735C8584" w14:textId="77777777" w:rsidR="00A43028" w:rsidRDefault="00A43028" w:rsidP="00337111">
      <w:pPr>
        <w:suppressAutoHyphens/>
        <w:rPr>
          <w:noProof/>
          <w:szCs w:val="22"/>
        </w:rPr>
      </w:pPr>
    </w:p>
    <w:p w14:paraId="3F7B0141" w14:textId="77777777" w:rsidR="009D10A4" w:rsidRPr="009D10A4" w:rsidRDefault="009D10A4" w:rsidP="009D10A4">
      <w:pPr>
        <w:autoSpaceDE w:val="0"/>
        <w:autoSpaceDN w:val="0"/>
        <w:adjustRightInd w:val="0"/>
        <w:rPr>
          <w:color w:val="000000"/>
          <w:sz w:val="24"/>
          <w:szCs w:val="24"/>
          <w:lang w:eastAsia="pt-PT"/>
        </w:rPr>
      </w:pPr>
      <w:r>
        <w:rPr>
          <w:szCs w:val="22"/>
        </w:rPr>
        <w:t>População pediátrica:</w:t>
      </w:r>
    </w:p>
    <w:p w14:paraId="6CEBEE75" w14:textId="77777777" w:rsidR="009D10A4" w:rsidRPr="009D10A4" w:rsidRDefault="009D10A4" w:rsidP="00EF3721">
      <w:pPr>
        <w:autoSpaceDE w:val="0"/>
        <w:autoSpaceDN w:val="0"/>
        <w:adjustRightInd w:val="0"/>
        <w:ind w:firstLine="720"/>
        <w:rPr>
          <w:color w:val="000000"/>
          <w:szCs w:val="22"/>
          <w:lang w:eastAsia="pt-PT"/>
        </w:rPr>
      </w:pPr>
      <w:r w:rsidRPr="009D10A4">
        <w:rPr>
          <w:color w:val="000000"/>
          <w:szCs w:val="22"/>
          <w:lang w:eastAsia="pt-PT"/>
        </w:rPr>
        <w:t>- Crianças e adolescentes com compromisso renal ligeiro (taxa de filtração glomerular entre 50 -  80 ml/min/1,73 m</w:t>
      </w:r>
      <w:r w:rsidRPr="009D10A4">
        <w:rPr>
          <w:color w:val="000000"/>
          <w:sz w:val="14"/>
          <w:szCs w:val="14"/>
          <w:lang w:eastAsia="pt-PT"/>
        </w:rPr>
        <w:t>2</w:t>
      </w:r>
      <w:r w:rsidRPr="009D10A4">
        <w:rPr>
          <w:color w:val="000000"/>
          <w:szCs w:val="22"/>
          <w:lang w:eastAsia="pt-PT"/>
        </w:rPr>
        <w:t xml:space="preserve">): não é necessário qualquer ajuste posológico, com base nos dados obtidos em adultos e em dados limitados obtidos em doentes pediátricos (ver secção 5.2). </w:t>
      </w:r>
    </w:p>
    <w:p w14:paraId="3227E229" w14:textId="77777777" w:rsidR="009D10A4" w:rsidRPr="009D10A4" w:rsidRDefault="009D10A4" w:rsidP="00EF3721">
      <w:pPr>
        <w:autoSpaceDE w:val="0"/>
        <w:autoSpaceDN w:val="0"/>
        <w:adjustRightInd w:val="0"/>
        <w:ind w:firstLine="720"/>
        <w:rPr>
          <w:color w:val="000000"/>
          <w:szCs w:val="22"/>
          <w:lang w:eastAsia="pt-PT"/>
        </w:rPr>
      </w:pPr>
      <w:r w:rsidRPr="009D10A4">
        <w:rPr>
          <w:color w:val="000000"/>
          <w:szCs w:val="22"/>
          <w:lang w:eastAsia="pt-PT"/>
        </w:rPr>
        <w:t>- Crianças e adolescentes com compromisso renal moderado ou grave (taxa de filtração glomerular &lt; 50 ml/min/1,73 m</w:t>
      </w:r>
      <w:r w:rsidRPr="009D10A4">
        <w:rPr>
          <w:color w:val="000000"/>
          <w:sz w:val="14"/>
          <w:szCs w:val="14"/>
          <w:lang w:eastAsia="pt-PT"/>
        </w:rPr>
        <w:t>2</w:t>
      </w:r>
      <w:r w:rsidRPr="009D10A4">
        <w:rPr>
          <w:color w:val="000000"/>
          <w:szCs w:val="22"/>
          <w:lang w:eastAsia="pt-PT"/>
        </w:rPr>
        <w:t xml:space="preserve">): </w:t>
      </w:r>
      <w:r>
        <w:rPr>
          <w:noProof/>
          <w:szCs w:val="22"/>
        </w:rPr>
        <w:t>Rivaroxabano</w:t>
      </w:r>
      <w:r w:rsidRPr="0063119B">
        <w:rPr>
          <w:noProof/>
          <w:szCs w:val="22"/>
        </w:rPr>
        <w:t xml:space="preserve"> Accord </w:t>
      </w:r>
      <w:r w:rsidRPr="009D10A4">
        <w:rPr>
          <w:color w:val="000000"/>
          <w:szCs w:val="22"/>
          <w:lang w:eastAsia="pt-PT"/>
        </w:rPr>
        <w:t xml:space="preserve">não é recomendado dado não existirem dados clínicos disponíveis (ver secção 4.4). </w:t>
      </w:r>
    </w:p>
    <w:p w14:paraId="3F1C08D9" w14:textId="77777777" w:rsidR="009D10A4" w:rsidRPr="0063119B" w:rsidRDefault="009D10A4" w:rsidP="00337111">
      <w:pPr>
        <w:suppressAutoHyphens/>
        <w:rPr>
          <w:noProof/>
          <w:szCs w:val="22"/>
        </w:rPr>
      </w:pPr>
    </w:p>
    <w:p w14:paraId="318C5163" w14:textId="77777777" w:rsidR="00337111" w:rsidRPr="0063119B" w:rsidRDefault="0054678E" w:rsidP="00337111">
      <w:pPr>
        <w:suppressAutoHyphens/>
        <w:rPr>
          <w:i/>
          <w:noProof/>
          <w:szCs w:val="22"/>
        </w:rPr>
      </w:pPr>
      <w:r w:rsidRPr="0063119B">
        <w:rPr>
          <w:i/>
          <w:noProof/>
          <w:szCs w:val="22"/>
        </w:rPr>
        <w:t>Compromisso</w:t>
      </w:r>
      <w:r w:rsidR="00337111" w:rsidRPr="0063119B">
        <w:rPr>
          <w:i/>
          <w:noProof/>
          <w:szCs w:val="22"/>
        </w:rPr>
        <w:t xml:space="preserve"> hepátic</w:t>
      </w:r>
      <w:r w:rsidRPr="0063119B">
        <w:rPr>
          <w:i/>
          <w:noProof/>
          <w:szCs w:val="22"/>
        </w:rPr>
        <w:t>o</w:t>
      </w:r>
    </w:p>
    <w:p w14:paraId="6F1B13A9" w14:textId="77777777" w:rsidR="00337111" w:rsidRPr="0063119B" w:rsidRDefault="00607DE4" w:rsidP="00337111">
      <w:pPr>
        <w:suppressAutoHyphens/>
        <w:rPr>
          <w:noProof/>
          <w:szCs w:val="22"/>
        </w:rPr>
      </w:pPr>
      <w:r>
        <w:rPr>
          <w:noProof/>
          <w:szCs w:val="22"/>
        </w:rPr>
        <w:t>Rivaroxabano</w:t>
      </w:r>
      <w:r w:rsidR="00674A0E" w:rsidRPr="0063119B">
        <w:rPr>
          <w:noProof/>
          <w:szCs w:val="22"/>
        </w:rPr>
        <w:t xml:space="preserve"> Accord</w:t>
      </w:r>
      <w:r w:rsidR="00337111" w:rsidRPr="0063119B">
        <w:rPr>
          <w:noProof/>
          <w:szCs w:val="22"/>
        </w:rPr>
        <w:t xml:space="preserve"> está contraindicado em doentes com doença hepática associada a coagulopatia e risco de hemorragia clinicamente relevante, incluindo doentes com cirrose com Child Pugh B e C (ver secções</w:t>
      </w:r>
      <w:r w:rsidR="003C019A" w:rsidRPr="0063119B">
        <w:rPr>
          <w:noProof/>
          <w:szCs w:val="22"/>
        </w:rPr>
        <w:t> </w:t>
      </w:r>
      <w:r w:rsidR="00337111" w:rsidRPr="0063119B">
        <w:rPr>
          <w:noProof/>
          <w:szCs w:val="22"/>
        </w:rPr>
        <w:t>4.3 e 5.2).</w:t>
      </w:r>
      <w:r w:rsidR="00ED6A91">
        <w:rPr>
          <w:noProof/>
          <w:szCs w:val="22"/>
        </w:rPr>
        <w:t xml:space="preserve"> </w:t>
      </w:r>
      <w:r w:rsidR="00ED6A91">
        <w:t>Não estão disponíveis dados clínicos em crianças com compromisso hepático.</w:t>
      </w:r>
    </w:p>
    <w:p w14:paraId="7CCE2C48" w14:textId="77777777" w:rsidR="00337111" w:rsidRPr="0063119B" w:rsidRDefault="00337111" w:rsidP="00337111">
      <w:pPr>
        <w:suppressAutoHyphens/>
        <w:rPr>
          <w:noProof/>
          <w:szCs w:val="22"/>
        </w:rPr>
      </w:pPr>
    </w:p>
    <w:p w14:paraId="0C85C9F5" w14:textId="77777777" w:rsidR="00337111" w:rsidRPr="0063119B" w:rsidRDefault="00337111" w:rsidP="003345A8">
      <w:pPr>
        <w:keepNext/>
        <w:rPr>
          <w:i/>
          <w:noProof/>
          <w:szCs w:val="22"/>
        </w:rPr>
      </w:pPr>
      <w:r w:rsidRPr="0063119B">
        <w:rPr>
          <w:i/>
          <w:noProof/>
          <w:szCs w:val="22"/>
        </w:rPr>
        <w:t>População idosa</w:t>
      </w:r>
    </w:p>
    <w:p w14:paraId="03A182F7" w14:textId="77777777" w:rsidR="00337111" w:rsidRPr="0063119B" w:rsidRDefault="00337111" w:rsidP="00337111">
      <w:pPr>
        <w:suppressAutoHyphens/>
        <w:rPr>
          <w:noProof/>
          <w:szCs w:val="22"/>
        </w:rPr>
      </w:pPr>
      <w:r w:rsidRPr="0063119B">
        <w:rPr>
          <w:noProof/>
          <w:szCs w:val="22"/>
        </w:rPr>
        <w:t>Não é necessário ajuste posológico (ver secção</w:t>
      </w:r>
      <w:r w:rsidR="003C019A" w:rsidRPr="0063119B">
        <w:rPr>
          <w:noProof/>
          <w:szCs w:val="22"/>
        </w:rPr>
        <w:t> </w:t>
      </w:r>
      <w:r w:rsidRPr="0063119B">
        <w:rPr>
          <w:noProof/>
          <w:szCs w:val="22"/>
        </w:rPr>
        <w:t>5.2)</w:t>
      </w:r>
    </w:p>
    <w:p w14:paraId="6629F1BB" w14:textId="77777777" w:rsidR="00337111" w:rsidRPr="0063119B" w:rsidRDefault="00337111" w:rsidP="00337111">
      <w:pPr>
        <w:suppressAutoHyphens/>
        <w:rPr>
          <w:noProof/>
          <w:szCs w:val="22"/>
        </w:rPr>
      </w:pPr>
    </w:p>
    <w:p w14:paraId="722B6F05" w14:textId="77777777" w:rsidR="00337111" w:rsidRPr="0063119B" w:rsidRDefault="00337111" w:rsidP="00337111">
      <w:pPr>
        <w:suppressAutoHyphens/>
        <w:rPr>
          <w:i/>
          <w:noProof/>
          <w:szCs w:val="22"/>
        </w:rPr>
      </w:pPr>
      <w:r w:rsidRPr="0063119B">
        <w:rPr>
          <w:i/>
          <w:noProof/>
          <w:szCs w:val="22"/>
        </w:rPr>
        <w:t>Peso corporal</w:t>
      </w:r>
    </w:p>
    <w:p w14:paraId="074EF5BA" w14:textId="77777777" w:rsidR="00337111" w:rsidRPr="0063119B" w:rsidRDefault="00337111" w:rsidP="00337111">
      <w:pPr>
        <w:suppressAutoHyphens/>
        <w:rPr>
          <w:noProof/>
          <w:szCs w:val="22"/>
        </w:rPr>
      </w:pPr>
      <w:r w:rsidRPr="0063119B">
        <w:rPr>
          <w:noProof/>
          <w:szCs w:val="22"/>
        </w:rPr>
        <w:t xml:space="preserve">Não é necessário ajuste posológico </w:t>
      </w:r>
      <w:r w:rsidR="009D10A4">
        <w:rPr>
          <w:szCs w:val="22"/>
        </w:rPr>
        <w:t xml:space="preserve">nos adultos </w:t>
      </w:r>
      <w:r w:rsidRPr="0063119B">
        <w:rPr>
          <w:noProof/>
          <w:szCs w:val="22"/>
        </w:rPr>
        <w:t>(ver secção 5.2)</w:t>
      </w:r>
    </w:p>
    <w:p w14:paraId="7B358B0D" w14:textId="77777777" w:rsidR="00337111" w:rsidRDefault="009D10A4" w:rsidP="00337111">
      <w:pPr>
        <w:suppressAutoHyphens/>
        <w:rPr>
          <w:szCs w:val="22"/>
        </w:rPr>
      </w:pPr>
      <w:r>
        <w:rPr>
          <w:szCs w:val="22"/>
        </w:rPr>
        <w:t>Nos doentes pediátricos, a dose é determinada com base no peso corporal.</w:t>
      </w:r>
    </w:p>
    <w:p w14:paraId="5024718D" w14:textId="77777777" w:rsidR="009D10A4" w:rsidRPr="0063119B" w:rsidRDefault="009D10A4" w:rsidP="00337111">
      <w:pPr>
        <w:suppressAutoHyphens/>
        <w:rPr>
          <w:noProof/>
          <w:szCs w:val="22"/>
        </w:rPr>
      </w:pPr>
    </w:p>
    <w:p w14:paraId="21250391" w14:textId="77777777" w:rsidR="00337111" w:rsidRPr="0063119B" w:rsidRDefault="00337111" w:rsidP="00337111">
      <w:pPr>
        <w:suppressAutoHyphens/>
        <w:rPr>
          <w:i/>
          <w:noProof/>
          <w:szCs w:val="22"/>
        </w:rPr>
      </w:pPr>
      <w:r w:rsidRPr="0063119B">
        <w:rPr>
          <w:i/>
          <w:noProof/>
          <w:szCs w:val="22"/>
        </w:rPr>
        <w:t>Sexo</w:t>
      </w:r>
    </w:p>
    <w:p w14:paraId="2406A73F" w14:textId="77777777" w:rsidR="00337111" w:rsidRPr="0063119B" w:rsidRDefault="00337111" w:rsidP="00337111">
      <w:pPr>
        <w:suppressAutoHyphens/>
        <w:rPr>
          <w:noProof/>
          <w:szCs w:val="22"/>
        </w:rPr>
      </w:pPr>
      <w:r w:rsidRPr="0063119B">
        <w:rPr>
          <w:noProof/>
          <w:szCs w:val="22"/>
        </w:rPr>
        <w:t>Não é necessário ajuste posológico (ver secção 5.2)</w:t>
      </w:r>
    </w:p>
    <w:p w14:paraId="2E4ADFFF" w14:textId="77777777" w:rsidR="00E87471" w:rsidRPr="0063119B" w:rsidRDefault="00E87471" w:rsidP="00337111">
      <w:pPr>
        <w:suppressAutoHyphens/>
        <w:rPr>
          <w:noProof/>
          <w:szCs w:val="22"/>
        </w:rPr>
      </w:pPr>
    </w:p>
    <w:p w14:paraId="098017C0" w14:textId="77777777" w:rsidR="00E87471" w:rsidRPr="0063119B" w:rsidRDefault="00E87471" w:rsidP="00337111">
      <w:pPr>
        <w:suppressAutoHyphens/>
        <w:rPr>
          <w:i/>
          <w:noProof/>
          <w:szCs w:val="22"/>
        </w:rPr>
      </w:pPr>
      <w:r w:rsidRPr="0063119B">
        <w:rPr>
          <w:i/>
          <w:noProof/>
          <w:szCs w:val="22"/>
        </w:rPr>
        <w:t>Doentes submetidos a cardioversão</w:t>
      </w:r>
    </w:p>
    <w:p w14:paraId="121BD9A0" w14:textId="77777777" w:rsidR="00E87471" w:rsidRPr="0063119B" w:rsidRDefault="00607DE4" w:rsidP="00337111">
      <w:pPr>
        <w:suppressAutoHyphens/>
        <w:rPr>
          <w:noProof/>
          <w:szCs w:val="22"/>
        </w:rPr>
      </w:pPr>
      <w:r>
        <w:rPr>
          <w:noProof/>
          <w:szCs w:val="22"/>
        </w:rPr>
        <w:t>Rivaroxabano</w:t>
      </w:r>
      <w:r w:rsidR="003C019A" w:rsidRPr="0063119B">
        <w:rPr>
          <w:noProof/>
          <w:szCs w:val="22"/>
        </w:rPr>
        <w:t xml:space="preserve"> Accord</w:t>
      </w:r>
      <w:r w:rsidR="00E87471" w:rsidRPr="0063119B">
        <w:rPr>
          <w:noProof/>
          <w:szCs w:val="22"/>
        </w:rPr>
        <w:t xml:space="preserve"> pode ser iniciado ou continuado em doentes que possam necessitar de cardioversão.</w:t>
      </w:r>
    </w:p>
    <w:p w14:paraId="51787D6E" w14:textId="77777777" w:rsidR="00E87471" w:rsidRPr="0063119B" w:rsidRDefault="00E87471" w:rsidP="00337111">
      <w:pPr>
        <w:suppressAutoHyphens/>
        <w:rPr>
          <w:noProof/>
          <w:szCs w:val="22"/>
        </w:rPr>
      </w:pPr>
      <w:r w:rsidRPr="0063119B">
        <w:rPr>
          <w:noProof/>
          <w:szCs w:val="22"/>
        </w:rPr>
        <w:t>N</w:t>
      </w:r>
      <w:r w:rsidR="00D82726" w:rsidRPr="0063119B">
        <w:rPr>
          <w:noProof/>
          <w:szCs w:val="22"/>
        </w:rPr>
        <w:t>a cardioversão orientada por</w:t>
      </w:r>
      <w:r w:rsidRPr="0063119B">
        <w:rPr>
          <w:noProof/>
          <w:szCs w:val="22"/>
        </w:rPr>
        <w:t xml:space="preserve"> ecocardiograma transesofágico (ETE)</w:t>
      </w:r>
      <w:r w:rsidR="00C041EC" w:rsidRPr="0063119B">
        <w:rPr>
          <w:noProof/>
          <w:szCs w:val="22"/>
        </w:rPr>
        <w:t>,</w:t>
      </w:r>
      <w:r w:rsidR="00D82726" w:rsidRPr="0063119B">
        <w:rPr>
          <w:noProof/>
          <w:szCs w:val="22"/>
        </w:rPr>
        <w:t xml:space="preserve"> em </w:t>
      </w:r>
      <w:r w:rsidRPr="0063119B">
        <w:rPr>
          <w:noProof/>
          <w:szCs w:val="22"/>
        </w:rPr>
        <w:t xml:space="preserve">doentes não tratados anteriormente com anticoagulantes, </w:t>
      </w:r>
      <w:r w:rsidR="0089294A" w:rsidRPr="0063119B">
        <w:rPr>
          <w:noProof/>
          <w:szCs w:val="22"/>
        </w:rPr>
        <w:t xml:space="preserve">o tratamento com </w:t>
      </w:r>
      <w:r w:rsidR="00607DE4">
        <w:rPr>
          <w:noProof/>
          <w:szCs w:val="22"/>
        </w:rPr>
        <w:t>Rivaroxabano</w:t>
      </w:r>
      <w:r w:rsidR="003C019A" w:rsidRPr="0063119B">
        <w:rPr>
          <w:noProof/>
          <w:szCs w:val="22"/>
        </w:rPr>
        <w:t xml:space="preserve"> Accord</w:t>
      </w:r>
      <w:r w:rsidRPr="0063119B">
        <w:rPr>
          <w:noProof/>
          <w:szCs w:val="22"/>
        </w:rPr>
        <w:t xml:space="preserve"> deve ser iniciado pelo menos 4</w:t>
      </w:r>
      <w:r w:rsidR="003C019A" w:rsidRPr="0063119B">
        <w:rPr>
          <w:noProof/>
          <w:szCs w:val="22"/>
        </w:rPr>
        <w:t> </w:t>
      </w:r>
      <w:r w:rsidRPr="0063119B">
        <w:rPr>
          <w:noProof/>
          <w:szCs w:val="22"/>
        </w:rPr>
        <w:t>horas antes da cardioversão para assegurar uma anticoagulação adequada (ver secções</w:t>
      </w:r>
      <w:r w:rsidR="003C019A" w:rsidRPr="0063119B">
        <w:rPr>
          <w:noProof/>
          <w:szCs w:val="22"/>
        </w:rPr>
        <w:t> </w:t>
      </w:r>
      <w:r w:rsidRPr="0063119B">
        <w:rPr>
          <w:noProof/>
          <w:szCs w:val="22"/>
        </w:rPr>
        <w:t xml:space="preserve">5.1 e 5.2). Antes da cardioversão deve obter-se </w:t>
      </w:r>
      <w:r w:rsidR="00437761" w:rsidRPr="0063119B">
        <w:rPr>
          <w:noProof/>
          <w:szCs w:val="22"/>
        </w:rPr>
        <w:t xml:space="preserve"> para todos os doentes </w:t>
      </w:r>
      <w:r w:rsidRPr="0063119B">
        <w:rPr>
          <w:noProof/>
          <w:szCs w:val="22"/>
        </w:rPr>
        <w:t xml:space="preserve">a confirmação de que os doentes tomaram </w:t>
      </w:r>
      <w:r w:rsidR="00607DE4">
        <w:rPr>
          <w:noProof/>
          <w:szCs w:val="22"/>
        </w:rPr>
        <w:t>Rivaroxabano</w:t>
      </w:r>
      <w:r w:rsidR="003C019A" w:rsidRPr="0063119B">
        <w:rPr>
          <w:noProof/>
          <w:szCs w:val="22"/>
        </w:rPr>
        <w:t xml:space="preserve"> Accord</w:t>
      </w:r>
      <w:r w:rsidRPr="0063119B">
        <w:rPr>
          <w:noProof/>
          <w:szCs w:val="22"/>
        </w:rPr>
        <w:t xml:space="preserve"> tal como prescrito.</w:t>
      </w:r>
      <w:r w:rsidR="00437761" w:rsidRPr="0063119B">
        <w:rPr>
          <w:noProof/>
          <w:szCs w:val="22"/>
        </w:rPr>
        <w:t xml:space="preserve"> As decisões  sobre o início e duração do tratamento devem ter em consideração  as </w:t>
      </w:r>
      <w:r w:rsidR="000D3CDF" w:rsidRPr="0063119B">
        <w:rPr>
          <w:noProof/>
          <w:szCs w:val="22"/>
        </w:rPr>
        <w:t xml:space="preserve">normas de </w:t>
      </w:r>
      <w:r w:rsidR="00437761" w:rsidRPr="0063119B">
        <w:rPr>
          <w:noProof/>
          <w:szCs w:val="22"/>
        </w:rPr>
        <w:t>recomendaç</w:t>
      </w:r>
      <w:r w:rsidR="000D3CDF" w:rsidRPr="0063119B">
        <w:rPr>
          <w:noProof/>
          <w:szCs w:val="22"/>
        </w:rPr>
        <w:t>ão</w:t>
      </w:r>
      <w:r w:rsidR="00437761" w:rsidRPr="0063119B">
        <w:rPr>
          <w:noProof/>
          <w:szCs w:val="22"/>
        </w:rPr>
        <w:t xml:space="preserve"> estabelecidas  para o tratamento anticoagulante em doentes  submetidos a cardioversão.</w:t>
      </w:r>
    </w:p>
    <w:p w14:paraId="1670C88B" w14:textId="77777777" w:rsidR="0089294A" w:rsidRPr="0063119B" w:rsidRDefault="0089294A" w:rsidP="00337111">
      <w:pPr>
        <w:suppressAutoHyphens/>
        <w:rPr>
          <w:noProof/>
          <w:szCs w:val="22"/>
        </w:rPr>
      </w:pPr>
    </w:p>
    <w:p w14:paraId="7FCA3F54" w14:textId="77777777" w:rsidR="0071450F" w:rsidRPr="0063119B" w:rsidRDefault="0071450F" w:rsidP="00337111">
      <w:pPr>
        <w:suppressAutoHyphens/>
        <w:rPr>
          <w:i/>
          <w:noProof/>
          <w:szCs w:val="22"/>
        </w:rPr>
      </w:pPr>
      <w:r w:rsidRPr="0063119B">
        <w:rPr>
          <w:i/>
          <w:szCs w:val="22"/>
        </w:rPr>
        <w:t>Doentes com fibrilhação auricular não-valvular submetidos a ICP (intervenção coronária percutânea) com colocação de stent</w:t>
      </w:r>
    </w:p>
    <w:p w14:paraId="0CEC7A9F" w14:textId="77777777" w:rsidR="00EC2244" w:rsidRPr="0063119B" w:rsidRDefault="00EC2244" w:rsidP="00337111">
      <w:pPr>
        <w:suppressAutoHyphens/>
        <w:rPr>
          <w:szCs w:val="22"/>
        </w:rPr>
      </w:pPr>
      <w:r w:rsidRPr="0063119B">
        <w:rPr>
          <w:noProof/>
          <w:szCs w:val="22"/>
        </w:rPr>
        <w:t xml:space="preserve">Existe uma experiência limitada da dose reduzida de </w:t>
      </w:r>
      <w:r w:rsidR="00BC6356" w:rsidRPr="0063119B">
        <w:rPr>
          <w:noProof/>
          <w:szCs w:val="22"/>
        </w:rPr>
        <w:t>15</w:t>
      </w:r>
      <w:r w:rsidR="003C019A" w:rsidRPr="0063119B">
        <w:rPr>
          <w:noProof/>
          <w:szCs w:val="22"/>
        </w:rPr>
        <w:t> </w:t>
      </w:r>
      <w:r w:rsidR="00BC6356" w:rsidRPr="0063119B">
        <w:rPr>
          <w:noProof/>
          <w:szCs w:val="22"/>
        </w:rPr>
        <w:t>mg</w:t>
      </w:r>
      <w:r w:rsidR="003C019A" w:rsidRPr="0063119B">
        <w:rPr>
          <w:noProof/>
          <w:szCs w:val="22"/>
        </w:rPr>
        <w:t xml:space="preserve"> de </w:t>
      </w:r>
      <w:r w:rsidR="003C019A" w:rsidRPr="0063119B">
        <w:rPr>
          <w:szCs w:val="22"/>
        </w:rPr>
        <w:t>rivaroxabano</w:t>
      </w:r>
      <w:r w:rsidR="00BC6356" w:rsidRPr="0063119B">
        <w:rPr>
          <w:noProof/>
          <w:szCs w:val="22"/>
        </w:rPr>
        <w:t xml:space="preserve"> uma vez por</w:t>
      </w:r>
      <w:r w:rsidRPr="0063119B">
        <w:rPr>
          <w:noProof/>
          <w:szCs w:val="22"/>
        </w:rPr>
        <w:t xml:space="preserve"> </w:t>
      </w:r>
      <w:r w:rsidR="00BC6356" w:rsidRPr="0063119B">
        <w:rPr>
          <w:noProof/>
          <w:szCs w:val="22"/>
        </w:rPr>
        <w:t>dia (ou 10 mg</w:t>
      </w:r>
      <w:r w:rsidR="003C019A" w:rsidRPr="0063119B">
        <w:rPr>
          <w:noProof/>
          <w:szCs w:val="22"/>
        </w:rPr>
        <w:t xml:space="preserve"> de </w:t>
      </w:r>
      <w:r w:rsidR="003C019A" w:rsidRPr="0063119B">
        <w:rPr>
          <w:szCs w:val="22"/>
        </w:rPr>
        <w:t>rivaroxabano</w:t>
      </w:r>
      <w:r w:rsidR="00BC6356" w:rsidRPr="0063119B">
        <w:rPr>
          <w:noProof/>
          <w:szCs w:val="22"/>
        </w:rPr>
        <w:t xml:space="preserve"> uma vez por</w:t>
      </w:r>
      <w:r w:rsidRPr="0063119B">
        <w:rPr>
          <w:noProof/>
          <w:szCs w:val="22"/>
        </w:rPr>
        <w:t xml:space="preserve"> dia em doentes com compromisso renal moderado [</w:t>
      </w:r>
      <w:r w:rsidR="00BC6356" w:rsidRPr="0063119B">
        <w:rPr>
          <w:noProof/>
          <w:szCs w:val="22"/>
        </w:rPr>
        <w:t xml:space="preserve">taxa de </w:t>
      </w:r>
      <w:r w:rsidRPr="0063119B">
        <w:rPr>
          <w:noProof/>
          <w:szCs w:val="22"/>
        </w:rPr>
        <w:t>depuraç</w:t>
      </w:r>
      <w:r w:rsidR="00E67AC0" w:rsidRPr="0063119B">
        <w:rPr>
          <w:noProof/>
          <w:szCs w:val="22"/>
        </w:rPr>
        <w:t>ão da creatinina 3</w:t>
      </w:r>
      <w:r w:rsidR="00BC6356" w:rsidRPr="0063119B">
        <w:rPr>
          <w:noProof/>
          <w:szCs w:val="22"/>
        </w:rPr>
        <w:t>0 -</w:t>
      </w:r>
      <w:r w:rsidR="00E67AC0" w:rsidRPr="0063119B">
        <w:rPr>
          <w:noProof/>
          <w:szCs w:val="22"/>
        </w:rPr>
        <w:t xml:space="preserve"> 49  </w:t>
      </w:r>
      <w:r w:rsidRPr="0063119B">
        <w:rPr>
          <w:noProof/>
          <w:szCs w:val="22"/>
        </w:rPr>
        <w:t>ml/min]</w:t>
      </w:r>
      <w:r w:rsidR="00F824AF" w:rsidRPr="0063119B">
        <w:rPr>
          <w:noProof/>
          <w:szCs w:val="22"/>
        </w:rPr>
        <w:t>)</w:t>
      </w:r>
      <w:r w:rsidR="00E67AC0" w:rsidRPr="0063119B">
        <w:rPr>
          <w:szCs w:val="22"/>
        </w:rPr>
        <w:t xml:space="preserve"> em adição a um inibidor P2Y12</w:t>
      </w:r>
      <w:r w:rsidR="00F824AF" w:rsidRPr="0063119B">
        <w:rPr>
          <w:szCs w:val="22"/>
        </w:rPr>
        <w:t xml:space="preserve"> por um </w:t>
      </w:r>
      <w:r w:rsidR="00E67AC0" w:rsidRPr="0063119B">
        <w:rPr>
          <w:szCs w:val="22"/>
        </w:rPr>
        <w:t>período máximo de 12</w:t>
      </w:r>
      <w:r w:rsidR="003C019A" w:rsidRPr="0063119B">
        <w:rPr>
          <w:szCs w:val="22"/>
        </w:rPr>
        <w:t> </w:t>
      </w:r>
      <w:r w:rsidR="00E67AC0" w:rsidRPr="0063119B">
        <w:rPr>
          <w:szCs w:val="22"/>
        </w:rPr>
        <w:t xml:space="preserve">meses em doentes com fibrilação auricular não-valvular que requerem anticoagulação oral e </w:t>
      </w:r>
      <w:r w:rsidR="00BC6356" w:rsidRPr="0063119B">
        <w:rPr>
          <w:szCs w:val="22"/>
        </w:rPr>
        <w:t xml:space="preserve">que </w:t>
      </w:r>
      <w:r w:rsidR="00E67AC0" w:rsidRPr="0063119B">
        <w:rPr>
          <w:szCs w:val="22"/>
        </w:rPr>
        <w:t xml:space="preserve">são submetidos a ICP com colocação de </w:t>
      </w:r>
      <w:r w:rsidR="00E67AC0" w:rsidRPr="0063119B">
        <w:rPr>
          <w:i/>
          <w:szCs w:val="22"/>
        </w:rPr>
        <w:t>stent</w:t>
      </w:r>
      <w:r w:rsidR="00E67AC0" w:rsidRPr="0063119B">
        <w:rPr>
          <w:szCs w:val="22"/>
        </w:rPr>
        <w:t xml:space="preserve"> (ver secções 4.4 e 5.1).</w:t>
      </w:r>
    </w:p>
    <w:p w14:paraId="6728D809" w14:textId="77777777" w:rsidR="00E67AC0" w:rsidRDefault="00E67AC0" w:rsidP="00337111">
      <w:pPr>
        <w:suppressAutoHyphens/>
        <w:rPr>
          <w:noProof/>
          <w:szCs w:val="22"/>
          <w:u w:val="single"/>
        </w:rPr>
      </w:pPr>
    </w:p>
    <w:p w14:paraId="24F4CCE7" w14:textId="77777777" w:rsidR="009D10A4" w:rsidRPr="009D10A4" w:rsidRDefault="009D10A4" w:rsidP="009D10A4">
      <w:pPr>
        <w:autoSpaceDE w:val="0"/>
        <w:autoSpaceDN w:val="0"/>
        <w:adjustRightInd w:val="0"/>
        <w:rPr>
          <w:color w:val="000000"/>
          <w:szCs w:val="22"/>
          <w:lang w:eastAsia="pt-PT"/>
        </w:rPr>
      </w:pPr>
      <w:r w:rsidRPr="009D10A4">
        <w:rPr>
          <w:i/>
          <w:iCs/>
          <w:color w:val="000000"/>
          <w:szCs w:val="22"/>
          <w:lang w:eastAsia="pt-PT"/>
        </w:rPr>
        <w:t xml:space="preserve">População pediátrica </w:t>
      </w:r>
    </w:p>
    <w:p w14:paraId="5E658884" w14:textId="77777777" w:rsidR="009D10A4" w:rsidRDefault="009D10A4" w:rsidP="009D10A4">
      <w:pPr>
        <w:suppressAutoHyphens/>
        <w:rPr>
          <w:color w:val="000000"/>
          <w:szCs w:val="22"/>
          <w:lang w:eastAsia="pt-PT"/>
        </w:rPr>
      </w:pPr>
      <w:r w:rsidRPr="009D10A4">
        <w:rPr>
          <w:color w:val="000000"/>
          <w:szCs w:val="22"/>
          <w:lang w:eastAsia="pt-PT"/>
        </w:rPr>
        <w:t xml:space="preserve">A segurança e eficácia de </w:t>
      </w:r>
      <w:r>
        <w:rPr>
          <w:noProof/>
          <w:szCs w:val="22"/>
        </w:rPr>
        <w:t>Rivaroxabano</w:t>
      </w:r>
      <w:r w:rsidRPr="0063119B">
        <w:rPr>
          <w:noProof/>
          <w:szCs w:val="22"/>
        </w:rPr>
        <w:t xml:space="preserve"> Accord </w:t>
      </w:r>
      <w:r w:rsidRPr="009D10A4">
        <w:rPr>
          <w:color w:val="000000"/>
          <w:szCs w:val="22"/>
          <w:lang w:eastAsia="pt-PT"/>
        </w:rPr>
        <w:t>em crianças dos 0 a &lt;18 anos de idade não foram estabelecidas na indicação da prevenção do acidente vascular cerebral e embolismo sistémico, em doentes com fibrilhação auricular não valvular. Não existem dados disponíveis. Por conseguinte, não é recomendado para utilização em crianças com idade inferior a de 18 anos em indicações que não o tratamento do TEV e na prevenção da recorrência de TEV.</w:t>
      </w:r>
    </w:p>
    <w:p w14:paraId="78331E8B" w14:textId="77777777" w:rsidR="009D10A4" w:rsidRPr="0063119B" w:rsidRDefault="009D10A4" w:rsidP="009D10A4">
      <w:pPr>
        <w:suppressAutoHyphens/>
        <w:rPr>
          <w:noProof/>
          <w:szCs w:val="22"/>
          <w:u w:val="single"/>
        </w:rPr>
      </w:pPr>
    </w:p>
    <w:p w14:paraId="5C27BE98" w14:textId="77777777" w:rsidR="00337111" w:rsidRDefault="00337111" w:rsidP="00337111">
      <w:pPr>
        <w:suppressAutoHyphens/>
        <w:rPr>
          <w:noProof/>
          <w:szCs w:val="22"/>
          <w:u w:val="single"/>
        </w:rPr>
      </w:pPr>
      <w:r w:rsidRPr="0063119B">
        <w:rPr>
          <w:noProof/>
          <w:szCs w:val="22"/>
          <w:u w:val="single"/>
        </w:rPr>
        <w:t>Modo de administração</w:t>
      </w:r>
    </w:p>
    <w:p w14:paraId="7BC7B00C" w14:textId="77777777" w:rsidR="005F6FAD" w:rsidRDefault="005F6FAD" w:rsidP="00337111">
      <w:pPr>
        <w:suppressAutoHyphens/>
        <w:rPr>
          <w:noProof/>
          <w:szCs w:val="22"/>
          <w:u w:val="single"/>
        </w:rPr>
      </w:pPr>
    </w:p>
    <w:p w14:paraId="36B9AC9A" w14:textId="77777777" w:rsidR="009D10A4" w:rsidRPr="00EF3721" w:rsidRDefault="009D10A4" w:rsidP="00337111">
      <w:pPr>
        <w:suppressAutoHyphens/>
        <w:rPr>
          <w:i/>
          <w:iCs/>
          <w:noProof/>
          <w:szCs w:val="22"/>
          <w:u w:val="single"/>
        </w:rPr>
      </w:pPr>
      <w:r w:rsidRPr="00EF3721">
        <w:rPr>
          <w:i/>
          <w:iCs/>
          <w:noProof/>
          <w:szCs w:val="22"/>
          <w:u w:val="single"/>
        </w:rPr>
        <w:t>Adultos</w:t>
      </w:r>
    </w:p>
    <w:p w14:paraId="0C1F6DAF" w14:textId="77777777" w:rsidR="00DB34E0" w:rsidRPr="0063119B" w:rsidRDefault="00607DE4" w:rsidP="00337111">
      <w:pPr>
        <w:rPr>
          <w:noProof/>
          <w:szCs w:val="22"/>
        </w:rPr>
      </w:pPr>
      <w:r>
        <w:rPr>
          <w:noProof/>
          <w:szCs w:val="22"/>
        </w:rPr>
        <w:t>Rivaroxabano</w:t>
      </w:r>
      <w:r w:rsidR="00D03670" w:rsidRPr="0063119B">
        <w:rPr>
          <w:noProof/>
          <w:szCs w:val="22"/>
        </w:rPr>
        <w:t xml:space="preserve"> Accord</w:t>
      </w:r>
      <w:r w:rsidR="00FC3A6C" w:rsidRPr="0063119B">
        <w:rPr>
          <w:noProof/>
          <w:szCs w:val="22"/>
        </w:rPr>
        <w:t xml:space="preserve"> é para </w:t>
      </w:r>
      <w:r w:rsidR="003C019A" w:rsidRPr="0063119B">
        <w:rPr>
          <w:noProof/>
          <w:szCs w:val="22"/>
        </w:rPr>
        <w:t>utilização por via</w:t>
      </w:r>
      <w:r w:rsidR="00337111" w:rsidRPr="0063119B">
        <w:rPr>
          <w:noProof/>
          <w:szCs w:val="22"/>
        </w:rPr>
        <w:t xml:space="preserve"> oral. </w:t>
      </w:r>
    </w:p>
    <w:p w14:paraId="2CBF8EF8" w14:textId="77777777" w:rsidR="00337111" w:rsidRPr="0063119B" w:rsidRDefault="00FC3A6C" w:rsidP="00337111">
      <w:pPr>
        <w:rPr>
          <w:szCs w:val="22"/>
        </w:rPr>
      </w:pPr>
      <w:r w:rsidRPr="0063119B">
        <w:rPr>
          <w:noProof/>
          <w:szCs w:val="22"/>
        </w:rPr>
        <w:t>Os</w:t>
      </w:r>
      <w:r w:rsidR="007A34AB" w:rsidRPr="0063119B">
        <w:rPr>
          <w:noProof/>
          <w:szCs w:val="22"/>
        </w:rPr>
        <w:t xml:space="preserve"> </w:t>
      </w:r>
      <w:r w:rsidR="00337111" w:rsidRPr="0063119B">
        <w:rPr>
          <w:szCs w:val="22"/>
        </w:rPr>
        <w:t>comprimidos devem ser tomados com alimentos (ver secção 5.2).</w:t>
      </w:r>
    </w:p>
    <w:p w14:paraId="4BDC8301" w14:textId="77777777" w:rsidR="009D10A4" w:rsidRDefault="009D10A4" w:rsidP="00864EAD">
      <w:pPr>
        <w:suppressAutoHyphens/>
        <w:rPr>
          <w:noProof/>
          <w:szCs w:val="22"/>
        </w:rPr>
      </w:pPr>
    </w:p>
    <w:p w14:paraId="659A9F11" w14:textId="77777777" w:rsidR="009D10A4" w:rsidRDefault="009D10A4" w:rsidP="00864EAD">
      <w:pPr>
        <w:suppressAutoHyphens/>
        <w:rPr>
          <w:noProof/>
          <w:szCs w:val="22"/>
        </w:rPr>
      </w:pPr>
      <w:r>
        <w:rPr>
          <w:i/>
          <w:iCs/>
          <w:szCs w:val="22"/>
        </w:rPr>
        <w:t>Trituração dos comprimidos</w:t>
      </w:r>
    </w:p>
    <w:p w14:paraId="77D549FB" w14:textId="77777777" w:rsidR="00864EAD" w:rsidRPr="0063119B" w:rsidRDefault="00864EAD" w:rsidP="00864EAD">
      <w:pPr>
        <w:suppressAutoHyphens/>
        <w:rPr>
          <w:noProof/>
          <w:szCs w:val="22"/>
        </w:rPr>
      </w:pPr>
      <w:r w:rsidRPr="0063119B">
        <w:rPr>
          <w:noProof/>
          <w:szCs w:val="22"/>
        </w:rPr>
        <w:t xml:space="preserve">Em doentes incapazes de engolir comprimidos inteiros, o comprimido </w:t>
      </w:r>
      <w:r w:rsidR="003C019A" w:rsidRPr="0063119B">
        <w:rPr>
          <w:noProof/>
          <w:szCs w:val="22"/>
        </w:rPr>
        <w:t xml:space="preserve">de </w:t>
      </w:r>
      <w:r w:rsidR="00607DE4">
        <w:rPr>
          <w:noProof/>
          <w:szCs w:val="22"/>
        </w:rPr>
        <w:t>Rivaroxabano</w:t>
      </w:r>
      <w:r w:rsidR="003C019A" w:rsidRPr="0063119B">
        <w:rPr>
          <w:noProof/>
          <w:szCs w:val="22"/>
        </w:rPr>
        <w:t xml:space="preserve"> Accord</w:t>
      </w:r>
      <w:r w:rsidRPr="0063119B">
        <w:rPr>
          <w:noProof/>
          <w:szCs w:val="22"/>
        </w:rPr>
        <w:t xml:space="preserve"> pode ser esmagado e misturado com água ou puré de maçã imediatamente antes da utilização e administrado por via ora</w:t>
      </w:r>
      <w:r w:rsidR="00A92A1D" w:rsidRPr="0063119B">
        <w:rPr>
          <w:noProof/>
          <w:szCs w:val="22"/>
        </w:rPr>
        <w:t>l</w:t>
      </w:r>
      <w:r w:rsidRPr="0063119B">
        <w:rPr>
          <w:noProof/>
          <w:szCs w:val="22"/>
        </w:rPr>
        <w:t>.</w:t>
      </w:r>
      <w:r w:rsidR="00A92A1D" w:rsidRPr="0063119B">
        <w:rPr>
          <w:noProof/>
          <w:szCs w:val="22"/>
        </w:rPr>
        <w:t xml:space="preserve"> Após a administração de </w:t>
      </w:r>
      <w:r w:rsidR="00607DE4">
        <w:rPr>
          <w:noProof/>
          <w:szCs w:val="22"/>
        </w:rPr>
        <w:t>Rivaroxabano</w:t>
      </w:r>
      <w:r w:rsidR="003C019A" w:rsidRPr="0063119B">
        <w:rPr>
          <w:noProof/>
          <w:szCs w:val="22"/>
        </w:rPr>
        <w:t xml:space="preserve"> Accord</w:t>
      </w:r>
      <w:r w:rsidR="00A92A1D" w:rsidRPr="0063119B">
        <w:rPr>
          <w:noProof/>
          <w:szCs w:val="22"/>
        </w:rPr>
        <w:t xml:space="preserve"> 15 mg ou 20 mg comprimidos revestidos por película esmagados, a dose deve ser imediatamente seguida por alimentos.</w:t>
      </w:r>
    </w:p>
    <w:p w14:paraId="4C841739" w14:textId="77777777" w:rsidR="00864EAD" w:rsidRPr="0063119B" w:rsidRDefault="00864EAD" w:rsidP="00736EFD">
      <w:pPr>
        <w:suppressAutoHyphens/>
        <w:rPr>
          <w:noProof/>
          <w:szCs w:val="22"/>
        </w:rPr>
      </w:pPr>
      <w:r w:rsidRPr="0063119B">
        <w:rPr>
          <w:noProof/>
          <w:szCs w:val="22"/>
        </w:rPr>
        <w:t xml:space="preserve">O comprimido </w:t>
      </w:r>
      <w:r w:rsidR="003C019A" w:rsidRPr="0063119B">
        <w:rPr>
          <w:noProof/>
          <w:szCs w:val="22"/>
        </w:rPr>
        <w:t xml:space="preserve">de </w:t>
      </w:r>
      <w:r w:rsidR="00607DE4">
        <w:rPr>
          <w:noProof/>
          <w:szCs w:val="22"/>
        </w:rPr>
        <w:t>Rivaroxabano</w:t>
      </w:r>
      <w:r w:rsidR="003C019A" w:rsidRPr="0063119B">
        <w:rPr>
          <w:noProof/>
          <w:szCs w:val="22"/>
        </w:rPr>
        <w:t xml:space="preserve"> Accord</w:t>
      </w:r>
      <w:r w:rsidRPr="0063119B">
        <w:rPr>
          <w:noProof/>
          <w:szCs w:val="22"/>
        </w:rPr>
        <w:t xml:space="preserve"> esmagado pode </w:t>
      </w:r>
      <w:r w:rsidR="00307880" w:rsidRPr="0063119B">
        <w:rPr>
          <w:noProof/>
          <w:szCs w:val="22"/>
        </w:rPr>
        <w:t xml:space="preserve">também </w:t>
      </w:r>
      <w:r w:rsidRPr="0063119B">
        <w:rPr>
          <w:noProof/>
          <w:szCs w:val="22"/>
        </w:rPr>
        <w:t>ser administrado através de sondas gástricas</w:t>
      </w:r>
      <w:r w:rsidR="00307880" w:rsidRPr="0063119B">
        <w:rPr>
          <w:noProof/>
          <w:szCs w:val="22"/>
        </w:rPr>
        <w:t xml:space="preserve"> </w:t>
      </w:r>
      <w:r w:rsidRPr="0063119B">
        <w:rPr>
          <w:noProof/>
          <w:szCs w:val="22"/>
        </w:rPr>
        <w:t>(ver secç</w:t>
      </w:r>
      <w:r w:rsidR="009D10A4">
        <w:rPr>
          <w:noProof/>
          <w:szCs w:val="22"/>
        </w:rPr>
        <w:t>ões</w:t>
      </w:r>
      <w:r w:rsidRPr="0063119B">
        <w:rPr>
          <w:noProof/>
          <w:szCs w:val="22"/>
        </w:rPr>
        <w:t> 5.2</w:t>
      </w:r>
      <w:r w:rsidR="009D10A4">
        <w:rPr>
          <w:noProof/>
          <w:szCs w:val="22"/>
        </w:rPr>
        <w:t xml:space="preserve"> e 6.6</w:t>
      </w:r>
      <w:r w:rsidRPr="0063119B">
        <w:rPr>
          <w:noProof/>
          <w:szCs w:val="22"/>
        </w:rPr>
        <w:t>).</w:t>
      </w:r>
    </w:p>
    <w:p w14:paraId="027BB50F" w14:textId="77777777" w:rsidR="006D2FA6" w:rsidRDefault="006D2FA6" w:rsidP="00337111">
      <w:pPr>
        <w:suppressAutoHyphens/>
        <w:ind w:left="567" w:hanging="567"/>
        <w:rPr>
          <w:b/>
          <w:noProof/>
          <w:szCs w:val="22"/>
        </w:rPr>
      </w:pPr>
    </w:p>
    <w:p w14:paraId="5EDDC1A3" w14:textId="77777777" w:rsidR="009D10A4" w:rsidRPr="009D10A4" w:rsidRDefault="009D10A4" w:rsidP="009D10A4">
      <w:pPr>
        <w:autoSpaceDE w:val="0"/>
        <w:autoSpaceDN w:val="0"/>
        <w:adjustRightInd w:val="0"/>
        <w:rPr>
          <w:color w:val="000000"/>
          <w:szCs w:val="22"/>
          <w:lang w:eastAsia="pt-PT"/>
        </w:rPr>
      </w:pPr>
      <w:r w:rsidRPr="009D10A4">
        <w:rPr>
          <w:i/>
          <w:iCs/>
          <w:color w:val="000000"/>
          <w:szCs w:val="22"/>
          <w:lang w:eastAsia="pt-PT"/>
        </w:rPr>
        <w:t xml:space="preserve">Crianças e adolescentes com peso entre 30 kg e 50 kg </w:t>
      </w:r>
    </w:p>
    <w:p w14:paraId="7C5A651A" w14:textId="77777777" w:rsidR="009D10A4" w:rsidRPr="009D10A4" w:rsidRDefault="009E7BA8" w:rsidP="009D10A4">
      <w:pPr>
        <w:autoSpaceDE w:val="0"/>
        <w:autoSpaceDN w:val="0"/>
        <w:adjustRightInd w:val="0"/>
        <w:rPr>
          <w:color w:val="000000"/>
          <w:szCs w:val="22"/>
          <w:lang w:eastAsia="pt-PT"/>
        </w:rPr>
      </w:pPr>
      <w:r>
        <w:rPr>
          <w:noProof/>
          <w:szCs w:val="22"/>
        </w:rPr>
        <w:t>Rivaroxabano</w:t>
      </w:r>
      <w:r w:rsidRPr="0063119B">
        <w:rPr>
          <w:noProof/>
          <w:szCs w:val="22"/>
        </w:rPr>
        <w:t xml:space="preserve"> Accord </w:t>
      </w:r>
      <w:r w:rsidR="009D10A4" w:rsidRPr="009D10A4">
        <w:rPr>
          <w:color w:val="000000"/>
          <w:szCs w:val="22"/>
          <w:lang w:eastAsia="pt-PT"/>
        </w:rPr>
        <w:t xml:space="preserve">é para uso oral. </w:t>
      </w:r>
    </w:p>
    <w:p w14:paraId="32E593F4" w14:textId="77777777" w:rsidR="009D10A4" w:rsidRDefault="009D10A4" w:rsidP="00EF3721">
      <w:pPr>
        <w:autoSpaceDE w:val="0"/>
        <w:autoSpaceDN w:val="0"/>
        <w:adjustRightInd w:val="0"/>
        <w:rPr>
          <w:color w:val="000000"/>
          <w:szCs w:val="22"/>
          <w:lang w:eastAsia="pt-PT"/>
        </w:rPr>
      </w:pPr>
      <w:r w:rsidRPr="009D10A4">
        <w:rPr>
          <w:color w:val="000000"/>
          <w:szCs w:val="22"/>
          <w:lang w:eastAsia="pt-PT"/>
        </w:rPr>
        <w:t>O doente deve ser aconselhado a engolir o comprimido com um líquido. O comprimido deve também ser tomado com alimentos (ver secção 5.2). Os comprimidos devem ser tomados com um intervalo de, aproximadamente, 24 horas.</w:t>
      </w:r>
    </w:p>
    <w:p w14:paraId="2C69B4B5" w14:textId="77777777" w:rsidR="009D10A4" w:rsidRDefault="009D10A4" w:rsidP="009D10A4">
      <w:pPr>
        <w:suppressAutoHyphens/>
        <w:ind w:left="567" w:hanging="567"/>
        <w:rPr>
          <w:color w:val="000000"/>
          <w:szCs w:val="22"/>
          <w:lang w:eastAsia="pt-PT"/>
        </w:rPr>
      </w:pPr>
    </w:p>
    <w:p w14:paraId="6E465F04" w14:textId="77777777" w:rsidR="009D10A4" w:rsidRPr="009D10A4" w:rsidRDefault="009D10A4" w:rsidP="009D10A4">
      <w:pPr>
        <w:autoSpaceDE w:val="0"/>
        <w:autoSpaceDN w:val="0"/>
        <w:adjustRightInd w:val="0"/>
        <w:rPr>
          <w:color w:val="000000"/>
          <w:szCs w:val="22"/>
          <w:lang w:eastAsia="pt-PT"/>
        </w:rPr>
      </w:pPr>
      <w:r w:rsidRPr="009D10A4">
        <w:rPr>
          <w:color w:val="000000"/>
          <w:szCs w:val="22"/>
          <w:lang w:eastAsia="pt-PT"/>
        </w:rPr>
        <w:t xml:space="preserve">Deverá administrar-se uma nova dose no caso de o doente cuspir ou vomitar a dose imediatamente no período de 30 minutos após ter recebido a dose. Contudo, se o doente vomitar decorridos mais de 30 minutos após a dose, a dose não deverá ser readministrada e a dose seguinte deverá ser tomada conforme programado. </w:t>
      </w:r>
    </w:p>
    <w:p w14:paraId="1CB7FF70" w14:textId="77777777" w:rsidR="009D10A4" w:rsidRDefault="009D10A4" w:rsidP="009D10A4">
      <w:pPr>
        <w:autoSpaceDE w:val="0"/>
        <w:autoSpaceDN w:val="0"/>
        <w:adjustRightInd w:val="0"/>
        <w:rPr>
          <w:color w:val="000000"/>
          <w:szCs w:val="22"/>
          <w:lang w:eastAsia="pt-PT"/>
        </w:rPr>
      </w:pPr>
    </w:p>
    <w:p w14:paraId="59CF1D37" w14:textId="77777777" w:rsidR="009D10A4" w:rsidRDefault="009D10A4" w:rsidP="009D10A4">
      <w:pPr>
        <w:autoSpaceDE w:val="0"/>
        <w:autoSpaceDN w:val="0"/>
        <w:adjustRightInd w:val="0"/>
        <w:rPr>
          <w:color w:val="000000"/>
          <w:szCs w:val="22"/>
          <w:lang w:eastAsia="pt-PT"/>
        </w:rPr>
      </w:pPr>
      <w:r w:rsidRPr="009D10A4">
        <w:rPr>
          <w:color w:val="000000"/>
          <w:szCs w:val="22"/>
          <w:lang w:eastAsia="pt-PT"/>
        </w:rPr>
        <w:t xml:space="preserve">O comprimido não pode ser dividido numa tentativa de se obter uma fração de uma dose do comprimido. </w:t>
      </w:r>
    </w:p>
    <w:p w14:paraId="79A0A34A" w14:textId="77777777" w:rsidR="00ED6A91" w:rsidRDefault="00ED6A91" w:rsidP="009D10A4">
      <w:pPr>
        <w:autoSpaceDE w:val="0"/>
        <w:autoSpaceDN w:val="0"/>
        <w:adjustRightInd w:val="0"/>
      </w:pPr>
      <w:r w:rsidRPr="007E1ED7">
        <w:rPr>
          <w:i/>
          <w:iCs/>
        </w:rPr>
        <w:lastRenderedPageBreak/>
        <w:t>Trituração dos comprimidos</w:t>
      </w:r>
      <w:r>
        <w:t xml:space="preserve"> </w:t>
      </w:r>
    </w:p>
    <w:p w14:paraId="22A545B2" w14:textId="77777777" w:rsidR="00ED6A91" w:rsidRDefault="00ED6A91" w:rsidP="009D10A4">
      <w:pPr>
        <w:autoSpaceDE w:val="0"/>
        <w:autoSpaceDN w:val="0"/>
        <w:adjustRightInd w:val="0"/>
      </w:pPr>
      <w:r>
        <w:t xml:space="preserve">Nos doentes que não são capazes de engolir os comprimidos inteiros, deverá utilizar-se outro medicamento contendo rivaroxabano granulado para suspensão oral disponível no mercado. Se a suspensão oral não estiver imediatamente disponível quando se prescrevem doses de 15 mg ou 20 mg de rivaroxabano, estas podem ser obtidas esmagando-se o comprimido de 15 mg ou 20 mg e misturando-o com água ou com puré de maçã imediatamente antes de utilizar e administrar por via oral. </w:t>
      </w:r>
    </w:p>
    <w:p w14:paraId="396F8239" w14:textId="77777777" w:rsidR="00ED6A91" w:rsidRPr="00EF3721" w:rsidRDefault="00ED6A91" w:rsidP="009D10A4">
      <w:pPr>
        <w:autoSpaceDE w:val="0"/>
        <w:autoSpaceDN w:val="0"/>
        <w:adjustRightInd w:val="0"/>
        <w:rPr>
          <w:color w:val="000000"/>
          <w:szCs w:val="22"/>
          <w:lang w:eastAsia="pt-PT"/>
        </w:rPr>
      </w:pPr>
      <w:r>
        <w:t>O comprimido esmagado poderá ser administrado através de uma sonda nasogástrica ou de uma sonda de alimentação gástrica (ver secções 5.2 e 6.6)</w:t>
      </w:r>
    </w:p>
    <w:p w14:paraId="05E3A644" w14:textId="77777777" w:rsidR="009D10A4" w:rsidRPr="0063119B" w:rsidRDefault="009D10A4" w:rsidP="009D10A4">
      <w:pPr>
        <w:suppressAutoHyphens/>
        <w:ind w:left="567" w:hanging="567"/>
        <w:rPr>
          <w:b/>
          <w:noProof/>
          <w:szCs w:val="22"/>
        </w:rPr>
      </w:pPr>
    </w:p>
    <w:p w14:paraId="096E4537" w14:textId="77777777" w:rsidR="00337111" w:rsidRPr="0063119B" w:rsidRDefault="00337111" w:rsidP="00337111">
      <w:pPr>
        <w:suppressAutoHyphens/>
        <w:ind w:left="567" w:hanging="567"/>
        <w:rPr>
          <w:noProof/>
          <w:szCs w:val="22"/>
        </w:rPr>
      </w:pPr>
      <w:r w:rsidRPr="0063119B">
        <w:rPr>
          <w:b/>
          <w:noProof/>
          <w:szCs w:val="22"/>
        </w:rPr>
        <w:t>4.3</w:t>
      </w:r>
      <w:r w:rsidRPr="0063119B">
        <w:rPr>
          <w:b/>
          <w:noProof/>
          <w:szCs w:val="22"/>
        </w:rPr>
        <w:tab/>
        <w:t>Contraindicações</w:t>
      </w:r>
    </w:p>
    <w:p w14:paraId="6661FF88" w14:textId="77777777" w:rsidR="00337111" w:rsidRPr="0063119B" w:rsidRDefault="00337111" w:rsidP="00337111">
      <w:pPr>
        <w:suppressAutoHyphens/>
        <w:rPr>
          <w:noProof/>
          <w:szCs w:val="22"/>
        </w:rPr>
      </w:pPr>
    </w:p>
    <w:p w14:paraId="5894F938" w14:textId="77777777" w:rsidR="00337111" w:rsidRPr="0063119B" w:rsidRDefault="00337111" w:rsidP="00337111">
      <w:pPr>
        <w:suppressAutoHyphens/>
        <w:rPr>
          <w:noProof/>
          <w:szCs w:val="22"/>
        </w:rPr>
      </w:pPr>
      <w:r w:rsidRPr="0063119B">
        <w:rPr>
          <w:noProof/>
          <w:szCs w:val="22"/>
        </w:rPr>
        <w:t>Hipersensibilidade à substância ativa ou a qualquer um dos excipientes mencionados na secção 6.1.</w:t>
      </w:r>
    </w:p>
    <w:p w14:paraId="6629BA00" w14:textId="77777777" w:rsidR="00337111" w:rsidRPr="0063119B" w:rsidRDefault="00337111" w:rsidP="00337111">
      <w:pPr>
        <w:suppressAutoHyphens/>
        <w:rPr>
          <w:noProof/>
          <w:szCs w:val="22"/>
        </w:rPr>
      </w:pPr>
    </w:p>
    <w:p w14:paraId="69D177FA" w14:textId="77777777" w:rsidR="006E7BFA" w:rsidRPr="0063119B" w:rsidRDefault="00E83E40" w:rsidP="00337111">
      <w:pPr>
        <w:suppressAutoHyphens/>
        <w:rPr>
          <w:noProof/>
          <w:szCs w:val="22"/>
        </w:rPr>
      </w:pPr>
      <w:r w:rsidRPr="0063119B">
        <w:rPr>
          <w:noProof/>
          <w:szCs w:val="22"/>
        </w:rPr>
        <w:t>Hemorragia ativa clinicamente significativa.</w:t>
      </w:r>
    </w:p>
    <w:p w14:paraId="23F493D4" w14:textId="77777777" w:rsidR="00337111" w:rsidRPr="0063119B" w:rsidRDefault="00337111" w:rsidP="00337111">
      <w:pPr>
        <w:suppressAutoHyphens/>
        <w:rPr>
          <w:noProof/>
          <w:szCs w:val="22"/>
        </w:rPr>
      </w:pPr>
    </w:p>
    <w:p w14:paraId="78D7F5F7" w14:textId="77777777" w:rsidR="00337111" w:rsidRPr="0063119B" w:rsidRDefault="00337111" w:rsidP="00337111">
      <w:pPr>
        <w:autoSpaceDE w:val="0"/>
        <w:autoSpaceDN w:val="0"/>
        <w:adjustRightInd w:val="0"/>
        <w:rPr>
          <w:noProof/>
          <w:szCs w:val="22"/>
        </w:rPr>
      </w:pPr>
      <w:r w:rsidRPr="0063119B">
        <w:rPr>
          <w:noProof/>
          <w:szCs w:val="22"/>
        </w:rPr>
        <w:t>Lesões ou condições</w:t>
      </w:r>
      <w:r w:rsidR="000151B1" w:rsidRPr="0063119B">
        <w:rPr>
          <w:noProof/>
          <w:szCs w:val="22"/>
        </w:rPr>
        <w:t xml:space="preserve">, se consideradas como </w:t>
      </w:r>
      <w:r w:rsidR="00A43A76" w:rsidRPr="0063119B">
        <w:rPr>
          <w:noProof/>
          <w:szCs w:val="22"/>
        </w:rPr>
        <w:t>apresentando</w:t>
      </w:r>
      <w:r w:rsidR="000151B1" w:rsidRPr="0063119B">
        <w:rPr>
          <w:noProof/>
          <w:szCs w:val="22"/>
        </w:rPr>
        <w:t xml:space="preserve"> um</w:t>
      </w:r>
      <w:r w:rsidRPr="0063119B">
        <w:rPr>
          <w:noProof/>
          <w:szCs w:val="22"/>
        </w:rPr>
        <w:t xml:space="preserve"> risco significativo de grande hemorragia</w:t>
      </w:r>
      <w:r w:rsidR="000151B1" w:rsidRPr="0063119B">
        <w:rPr>
          <w:noProof/>
          <w:szCs w:val="22"/>
        </w:rPr>
        <w:t>. Estas podem incluir</w:t>
      </w:r>
      <w:r w:rsidRPr="0063119B">
        <w:rPr>
          <w:noProof/>
          <w:szCs w:val="22"/>
        </w:rPr>
        <w:t xml:space="preserve"> úlceras gastrointestinais atuais ou recentes, presença de neoplasias malignas com elevado risco de hemorragia, lesão recente no cérebro ou na espinal medula, cirurgia cerebral, espinal ou oftálmica recente, hemorragia intracraniana recente, suspeita ou conhecimento de varizes esofágicas, malformações arteriovenosas, aneurismas vasculares ou grandes anomalias vasculares intraespinais ou intracerebrais.</w:t>
      </w:r>
    </w:p>
    <w:p w14:paraId="10040FA7" w14:textId="77777777" w:rsidR="00337111" w:rsidRPr="0063119B" w:rsidRDefault="00337111" w:rsidP="00337111">
      <w:pPr>
        <w:suppressAutoHyphens/>
        <w:rPr>
          <w:noProof/>
          <w:szCs w:val="22"/>
        </w:rPr>
      </w:pPr>
    </w:p>
    <w:p w14:paraId="06D92428" w14:textId="77777777" w:rsidR="00337111" w:rsidRPr="0063119B" w:rsidRDefault="00337111" w:rsidP="00337111">
      <w:pPr>
        <w:autoSpaceDE w:val="0"/>
        <w:autoSpaceDN w:val="0"/>
        <w:adjustRightInd w:val="0"/>
        <w:rPr>
          <w:noProof/>
          <w:szCs w:val="22"/>
        </w:rPr>
      </w:pPr>
      <w:r w:rsidRPr="0063119B">
        <w:rPr>
          <w:noProof/>
          <w:szCs w:val="22"/>
        </w:rPr>
        <w:t>O tratamento concomitante com qua</w:t>
      </w:r>
      <w:r w:rsidR="000151B1" w:rsidRPr="0063119B">
        <w:rPr>
          <w:noProof/>
          <w:szCs w:val="22"/>
        </w:rPr>
        <w:t>is</w:t>
      </w:r>
      <w:r w:rsidRPr="0063119B">
        <w:rPr>
          <w:noProof/>
          <w:szCs w:val="22"/>
        </w:rPr>
        <w:t>quer outro</w:t>
      </w:r>
      <w:r w:rsidR="000151B1" w:rsidRPr="0063119B">
        <w:rPr>
          <w:noProof/>
          <w:szCs w:val="22"/>
        </w:rPr>
        <w:t>s</w:t>
      </w:r>
      <w:r w:rsidRPr="0063119B">
        <w:rPr>
          <w:noProof/>
          <w:szCs w:val="22"/>
        </w:rPr>
        <w:t xml:space="preserve"> anticoagulante</w:t>
      </w:r>
      <w:r w:rsidR="000151B1" w:rsidRPr="0063119B">
        <w:rPr>
          <w:noProof/>
          <w:szCs w:val="22"/>
        </w:rPr>
        <w:t>s</w:t>
      </w:r>
      <w:r w:rsidRPr="0063119B">
        <w:rPr>
          <w:noProof/>
          <w:szCs w:val="22"/>
        </w:rPr>
        <w:t>, ex.: heparina não fracionada (HNF), heparinas de baixo peso molecular (enoxaparina, dalteparina, etc.), derivados da heparina</w:t>
      </w:r>
    </w:p>
    <w:p w14:paraId="534CC5A2" w14:textId="77777777" w:rsidR="00337111" w:rsidRPr="0063119B" w:rsidRDefault="00337111" w:rsidP="00337111">
      <w:pPr>
        <w:autoSpaceDE w:val="0"/>
        <w:autoSpaceDN w:val="0"/>
        <w:adjustRightInd w:val="0"/>
        <w:rPr>
          <w:noProof/>
          <w:szCs w:val="22"/>
        </w:rPr>
      </w:pPr>
      <w:r w:rsidRPr="0063119B">
        <w:rPr>
          <w:noProof/>
          <w:szCs w:val="22"/>
        </w:rPr>
        <w:t xml:space="preserve">(fondaparinux, etc.), anticoagulantes orais (varfarina, dabigatrano </w:t>
      </w:r>
      <w:r w:rsidR="000151B1" w:rsidRPr="0063119B">
        <w:rPr>
          <w:noProof/>
          <w:szCs w:val="22"/>
        </w:rPr>
        <w:t xml:space="preserve">etexilato, apixabano, </w:t>
      </w:r>
      <w:r w:rsidRPr="0063119B">
        <w:rPr>
          <w:noProof/>
          <w:szCs w:val="22"/>
        </w:rPr>
        <w:t>etc.), exceto nas</w:t>
      </w:r>
      <w:r w:rsidR="00CA3934" w:rsidRPr="0063119B">
        <w:rPr>
          <w:noProof/>
          <w:szCs w:val="22"/>
        </w:rPr>
        <w:t xml:space="preserve"> </w:t>
      </w:r>
      <w:r w:rsidRPr="0063119B">
        <w:rPr>
          <w:noProof/>
          <w:szCs w:val="22"/>
        </w:rPr>
        <w:t xml:space="preserve">circunstâncias </w:t>
      </w:r>
      <w:r w:rsidR="00160025" w:rsidRPr="0063119B">
        <w:rPr>
          <w:noProof/>
          <w:szCs w:val="22"/>
        </w:rPr>
        <w:t xml:space="preserve">específicas </w:t>
      </w:r>
      <w:r w:rsidRPr="0063119B">
        <w:rPr>
          <w:noProof/>
          <w:szCs w:val="22"/>
        </w:rPr>
        <w:t xml:space="preserve">de mudança de terapêutica </w:t>
      </w:r>
      <w:r w:rsidR="00160025" w:rsidRPr="0063119B">
        <w:rPr>
          <w:noProof/>
          <w:szCs w:val="22"/>
        </w:rPr>
        <w:t>anticoagulante</w:t>
      </w:r>
      <w:r w:rsidRPr="0063119B">
        <w:rPr>
          <w:noProof/>
          <w:szCs w:val="22"/>
        </w:rPr>
        <w:t xml:space="preserve"> (ver secção</w:t>
      </w:r>
      <w:r w:rsidR="00591027" w:rsidRPr="0063119B">
        <w:rPr>
          <w:noProof/>
          <w:szCs w:val="22"/>
        </w:rPr>
        <w:t> </w:t>
      </w:r>
      <w:r w:rsidRPr="0063119B">
        <w:rPr>
          <w:noProof/>
          <w:szCs w:val="22"/>
        </w:rPr>
        <w:t>4.2) ou quando são</w:t>
      </w:r>
      <w:r w:rsidR="001864F6" w:rsidRPr="0063119B">
        <w:rPr>
          <w:noProof/>
          <w:szCs w:val="22"/>
        </w:rPr>
        <w:t xml:space="preserve"> </w:t>
      </w:r>
      <w:r w:rsidRPr="0063119B">
        <w:rPr>
          <w:noProof/>
          <w:szCs w:val="22"/>
        </w:rPr>
        <w:t xml:space="preserve">administradas doses de HNF necessárias para manter </w:t>
      </w:r>
      <w:r w:rsidR="00D30B99" w:rsidRPr="0063119B">
        <w:rPr>
          <w:noProof/>
          <w:szCs w:val="22"/>
        </w:rPr>
        <w:t xml:space="preserve">aberto </w:t>
      </w:r>
      <w:r w:rsidRPr="0063119B">
        <w:rPr>
          <w:noProof/>
          <w:szCs w:val="22"/>
        </w:rPr>
        <w:t>um acesso venoso central ou um cateter arterial</w:t>
      </w:r>
      <w:r w:rsidR="00262C20" w:rsidRPr="0063119B">
        <w:rPr>
          <w:noProof/>
          <w:szCs w:val="22"/>
        </w:rPr>
        <w:t xml:space="preserve"> (ver secção 4.5)</w:t>
      </w:r>
      <w:r w:rsidRPr="0063119B">
        <w:rPr>
          <w:noProof/>
          <w:szCs w:val="22"/>
        </w:rPr>
        <w:t>.</w:t>
      </w:r>
    </w:p>
    <w:p w14:paraId="4346AD0C" w14:textId="77777777" w:rsidR="00337111" w:rsidRPr="0063119B" w:rsidRDefault="00337111" w:rsidP="00337111">
      <w:pPr>
        <w:suppressAutoHyphens/>
        <w:rPr>
          <w:noProof/>
          <w:szCs w:val="22"/>
        </w:rPr>
      </w:pPr>
    </w:p>
    <w:p w14:paraId="09696CFF" w14:textId="77777777" w:rsidR="00337111" w:rsidRPr="0063119B" w:rsidRDefault="00337111" w:rsidP="00337111">
      <w:pPr>
        <w:suppressAutoHyphens/>
        <w:rPr>
          <w:noProof/>
          <w:szCs w:val="22"/>
        </w:rPr>
      </w:pPr>
      <w:r w:rsidRPr="0063119B">
        <w:rPr>
          <w:noProof/>
          <w:szCs w:val="22"/>
        </w:rPr>
        <w:t>Doença hepática associada a coagulopatia e risco de hemorragia clinicamente relevante, incluindo doentes com cirrose com Child Pugh B e C (ver secção 5.2).</w:t>
      </w:r>
    </w:p>
    <w:p w14:paraId="2C8718A0" w14:textId="77777777" w:rsidR="00337111" w:rsidRPr="0063119B" w:rsidRDefault="00337111" w:rsidP="00337111">
      <w:pPr>
        <w:suppressAutoHyphens/>
        <w:rPr>
          <w:noProof/>
          <w:szCs w:val="22"/>
        </w:rPr>
      </w:pPr>
    </w:p>
    <w:p w14:paraId="55C88F7C" w14:textId="77777777" w:rsidR="00337111" w:rsidRPr="0063119B" w:rsidRDefault="00337111" w:rsidP="00337111">
      <w:pPr>
        <w:suppressAutoHyphens/>
        <w:rPr>
          <w:noProof/>
          <w:szCs w:val="22"/>
        </w:rPr>
      </w:pPr>
      <w:r w:rsidRPr="0063119B">
        <w:rPr>
          <w:noProof/>
          <w:szCs w:val="22"/>
        </w:rPr>
        <w:t>Gravidez e amamentação (ver secção 4.6).</w:t>
      </w:r>
    </w:p>
    <w:p w14:paraId="0A356E54" w14:textId="77777777" w:rsidR="00337111" w:rsidRPr="0063119B" w:rsidRDefault="00337111" w:rsidP="00337111">
      <w:pPr>
        <w:suppressAutoHyphens/>
        <w:rPr>
          <w:noProof/>
          <w:szCs w:val="22"/>
        </w:rPr>
      </w:pPr>
    </w:p>
    <w:p w14:paraId="3ED63DAB" w14:textId="77777777" w:rsidR="00337111" w:rsidRPr="0063119B" w:rsidRDefault="00337111" w:rsidP="00337111">
      <w:pPr>
        <w:keepNext/>
        <w:suppressAutoHyphens/>
        <w:ind w:left="567" w:hanging="567"/>
        <w:rPr>
          <w:noProof/>
          <w:szCs w:val="22"/>
        </w:rPr>
      </w:pPr>
      <w:r w:rsidRPr="0063119B">
        <w:rPr>
          <w:b/>
          <w:noProof/>
          <w:szCs w:val="22"/>
        </w:rPr>
        <w:t>4.4</w:t>
      </w:r>
      <w:r w:rsidRPr="0063119B">
        <w:rPr>
          <w:b/>
          <w:noProof/>
          <w:szCs w:val="22"/>
        </w:rPr>
        <w:tab/>
        <w:t>Advertências e precauções especiais de utilização</w:t>
      </w:r>
    </w:p>
    <w:p w14:paraId="3C08A8F4" w14:textId="77777777" w:rsidR="00337111" w:rsidRPr="0063119B" w:rsidRDefault="00337111" w:rsidP="00337111">
      <w:pPr>
        <w:keepNext/>
        <w:suppressAutoHyphens/>
        <w:rPr>
          <w:noProof/>
          <w:szCs w:val="22"/>
        </w:rPr>
      </w:pPr>
    </w:p>
    <w:p w14:paraId="33467EB2" w14:textId="77777777" w:rsidR="00337111" w:rsidRPr="0063119B" w:rsidRDefault="00337111" w:rsidP="00337111">
      <w:pPr>
        <w:keepNext/>
        <w:rPr>
          <w:szCs w:val="22"/>
        </w:rPr>
      </w:pPr>
      <w:r w:rsidRPr="0063119B">
        <w:rPr>
          <w:szCs w:val="22"/>
        </w:rPr>
        <w:t>Recomenda</w:t>
      </w:r>
      <w:r w:rsidRPr="0063119B">
        <w:rPr>
          <w:szCs w:val="22"/>
        </w:rPr>
        <w:noBreakHyphen/>
        <w:t>se vigilância clínica, de acordo com as práticas de anticoagulação, durante todo o período de tratamento.</w:t>
      </w:r>
    </w:p>
    <w:p w14:paraId="32773547" w14:textId="77777777" w:rsidR="00337111" w:rsidRPr="0063119B" w:rsidRDefault="00337111" w:rsidP="00337111">
      <w:pPr>
        <w:suppressAutoHyphens/>
        <w:rPr>
          <w:noProof/>
          <w:szCs w:val="22"/>
        </w:rPr>
      </w:pPr>
    </w:p>
    <w:p w14:paraId="2243AAA1" w14:textId="77777777" w:rsidR="00337111" w:rsidRDefault="00337111" w:rsidP="00337111">
      <w:pPr>
        <w:suppressAutoHyphens/>
        <w:rPr>
          <w:noProof/>
          <w:szCs w:val="22"/>
          <w:u w:val="single"/>
        </w:rPr>
      </w:pPr>
      <w:r w:rsidRPr="0063119B">
        <w:rPr>
          <w:noProof/>
          <w:szCs w:val="22"/>
          <w:u w:val="single"/>
        </w:rPr>
        <w:t>Risco hemorrágico</w:t>
      </w:r>
    </w:p>
    <w:p w14:paraId="18F5A10E" w14:textId="77777777" w:rsidR="00333F37" w:rsidRPr="0063119B" w:rsidRDefault="00333F37" w:rsidP="00337111">
      <w:pPr>
        <w:suppressAutoHyphens/>
        <w:rPr>
          <w:noProof/>
          <w:szCs w:val="22"/>
          <w:u w:val="single"/>
        </w:rPr>
      </w:pPr>
    </w:p>
    <w:p w14:paraId="22306344" w14:textId="77777777" w:rsidR="00337111" w:rsidRPr="0063119B" w:rsidRDefault="00337111" w:rsidP="00337111">
      <w:pPr>
        <w:suppressAutoHyphens/>
        <w:rPr>
          <w:noProof/>
          <w:szCs w:val="22"/>
        </w:rPr>
      </w:pPr>
      <w:r w:rsidRPr="0063119B">
        <w:rPr>
          <w:noProof/>
          <w:szCs w:val="22"/>
        </w:rPr>
        <w:t xml:space="preserve">Tal como com outros anticoagulantes, os doentes que tomam </w:t>
      </w:r>
      <w:r w:rsidR="00607DE4">
        <w:rPr>
          <w:noProof/>
          <w:szCs w:val="22"/>
        </w:rPr>
        <w:t>Rivaroxabano</w:t>
      </w:r>
      <w:r w:rsidR="003C019A" w:rsidRPr="0063119B">
        <w:rPr>
          <w:noProof/>
          <w:szCs w:val="22"/>
        </w:rPr>
        <w:t xml:space="preserve"> Accord</w:t>
      </w:r>
      <w:r w:rsidRPr="0063119B">
        <w:rPr>
          <w:noProof/>
          <w:szCs w:val="22"/>
        </w:rPr>
        <w:t xml:space="preserve"> devem ser cuidadosamente observados quanto a sinais de hemorragia. Recomenda-se precaução ao ser utilizado em situações com risco aumentado de hemorragia. A administração de </w:t>
      </w:r>
      <w:r w:rsidR="00607DE4">
        <w:rPr>
          <w:noProof/>
          <w:szCs w:val="22"/>
        </w:rPr>
        <w:t>Rivaroxabano</w:t>
      </w:r>
      <w:r w:rsidR="003C019A" w:rsidRPr="0063119B">
        <w:rPr>
          <w:noProof/>
          <w:szCs w:val="22"/>
        </w:rPr>
        <w:t xml:space="preserve"> Accord</w:t>
      </w:r>
      <w:r w:rsidRPr="0063119B">
        <w:rPr>
          <w:noProof/>
          <w:szCs w:val="22"/>
        </w:rPr>
        <w:t xml:space="preserve"> deve ser interrompida se ocorrer hemorragia grave</w:t>
      </w:r>
      <w:r w:rsidR="00882FBD" w:rsidRPr="0063119B">
        <w:rPr>
          <w:noProof/>
          <w:szCs w:val="22"/>
        </w:rPr>
        <w:t xml:space="preserve"> (ver secção 4.9)</w:t>
      </w:r>
      <w:r w:rsidRPr="0063119B">
        <w:rPr>
          <w:noProof/>
          <w:szCs w:val="22"/>
        </w:rPr>
        <w:t>.</w:t>
      </w:r>
    </w:p>
    <w:p w14:paraId="355CDEA0" w14:textId="77777777" w:rsidR="00337111" w:rsidRPr="0063119B" w:rsidRDefault="00337111" w:rsidP="00337111">
      <w:pPr>
        <w:suppressAutoHyphens/>
        <w:rPr>
          <w:noProof/>
          <w:szCs w:val="22"/>
        </w:rPr>
      </w:pPr>
    </w:p>
    <w:p w14:paraId="46D57F6F" w14:textId="77777777" w:rsidR="00337111" w:rsidRPr="0063119B" w:rsidRDefault="00D701F0" w:rsidP="00337111">
      <w:pPr>
        <w:suppressAutoHyphens/>
        <w:rPr>
          <w:noProof/>
          <w:szCs w:val="22"/>
        </w:rPr>
      </w:pPr>
      <w:r w:rsidRPr="0063119B">
        <w:rPr>
          <w:noProof/>
          <w:szCs w:val="22"/>
        </w:rPr>
        <w:t>Nos</w:t>
      </w:r>
      <w:r w:rsidR="00337111" w:rsidRPr="0063119B">
        <w:rPr>
          <w:noProof/>
          <w:szCs w:val="22"/>
        </w:rPr>
        <w:t xml:space="preserve"> estudos clínicos, foram observadas com maior frequência hemorragias das mucosas (ex.: epistaxe, gengival, gastrointestinal, genitourinária</w:t>
      </w:r>
      <w:r w:rsidR="00923B5E" w:rsidRPr="0063119B">
        <w:rPr>
          <w:noProof/>
          <w:szCs w:val="22"/>
        </w:rPr>
        <w:t xml:space="preserve"> incluindo hemorragia vaginal anormal ou menstrual aumentada</w:t>
      </w:r>
      <w:r w:rsidR="00337111" w:rsidRPr="0063119B">
        <w:rPr>
          <w:noProof/>
          <w:szCs w:val="22"/>
        </w:rPr>
        <w:t>) e anemia durante o tratamento prolongado com rivaroxabano, comparativamente ao tratamento com AVK. Assim, para além de uma vigilância clínica adequada, testes laboratoriais de hemoglobina/hematócrito podem ser uma mais</w:t>
      </w:r>
      <w:r w:rsidR="00FE6F39" w:rsidRPr="0063119B">
        <w:rPr>
          <w:noProof/>
          <w:szCs w:val="22"/>
        </w:rPr>
        <w:t>-</w:t>
      </w:r>
      <w:r w:rsidR="00337111" w:rsidRPr="0063119B">
        <w:rPr>
          <w:noProof/>
          <w:szCs w:val="22"/>
        </w:rPr>
        <w:t>valia para detetar hemorragias ocultas</w:t>
      </w:r>
      <w:r w:rsidR="00923B5E" w:rsidRPr="0063119B">
        <w:rPr>
          <w:noProof/>
          <w:szCs w:val="22"/>
        </w:rPr>
        <w:t xml:space="preserve"> e quantificar a relevância clínica de uma hemorragia óbvia</w:t>
      </w:r>
      <w:r w:rsidR="00337111" w:rsidRPr="0063119B">
        <w:rPr>
          <w:noProof/>
          <w:szCs w:val="22"/>
        </w:rPr>
        <w:t>, quando considerado necessário.</w:t>
      </w:r>
    </w:p>
    <w:p w14:paraId="0786A0F7" w14:textId="77777777" w:rsidR="00337111" w:rsidRPr="0063119B" w:rsidRDefault="00337111" w:rsidP="00337111">
      <w:pPr>
        <w:suppressAutoHyphens/>
        <w:rPr>
          <w:noProof/>
          <w:szCs w:val="22"/>
        </w:rPr>
      </w:pPr>
    </w:p>
    <w:p w14:paraId="52D9DCD3" w14:textId="77777777" w:rsidR="00337111" w:rsidRPr="0063119B" w:rsidRDefault="00337111" w:rsidP="00337111">
      <w:pPr>
        <w:suppressAutoHyphens/>
        <w:rPr>
          <w:noProof/>
          <w:szCs w:val="22"/>
        </w:rPr>
      </w:pPr>
      <w:r w:rsidRPr="0063119B">
        <w:rPr>
          <w:noProof/>
          <w:szCs w:val="22"/>
        </w:rPr>
        <w:t>Vários subgrupos de doentes, como abaixo detalhado, apresentam um risco aumentado de hemorragia. Estes doentes devem ser cuidadosamente monitorizados quanto a sinais e sintomas de complicações hemorrágicas e anemia após o início do tratamento (ver secção 4.8).</w:t>
      </w:r>
    </w:p>
    <w:p w14:paraId="0AF9743B" w14:textId="77777777" w:rsidR="00337111" w:rsidRPr="0063119B" w:rsidRDefault="00337111" w:rsidP="00337111">
      <w:pPr>
        <w:suppressAutoHyphens/>
        <w:rPr>
          <w:noProof/>
          <w:szCs w:val="22"/>
        </w:rPr>
      </w:pPr>
      <w:r w:rsidRPr="0063119B">
        <w:rPr>
          <w:noProof/>
          <w:szCs w:val="22"/>
        </w:rPr>
        <w:lastRenderedPageBreak/>
        <w:t>Qualquer diminuição inexplicável da hemoglobina ou da pressão sanguínea deve conduzir a uma pesquisa de um local hemorrágico.</w:t>
      </w:r>
    </w:p>
    <w:p w14:paraId="1EECAC4A" w14:textId="77777777" w:rsidR="00337111" w:rsidRPr="0063119B" w:rsidRDefault="00337111" w:rsidP="00337111">
      <w:pPr>
        <w:suppressAutoHyphens/>
        <w:rPr>
          <w:noProof/>
          <w:szCs w:val="22"/>
        </w:rPr>
      </w:pPr>
    </w:p>
    <w:p w14:paraId="789A56D7" w14:textId="77777777" w:rsidR="00337111" w:rsidRPr="0063119B" w:rsidRDefault="00337111" w:rsidP="00337111">
      <w:pPr>
        <w:suppressAutoHyphens/>
        <w:rPr>
          <w:noProof/>
          <w:szCs w:val="22"/>
        </w:rPr>
      </w:pPr>
      <w:r w:rsidRPr="0063119B">
        <w:rPr>
          <w:noProof/>
          <w:szCs w:val="22"/>
        </w:rPr>
        <w:t>Embora o tratamento com rivaroxabano não necessite de monitorização de rotina da exposição, a medição dos níveis de rivaroxabano pelo teste quantitativo calibrado antifator</w:t>
      </w:r>
      <w:r w:rsidR="00375302" w:rsidRPr="0063119B">
        <w:rPr>
          <w:noProof/>
          <w:szCs w:val="22"/>
        </w:rPr>
        <w:t xml:space="preserve"> </w:t>
      </w:r>
      <w:r w:rsidRPr="0063119B">
        <w:rPr>
          <w:noProof/>
          <w:szCs w:val="22"/>
        </w:rPr>
        <w:t>Xa pode ser útil em situações excecionais em que o conhecimento da exposição ao rivaroxabano pode ajudar a fundamentar decisões clínicas, ex.: sobredosagem e cirurgia de emergência (ver secções</w:t>
      </w:r>
      <w:r w:rsidR="003C019A" w:rsidRPr="0063119B">
        <w:rPr>
          <w:noProof/>
          <w:szCs w:val="22"/>
        </w:rPr>
        <w:t> </w:t>
      </w:r>
      <w:r w:rsidRPr="0063119B">
        <w:rPr>
          <w:noProof/>
          <w:szCs w:val="22"/>
        </w:rPr>
        <w:t>5.1 e 5.2).</w:t>
      </w:r>
    </w:p>
    <w:p w14:paraId="54026CA4" w14:textId="77777777" w:rsidR="00337111" w:rsidRDefault="00337111" w:rsidP="00337111">
      <w:pPr>
        <w:suppressAutoHyphens/>
        <w:rPr>
          <w:noProof/>
          <w:szCs w:val="22"/>
        </w:rPr>
      </w:pPr>
    </w:p>
    <w:p w14:paraId="7C0EB733" w14:textId="77777777" w:rsidR="007972CA" w:rsidRPr="007972CA" w:rsidRDefault="007972CA" w:rsidP="007972CA">
      <w:pPr>
        <w:autoSpaceDE w:val="0"/>
        <w:autoSpaceDN w:val="0"/>
        <w:adjustRightInd w:val="0"/>
        <w:rPr>
          <w:color w:val="000000"/>
          <w:szCs w:val="22"/>
          <w:lang w:eastAsia="pt-PT"/>
        </w:rPr>
      </w:pPr>
      <w:r w:rsidRPr="007972CA">
        <w:rPr>
          <w:i/>
          <w:iCs/>
          <w:color w:val="000000"/>
          <w:szCs w:val="22"/>
          <w:lang w:eastAsia="pt-PT"/>
        </w:rPr>
        <w:t xml:space="preserve">População pediátrica </w:t>
      </w:r>
    </w:p>
    <w:p w14:paraId="5B9727BF" w14:textId="77777777" w:rsidR="007972CA" w:rsidRDefault="007972CA" w:rsidP="007972CA">
      <w:pPr>
        <w:suppressAutoHyphens/>
        <w:rPr>
          <w:color w:val="000000"/>
          <w:szCs w:val="22"/>
          <w:lang w:eastAsia="pt-PT"/>
        </w:rPr>
      </w:pPr>
      <w:r w:rsidRPr="007972CA">
        <w:rPr>
          <w:color w:val="000000"/>
          <w:szCs w:val="22"/>
          <w:lang w:eastAsia="pt-PT"/>
        </w:rPr>
        <w:t>Existem dados limitados em crianças com trombose dos seios e veias cerebrais que tem infeção do SNC (ver secção 5.1). O risco de hemorragia deve ser cuidadosamente avaliado antes e durante o tratamento com rivaroxabano.</w:t>
      </w:r>
    </w:p>
    <w:p w14:paraId="50DCACEB" w14:textId="77777777" w:rsidR="007972CA" w:rsidRPr="0063119B" w:rsidRDefault="007972CA" w:rsidP="007972CA">
      <w:pPr>
        <w:suppressAutoHyphens/>
        <w:rPr>
          <w:noProof/>
          <w:szCs w:val="22"/>
        </w:rPr>
      </w:pPr>
    </w:p>
    <w:p w14:paraId="3CE287BE" w14:textId="77777777" w:rsidR="00337111" w:rsidRDefault="00337111" w:rsidP="00337111">
      <w:pPr>
        <w:suppressAutoHyphens/>
        <w:rPr>
          <w:noProof/>
          <w:szCs w:val="22"/>
          <w:u w:val="single"/>
        </w:rPr>
      </w:pPr>
      <w:r w:rsidRPr="0063119B">
        <w:rPr>
          <w:noProof/>
          <w:szCs w:val="22"/>
          <w:u w:val="single"/>
        </w:rPr>
        <w:t>Compromisso renal</w:t>
      </w:r>
    </w:p>
    <w:p w14:paraId="597E4BBB" w14:textId="77777777" w:rsidR="00BB5E91" w:rsidRPr="0063119B" w:rsidRDefault="00BB5E91" w:rsidP="00337111">
      <w:pPr>
        <w:suppressAutoHyphens/>
        <w:rPr>
          <w:noProof/>
          <w:szCs w:val="22"/>
          <w:u w:val="single"/>
        </w:rPr>
      </w:pPr>
    </w:p>
    <w:p w14:paraId="5D2C1841" w14:textId="77777777" w:rsidR="00337111" w:rsidRPr="0063119B" w:rsidRDefault="00337111" w:rsidP="00337111">
      <w:pPr>
        <w:suppressAutoHyphens/>
        <w:rPr>
          <w:noProof/>
          <w:szCs w:val="22"/>
        </w:rPr>
      </w:pPr>
      <w:r w:rsidRPr="0063119B">
        <w:rPr>
          <w:noProof/>
          <w:szCs w:val="22"/>
        </w:rPr>
        <w:t xml:space="preserve">Em doentes </w:t>
      </w:r>
      <w:r w:rsidR="007972CA">
        <w:rPr>
          <w:noProof/>
          <w:szCs w:val="22"/>
        </w:rPr>
        <w:t xml:space="preserve">adultos </w:t>
      </w:r>
      <w:r w:rsidRPr="0063119B">
        <w:rPr>
          <w:noProof/>
          <w:szCs w:val="22"/>
        </w:rPr>
        <w:t>com compromisso renal grave (taxa de depuração da creatinina &lt; 30 ml/min) os níveis plasmáticos de rivaroxabano podem aumentar significativamente (em média 1,6 vezes), o que pode originar um aumento do risco de hemorragia.</w:t>
      </w:r>
    </w:p>
    <w:p w14:paraId="7FAB4ED9" w14:textId="77777777" w:rsidR="00337111" w:rsidRPr="0063119B" w:rsidRDefault="00607DE4" w:rsidP="00337111">
      <w:pPr>
        <w:suppressAutoHyphens/>
        <w:rPr>
          <w:noProof/>
          <w:szCs w:val="22"/>
        </w:rPr>
      </w:pPr>
      <w:r>
        <w:rPr>
          <w:noProof/>
          <w:szCs w:val="22"/>
        </w:rPr>
        <w:t>Rivaroxabano</w:t>
      </w:r>
      <w:r w:rsidR="003C019A" w:rsidRPr="0063119B">
        <w:rPr>
          <w:noProof/>
          <w:szCs w:val="22"/>
        </w:rPr>
        <w:t xml:space="preserve"> Accord</w:t>
      </w:r>
      <w:r w:rsidR="00337111" w:rsidRPr="0063119B">
        <w:rPr>
          <w:noProof/>
          <w:szCs w:val="22"/>
        </w:rPr>
        <w:t xml:space="preserve"> deve ser utilizado com precaução em doentes com uma taxa de depuração de creatinina de 15 </w:t>
      </w:r>
      <w:r w:rsidR="00337111" w:rsidRPr="0063119B">
        <w:rPr>
          <w:noProof/>
          <w:szCs w:val="22"/>
        </w:rPr>
        <w:noBreakHyphen/>
        <w:t> 29 ml/min. A utilização não é recomendada em doentes com taxa de depuração de creatinina &lt; 15 ml/min (ver secções 4.2 e 5.2).</w:t>
      </w:r>
    </w:p>
    <w:p w14:paraId="69FCE7D8" w14:textId="77777777" w:rsidR="00337111" w:rsidRPr="0063119B" w:rsidDel="00D30309" w:rsidRDefault="00607DE4" w:rsidP="00337111">
      <w:pPr>
        <w:suppressAutoHyphens/>
        <w:rPr>
          <w:noProof/>
          <w:szCs w:val="22"/>
        </w:rPr>
      </w:pPr>
      <w:r>
        <w:rPr>
          <w:noProof/>
          <w:szCs w:val="22"/>
        </w:rPr>
        <w:t>Rivaroxabano</w:t>
      </w:r>
      <w:r w:rsidR="003C019A" w:rsidRPr="0063119B">
        <w:rPr>
          <w:noProof/>
          <w:szCs w:val="22"/>
        </w:rPr>
        <w:t xml:space="preserve"> Accord</w:t>
      </w:r>
      <w:r w:rsidR="00337111" w:rsidRPr="0063119B">
        <w:rPr>
          <w:noProof/>
          <w:szCs w:val="22"/>
        </w:rPr>
        <w:t xml:space="preserve"> deve ser utilizado com precaução em doentes com compromisso renal tratados concomitantemente com outros medicamentos </w:t>
      </w:r>
      <w:r w:rsidR="00BA1B5F" w:rsidRPr="0063119B">
        <w:rPr>
          <w:noProof/>
          <w:szCs w:val="22"/>
        </w:rPr>
        <w:t>que aumentam as concentrações plasmáticas do rivaroxabano (ver secção 4.5)</w:t>
      </w:r>
      <w:r w:rsidR="00337111" w:rsidRPr="0063119B">
        <w:rPr>
          <w:noProof/>
          <w:szCs w:val="22"/>
        </w:rPr>
        <w:t>.</w:t>
      </w:r>
    </w:p>
    <w:p w14:paraId="265743FA" w14:textId="77777777" w:rsidR="00337111" w:rsidRDefault="007972CA" w:rsidP="00337111">
      <w:pPr>
        <w:suppressAutoHyphens/>
        <w:rPr>
          <w:szCs w:val="22"/>
        </w:rPr>
      </w:pPr>
      <w:r>
        <w:rPr>
          <w:noProof/>
          <w:szCs w:val="22"/>
        </w:rPr>
        <w:t>Rivaroxabano</w:t>
      </w:r>
      <w:r w:rsidRPr="0063119B">
        <w:rPr>
          <w:noProof/>
          <w:szCs w:val="22"/>
        </w:rPr>
        <w:t xml:space="preserve"> Accord </w:t>
      </w:r>
      <w:r>
        <w:rPr>
          <w:szCs w:val="22"/>
        </w:rPr>
        <w:t>não é recomendado em crianças e adolescentes com compromisso renal moderado ou grave (taxa de filtração glomerular &lt; 50 ml/min/1,73 m</w:t>
      </w:r>
      <w:r w:rsidRPr="00EF3721">
        <w:rPr>
          <w:sz w:val="14"/>
          <w:szCs w:val="14"/>
          <w:vertAlign w:val="superscript"/>
        </w:rPr>
        <w:t>2</w:t>
      </w:r>
      <w:r>
        <w:rPr>
          <w:szCs w:val="22"/>
        </w:rPr>
        <w:t>), dado não existirem dados clínicos disponíveis.</w:t>
      </w:r>
    </w:p>
    <w:p w14:paraId="7CD7A6FB" w14:textId="77777777" w:rsidR="007972CA" w:rsidRPr="0063119B" w:rsidRDefault="007972CA" w:rsidP="00337111">
      <w:pPr>
        <w:suppressAutoHyphens/>
        <w:rPr>
          <w:i/>
          <w:noProof/>
          <w:szCs w:val="22"/>
          <w:u w:val="single"/>
        </w:rPr>
      </w:pPr>
    </w:p>
    <w:p w14:paraId="782DF13A" w14:textId="77777777" w:rsidR="00337111" w:rsidRDefault="00337111" w:rsidP="003345A8">
      <w:pPr>
        <w:keepNext/>
        <w:rPr>
          <w:noProof/>
          <w:szCs w:val="22"/>
          <w:u w:val="single"/>
        </w:rPr>
      </w:pPr>
      <w:r w:rsidRPr="0063119B">
        <w:rPr>
          <w:noProof/>
          <w:szCs w:val="22"/>
          <w:u w:val="single"/>
        </w:rPr>
        <w:t>Interação com outros medicamentos</w:t>
      </w:r>
    </w:p>
    <w:p w14:paraId="158C3CA1" w14:textId="77777777" w:rsidR="00BB5E91" w:rsidRPr="0063119B" w:rsidRDefault="00BB5E91" w:rsidP="003345A8">
      <w:pPr>
        <w:keepNext/>
        <w:rPr>
          <w:noProof/>
          <w:szCs w:val="22"/>
          <w:u w:val="single"/>
        </w:rPr>
      </w:pPr>
    </w:p>
    <w:p w14:paraId="3FFE9806" w14:textId="77777777" w:rsidR="00337111" w:rsidRPr="0063119B" w:rsidRDefault="00337111" w:rsidP="00337111">
      <w:pPr>
        <w:suppressAutoHyphens/>
        <w:rPr>
          <w:noProof/>
          <w:szCs w:val="22"/>
        </w:rPr>
      </w:pPr>
      <w:r w:rsidRPr="0063119B">
        <w:rPr>
          <w:noProof/>
          <w:szCs w:val="22"/>
        </w:rPr>
        <w:t xml:space="preserve">A utilização de </w:t>
      </w:r>
      <w:r w:rsidR="00607DE4">
        <w:rPr>
          <w:noProof/>
          <w:szCs w:val="22"/>
        </w:rPr>
        <w:t>Rivaroxabano</w:t>
      </w:r>
      <w:r w:rsidR="003C019A" w:rsidRPr="0063119B">
        <w:rPr>
          <w:noProof/>
          <w:szCs w:val="22"/>
        </w:rPr>
        <w:t xml:space="preserve"> Accord</w:t>
      </w:r>
      <w:r w:rsidRPr="0063119B">
        <w:rPr>
          <w:noProof/>
          <w:szCs w:val="22"/>
        </w:rPr>
        <w:t xml:space="preserve"> não é recomendada em doentes a receber tratamento sistémico concomitante com antimicóticos azólicos (tais como cetoconazol, itraconazol, voriconazol e posaconazol) ou inibidores da protease do VIH (ex.: ritonavir). Estas substâncias ativas são potentes inibidores do CYP3A4 e da glicoproteína P (gp</w:t>
      </w:r>
      <w:r w:rsidRPr="0063119B">
        <w:rPr>
          <w:noProof/>
          <w:szCs w:val="22"/>
        </w:rPr>
        <w:noBreakHyphen/>
        <w:t xml:space="preserve">P) e por este motivo podem aumentar as concentrações plasmáticas de rivaroxabano até um grau clinicamente relevante (em média 2,6 vezes) que pode originar um risco </w:t>
      </w:r>
      <w:r w:rsidR="00F120C5" w:rsidRPr="0063119B">
        <w:rPr>
          <w:noProof/>
          <w:szCs w:val="22"/>
        </w:rPr>
        <w:t xml:space="preserve">aumentado de </w:t>
      </w:r>
      <w:r w:rsidRPr="0063119B">
        <w:rPr>
          <w:noProof/>
          <w:szCs w:val="22"/>
        </w:rPr>
        <w:t>hemorr</w:t>
      </w:r>
      <w:r w:rsidR="00F120C5" w:rsidRPr="0063119B">
        <w:rPr>
          <w:noProof/>
          <w:szCs w:val="22"/>
        </w:rPr>
        <w:t>agia</w:t>
      </w:r>
      <w:r w:rsidR="007972CA">
        <w:rPr>
          <w:noProof/>
          <w:szCs w:val="22"/>
        </w:rPr>
        <w:t xml:space="preserve">. </w:t>
      </w:r>
      <w:r w:rsidR="007972CA">
        <w:rPr>
          <w:szCs w:val="22"/>
        </w:rPr>
        <w:t>Não existem dados clínicos disponíveis em crianças às quais são administradas tratamento sistémico concomitante com potentes inibidores da CYP 3A4 e da gp-P</w:t>
      </w:r>
      <w:r w:rsidRPr="0063119B">
        <w:rPr>
          <w:noProof/>
          <w:szCs w:val="22"/>
        </w:rPr>
        <w:t xml:space="preserve"> (ver secção 4.5).</w:t>
      </w:r>
    </w:p>
    <w:p w14:paraId="251AE61D" w14:textId="77777777" w:rsidR="00337111" w:rsidRPr="0063119B" w:rsidRDefault="00337111" w:rsidP="00337111">
      <w:pPr>
        <w:suppressAutoHyphens/>
        <w:rPr>
          <w:noProof/>
          <w:szCs w:val="22"/>
        </w:rPr>
      </w:pPr>
    </w:p>
    <w:p w14:paraId="13FAA866" w14:textId="77777777" w:rsidR="00337111" w:rsidRPr="0063119B" w:rsidRDefault="00337111" w:rsidP="00337111">
      <w:pPr>
        <w:suppressAutoHyphens/>
        <w:rPr>
          <w:noProof/>
          <w:szCs w:val="22"/>
        </w:rPr>
      </w:pPr>
      <w:r w:rsidRPr="0063119B">
        <w:rPr>
          <w:noProof/>
          <w:szCs w:val="22"/>
        </w:rPr>
        <w:t>Deve ter</w:t>
      </w:r>
      <w:r w:rsidRPr="0063119B">
        <w:rPr>
          <w:noProof/>
          <w:szCs w:val="22"/>
        </w:rPr>
        <w:noBreakHyphen/>
        <w:t>se precaução se os doentes são concomitantemente tratados com medicamentos que afetem a hemostase tais como medicamentos anti</w:t>
      </w:r>
      <w:r w:rsidRPr="0063119B">
        <w:rPr>
          <w:noProof/>
          <w:szCs w:val="22"/>
        </w:rPr>
        <w:noBreakHyphen/>
        <w:t>inflamatórios não esteroides (AINEs), ácido acetilsalicílico e inibidores da agregação plaquetária</w:t>
      </w:r>
      <w:r w:rsidR="00883A30" w:rsidRPr="0063119B">
        <w:rPr>
          <w:noProof/>
          <w:szCs w:val="22"/>
        </w:rPr>
        <w:t xml:space="preserve"> ou inibidores seletivos da recaptação da serotonina (ISRS) e inibidores da recaptação da serotonina e norepinefrina (IRSN)</w:t>
      </w:r>
      <w:r w:rsidRPr="0063119B">
        <w:rPr>
          <w:noProof/>
          <w:szCs w:val="22"/>
        </w:rPr>
        <w:t>. Deve ser considerado um tratamento profilático adequado para doentes com risco de doença ulcerosa gastrointestinal (ver secção 4.5).</w:t>
      </w:r>
    </w:p>
    <w:p w14:paraId="121B1DEF" w14:textId="77777777" w:rsidR="00337111" w:rsidRPr="0063119B" w:rsidRDefault="00337111" w:rsidP="00337111">
      <w:pPr>
        <w:suppressAutoHyphens/>
        <w:rPr>
          <w:noProof/>
          <w:szCs w:val="22"/>
        </w:rPr>
      </w:pPr>
    </w:p>
    <w:p w14:paraId="35581B3D" w14:textId="77777777" w:rsidR="00337111" w:rsidRDefault="00337111" w:rsidP="00337111">
      <w:pPr>
        <w:suppressAutoHyphens/>
        <w:rPr>
          <w:noProof/>
          <w:szCs w:val="22"/>
          <w:u w:val="single"/>
        </w:rPr>
      </w:pPr>
      <w:r w:rsidRPr="0063119B">
        <w:rPr>
          <w:noProof/>
          <w:szCs w:val="22"/>
          <w:u w:val="single"/>
        </w:rPr>
        <w:t>Outros fatores de risco hemorrágico</w:t>
      </w:r>
    </w:p>
    <w:p w14:paraId="1019BC98" w14:textId="77777777" w:rsidR="00BB5E91" w:rsidRPr="0063119B" w:rsidRDefault="00BB5E91" w:rsidP="00337111">
      <w:pPr>
        <w:suppressAutoHyphens/>
        <w:rPr>
          <w:noProof/>
          <w:szCs w:val="22"/>
          <w:u w:val="single"/>
        </w:rPr>
      </w:pPr>
    </w:p>
    <w:p w14:paraId="4664C6FE" w14:textId="77777777" w:rsidR="00337111" w:rsidRPr="0063119B" w:rsidRDefault="00337111" w:rsidP="00337111">
      <w:pPr>
        <w:suppressAutoHyphens/>
        <w:rPr>
          <w:noProof/>
          <w:szCs w:val="22"/>
        </w:rPr>
      </w:pPr>
      <w:r w:rsidRPr="0063119B">
        <w:rPr>
          <w:noProof/>
          <w:szCs w:val="22"/>
        </w:rPr>
        <w:t xml:space="preserve">Tal como outros agentes antitrombóticos, </w:t>
      </w:r>
      <w:r w:rsidR="003C019A" w:rsidRPr="0063119B">
        <w:rPr>
          <w:noProof/>
          <w:szCs w:val="22"/>
        </w:rPr>
        <w:t xml:space="preserve">o </w:t>
      </w:r>
      <w:r w:rsidRPr="0063119B">
        <w:rPr>
          <w:noProof/>
          <w:szCs w:val="22"/>
        </w:rPr>
        <w:t>rivaroxabano não é recomendado em doentes com risco aumentado de hemorragia, tais como:</w:t>
      </w:r>
    </w:p>
    <w:p w14:paraId="2332EBD2" w14:textId="77777777" w:rsidR="00337111" w:rsidRPr="0063119B" w:rsidRDefault="00337111" w:rsidP="00FF261B">
      <w:pPr>
        <w:numPr>
          <w:ilvl w:val="0"/>
          <w:numId w:val="4"/>
        </w:numPr>
        <w:tabs>
          <w:tab w:val="clear" w:pos="720"/>
          <w:tab w:val="num" w:pos="0"/>
        </w:tabs>
        <w:suppressAutoHyphens/>
        <w:ind w:left="0" w:firstLine="0"/>
        <w:rPr>
          <w:noProof/>
          <w:szCs w:val="22"/>
        </w:rPr>
      </w:pPr>
      <w:r w:rsidRPr="0063119B">
        <w:rPr>
          <w:noProof/>
          <w:szCs w:val="22"/>
        </w:rPr>
        <w:t>doenças hemorrágicas congénitas ou adquiridas</w:t>
      </w:r>
    </w:p>
    <w:p w14:paraId="738DA031" w14:textId="77777777" w:rsidR="006D2FA6" w:rsidRPr="0063119B" w:rsidRDefault="00337111" w:rsidP="00FF261B">
      <w:pPr>
        <w:numPr>
          <w:ilvl w:val="0"/>
          <w:numId w:val="4"/>
        </w:numPr>
        <w:tabs>
          <w:tab w:val="clear" w:pos="720"/>
          <w:tab w:val="num" w:pos="0"/>
        </w:tabs>
        <w:suppressAutoHyphens/>
        <w:ind w:left="0" w:firstLine="0"/>
        <w:rPr>
          <w:noProof/>
          <w:szCs w:val="22"/>
        </w:rPr>
      </w:pPr>
      <w:r w:rsidRPr="0063119B">
        <w:rPr>
          <w:noProof/>
          <w:szCs w:val="22"/>
        </w:rPr>
        <w:t>hipertensão arterial grave não controlada</w:t>
      </w:r>
    </w:p>
    <w:p w14:paraId="1B476DE4" w14:textId="77777777" w:rsidR="00337111" w:rsidRPr="0063119B" w:rsidRDefault="00AA0C53" w:rsidP="00FF261B">
      <w:pPr>
        <w:numPr>
          <w:ilvl w:val="0"/>
          <w:numId w:val="4"/>
        </w:numPr>
        <w:tabs>
          <w:tab w:val="clear" w:pos="720"/>
        </w:tabs>
        <w:suppressAutoHyphens/>
        <w:ind w:left="709" w:hanging="709"/>
        <w:rPr>
          <w:noProof/>
          <w:szCs w:val="22"/>
        </w:rPr>
      </w:pPr>
      <w:r w:rsidRPr="0063119B">
        <w:rPr>
          <w:noProof/>
          <w:szCs w:val="22"/>
        </w:rPr>
        <w:t>outras doenças gastrointestinais sem ulceração ativa que podem potenciar o aparecimento de complicações hemorrágicas (ex.: doença inflamatória do intestino, esofagite, gastrite e doença de refluxo gastroesofágico)</w:t>
      </w:r>
    </w:p>
    <w:p w14:paraId="1E4F817F" w14:textId="77777777" w:rsidR="00337111" w:rsidRPr="0063119B" w:rsidRDefault="00337111" w:rsidP="00FF261B">
      <w:pPr>
        <w:numPr>
          <w:ilvl w:val="0"/>
          <w:numId w:val="4"/>
        </w:numPr>
        <w:tabs>
          <w:tab w:val="clear" w:pos="720"/>
          <w:tab w:val="num" w:pos="0"/>
        </w:tabs>
        <w:suppressAutoHyphens/>
        <w:ind w:left="0" w:firstLine="0"/>
        <w:rPr>
          <w:noProof/>
          <w:szCs w:val="22"/>
        </w:rPr>
      </w:pPr>
      <w:r w:rsidRPr="0063119B">
        <w:rPr>
          <w:noProof/>
          <w:szCs w:val="22"/>
        </w:rPr>
        <w:t>retinopatia vascular</w:t>
      </w:r>
    </w:p>
    <w:p w14:paraId="6B27AB6B" w14:textId="77777777" w:rsidR="00337111" w:rsidRPr="0063119B" w:rsidRDefault="00337111" w:rsidP="00FF261B">
      <w:pPr>
        <w:numPr>
          <w:ilvl w:val="0"/>
          <w:numId w:val="4"/>
        </w:numPr>
        <w:tabs>
          <w:tab w:val="clear" w:pos="720"/>
          <w:tab w:val="num" w:pos="0"/>
        </w:tabs>
        <w:suppressAutoHyphens/>
        <w:ind w:left="0" w:firstLine="0"/>
        <w:rPr>
          <w:noProof/>
          <w:szCs w:val="22"/>
        </w:rPr>
      </w:pPr>
      <w:r w:rsidRPr="0063119B">
        <w:rPr>
          <w:szCs w:val="22"/>
        </w:rPr>
        <w:t>bronquiectasias ou antecedentes de hemorragia pulmonar</w:t>
      </w:r>
    </w:p>
    <w:p w14:paraId="6BE8103E" w14:textId="77777777" w:rsidR="00883A30" w:rsidRDefault="00883A30" w:rsidP="00337111">
      <w:pPr>
        <w:autoSpaceDE w:val="0"/>
        <w:autoSpaceDN w:val="0"/>
        <w:adjustRightInd w:val="0"/>
        <w:rPr>
          <w:szCs w:val="22"/>
          <w:u w:val="single"/>
        </w:rPr>
      </w:pPr>
    </w:p>
    <w:p w14:paraId="40C41BC6" w14:textId="77777777" w:rsidR="00E51E20" w:rsidRPr="0024081D" w:rsidRDefault="00E51E20" w:rsidP="00E51E20">
      <w:pPr>
        <w:suppressAutoHyphens/>
        <w:rPr>
          <w:u w:val="single"/>
        </w:rPr>
      </w:pPr>
      <w:r w:rsidRPr="0024081D">
        <w:rPr>
          <w:u w:val="single"/>
        </w:rPr>
        <w:lastRenderedPageBreak/>
        <w:t xml:space="preserve">Doentes com cancro </w:t>
      </w:r>
    </w:p>
    <w:p w14:paraId="3E6A6182" w14:textId="77777777" w:rsidR="00E51E20" w:rsidRPr="0043610E" w:rsidRDefault="00E51E20" w:rsidP="00E51E20">
      <w:pPr>
        <w:suppressAutoHyphens/>
      </w:pPr>
      <w:r>
        <w:t>Doentes com doença maligna podem, simultaneamente, apresentar maior risco de hemorragia e trombose. O benefício individual do tratamento antitrombótico deve ser ponderado em relação ao risco de hemorragia em doentes com cancro ativo dependendo da localização do tumor, terapêutica antineoplásica e estadio da doença. Os tumores localizados no trato gastrointestinal ou geniturinário têm sido associados a um risco aumentado de hemorragia durante a terapêutica com rivaroxabano. A utilização de rivaroxabano está contraindicada em doentes com neoplasias malignas com elevado risco de hemorragia (ver secção 4.3).</w:t>
      </w:r>
    </w:p>
    <w:p w14:paraId="122B8542" w14:textId="77777777" w:rsidR="00E51E20" w:rsidRPr="0063119B" w:rsidRDefault="00E51E20" w:rsidP="00337111">
      <w:pPr>
        <w:autoSpaceDE w:val="0"/>
        <w:autoSpaceDN w:val="0"/>
        <w:adjustRightInd w:val="0"/>
        <w:rPr>
          <w:szCs w:val="22"/>
          <w:u w:val="single"/>
        </w:rPr>
      </w:pPr>
    </w:p>
    <w:p w14:paraId="2AA3DDF7" w14:textId="77777777" w:rsidR="00337111" w:rsidRDefault="00337111" w:rsidP="00337111">
      <w:pPr>
        <w:autoSpaceDE w:val="0"/>
        <w:autoSpaceDN w:val="0"/>
        <w:adjustRightInd w:val="0"/>
        <w:rPr>
          <w:szCs w:val="22"/>
          <w:u w:val="single"/>
        </w:rPr>
      </w:pPr>
      <w:r w:rsidRPr="0063119B">
        <w:rPr>
          <w:szCs w:val="22"/>
          <w:u w:val="single"/>
        </w:rPr>
        <w:t>Doentes com válvulas protésicas</w:t>
      </w:r>
    </w:p>
    <w:p w14:paraId="6B870DEA" w14:textId="77777777" w:rsidR="00BB5E91" w:rsidRPr="0063119B" w:rsidRDefault="00BB5E91" w:rsidP="00337111">
      <w:pPr>
        <w:autoSpaceDE w:val="0"/>
        <w:autoSpaceDN w:val="0"/>
        <w:adjustRightInd w:val="0"/>
        <w:rPr>
          <w:szCs w:val="22"/>
        </w:rPr>
      </w:pPr>
    </w:p>
    <w:p w14:paraId="372DCB43" w14:textId="77777777" w:rsidR="00337111" w:rsidRPr="0063119B" w:rsidRDefault="00A0499A" w:rsidP="00337111">
      <w:pPr>
        <w:autoSpaceDE w:val="0"/>
        <w:autoSpaceDN w:val="0"/>
        <w:adjustRightInd w:val="0"/>
        <w:rPr>
          <w:rFonts w:eastAsia="MS Mincho"/>
          <w:bCs/>
          <w:szCs w:val="22"/>
          <w:lang w:eastAsia="ja-JP"/>
        </w:rPr>
      </w:pPr>
      <w:r w:rsidRPr="0063119B">
        <w:rPr>
          <w:rFonts w:eastAsia="MS Mincho"/>
          <w:bCs/>
          <w:szCs w:val="22"/>
          <w:lang w:eastAsia="ja-JP"/>
        </w:rPr>
        <w:t xml:space="preserve">O rivaroxabano não deve ser utilizado como tromboprofilaxia em doentes submetidos recentemente a uma substituição percutânea da válvula aórtica (TAVR). </w:t>
      </w:r>
      <w:r w:rsidR="00337111" w:rsidRPr="0063119B">
        <w:rPr>
          <w:rFonts w:eastAsia="MS Mincho"/>
          <w:bCs/>
          <w:szCs w:val="22"/>
          <w:lang w:eastAsia="ja-JP"/>
        </w:rPr>
        <w:t xml:space="preserve">A segurança e a eficácia de </w:t>
      </w:r>
      <w:r w:rsidR="003C019A" w:rsidRPr="0063119B">
        <w:rPr>
          <w:szCs w:val="22"/>
        </w:rPr>
        <w:t>rivaroxabano</w:t>
      </w:r>
      <w:r w:rsidR="00337111" w:rsidRPr="0063119B">
        <w:rPr>
          <w:rFonts w:eastAsia="MS Mincho"/>
          <w:bCs/>
          <w:szCs w:val="22"/>
          <w:lang w:eastAsia="ja-JP"/>
        </w:rPr>
        <w:t xml:space="preserve"> não foram estudadas em doentes com válvulas cardíacas protésicas; consequentemente, não existem dados que confirmem que </w:t>
      </w:r>
      <w:r w:rsidR="003C019A" w:rsidRPr="0063119B">
        <w:rPr>
          <w:rFonts w:eastAsia="MS Mincho"/>
          <w:bCs/>
          <w:szCs w:val="22"/>
          <w:lang w:eastAsia="ja-JP"/>
        </w:rPr>
        <w:t xml:space="preserve">o </w:t>
      </w:r>
      <w:r w:rsidR="003C019A" w:rsidRPr="0063119B">
        <w:rPr>
          <w:szCs w:val="22"/>
        </w:rPr>
        <w:t>rivaroxabano</w:t>
      </w:r>
      <w:r w:rsidR="003C019A" w:rsidRPr="0063119B">
        <w:rPr>
          <w:rFonts w:eastAsia="MS Mincho"/>
          <w:bCs/>
          <w:szCs w:val="22"/>
          <w:lang w:eastAsia="ja-JP"/>
        </w:rPr>
        <w:t xml:space="preserve"> </w:t>
      </w:r>
      <w:r w:rsidR="00337111" w:rsidRPr="0063119B">
        <w:rPr>
          <w:rFonts w:eastAsia="MS Mincho"/>
          <w:bCs/>
          <w:szCs w:val="22"/>
          <w:lang w:eastAsia="ja-JP"/>
        </w:rPr>
        <w:t xml:space="preserve">assegura a anticoagulação adequada nesta população de doentes. O tratamento com </w:t>
      </w:r>
      <w:r w:rsidR="00607DE4">
        <w:rPr>
          <w:rFonts w:eastAsia="MS Mincho"/>
          <w:bCs/>
          <w:szCs w:val="22"/>
          <w:lang w:eastAsia="ja-JP"/>
        </w:rPr>
        <w:t>Rivaroxabano</w:t>
      </w:r>
      <w:r w:rsidR="003C019A" w:rsidRPr="0063119B">
        <w:rPr>
          <w:rFonts w:eastAsia="MS Mincho"/>
          <w:bCs/>
          <w:szCs w:val="22"/>
          <w:lang w:eastAsia="ja-JP"/>
        </w:rPr>
        <w:t xml:space="preserve"> Accord</w:t>
      </w:r>
      <w:r w:rsidR="00337111" w:rsidRPr="0063119B">
        <w:rPr>
          <w:rFonts w:eastAsia="MS Mincho"/>
          <w:bCs/>
          <w:szCs w:val="22"/>
          <w:lang w:eastAsia="ja-JP"/>
        </w:rPr>
        <w:t xml:space="preserve"> não é recomendado nestes doentes.</w:t>
      </w:r>
    </w:p>
    <w:p w14:paraId="72DB898D" w14:textId="77777777" w:rsidR="00F824AF" w:rsidRPr="0063119B" w:rsidRDefault="00F824AF" w:rsidP="00337111">
      <w:pPr>
        <w:autoSpaceDE w:val="0"/>
        <w:autoSpaceDN w:val="0"/>
        <w:adjustRightInd w:val="0"/>
        <w:rPr>
          <w:rFonts w:eastAsia="MS Mincho"/>
          <w:bCs/>
          <w:szCs w:val="22"/>
          <w:lang w:eastAsia="ja-JP"/>
        </w:rPr>
      </w:pPr>
    </w:p>
    <w:p w14:paraId="6B38D99C" w14:textId="77777777" w:rsidR="00F824AF" w:rsidRDefault="00F824AF" w:rsidP="00337111">
      <w:pPr>
        <w:autoSpaceDE w:val="0"/>
        <w:autoSpaceDN w:val="0"/>
        <w:adjustRightInd w:val="0"/>
        <w:rPr>
          <w:i/>
          <w:szCs w:val="22"/>
          <w:u w:val="single"/>
        </w:rPr>
      </w:pPr>
      <w:r w:rsidRPr="0063119B">
        <w:rPr>
          <w:szCs w:val="22"/>
          <w:u w:val="single"/>
        </w:rPr>
        <w:t>Doentes com fibrilhação auricular não-valvular submetidos a ICP com colocação de</w:t>
      </w:r>
      <w:r w:rsidRPr="0063119B">
        <w:rPr>
          <w:i/>
          <w:szCs w:val="22"/>
          <w:u w:val="single"/>
        </w:rPr>
        <w:t xml:space="preserve"> stent</w:t>
      </w:r>
    </w:p>
    <w:p w14:paraId="7F012B61" w14:textId="77777777" w:rsidR="00BB5E91" w:rsidRPr="0063119B" w:rsidRDefault="00BB5E91" w:rsidP="00337111">
      <w:pPr>
        <w:autoSpaceDE w:val="0"/>
        <w:autoSpaceDN w:val="0"/>
        <w:adjustRightInd w:val="0"/>
        <w:rPr>
          <w:rFonts w:eastAsia="MS Mincho"/>
          <w:bCs/>
          <w:szCs w:val="22"/>
          <w:u w:val="single"/>
          <w:lang w:eastAsia="ja-JP"/>
        </w:rPr>
      </w:pPr>
    </w:p>
    <w:p w14:paraId="6AEA363A" w14:textId="77777777" w:rsidR="00BF6A5F" w:rsidRPr="0063119B" w:rsidRDefault="00BF6A5F" w:rsidP="00BF6A5F">
      <w:pPr>
        <w:autoSpaceDE w:val="0"/>
        <w:autoSpaceDN w:val="0"/>
        <w:adjustRightInd w:val="0"/>
        <w:jc w:val="both"/>
        <w:rPr>
          <w:szCs w:val="22"/>
        </w:rPr>
      </w:pPr>
      <w:r w:rsidRPr="0063119B">
        <w:rPr>
          <w:szCs w:val="22"/>
        </w:rPr>
        <w:t xml:space="preserve">Os dados clínicos estão disponíveis a partir de um estudo intervencional com o objetivo primário de avaliar a segurança em doentes com fibrilhação auricular não-valvular submetidos a uma ICP com colocação de </w:t>
      </w:r>
      <w:r w:rsidRPr="0063119B">
        <w:rPr>
          <w:i/>
          <w:szCs w:val="22"/>
        </w:rPr>
        <w:t>stent</w:t>
      </w:r>
      <w:r w:rsidRPr="0063119B">
        <w:rPr>
          <w:szCs w:val="22"/>
        </w:rPr>
        <w:t>. Dados sobre a eficácia nesta população são limitados (ver secções</w:t>
      </w:r>
      <w:r w:rsidR="00651577" w:rsidRPr="0063119B">
        <w:rPr>
          <w:szCs w:val="22"/>
        </w:rPr>
        <w:t> </w:t>
      </w:r>
      <w:r w:rsidRPr="0063119B">
        <w:rPr>
          <w:szCs w:val="22"/>
        </w:rPr>
        <w:t>4.2 e 5.1). Não há dados disponíveis para estes doentes com antecedentes de acidente vascular cerebral/</w:t>
      </w:r>
      <w:r w:rsidR="00487F72" w:rsidRPr="0063119B">
        <w:rPr>
          <w:szCs w:val="22"/>
        </w:rPr>
        <w:t>ataque isquémico transitório (</w:t>
      </w:r>
      <w:r w:rsidRPr="0063119B">
        <w:rPr>
          <w:szCs w:val="22"/>
        </w:rPr>
        <w:t>AIT</w:t>
      </w:r>
      <w:r w:rsidR="00487F72" w:rsidRPr="0063119B">
        <w:rPr>
          <w:szCs w:val="22"/>
        </w:rPr>
        <w:t>)</w:t>
      </w:r>
      <w:r w:rsidRPr="0063119B">
        <w:rPr>
          <w:szCs w:val="22"/>
        </w:rPr>
        <w:t>.</w:t>
      </w:r>
    </w:p>
    <w:p w14:paraId="362F3101" w14:textId="77777777" w:rsidR="00BF6A5F" w:rsidRPr="0063119B" w:rsidRDefault="00BF6A5F" w:rsidP="00337111">
      <w:pPr>
        <w:autoSpaceDE w:val="0"/>
        <w:autoSpaceDN w:val="0"/>
        <w:adjustRightInd w:val="0"/>
        <w:rPr>
          <w:rFonts w:eastAsia="MS Mincho"/>
          <w:bCs/>
          <w:szCs w:val="22"/>
          <w:lang w:eastAsia="ja-JP"/>
        </w:rPr>
      </w:pPr>
    </w:p>
    <w:p w14:paraId="4B77B66C" w14:textId="77777777" w:rsidR="00337111" w:rsidRDefault="00337111" w:rsidP="00A9161F">
      <w:pPr>
        <w:keepNext/>
        <w:keepLines/>
        <w:autoSpaceDE w:val="0"/>
        <w:autoSpaceDN w:val="0"/>
        <w:adjustRightInd w:val="0"/>
        <w:rPr>
          <w:rFonts w:eastAsia="MS Mincho"/>
          <w:bCs/>
          <w:szCs w:val="22"/>
          <w:u w:val="single"/>
          <w:lang w:eastAsia="ja-JP"/>
        </w:rPr>
      </w:pPr>
      <w:r w:rsidRPr="0063119B">
        <w:rPr>
          <w:rFonts w:eastAsia="MS Mincho"/>
          <w:bCs/>
          <w:szCs w:val="22"/>
          <w:u w:val="single"/>
          <w:lang w:eastAsia="ja-JP"/>
        </w:rPr>
        <w:t>Doentes com EP hemodinamicamente instáveis ou doentes que necessitam de trombólise ou embolectomia pulmonar</w:t>
      </w:r>
    </w:p>
    <w:p w14:paraId="4A9E3CE1" w14:textId="77777777" w:rsidR="00BB5E91" w:rsidRPr="0063119B" w:rsidRDefault="00BB5E91" w:rsidP="00A9161F">
      <w:pPr>
        <w:keepNext/>
        <w:keepLines/>
        <w:autoSpaceDE w:val="0"/>
        <w:autoSpaceDN w:val="0"/>
        <w:adjustRightInd w:val="0"/>
        <w:rPr>
          <w:rFonts w:eastAsia="MS Mincho"/>
          <w:bCs/>
          <w:szCs w:val="22"/>
          <w:lang w:eastAsia="ja-JP"/>
        </w:rPr>
      </w:pPr>
    </w:p>
    <w:p w14:paraId="33924FF1" w14:textId="77777777" w:rsidR="00337111" w:rsidRPr="0063119B" w:rsidRDefault="00607DE4" w:rsidP="00337111">
      <w:pPr>
        <w:autoSpaceDE w:val="0"/>
        <w:autoSpaceDN w:val="0"/>
        <w:adjustRightInd w:val="0"/>
        <w:rPr>
          <w:szCs w:val="22"/>
        </w:rPr>
      </w:pPr>
      <w:r>
        <w:rPr>
          <w:szCs w:val="22"/>
        </w:rPr>
        <w:t>Rivaroxabano</w:t>
      </w:r>
      <w:r w:rsidR="003C019A" w:rsidRPr="0063119B">
        <w:rPr>
          <w:szCs w:val="22"/>
        </w:rPr>
        <w:t xml:space="preserve"> Accord</w:t>
      </w:r>
      <w:r w:rsidR="00337111" w:rsidRPr="0063119B">
        <w:rPr>
          <w:szCs w:val="22"/>
        </w:rPr>
        <w:t xml:space="preserve"> não é recomendado como alternativa à heparina não fracionada em doentes com embolismo pulmonar que são hemodinamicamente instáveis ou que possam ser sujeitos a trombólise ou embolectomia pulmonar, uma vez que a segurança e a eficácia do </w:t>
      </w:r>
      <w:r w:rsidR="00651577" w:rsidRPr="0063119B">
        <w:rPr>
          <w:szCs w:val="22"/>
        </w:rPr>
        <w:t>rivaroxabano</w:t>
      </w:r>
      <w:r w:rsidR="00337111" w:rsidRPr="0063119B">
        <w:rPr>
          <w:szCs w:val="22"/>
        </w:rPr>
        <w:t xml:space="preserve"> nestas situações clínicas não foram estabelecidas.</w:t>
      </w:r>
    </w:p>
    <w:p w14:paraId="0F119FFA" w14:textId="77777777" w:rsidR="00337111" w:rsidRPr="0063119B" w:rsidRDefault="00337111" w:rsidP="00337111">
      <w:pPr>
        <w:autoSpaceDE w:val="0"/>
        <w:autoSpaceDN w:val="0"/>
        <w:adjustRightInd w:val="0"/>
        <w:rPr>
          <w:szCs w:val="22"/>
          <w:u w:val="single"/>
        </w:rPr>
      </w:pPr>
    </w:p>
    <w:p w14:paraId="323301FA" w14:textId="77777777" w:rsidR="00651577" w:rsidRDefault="00651577" w:rsidP="00651577">
      <w:pPr>
        <w:autoSpaceDE w:val="0"/>
        <w:autoSpaceDN w:val="0"/>
        <w:adjustRightInd w:val="0"/>
        <w:rPr>
          <w:szCs w:val="22"/>
          <w:u w:val="single"/>
        </w:rPr>
      </w:pPr>
      <w:r w:rsidRPr="0063119B">
        <w:rPr>
          <w:szCs w:val="22"/>
          <w:u w:val="single"/>
        </w:rPr>
        <w:t xml:space="preserve">Doentes com síndrome antifosfolipídica </w:t>
      </w:r>
    </w:p>
    <w:p w14:paraId="69DFAA96" w14:textId="77777777" w:rsidR="00BB5E91" w:rsidRPr="0063119B" w:rsidRDefault="00BB5E91" w:rsidP="00651577">
      <w:pPr>
        <w:autoSpaceDE w:val="0"/>
        <w:autoSpaceDN w:val="0"/>
        <w:adjustRightInd w:val="0"/>
        <w:rPr>
          <w:szCs w:val="22"/>
          <w:u w:val="single"/>
        </w:rPr>
      </w:pPr>
    </w:p>
    <w:p w14:paraId="44A0235E" w14:textId="77777777" w:rsidR="00651577" w:rsidRPr="0063119B" w:rsidRDefault="00651577" w:rsidP="00651577">
      <w:pPr>
        <w:autoSpaceDE w:val="0"/>
        <w:autoSpaceDN w:val="0"/>
        <w:adjustRightInd w:val="0"/>
        <w:rPr>
          <w:rFonts w:eastAsia="MS Mincho"/>
          <w:bCs/>
          <w:szCs w:val="22"/>
          <w:lang w:eastAsia="ja-JP"/>
        </w:rPr>
      </w:pPr>
      <w:r w:rsidRPr="0063119B">
        <w:rPr>
          <w:rFonts w:eastAsia="MS Mincho"/>
          <w:bCs/>
          <w:szCs w:val="22"/>
          <w:lang w:eastAsia="ja-JP"/>
        </w:rPr>
        <w:t xml:space="preserve">Os anticoagulantes orais de ação direta (ACOaD) incluindo o rivaroxabano não são recomendados em doentes com antecedentes de trombose diagnosticados com síndrome antifosfolipídica. Em especial, no caso de doentes triplo-positivos (para a presença dos anticorpos anticoagulante lúpico, anticorpos anticardiolipina e anticorpos anti-beta2 glicoproteína I), o tratamento com ACOaD pode estar associado a um aumento das taxas de acontecimentos trombóticos recorrentes em comparação com a terapêutica com antagonistas da vitamina K </w:t>
      </w:r>
    </w:p>
    <w:p w14:paraId="4E79B60C" w14:textId="77777777" w:rsidR="00651577" w:rsidRPr="0063119B" w:rsidRDefault="00651577" w:rsidP="00651577">
      <w:pPr>
        <w:keepNext/>
        <w:keepLines/>
        <w:autoSpaceDE w:val="0"/>
        <w:autoSpaceDN w:val="0"/>
        <w:adjustRightInd w:val="0"/>
        <w:rPr>
          <w:szCs w:val="22"/>
          <w:u w:val="single"/>
        </w:rPr>
      </w:pPr>
    </w:p>
    <w:p w14:paraId="2E49CF97" w14:textId="77777777" w:rsidR="00D66349" w:rsidRDefault="00D66349" w:rsidP="00D66349">
      <w:pPr>
        <w:suppressAutoHyphens/>
        <w:rPr>
          <w:noProof/>
          <w:szCs w:val="22"/>
          <w:u w:val="single"/>
        </w:rPr>
      </w:pPr>
      <w:r w:rsidRPr="0063119B">
        <w:rPr>
          <w:noProof/>
          <w:szCs w:val="22"/>
          <w:u w:val="single"/>
        </w:rPr>
        <w:t>Punção ou anestesia espinal/epidural</w:t>
      </w:r>
    </w:p>
    <w:p w14:paraId="60AD968A" w14:textId="77777777" w:rsidR="00BB5E91" w:rsidRPr="0063119B" w:rsidRDefault="00BB5E91" w:rsidP="00D66349">
      <w:pPr>
        <w:suppressAutoHyphens/>
        <w:rPr>
          <w:noProof/>
          <w:szCs w:val="22"/>
          <w:u w:val="single"/>
        </w:rPr>
      </w:pPr>
    </w:p>
    <w:p w14:paraId="7E751F4B" w14:textId="77777777" w:rsidR="000B649C" w:rsidRPr="0063119B" w:rsidRDefault="00D66349" w:rsidP="000B649C">
      <w:pPr>
        <w:suppressAutoHyphens/>
        <w:rPr>
          <w:noProof/>
          <w:szCs w:val="22"/>
        </w:rPr>
      </w:pPr>
      <w:r w:rsidRPr="0063119B">
        <w:rPr>
          <w:noProof/>
          <w:szCs w:val="22"/>
        </w:rPr>
        <w:t>Quando é empregue anestesia neuraxial (anestesia epidural/espinal) ou punção epidural/espinal, os doentes tratados com agentes antitrombóticos para a prevenção de complicações tromboembólicas apresentam risco de desenvolverem um hematoma espinal ou epidural, o que pode resultar em paralisia prolongada ou permanente. O risco destes acontecimentos poderá ser aumentado pela utilização pós-operatória de cateteres epidurais internos ou pela utilização concomitante de medicamentos que afetam a hemostase. O risco pode também ser aumentado pela punção espinal ou epidural repetida ou traumática. Os doentes devem ser frequentemente monitorizados relativamente a sinais e sintomas de alteração neurológica (ex.: dormência ou fraqueza das pernas, disfunção da bexiga ou intestino). Se for observada alteração neurológica, são necessários o diagnóstico e o tratamento urgentes. Antes da intervenção neuraxial, o médico deve considerar o potencial benefício versus o risco em doentes tratados com anticoagulantes ou em doentes que irão ser tratados com anticoagulantes para a tromboprofilaxia.</w:t>
      </w:r>
      <w:r w:rsidR="000B649C" w:rsidRPr="0063119B">
        <w:rPr>
          <w:noProof/>
          <w:szCs w:val="22"/>
        </w:rPr>
        <w:t xml:space="preserve"> Nestas situações, não existe experiência clínica com a utilização de 15 mg de rivaroxabano. </w:t>
      </w:r>
    </w:p>
    <w:p w14:paraId="6E3E876A" w14:textId="77777777" w:rsidR="000B649C" w:rsidRPr="0063119B" w:rsidRDefault="000B649C" w:rsidP="000B649C">
      <w:pPr>
        <w:suppressAutoHyphens/>
        <w:rPr>
          <w:noProof/>
          <w:szCs w:val="22"/>
        </w:rPr>
      </w:pPr>
      <w:r w:rsidRPr="0063119B">
        <w:rPr>
          <w:noProof/>
          <w:szCs w:val="22"/>
        </w:rPr>
        <w:lastRenderedPageBreak/>
        <w:t>Para reduzir o risco potencial de hemorragia associado com a utilização concomitante de rivaroxabano e anestesia neuraxial (epidural/espina</w:t>
      </w:r>
      <w:r w:rsidR="002500A1" w:rsidRPr="0063119B">
        <w:rPr>
          <w:noProof/>
          <w:szCs w:val="22"/>
        </w:rPr>
        <w:t>l) ou punção epidural, considerar</w:t>
      </w:r>
      <w:r w:rsidRPr="0063119B">
        <w:rPr>
          <w:noProof/>
          <w:szCs w:val="22"/>
        </w:rPr>
        <w:t xml:space="preserve"> o perfil farmacocinético do rivaroxabano. A colocação ou remoção de um cateter epidural ou punção lombar é melhor realizada quando se estima que o efeito anticoagulante do rivaroxabano é baixo. Contudo, o momento exato para atingir um efeito anticoagulante suficientemente baixo em cada doente, não é conhecido</w:t>
      </w:r>
      <w:r w:rsidR="00A2172E">
        <w:rPr>
          <w:noProof/>
          <w:szCs w:val="22"/>
        </w:rPr>
        <w:t xml:space="preserve"> </w:t>
      </w:r>
      <w:r w:rsidR="00A2172E">
        <w:rPr>
          <w:szCs w:val="22"/>
        </w:rPr>
        <w:t>e deve ser ponderado em relação à urgência de um procedimento de diagnóstico</w:t>
      </w:r>
      <w:r w:rsidRPr="0063119B">
        <w:rPr>
          <w:noProof/>
          <w:szCs w:val="22"/>
        </w:rPr>
        <w:t xml:space="preserve">. </w:t>
      </w:r>
    </w:p>
    <w:p w14:paraId="6FDDE16B" w14:textId="77777777" w:rsidR="00D66349" w:rsidRPr="0063119B" w:rsidRDefault="000B649C" w:rsidP="00D66349">
      <w:pPr>
        <w:suppressAutoHyphens/>
        <w:rPr>
          <w:noProof/>
          <w:szCs w:val="22"/>
        </w:rPr>
      </w:pPr>
      <w:r w:rsidRPr="0063119B">
        <w:rPr>
          <w:noProof/>
          <w:szCs w:val="22"/>
        </w:rPr>
        <w:t xml:space="preserve">Para a remoção do cateter </w:t>
      </w:r>
      <w:r w:rsidR="0018469E" w:rsidRPr="0063119B">
        <w:rPr>
          <w:noProof/>
          <w:szCs w:val="22"/>
        </w:rPr>
        <w:t>epidural e tendo por base as car</w:t>
      </w:r>
      <w:r w:rsidRPr="0063119B">
        <w:rPr>
          <w:noProof/>
          <w:szCs w:val="22"/>
        </w:rPr>
        <w:t>acter</w:t>
      </w:r>
      <w:r w:rsidR="00DD4823" w:rsidRPr="0063119B">
        <w:rPr>
          <w:noProof/>
          <w:szCs w:val="22"/>
        </w:rPr>
        <w:t xml:space="preserve">ísticas </w:t>
      </w:r>
      <w:r w:rsidRPr="0063119B">
        <w:rPr>
          <w:noProof/>
          <w:szCs w:val="22"/>
        </w:rPr>
        <w:t>famacocinéticas</w:t>
      </w:r>
      <w:r w:rsidR="003E77CE" w:rsidRPr="0063119B">
        <w:rPr>
          <w:noProof/>
          <w:szCs w:val="22"/>
        </w:rPr>
        <w:t xml:space="preserve"> </w:t>
      </w:r>
      <w:r w:rsidR="00DD4823" w:rsidRPr="0063119B">
        <w:rPr>
          <w:noProof/>
          <w:szCs w:val="22"/>
        </w:rPr>
        <w:t xml:space="preserve">gerais </w:t>
      </w:r>
      <w:r w:rsidR="003E77CE" w:rsidRPr="0063119B">
        <w:rPr>
          <w:noProof/>
          <w:szCs w:val="22"/>
        </w:rPr>
        <w:t>devem ter decorrido</w:t>
      </w:r>
      <w:r w:rsidRPr="0063119B">
        <w:rPr>
          <w:noProof/>
          <w:szCs w:val="22"/>
        </w:rPr>
        <w:t xml:space="preserve"> pelo menos 2x a semivida, isto é, pelo  menos 18 horas em doentes </w:t>
      </w:r>
      <w:r w:rsidR="00A2172E">
        <w:rPr>
          <w:noProof/>
          <w:szCs w:val="22"/>
        </w:rPr>
        <w:t xml:space="preserve">adultos </w:t>
      </w:r>
      <w:r w:rsidRPr="0063119B">
        <w:rPr>
          <w:noProof/>
          <w:szCs w:val="22"/>
        </w:rPr>
        <w:t>jovens e 26 horas em doentes idosos, após a última administração de rivaroxabano (ver secção 5.2).</w:t>
      </w:r>
      <w:r w:rsidR="002500A1" w:rsidRPr="0063119B">
        <w:rPr>
          <w:noProof/>
          <w:szCs w:val="22"/>
        </w:rPr>
        <w:t xml:space="preserve"> </w:t>
      </w:r>
      <w:r w:rsidR="00D66349" w:rsidRPr="0063119B">
        <w:rPr>
          <w:noProof/>
          <w:szCs w:val="22"/>
        </w:rPr>
        <w:t>A seguir à remoção do cateter, devem decorrer pelo menos 6 horas antes de ser administrada a dose seguinte de rivaroxabano.</w:t>
      </w:r>
    </w:p>
    <w:p w14:paraId="2E1DC613" w14:textId="77777777" w:rsidR="00D66349" w:rsidRDefault="00D66349" w:rsidP="00D66349">
      <w:pPr>
        <w:suppressAutoHyphens/>
        <w:rPr>
          <w:noProof/>
          <w:szCs w:val="22"/>
        </w:rPr>
      </w:pPr>
      <w:r w:rsidRPr="0063119B">
        <w:rPr>
          <w:noProof/>
          <w:szCs w:val="22"/>
        </w:rPr>
        <w:t>Se ocorrer punção traumática, a administração do rivaroxabano deve ser adiada por 24 horas.</w:t>
      </w:r>
    </w:p>
    <w:p w14:paraId="474498A6" w14:textId="77777777" w:rsidR="00A2172E" w:rsidRPr="0063119B" w:rsidRDefault="00A2172E" w:rsidP="00D66349">
      <w:pPr>
        <w:suppressAutoHyphens/>
        <w:rPr>
          <w:noProof/>
          <w:szCs w:val="22"/>
        </w:rPr>
      </w:pPr>
      <w:r>
        <w:rPr>
          <w:szCs w:val="22"/>
        </w:rPr>
        <w:t>Não existem dados disponíveis sobre a altura em que se deve colocar ou remover o cateter neuroaxial em crianças enquanto estas estiverem a receber Rivaroxabano</w:t>
      </w:r>
      <w:r w:rsidRPr="0063119B">
        <w:rPr>
          <w:szCs w:val="22"/>
        </w:rPr>
        <w:t xml:space="preserve"> Accord</w:t>
      </w:r>
      <w:r>
        <w:rPr>
          <w:szCs w:val="22"/>
        </w:rPr>
        <w:t>. Nestes casos, descontinuar o rivaroxabano e considerar um anticoagulante parentérico de curta duração de ação.</w:t>
      </w:r>
    </w:p>
    <w:p w14:paraId="2DA0F8AA" w14:textId="77777777" w:rsidR="00D66349" w:rsidRPr="0063119B" w:rsidRDefault="00D66349" w:rsidP="00337111">
      <w:pPr>
        <w:autoSpaceDE w:val="0"/>
        <w:autoSpaceDN w:val="0"/>
        <w:adjustRightInd w:val="0"/>
        <w:rPr>
          <w:szCs w:val="22"/>
          <w:u w:val="single"/>
        </w:rPr>
      </w:pPr>
    </w:p>
    <w:p w14:paraId="13705BDD" w14:textId="77777777" w:rsidR="00337111" w:rsidRDefault="00337111" w:rsidP="00337111">
      <w:pPr>
        <w:autoSpaceDE w:val="0"/>
        <w:autoSpaceDN w:val="0"/>
        <w:adjustRightInd w:val="0"/>
        <w:rPr>
          <w:szCs w:val="22"/>
          <w:u w:val="single"/>
        </w:rPr>
      </w:pPr>
      <w:r w:rsidRPr="0063119B">
        <w:rPr>
          <w:szCs w:val="22"/>
          <w:u w:val="single"/>
        </w:rPr>
        <w:t>Recomendações posológicas antes e depois de procedimentos invasivos e intervenções cirúrgicas</w:t>
      </w:r>
    </w:p>
    <w:p w14:paraId="5880F969" w14:textId="77777777" w:rsidR="00BB5E91" w:rsidRPr="0063119B" w:rsidRDefault="00BB5E91" w:rsidP="00337111">
      <w:pPr>
        <w:autoSpaceDE w:val="0"/>
        <w:autoSpaceDN w:val="0"/>
        <w:adjustRightInd w:val="0"/>
        <w:rPr>
          <w:szCs w:val="22"/>
        </w:rPr>
      </w:pPr>
    </w:p>
    <w:p w14:paraId="66ED1FF6" w14:textId="77777777" w:rsidR="00337111" w:rsidRPr="0063119B" w:rsidRDefault="00337111" w:rsidP="00337111">
      <w:pPr>
        <w:rPr>
          <w:szCs w:val="22"/>
        </w:rPr>
      </w:pPr>
      <w:r w:rsidRPr="0063119B">
        <w:rPr>
          <w:szCs w:val="22"/>
        </w:rPr>
        <w:t xml:space="preserve">No caso de ser necessário um procedimento invasivo ou uma intervenção cirúrgica, </w:t>
      </w:r>
      <w:r w:rsidR="00607DE4">
        <w:rPr>
          <w:szCs w:val="22"/>
        </w:rPr>
        <w:t>Rivaroxabano</w:t>
      </w:r>
      <w:r w:rsidR="00651577" w:rsidRPr="0063119B">
        <w:rPr>
          <w:szCs w:val="22"/>
        </w:rPr>
        <w:t xml:space="preserve"> Accord</w:t>
      </w:r>
      <w:r w:rsidRPr="0063119B">
        <w:rPr>
          <w:szCs w:val="22"/>
        </w:rPr>
        <w:t xml:space="preserve"> </w:t>
      </w:r>
      <w:r w:rsidR="00D66349" w:rsidRPr="0063119B">
        <w:rPr>
          <w:szCs w:val="22"/>
        </w:rPr>
        <w:t>15</w:t>
      </w:r>
      <w:r w:rsidR="00651577" w:rsidRPr="0063119B">
        <w:rPr>
          <w:szCs w:val="22"/>
        </w:rPr>
        <w:t> </w:t>
      </w:r>
      <w:r w:rsidR="00D66349" w:rsidRPr="0063119B">
        <w:rPr>
          <w:szCs w:val="22"/>
        </w:rPr>
        <w:t xml:space="preserve">mg </w:t>
      </w:r>
      <w:r w:rsidRPr="0063119B">
        <w:rPr>
          <w:szCs w:val="22"/>
        </w:rPr>
        <w:t>deve ser interrompido pelo menos 24 horas antes da intervenção, se possível, e de acordo com o critério clínico do médico.</w:t>
      </w:r>
    </w:p>
    <w:p w14:paraId="31F01302" w14:textId="77777777" w:rsidR="00337111" w:rsidRPr="0063119B" w:rsidRDefault="00337111" w:rsidP="00337111">
      <w:pPr>
        <w:rPr>
          <w:szCs w:val="22"/>
        </w:rPr>
      </w:pPr>
      <w:r w:rsidRPr="0063119B">
        <w:rPr>
          <w:bCs/>
          <w:szCs w:val="22"/>
        </w:rPr>
        <w:t>Se o procedimento não puder ser adiado, o risco acrescido de hemorragia deve ser avaliado em relação à urgência da intervenção.</w:t>
      </w:r>
    </w:p>
    <w:p w14:paraId="62160A1E" w14:textId="77777777" w:rsidR="00337111" w:rsidRPr="0063119B" w:rsidRDefault="00607DE4" w:rsidP="00337111">
      <w:pPr>
        <w:suppressAutoHyphens/>
        <w:rPr>
          <w:noProof/>
          <w:szCs w:val="22"/>
        </w:rPr>
      </w:pPr>
      <w:r>
        <w:rPr>
          <w:bCs/>
          <w:szCs w:val="22"/>
        </w:rPr>
        <w:t>Rivaroxabano</w:t>
      </w:r>
      <w:r w:rsidR="00651577" w:rsidRPr="0063119B">
        <w:rPr>
          <w:bCs/>
          <w:szCs w:val="22"/>
        </w:rPr>
        <w:t xml:space="preserve"> Accord</w:t>
      </w:r>
      <w:r w:rsidR="00337111" w:rsidRPr="0063119B">
        <w:rPr>
          <w:bCs/>
          <w:szCs w:val="22"/>
        </w:rPr>
        <w:t xml:space="preserve"> deve ser reiniciado </w:t>
      </w:r>
      <w:r w:rsidR="00F47839" w:rsidRPr="0063119B">
        <w:rPr>
          <w:bCs/>
          <w:szCs w:val="22"/>
        </w:rPr>
        <w:t xml:space="preserve">logo que possível </w:t>
      </w:r>
      <w:r w:rsidR="00337111" w:rsidRPr="0063119B">
        <w:rPr>
          <w:bCs/>
          <w:szCs w:val="22"/>
        </w:rPr>
        <w:t xml:space="preserve">após o procedimento invasivo ou a intervenção cirúrgica logo, desde que a situação clínica o permita e a hemostase adequada tenha sido estabelecida </w:t>
      </w:r>
      <w:r w:rsidR="00262C20" w:rsidRPr="0063119B">
        <w:rPr>
          <w:bCs/>
          <w:szCs w:val="22"/>
        </w:rPr>
        <w:t>conforme determinad</w:t>
      </w:r>
      <w:r w:rsidR="00061192" w:rsidRPr="0063119B">
        <w:rPr>
          <w:bCs/>
          <w:szCs w:val="22"/>
        </w:rPr>
        <w:t>o</w:t>
      </w:r>
      <w:r w:rsidR="00262C20" w:rsidRPr="0063119B">
        <w:rPr>
          <w:bCs/>
          <w:szCs w:val="22"/>
        </w:rPr>
        <w:t xml:space="preserve"> pelo médico assistente </w:t>
      </w:r>
      <w:r w:rsidR="00337111" w:rsidRPr="0063119B">
        <w:rPr>
          <w:bCs/>
          <w:szCs w:val="22"/>
        </w:rPr>
        <w:t>(ver secção 5.2).</w:t>
      </w:r>
    </w:p>
    <w:p w14:paraId="028F0B4D" w14:textId="77777777" w:rsidR="00337111" w:rsidRPr="0063119B" w:rsidRDefault="00337111" w:rsidP="00337111">
      <w:pPr>
        <w:suppressAutoHyphens/>
        <w:rPr>
          <w:noProof/>
          <w:szCs w:val="22"/>
        </w:rPr>
      </w:pPr>
    </w:p>
    <w:p w14:paraId="44B139C0" w14:textId="77777777" w:rsidR="00F468DE" w:rsidRDefault="00F468DE" w:rsidP="00F468DE">
      <w:pPr>
        <w:autoSpaceDE w:val="0"/>
        <w:autoSpaceDN w:val="0"/>
        <w:adjustRightInd w:val="0"/>
        <w:rPr>
          <w:noProof/>
          <w:szCs w:val="22"/>
          <w:u w:val="single"/>
        </w:rPr>
      </w:pPr>
      <w:r w:rsidRPr="0063119B">
        <w:rPr>
          <w:noProof/>
          <w:szCs w:val="22"/>
          <w:u w:val="single"/>
        </w:rPr>
        <w:t>População idosa</w:t>
      </w:r>
    </w:p>
    <w:p w14:paraId="5E015E1B" w14:textId="77777777" w:rsidR="00BB5E91" w:rsidRPr="0063119B" w:rsidRDefault="00BB5E91" w:rsidP="00F468DE">
      <w:pPr>
        <w:autoSpaceDE w:val="0"/>
        <w:autoSpaceDN w:val="0"/>
        <w:adjustRightInd w:val="0"/>
        <w:rPr>
          <w:noProof/>
          <w:szCs w:val="22"/>
        </w:rPr>
      </w:pPr>
    </w:p>
    <w:p w14:paraId="75841D1A" w14:textId="77777777" w:rsidR="00F468DE" w:rsidRPr="0063119B" w:rsidRDefault="00F468DE" w:rsidP="00F468DE">
      <w:pPr>
        <w:autoSpaceDE w:val="0"/>
        <w:autoSpaceDN w:val="0"/>
        <w:adjustRightInd w:val="0"/>
        <w:rPr>
          <w:szCs w:val="22"/>
        </w:rPr>
      </w:pPr>
      <w:r w:rsidRPr="0063119B">
        <w:rPr>
          <w:szCs w:val="22"/>
        </w:rPr>
        <w:t>A idade avançada pode aumentar o risco de hemorragia (ver secção 5.2).</w:t>
      </w:r>
    </w:p>
    <w:p w14:paraId="685D72D7" w14:textId="77777777" w:rsidR="00F468DE" w:rsidRPr="0063119B" w:rsidRDefault="00F468DE" w:rsidP="00F468DE">
      <w:pPr>
        <w:autoSpaceDE w:val="0"/>
        <w:autoSpaceDN w:val="0"/>
        <w:adjustRightInd w:val="0"/>
        <w:rPr>
          <w:szCs w:val="22"/>
        </w:rPr>
      </w:pPr>
    </w:p>
    <w:p w14:paraId="640BA0CF" w14:textId="77777777" w:rsidR="00C92B39" w:rsidRDefault="00C92B39" w:rsidP="00C92B39">
      <w:pPr>
        <w:autoSpaceDE w:val="0"/>
        <w:autoSpaceDN w:val="0"/>
        <w:adjustRightInd w:val="0"/>
        <w:rPr>
          <w:szCs w:val="22"/>
          <w:u w:val="single"/>
        </w:rPr>
      </w:pPr>
      <w:r w:rsidRPr="0063119B">
        <w:rPr>
          <w:szCs w:val="22"/>
          <w:u w:val="single"/>
        </w:rPr>
        <w:t>Reações dermatológicas</w:t>
      </w:r>
    </w:p>
    <w:p w14:paraId="2D2504F6" w14:textId="77777777" w:rsidR="00BB5E91" w:rsidRPr="0063119B" w:rsidRDefault="00BB5E91" w:rsidP="00C92B39">
      <w:pPr>
        <w:autoSpaceDE w:val="0"/>
        <w:autoSpaceDN w:val="0"/>
        <w:adjustRightInd w:val="0"/>
        <w:rPr>
          <w:szCs w:val="22"/>
          <w:u w:val="single"/>
        </w:rPr>
      </w:pPr>
    </w:p>
    <w:p w14:paraId="003C0A18" w14:textId="77777777" w:rsidR="00C92B39" w:rsidRPr="0063119B" w:rsidRDefault="00C92B39" w:rsidP="00C92B39">
      <w:pPr>
        <w:autoSpaceDE w:val="0"/>
        <w:autoSpaceDN w:val="0"/>
        <w:adjustRightInd w:val="0"/>
        <w:rPr>
          <w:szCs w:val="22"/>
        </w:rPr>
      </w:pPr>
      <w:r w:rsidRPr="0063119B">
        <w:rPr>
          <w:szCs w:val="22"/>
        </w:rPr>
        <w:t>Foram notificadas reações cutâneas graves, incluindo síndrome de Stevens-Johnson/</w:t>
      </w:r>
      <w:r w:rsidR="00487F72" w:rsidRPr="0063119B">
        <w:rPr>
          <w:szCs w:val="22"/>
        </w:rPr>
        <w:t>n</w:t>
      </w:r>
      <w:r w:rsidRPr="0063119B">
        <w:rPr>
          <w:szCs w:val="22"/>
        </w:rPr>
        <w:t xml:space="preserve">ecrólise </w:t>
      </w:r>
      <w:r w:rsidR="00487F72" w:rsidRPr="0063119B">
        <w:rPr>
          <w:szCs w:val="22"/>
        </w:rPr>
        <w:t>e</w:t>
      </w:r>
      <w:r w:rsidRPr="0063119B">
        <w:rPr>
          <w:szCs w:val="22"/>
        </w:rPr>
        <w:t xml:space="preserve">pidérmica </w:t>
      </w:r>
      <w:r w:rsidR="00487F72" w:rsidRPr="0063119B">
        <w:rPr>
          <w:szCs w:val="22"/>
        </w:rPr>
        <w:t>t</w:t>
      </w:r>
      <w:r w:rsidRPr="0063119B">
        <w:rPr>
          <w:szCs w:val="22"/>
        </w:rPr>
        <w:t>óxica</w:t>
      </w:r>
      <w:r w:rsidR="009934BB" w:rsidRPr="0063119B">
        <w:rPr>
          <w:szCs w:val="22"/>
        </w:rPr>
        <w:t xml:space="preserve"> e síndrome de DRESS</w:t>
      </w:r>
      <w:r w:rsidRPr="0063119B">
        <w:rPr>
          <w:szCs w:val="22"/>
        </w:rPr>
        <w:t>, durante a vigilância pós-comercialização</w:t>
      </w:r>
      <w:r w:rsidR="00EC173D" w:rsidRPr="0063119B">
        <w:rPr>
          <w:szCs w:val="22"/>
        </w:rPr>
        <w:t>,</w:t>
      </w:r>
      <w:r w:rsidRPr="0063119B">
        <w:rPr>
          <w:szCs w:val="22"/>
        </w:rPr>
        <w:t xml:space="preserve"> associadas à utilização de rivaroxabano (ver secção 4.8). Os doentes parecem estar em maior risco para estas reações no início da terapêutica: o início da reação ocorre na maioria dos casos nas primeiras semanas de tratamento. O  rivaroxabano deve ser interrompido na primeira manifestação de uma erupção cutânea grave (ex.:</w:t>
      </w:r>
      <w:r w:rsidR="00EC173D" w:rsidRPr="0063119B">
        <w:rPr>
          <w:szCs w:val="22"/>
        </w:rPr>
        <w:t xml:space="preserve"> </w:t>
      </w:r>
      <w:r w:rsidRPr="0063119B">
        <w:rPr>
          <w:szCs w:val="22"/>
        </w:rPr>
        <w:t xml:space="preserve">disseminação intensa e/ou formação de bolhas) ou qualquer outro sinal de hipersensibilidade em associação com lesões da mucosa.  </w:t>
      </w:r>
    </w:p>
    <w:p w14:paraId="1A5BDB17" w14:textId="77777777" w:rsidR="003D01B4" w:rsidRPr="0063119B" w:rsidRDefault="003D01B4" w:rsidP="00337111">
      <w:pPr>
        <w:suppressAutoHyphens/>
        <w:rPr>
          <w:noProof/>
          <w:szCs w:val="22"/>
          <w:u w:val="single"/>
        </w:rPr>
      </w:pPr>
    </w:p>
    <w:p w14:paraId="50F0C6D1" w14:textId="77777777" w:rsidR="00337111" w:rsidRDefault="00337111" w:rsidP="00337111">
      <w:pPr>
        <w:suppressAutoHyphens/>
        <w:rPr>
          <w:noProof/>
          <w:szCs w:val="22"/>
          <w:u w:val="single"/>
        </w:rPr>
      </w:pPr>
      <w:r w:rsidRPr="0063119B">
        <w:rPr>
          <w:noProof/>
          <w:szCs w:val="22"/>
          <w:u w:val="single"/>
        </w:rPr>
        <w:t>Informação sobre excipientes</w:t>
      </w:r>
    </w:p>
    <w:p w14:paraId="40081061" w14:textId="77777777" w:rsidR="00BB5E91" w:rsidRPr="0063119B" w:rsidRDefault="00BB5E91" w:rsidP="00337111">
      <w:pPr>
        <w:suppressAutoHyphens/>
        <w:rPr>
          <w:noProof/>
          <w:szCs w:val="22"/>
          <w:u w:val="single"/>
        </w:rPr>
      </w:pPr>
    </w:p>
    <w:p w14:paraId="10693E18" w14:textId="77777777" w:rsidR="00337111" w:rsidRPr="0063119B" w:rsidRDefault="00607DE4" w:rsidP="00337111">
      <w:pPr>
        <w:suppressAutoHyphens/>
        <w:rPr>
          <w:noProof/>
          <w:szCs w:val="22"/>
        </w:rPr>
      </w:pPr>
      <w:r>
        <w:rPr>
          <w:noProof/>
          <w:szCs w:val="22"/>
        </w:rPr>
        <w:t>Rivaroxabano</w:t>
      </w:r>
      <w:r w:rsidR="00651577" w:rsidRPr="0063119B">
        <w:rPr>
          <w:noProof/>
          <w:szCs w:val="22"/>
        </w:rPr>
        <w:t xml:space="preserve"> Accord</w:t>
      </w:r>
      <w:r w:rsidR="00337111" w:rsidRPr="0063119B">
        <w:rPr>
          <w:noProof/>
          <w:szCs w:val="22"/>
        </w:rPr>
        <w:t xml:space="preserve"> contém lactose. Doentes com problemas hereditários raros de intolerância à galactose, deficiência </w:t>
      </w:r>
      <w:r w:rsidR="00487F72" w:rsidRPr="0063119B">
        <w:rPr>
          <w:noProof/>
          <w:szCs w:val="22"/>
        </w:rPr>
        <w:t xml:space="preserve">total </w:t>
      </w:r>
      <w:r w:rsidR="00337111" w:rsidRPr="0063119B">
        <w:rPr>
          <w:noProof/>
          <w:szCs w:val="22"/>
        </w:rPr>
        <w:t>de lactase ou malabsorção de glucose</w:t>
      </w:r>
      <w:r w:rsidR="00337111" w:rsidRPr="0063119B">
        <w:rPr>
          <w:noProof/>
          <w:szCs w:val="22"/>
        </w:rPr>
        <w:noBreakHyphen/>
        <w:t>galactose não devem tomar este medicamento.</w:t>
      </w:r>
    </w:p>
    <w:p w14:paraId="307FE4EE" w14:textId="77777777" w:rsidR="00651577" w:rsidRPr="0063119B" w:rsidRDefault="00651577" w:rsidP="00651577">
      <w:pPr>
        <w:autoSpaceDE w:val="0"/>
        <w:autoSpaceDN w:val="0"/>
        <w:adjustRightInd w:val="0"/>
        <w:rPr>
          <w:noProof/>
          <w:szCs w:val="22"/>
        </w:rPr>
      </w:pPr>
      <w:r w:rsidRPr="0063119B">
        <w:rPr>
          <w:color w:val="000000"/>
          <w:szCs w:val="22"/>
          <w:lang w:eastAsia="en-GB"/>
        </w:rPr>
        <w:t>Este medicamento contém menos do que 1 mmol (23 mg) de sódio por comprimido, ou seja, é praticamente “isento de sódio”.</w:t>
      </w:r>
    </w:p>
    <w:p w14:paraId="357E3981" w14:textId="77777777" w:rsidR="00337111" w:rsidRPr="0063119B" w:rsidRDefault="00337111" w:rsidP="00337111">
      <w:pPr>
        <w:suppressAutoHyphens/>
        <w:rPr>
          <w:noProof/>
          <w:szCs w:val="22"/>
          <w:u w:val="single"/>
        </w:rPr>
      </w:pPr>
    </w:p>
    <w:p w14:paraId="4670E8CC" w14:textId="77777777" w:rsidR="00337111" w:rsidRPr="0063119B" w:rsidRDefault="00337111" w:rsidP="00337111">
      <w:pPr>
        <w:suppressAutoHyphens/>
        <w:ind w:left="567" w:hanging="567"/>
        <w:rPr>
          <w:noProof/>
          <w:szCs w:val="22"/>
        </w:rPr>
      </w:pPr>
      <w:r w:rsidRPr="0063119B">
        <w:rPr>
          <w:b/>
          <w:noProof/>
          <w:szCs w:val="22"/>
        </w:rPr>
        <w:t>4.5</w:t>
      </w:r>
      <w:r w:rsidRPr="0063119B">
        <w:rPr>
          <w:b/>
          <w:noProof/>
          <w:szCs w:val="22"/>
        </w:rPr>
        <w:tab/>
        <w:t>Interações medicamentosas e outras formas de interação</w:t>
      </w:r>
    </w:p>
    <w:p w14:paraId="749FB944" w14:textId="77777777" w:rsidR="00337111" w:rsidRDefault="00337111" w:rsidP="00337111">
      <w:pPr>
        <w:suppressAutoHyphens/>
        <w:rPr>
          <w:noProof/>
          <w:szCs w:val="22"/>
        </w:rPr>
      </w:pPr>
    </w:p>
    <w:p w14:paraId="2E9359C5" w14:textId="77777777" w:rsidR="00A2172E" w:rsidRDefault="00A2172E" w:rsidP="00337111">
      <w:pPr>
        <w:suppressAutoHyphens/>
        <w:rPr>
          <w:szCs w:val="22"/>
        </w:rPr>
      </w:pPr>
      <w:r>
        <w:rPr>
          <w:szCs w:val="22"/>
        </w:rPr>
        <w:t>Desconhece-se a extensão das interações na população pediátrica. Os dados de interação mencionados a seguir obtidos em adultos e as advertências na secção 4.4 devem ser tidos em consideração na população pediátrica.</w:t>
      </w:r>
    </w:p>
    <w:p w14:paraId="65E79BFA" w14:textId="77777777" w:rsidR="00A2172E" w:rsidRPr="0063119B" w:rsidRDefault="00A2172E" w:rsidP="00337111">
      <w:pPr>
        <w:suppressAutoHyphens/>
        <w:rPr>
          <w:noProof/>
          <w:szCs w:val="22"/>
        </w:rPr>
      </w:pPr>
    </w:p>
    <w:p w14:paraId="0157B59E" w14:textId="77777777" w:rsidR="00337111" w:rsidRDefault="00337111" w:rsidP="00337111">
      <w:pPr>
        <w:suppressAutoHyphens/>
        <w:rPr>
          <w:noProof/>
          <w:szCs w:val="22"/>
          <w:u w:val="single"/>
        </w:rPr>
      </w:pPr>
      <w:r w:rsidRPr="0063119B">
        <w:rPr>
          <w:noProof/>
          <w:szCs w:val="22"/>
          <w:u w:val="single"/>
        </w:rPr>
        <w:t>Inibidores do CYP3A4 e da gp</w:t>
      </w:r>
      <w:r w:rsidRPr="0063119B">
        <w:rPr>
          <w:noProof/>
          <w:szCs w:val="22"/>
          <w:u w:val="single"/>
        </w:rPr>
        <w:noBreakHyphen/>
        <w:t>P</w:t>
      </w:r>
    </w:p>
    <w:p w14:paraId="1CDF222D" w14:textId="77777777" w:rsidR="00BB5E91" w:rsidRPr="0063119B" w:rsidRDefault="00BB5E91" w:rsidP="00337111">
      <w:pPr>
        <w:suppressAutoHyphens/>
        <w:rPr>
          <w:noProof/>
          <w:szCs w:val="22"/>
          <w:u w:val="single"/>
        </w:rPr>
      </w:pPr>
    </w:p>
    <w:p w14:paraId="372EDF88" w14:textId="77777777" w:rsidR="00337111" w:rsidRPr="0063119B" w:rsidRDefault="00337111" w:rsidP="00337111">
      <w:pPr>
        <w:suppressAutoHyphens/>
        <w:rPr>
          <w:noProof/>
          <w:szCs w:val="22"/>
        </w:rPr>
      </w:pPr>
      <w:r w:rsidRPr="0063119B">
        <w:rPr>
          <w:noProof/>
          <w:szCs w:val="22"/>
        </w:rPr>
        <w:lastRenderedPageBreak/>
        <w:t>A coadministração de rivaroxabano com cetoconazol (400 mg uma vez ao dia) ou ritonavir</w:t>
      </w:r>
    </w:p>
    <w:p w14:paraId="1C4238D1" w14:textId="77777777" w:rsidR="00337111" w:rsidRPr="0063119B" w:rsidRDefault="00337111" w:rsidP="00337111">
      <w:pPr>
        <w:suppressAutoHyphens/>
        <w:rPr>
          <w:noProof/>
          <w:szCs w:val="22"/>
        </w:rPr>
      </w:pPr>
      <w:r w:rsidRPr="0063119B">
        <w:rPr>
          <w:noProof/>
          <w:szCs w:val="22"/>
        </w:rPr>
        <w:t>(600 mg duas vezes ao dia) originou um aumento de 2,6 vezes / 2,5 vezes da média da AUC do rivaroxabano e um aumento de 1,7 vezes / 1,6 vezes da média da C</w:t>
      </w:r>
      <w:r w:rsidRPr="0063119B">
        <w:rPr>
          <w:noProof/>
          <w:szCs w:val="22"/>
          <w:vertAlign w:val="subscript"/>
        </w:rPr>
        <w:t>max</w:t>
      </w:r>
      <w:r w:rsidRPr="0063119B">
        <w:rPr>
          <w:noProof/>
          <w:szCs w:val="22"/>
        </w:rPr>
        <w:t xml:space="preserve"> do rivaroxabano, com aumentos significativos nos efeitos farmacodinâmicos o que pode originar um </w:t>
      </w:r>
      <w:r w:rsidR="00426117" w:rsidRPr="0063119B">
        <w:rPr>
          <w:noProof/>
          <w:szCs w:val="22"/>
        </w:rPr>
        <w:t xml:space="preserve">risco </w:t>
      </w:r>
      <w:r w:rsidRPr="0063119B">
        <w:rPr>
          <w:noProof/>
          <w:szCs w:val="22"/>
        </w:rPr>
        <w:t>aument</w:t>
      </w:r>
      <w:r w:rsidR="00426117" w:rsidRPr="0063119B">
        <w:rPr>
          <w:noProof/>
          <w:szCs w:val="22"/>
        </w:rPr>
        <w:t>ad</w:t>
      </w:r>
      <w:r w:rsidRPr="0063119B">
        <w:rPr>
          <w:noProof/>
          <w:szCs w:val="22"/>
        </w:rPr>
        <w:t>o d</w:t>
      </w:r>
      <w:r w:rsidR="00426117" w:rsidRPr="0063119B">
        <w:rPr>
          <w:noProof/>
          <w:szCs w:val="22"/>
        </w:rPr>
        <w:t>e</w:t>
      </w:r>
      <w:r w:rsidRPr="0063119B">
        <w:rPr>
          <w:noProof/>
          <w:szCs w:val="22"/>
        </w:rPr>
        <w:t xml:space="preserve"> hemorr</w:t>
      </w:r>
      <w:r w:rsidR="00426117" w:rsidRPr="0063119B">
        <w:rPr>
          <w:noProof/>
          <w:szCs w:val="22"/>
        </w:rPr>
        <w:t>agia</w:t>
      </w:r>
      <w:r w:rsidRPr="0063119B">
        <w:rPr>
          <w:noProof/>
          <w:szCs w:val="22"/>
        </w:rPr>
        <w:t xml:space="preserve">. Deste modo, a utilização de </w:t>
      </w:r>
      <w:r w:rsidR="00651577" w:rsidRPr="0063119B">
        <w:rPr>
          <w:szCs w:val="22"/>
        </w:rPr>
        <w:t>rivaroxabano</w:t>
      </w:r>
      <w:r w:rsidRPr="0063119B">
        <w:rPr>
          <w:noProof/>
          <w:szCs w:val="22"/>
        </w:rPr>
        <w:t xml:space="preserve"> não é recomendada em doentes submetidos a tratamento sistémico concomitante com antimicóticos azólicos tais como cetoconazol, itraconazol, voriconazol, posaconazol ou inibidores da protease do VIH. Estas substâncias ativas são potentes inibidores do CYP3A4 e da gp</w:t>
      </w:r>
      <w:r w:rsidRPr="0063119B">
        <w:rPr>
          <w:noProof/>
          <w:szCs w:val="22"/>
        </w:rPr>
        <w:noBreakHyphen/>
        <w:t>P (ver secção 4.4).</w:t>
      </w:r>
    </w:p>
    <w:p w14:paraId="338A61F9" w14:textId="77777777" w:rsidR="00337111" w:rsidRPr="0063119B" w:rsidRDefault="00337111" w:rsidP="00337111">
      <w:pPr>
        <w:suppressAutoHyphens/>
        <w:rPr>
          <w:noProof/>
          <w:szCs w:val="22"/>
        </w:rPr>
      </w:pPr>
    </w:p>
    <w:p w14:paraId="5EDD6233" w14:textId="77777777" w:rsidR="00337111" w:rsidRPr="0063119B" w:rsidRDefault="00337111" w:rsidP="00337111">
      <w:pPr>
        <w:suppressAutoHyphens/>
        <w:rPr>
          <w:noProof/>
          <w:szCs w:val="22"/>
        </w:rPr>
      </w:pPr>
      <w:r w:rsidRPr="0063119B">
        <w:rPr>
          <w:noProof/>
          <w:szCs w:val="22"/>
        </w:rPr>
        <w:t>Prevê</w:t>
      </w:r>
      <w:r w:rsidRPr="0063119B">
        <w:rPr>
          <w:noProof/>
          <w:szCs w:val="22"/>
        </w:rPr>
        <w:noBreakHyphen/>
        <w:t>se que substâncias ativas que inibam fortemente apenas uma das vias de eliminação de rivaroxabano, quer o CYP3A4 quer a gp</w:t>
      </w:r>
      <w:r w:rsidRPr="0063119B">
        <w:rPr>
          <w:noProof/>
          <w:szCs w:val="22"/>
        </w:rPr>
        <w:noBreakHyphen/>
        <w:t>P, aumentem em menor grau as concentrações plasmáticas de rivaroxabano. A claritromicina (500 mg duas vezes ao dia), por exemplo, considerada como um potente inibidor do CYP3A4 e um inibidor moderado da gp</w:t>
      </w:r>
      <w:r w:rsidRPr="0063119B">
        <w:rPr>
          <w:noProof/>
          <w:szCs w:val="22"/>
        </w:rPr>
        <w:noBreakHyphen/>
        <w:t>P, originou um aumento de 1,5 vezes da média da AUC do rivaroxabano e um aumento de 1,4 vezes na C</w:t>
      </w:r>
      <w:r w:rsidRPr="0063119B">
        <w:rPr>
          <w:noProof/>
          <w:szCs w:val="22"/>
          <w:vertAlign w:val="subscript"/>
        </w:rPr>
        <w:t>max</w:t>
      </w:r>
      <w:r w:rsidRPr="0063119B">
        <w:rPr>
          <w:noProof/>
          <w:szCs w:val="22"/>
        </w:rPr>
        <w:t xml:space="preserve">. </w:t>
      </w:r>
      <w:r w:rsidR="009934BB" w:rsidRPr="0063119B">
        <w:rPr>
          <w:szCs w:val="22"/>
        </w:rPr>
        <w:t>Provavelmente, a</w:t>
      </w:r>
      <w:r w:rsidR="009934BB" w:rsidRPr="0063119B">
        <w:rPr>
          <w:noProof/>
          <w:szCs w:val="22"/>
        </w:rPr>
        <w:t xml:space="preserve"> interação com a claritromicina não é clinicamente relevante na maioria dos doentes, mas pode ser potencialmente significativa em doentes de alto risco</w:t>
      </w:r>
      <w:r w:rsidR="009934BB" w:rsidRPr="0063119B" w:rsidDel="009934BB">
        <w:rPr>
          <w:noProof/>
          <w:szCs w:val="22"/>
        </w:rPr>
        <w:t xml:space="preserve"> </w:t>
      </w:r>
      <w:r w:rsidR="00BF7E37" w:rsidRPr="0063119B">
        <w:rPr>
          <w:noProof/>
          <w:szCs w:val="22"/>
        </w:rPr>
        <w:t xml:space="preserve">(para doentes com </w:t>
      </w:r>
      <w:r w:rsidR="001D206C" w:rsidRPr="0063119B">
        <w:rPr>
          <w:noProof/>
          <w:szCs w:val="22"/>
        </w:rPr>
        <w:t>compromisso</w:t>
      </w:r>
      <w:r w:rsidR="00961BAF" w:rsidRPr="0063119B">
        <w:rPr>
          <w:noProof/>
          <w:szCs w:val="22"/>
        </w:rPr>
        <w:t xml:space="preserve"> </w:t>
      </w:r>
      <w:r w:rsidR="00BF7E37" w:rsidRPr="0063119B">
        <w:rPr>
          <w:noProof/>
          <w:szCs w:val="22"/>
        </w:rPr>
        <w:t>renal: ver secção 4.4)</w:t>
      </w:r>
      <w:r w:rsidRPr="0063119B">
        <w:rPr>
          <w:noProof/>
          <w:szCs w:val="22"/>
        </w:rPr>
        <w:t>.</w:t>
      </w:r>
    </w:p>
    <w:p w14:paraId="6E0D2913" w14:textId="77777777" w:rsidR="00337111" w:rsidRPr="0063119B" w:rsidRDefault="00337111" w:rsidP="00337111">
      <w:pPr>
        <w:suppressAutoHyphens/>
        <w:rPr>
          <w:noProof/>
          <w:szCs w:val="22"/>
        </w:rPr>
      </w:pPr>
    </w:p>
    <w:p w14:paraId="09EDA2FC" w14:textId="77777777" w:rsidR="00337111" w:rsidRPr="0063119B" w:rsidRDefault="00337111" w:rsidP="00337111">
      <w:pPr>
        <w:suppressAutoHyphens/>
        <w:rPr>
          <w:noProof/>
          <w:szCs w:val="22"/>
        </w:rPr>
      </w:pPr>
      <w:r w:rsidRPr="0063119B">
        <w:rPr>
          <w:noProof/>
          <w:szCs w:val="22"/>
        </w:rPr>
        <w:t>A eritromicina (500 mg três vezes ao dia), que inibe moderamente o CYP3A4 e a gp</w:t>
      </w:r>
      <w:r w:rsidRPr="0063119B">
        <w:rPr>
          <w:noProof/>
          <w:szCs w:val="22"/>
        </w:rPr>
        <w:noBreakHyphen/>
        <w:t>P, originou um aumento de 1,3 vezes da média da AUC e da C</w:t>
      </w:r>
      <w:r w:rsidRPr="0063119B">
        <w:rPr>
          <w:noProof/>
          <w:szCs w:val="22"/>
          <w:vertAlign w:val="subscript"/>
        </w:rPr>
        <w:t>max</w:t>
      </w:r>
      <w:r w:rsidRPr="0063119B">
        <w:rPr>
          <w:noProof/>
          <w:szCs w:val="22"/>
        </w:rPr>
        <w:t xml:space="preserve"> do rivaroxabano. </w:t>
      </w:r>
      <w:r w:rsidR="009934BB" w:rsidRPr="0063119B">
        <w:rPr>
          <w:szCs w:val="22"/>
        </w:rPr>
        <w:t>Provavelmente, a</w:t>
      </w:r>
      <w:r w:rsidR="009934BB" w:rsidRPr="0063119B">
        <w:rPr>
          <w:noProof/>
          <w:szCs w:val="22"/>
        </w:rPr>
        <w:t xml:space="preserve"> interação com a eritromicina não é clinicamente relevante na maioria dos doentes, mas pode ser potencialmente significativa em doentes de alto risco.</w:t>
      </w:r>
    </w:p>
    <w:p w14:paraId="7C92525E" w14:textId="77777777" w:rsidR="00A9395A" w:rsidRPr="0063119B" w:rsidRDefault="00A9395A" w:rsidP="002801F3">
      <w:pPr>
        <w:tabs>
          <w:tab w:val="left" w:pos="5245"/>
        </w:tabs>
        <w:suppressAutoHyphens/>
        <w:rPr>
          <w:noProof/>
          <w:szCs w:val="22"/>
        </w:rPr>
      </w:pPr>
      <w:r w:rsidRPr="0063119B">
        <w:rPr>
          <w:noProof/>
          <w:szCs w:val="22"/>
        </w:rPr>
        <w:t>A eritromicina (500 mg três vezes ao dia) originou um aumento de 1,8 vezes da média da AUC do rivaroxabano e de 1,6 vezes da C</w:t>
      </w:r>
      <w:r w:rsidRPr="0063119B">
        <w:rPr>
          <w:noProof/>
          <w:szCs w:val="22"/>
          <w:vertAlign w:val="subscript"/>
        </w:rPr>
        <w:t>max</w:t>
      </w:r>
      <w:r w:rsidRPr="0063119B">
        <w:rPr>
          <w:noProof/>
          <w:szCs w:val="22"/>
        </w:rPr>
        <w:t xml:space="preserve"> em indivíduos com </w:t>
      </w:r>
      <w:r w:rsidR="00B70ADD" w:rsidRPr="0063119B">
        <w:rPr>
          <w:noProof/>
          <w:szCs w:val="22"/>
        </w:rPr>
        <w:t>compromisso renal ligeiro</w:t>
      </w:r>
      <w:r w:rsidRPr="0063119B">
        <w:rPr>
          <w:noProof/>
          <w:szCs w:val="22"/>
        </w:rPr>
        <w:t xml:space="preserve"> quando comparados com indivíduos com função renal normal. Em indivíduos com </w:t>
      </w:r>
      <w:r w:rsidR="00B70ADD" w:rsidRPr="0063119B">
        <w:rPr>
          <w:noProof/>
          <w:szCs w:val="22"/>
        </w:rPr>
        <w:t>compromisso renal moderado</w:t>
      </w:r>
      <w:r w:rsidRPr="0063119B">
        <w:rPr>
          <w:noProof/>
          <w:szCs w:val="22"/>
        </w:rPr>
        <w:t>, a eritromicina originou um aumento de 2</w:t>
      </w:r>
      <w:r w:rsidR="002801F3" w:rsidRPr="0063119B">
        <w:rPr>
          <w:noProof/>
          <w:szCs w:val="22"/>
        </w:rPr>
        <w:t>,0</w:t>
      </w:r>
      <w:r w:rsidRPr="0063119B">
        <w:rPr>
          <w:noProof/>
          <w:szCs w:val="22"/>
        </w:rPr>
        <w:t> vezes da média da AUC do rivaroxabano e de 1,6 vezes na C</w:t>
      </w:r>
      <w:r w:rsidRPr="0063119B">
        <w:rPr>
          <w:noProof/>
          <w:szCs w:val="22"/>
          <w:vertAlign w:val="subscript"/>
        </w:rPr>
        <w:t>max</w:t>
      </w:r>
      <w:r w:rsidRPr="0063119B">
        <w:rPr>
          <w:noProof/>
          <w:szCs w:val="22"/>
        </w:rPr>
        <w:t xml:space="preserve"> quando comparados com indivíduos com função renal normal</w:t>
      </w:r>
      <w:r w:rsidR="005F7DC4" w:rsidRPr="0063119B">
        <w:rPr>
          <w:noProof/>
          <w:szCs w:val="22"/>
        </w:rPr>
        <w:t>. O efeito da eritromicina é aditivo ao do compromisso renal</w:t>
      </w:r>
      <w:r w:rsidRPr="0063119B">
        <w:rPr>
          <w:noProof/>
          <w:szCs w:val="22"/>
        </w:rPr>
        <w:t xml:space="preserve"> (ver secção 4.4).</w:t>
      </w:r>
    </w:p>
    <w:p w14:paraId="146EE287" w14:textId="77777777" w:rsidR="00337111" w:rsidRPr="0063119B" w:rsidRDefault="00337111" w:rsidP="00337111">
      <w:pPr>
        <w:suppressAutoHyphens/>
        <w:rPr>
          <w:noProof/>
          <w:szCs w:val="22"/>
        </w:rPr>
      </w:pPr>
    </w:p>
    <w:p w14:paraId="7CF50A9D" w14:textId="77777777" w:rsidR="00337111" w:rsidRPr="0063119B" w:rsidRDefault="00337111" w:rsidP="00337111">
      <w:pPr>
        <w:suppressAutoHyphens/>
        <w:rPr>
          <w:szCs w:val="22"/>
        </w:rPr>
      </w:pPr>
      <w:r w:rsidRPr="0063119B">
        <w:rPr>
          <w:szCs w:val="22"/>
        </w:rPr>
        <w:t>O fluconazol (400 mg uma vez por dia) considerado como um inibidor moderado da CYP3A4, originou um aumento de 1,4 vezes da AUC média do rivaroxabano e um aumento de 1,3 vezes da C</w:t>
      </w:r>
      <w:r w:rsidRPr="0063119B">
        <w:rPr>
          <w:szCs w:val="22"/>
          <w:vertAlign w:val="subscript"/>
        </w:rPr>
        <w:t>max</w:t>
      </w:r>
      <w:r w:rsidRPr="0063119B">
        <w:rPr>
          <w:szCs w:val="22"/>
        </w:rPr>
        <w:t xml:space="preserve"> média. </w:t>
      </w:r>
      <w:r w:rsidR="009934BB" w:rsidRPr="0063119B">
        <w:rPr>
          <w:szCs w:val="22"/>
        </w:rPr>
        <w:t>Provavelmente, a</w:t>
      </w:r>
      <w:r w:rsidR="009934BB" w:rsidRPr="0063119B">
        <w:rPr>
          <w:noProof/>
          <w:szCs w:val="22"/>
        </w:rPr>
        <w:t xml:space="preserve"> interação com o fluconazol não é clinicamente relevante na maioria dos doentes, mas pode ser potencialmente significativa em doentes de alto risco</w:t>
      </w:r>
      <w:r w:rsidR="009934BB" w:rsidRPr="0063119B" w:rsidDel="009934BB">
        <w:rPr>
          <w:szCs w:val="22"/>
        </w:rPr>
        <w:t xml:space="preserve"> </w:t>
      </w:r>
      <w:r w:rsidR="00062696" w:rsidRPr="0063119B">
        <w:rPr>
          <w:szCs w:val="22"/>
        </w:rPr>
        <w:t>(para</w:t>
      </w:r>
      <w:r w:rsidR="002B5D0A" w:rsidRPr="0063119B">
        <w:rPr>
          <w:szCs w:val="22"/>
        </w:rPr>
        <w:t xml:space="preserve"> doentes com compromisso renal</w:t>
      </w:r>
      <w:r w:rsidR="00594A28" w:rsidRPr="0063119B">
        <w:rPr>
          <w:szCs w:val="22"/>
        </w:rPr>
        <w:t>:</w:t>
      </w:r>
      <w:r w:rsidR="002B5D0A" w:rsidRPr="0063119B">
        <w:rPr>
          <w:szCs w:val="22"/>
        </w:rPr>
        <w:t xml:space="preserve"> ver secção</w:t>
      </w:r>
      <w:r w:rsidR="00651577" w:rsidRPr="0063119B">
        <w:rPr>
          <w:szCs w:val="22"/>
        </w:rPr>
        <w:t> </w:t>
      </w:r>
      <w:r w:rsidR="002B5D0A" w:rsidRPr="0063119B">
        <w:rPr>
          <w:szCs w:val="22"/>
        </w:rPr>
        <w:t xml:space="preserve">4.4). </w:t>
      </w:r>
    </w:p>
    <w:p w14:paraId="5FA5245E" w14:textId="77777777" w:rsidR="00337111" w:rsidRPr="0063119B" w:rsidRDefault="00337111" w:rsidP="00337111">
      <w:pPr>
        <w:suppressAutoHyphens/>
        <w:rPr>
          <w:noProof/>
          <w:szCs w:val="22"/>
        </w:rPr>
      </w:pPr>
    </w:p>
    <w:p w14:paraId="5D710363" w14:textId="77777777" w:rsidR="00337111" w:rsidRPr="0063119B" w:rsidRDefault="00337111" w:rsidP="00337111">
      <w:pPr>
        <w:suppressAutoHyphens/>
        <w:rPr>
          <w:noProof/>
          <w:szCs w:val="22"/>
        </w:rPr>
      </w:pPr>
      <w:r w:rsidRPr="0063119B">
        <w:rPr>
          <w:noProof/>
          <w:szCs w:val="22"/>
        </w:rPr>
        <w:t>Face aos dados clínicos disponíveis com dronedarona serem limitados, a coadministração com rivaroxabano deve ser evitada.</w:t>
      </w:r>
    </w:p>
    <w:p w14:paraId="539BD39E" w14:textId="77777777" w:rsidR="00337111" w:rsidRPr="0063119B" w:rsidRDefault="00337111" w:rsidP="00337111">
      <w:pPr>
        <w:suppressAutoHyphens/>
        <w:rPr>
          <w:noProof/>
          <w:szCs w:val="22"/>
        </w:rPr>
      </w:pPr>
    </w:p>
    <w:p w14:paraId="1C122865" w14:textId="77777777" w:rsidR="00BB5E91" w:rsidRDefault="00337111" w:rsidP="00337111">
      <w:pPr>
        <w:suppressAutoHyphens/>
        <w:rPr>
          <w:noProof/>
          <w:szCs w:val="22"/>
          <w:u w:val="single"/>
        </w:rPr>
      </w:pPr>
      <w:r w:rsidRPr="0063119B">
        <w:rPr>
          <w:noProof/>
          <w:szCs w:val="22"/>
          <w:u w:val="single"/>
        </w:rPr>
        <w:t xml:space="preserve">Anticoagulantes </w:t>
      </w:r>
    </w:p>
    <w:p w14:paraId="7FA475EA" w14:textId="77777777" w:rsidR="00337111" w:rsidRPr="0063119B" w:rsidRDefault="00337111" w:rsidP="00337111">
      <w:pPr>
        <w:suppressAutoHyphens/>
        <w:rPr>
          <w:noProof/>
          <w:szCs w:val="22"/>
        </w:rPr>
      </w:pPr>
      <w:r w:rsidRPr="0063119B">
        <w:rPr>
          <w:noProof/>
          <w:szCs w:val="22"/>
          <w:u w:val="single"/>
        </w:rPr>
        <w:br/>
      </w:r>
      <w:r w:rsidRPr="0063119B">
        <w:rPr>
          <w:noProof/>
          <w:szCs w:val="22"/>
        </w:rPr>
        <w:t>Após a administração combinada de enoxaparina (dose única de 40 mg) com rivaroxabano (dose única de 10 mg), foi observado um efeito aditivo sobre a atividade do antifator</w:t>
      </w:r>
      <w:r w:rsidR="002B5D0A" w:rsidRPr="0063119B">
        <w:rPr>
          <w:noProof/>
          <w:szCs w:val="22"/>
        </w:rPr>
        <w:t xml:space="preserve"> </w:t>
      </w:r>
      <w:r w:rsidRPr="0063119B">
        <w:rPr>
          <w:noProof/>
          <w:szCs w:val="22"/>
        </w:rPr>
        <w:t>Xa, sem quaisquer efeitos adicionais sobre os testes de coagulação (TP, aPTT). A enoxaparina não afetou as propriedades farmacocinéticas do rivaroxabano.</w:t>
      </w:r>
    </w:p>
    <w:p w14:paraId="634CA04B" w14:textId="77777777" w:rsidR="00337111" w:rsidRPr="0063119B" w:rsidRDefault="00337111" w:rsidP="00337111">
      <w:pPr>
        <w:suppressAutoHyphens/>
        <w:rPr>
          <w:noProof/>
          <w:szCs w:val="22"/>
        </w:rPr>
      </w:pPr>
      <w:r w:rsidRPr="0063119B">
        <w:rPr>
          <w:noProof/>
          <w:szCs w:val="22"/>
        </w:rPr>
        <w:t xml:space="preserve">Devido ao </w:t>
      </w:r>
      <w:r w:rsidR="001C09A3" w:rsidRPr="0063119B">
        <w:rPr>
          <w:noProof/>
          <w:szCs w:val="22"/>
        </w:rPr>
        <w:t xml:space="preserve">risco </w:t>
      </w:r>
      <w:r w:rsidRPr="0063119B">
        <w:rPr>
          <w:noProof/>
          <w:szCs w:val="22"/>
        </w:rPr>
        <w:t>aument</w:t>
      </w:r>
      <w:r w:rsidR="001C09A3" w:rsidRPr="0063119B">
        <w:rPr>
          <w:noProof/>
          <w:szCs w:val="22"/>
        </w:rPr>
        <w:t>ad</w:t>
      </w:r>
      <w:r w:rsidRPr="0063119B">
        <w:rPr>
          <w:noProof/>
          <w:szCs w:val="22"/>
        </w:rPr>
        <w:t>o de hemorragia, deve ter</w:t>
      </w:r>
      <w:r w:rsidRPr="0063119B">
        <w:rPr>
          <w:noProof/>
          <w:szCs w:val="22"/>
        </w:rPr>
        <w:noBreakHyphen/>
        <w:t>se precaução se os doentes são tratados concomitantemente com quaisquer outros anticoagulantes (ver secções 4.3 e 4.4).</w:t>
      </w:r>
    </w:p>
    <w:p w14:paraId="0DAE5B0E" w14:textId="77777777" w:rsidR="00337111" w:rsidRPr="0063119B" w:rsidRDefault="00337111" w:rsidP="00337111">
      <w:pPr>
        <w:suppressAutoHyphens/>
        <w:rPr>
          <w:noProof/>
          <w:szCs w:val="22"/>
        </w:rPr>
      </w:pPr>
    </w:p>
    <w:p w14:paraId="74E7DA96" w14:textId="77777777" w:rsidR="00337111" w:rsidRDefault="00337111" w:rsidP="00337111">
      <w:pPr>
        <w:keepNext/>
        <w:suppressAutoHyphens/>
        <w:rPr>
          <w:noProof/>
          <w:szCs w:val="22"/>
          <w:u w:val="single"/>
        </w:rPr>
      </w:pPr>
      <w:r w:rsidRPr="0063119B">
        <w:rPr>
          <w:noProof/>
          <w:szCs w:val="22"/>
          <w:u w:val="single"/>
        </w:rPr>
        <w:t>AINEs/inibidores da agregação plaquetária</w:t>
      </w:r>
    </w:p>
    <w:p w14:paraId="7DB996AA" w14:textId="77777777" w:rsidR="00BB5E91" w:rsidRPr="0063119B" w:rsidRDefault="00BB5E91" w:rsidP="00337111">
      <w:pPr>
        <w:keepNext/>
        <w:suppressAutoHyphens/>
        <w:rPr>
          <w:noProof/>
          <w:szCs w:val="22"/>
          <w:u w:val="single"/>
        </w:rPr>
      </w:pPr>
    </w:p>
    <w:p w14:paraId="53D5E06F" w14:textId="77777777" w:rsidR="00337111" w:rsidRPr="0063119B" w:rsidRDefault="00337111" w:rsidP="00337111">
      <w:pPr>
        <w:keepNext/>
        <w:suppressAutoHyphens/>
        <w:rPr>
          <w:noProof/>
          <w:szCs w:val="22"/>
        </w:rPr>
      </w:pPr>
      <w:r w:rsidRPr="0063119B">
        <w:rPr>
          <w:noProof/>
          <w:szCs w:val="22"/>
        </w:rPr>
        <w:t>Não foi observado nenhum prolongamento, clinicamente relevante, do tempo de hemorragia, após a administração concomitante de rivaroxabano (15 mg) e de 500 mg de naproxeno. Contudo, poderão existir indivíduos com uma resposta farmacodinâmica mais pronunciada.</w:t>
      </w:r>
    </w:p>
    <w:p w14:paraId="4F0FD2B9" w14:textId="77777777" w:rsidR="00337111" w:rsidRPr="0063119B" w:rsidRDefault="00337111" w:rsidP="00A9161F">
      <w:pPr>
        <w:suppressAutoHyphens/>
        <w:rPr>
          <w:noProof/>
          <w:szCs w:val="22"/>
        </w:rPr>
      </w:pPr>
      <w:r w:rsidRPr="0063119B">
        <w:rPr>
          <w:noProof/>
          <w:szCs w:val="22"/>
        </w:rPr>
        <w:t xml:space="preserve">Não foram observadas interações farmacocinéticas nem farmacodinâmicas clinicamente </w:t>
      </w:r>
      <w:r w:rsidRPr="0063119B">
        <w:rPr>
          <w:noProof/>
          <w:szCs w:val="22"/>
        </w:rPr>
        <w:br/>
        <w:t>significativas quando rivaroxabano foi coadministrado com 500 mg de ácido acetilsalicílico.</w:t>
      </w:r>
    </w:p>
    <w:p w14:paraId="2D13D93A" w14:textId="77777777" w:rsidR="00337111" w:rsidRPr="0063119B" w:rsidRDefault="00337111" w:rsidP="00A9161F">
      <w:pPr>
        <w:suppressAutoHyphens/>
        <w:rPr>
          <w:noProof/>
          <w:szCs w:val="22"/>
        </w:rPr>
      </w:pPr>
      <w:r w:rsidRPr="0063119B">
        <w:rPr>
          <w:noProof/>
          <w:szCs w:val="22"/>
        </w:rPr>
        <w:t>O clopidogrel (dose de carga de 300 mg, seguida da dose de manutenção de 75 mg) não mostrou nenhuma interação farmacocinética com o rivaroxabano (15 mg), contudo, foi observado um aumento relevante no tempo de hemorragia num subgrupo de doentes não correlacionado com a agregação plaquetária, nem com os níveis de P</w:t>
      </w:r>
      <w:r w:rsidRPr="0063119B">
        <w:rPr>
          <w:noProof/>
          <w:szCs w:val="22"/>
        </w:rPr>
        <w:noBreakHyphen/>
        <w:t>selectina ou dos recetores GPIIb/IIIa.</w:t>
      </w:r>
    </w:p>
    <w:p w14:paraId="6D814DA0" w14:textId="77777777" w:rsidR="00337111" w:rsidRPr="0063119B" w:rsidRDefault="00337111" w:rsidP="00A9161F">
      <w:pPr>
        <w:suppressAutoHyphens/>
        <w:rPr>
          <w:noProof/>
          <w:szCs w:val="22"/>
        </w:rPr>
      </w:pPr>
      <w:r w:rsidRPr="0063119B">
        <w:rPr>
          <w:noProof/>
          <w:szCs w:val="22"/>
        </w:rPr>
        <w:lastRenderedPageBreak/>
        <w:t>Deve ter</w:t>
      </w:r>
      <w:r w:rsidRPr="0063119B">
        <w:rPr>
          <w:noProof/>
          <w:szCs w:val="22"/>
        </w:rPr>
        <w:noBreakHyphen/>
        <w:t>se precaução nos doentes tratados concomitantemente com AINEs (incluindo ácido acetilsalicílico) e inibidores da agregação plaquetária, porque estes medicamentos aumentam, normalmente, o risco de hemorragia (ver secção 4.4).</w:t>
      </w:r>
    </w:p>
    <w:p w14:paraId="148BDEE0" w14:textId="77777777" w:rsidR="00337111" w:rsidRPr="0063119B" w:rsidRDefault="00337111" w:rsidP="00A9161F">
      <w:pPr>
        <w:suppressAutoHyphens/>
        <w:rPr>
          <w:noProof/>
          <w:szCs w:val="22"/>
        </w:rPr>
      </w:pPr>
    </w:p>
    <w:p w14:paraId="54F1F2A4" w14:textId="77777777" w:rsidR="005450DB" w:rsidRDefault="005450DB" w:rsidP="005450DB">
      <w:pPr>
        <w:rPr>
          <w:szCs w:val="22"/>
          <w:u w:val="single"/>
        </w:rPr>
      </w:pPr>
      <w:r w:rsidRPr="0063119B">
        <w:rPr>
          <w:szCs w:val="22"/>
          <w:u w:val="single"/>
        </w:rPr>
        <w:t>ISRS/IRSN</w:t>
      </w:r>
    </w:p>
    <w:p w14:paraId="60F6716A" w14:textId="77777777" w:rsidR="00BB5E91" w:rsidRPr="0063119B" w:rsidRDefault="00BB5E91" w:rsidP="005450DB">
      <w:pPr>
        <w:rPr>
          <w:szCs w:val="22"/>
          <w:u w:val="single"/>
        </w:rPr>
      </w:pPr>
    </w:p>
    <w:p w14:paraId="6969E8AA" w14:textId="77777777" w:rsidR="005450DB" w:rsidRPr="0063119B" w:rsidRDefault="005450DB" w:rsidP="005450DB">
      <w:pPr>
        <w:suppressAutoHyphens/>
        <w:rPr>
          <w:szCs w:val="22"/>
        </w:rPr>
      </w:pPr>
      <w:r w:rsidRPr="0063119B">
        <w:rPr>
          <w:szCs w:val="22"/>
        </w:rPr>
        <w:t xml:space="preserve">Assim como com outros anticoagulantes, poderá existir a possibilidade dos doentes apresentarem um maior risco de hemorragia em caso de utilização concomitante com ISRS ou IRSN, devido ao seu efeito relatado sobre as plaquetas. Quando utilizados concomitantemente no programa clínico do rivaroxabano, observaram-se taxas numericamente superiores de hemorragias </w:t>
      </w:r>
      <w:r w:rsidR="00417496" w:rsidRPr="0063119B">
        <w:rPr>
          <w:szCs w:val="22"/>
        </w:rPr>
        <w:t xml:space="preserve">principais </w:t>
      </w:r>
      <w:r w:rsidRPr="0063119B">
        <w:rPr>
          <w:szCs w:val="22"/>
        </w:rPr>
        <w:t xml:space="preserve">ou não </w:t>
      </w:r>
      <w:r w:rsidR="00417496" w:rsidRPr="0063119B">
        <w:rPr>
          <w:szCs w:val="22"/>
        </w:rPr>
        <w:t>principais</w:t>
      </w:r>
      <w:r w:rsidRPr="0063119B">
        <w:rPr>
          <w:szCs w:val="22"/>
        </w:rPr>
        <w:t>, clinicamente relevantes, em todos os grupos de tratamento.</w:t>
      </w:r>
    </w:p>
    <w:p w14:paraId="1F0FB6F3" w14:textId="77777777" w:rsidR="005450DB" w:rsidRPr="0063119B" w:rsidRDefault="005450DB" w:rsidP="005450DB">
      <w:pPr>
        <w:suppressAutoHyphens/>
        <w:rPr>
          <w:noProof/>
          <w:szCs w:val="22"/>
        </w:rPr>
      </w:pPr>
    </w:p>
    <w:p w14:paraId="38EA3F0D" w14:textId="77777777" w:rsidR="00337111" w:rsidRDefault="00337111" w:rsidP="003311FD">
      <w:pPr>
        <w:keepNext/>
        <w:rPr>
          <w:szCs w:val="22"/>
          <w:u w:val="single"/>
        </w:rPr>
      </w:pPr>
      <w:r w:rsidRPr="0063119B">
        <w:rPr>
          <w:szCs w:val="22"/>
          <w:u w:val="single"/>
        </w:rPr>
        <w:t>Varfarina</w:t>
      </w:r>
    </w:p>
    <w:p w14:paraId="0D81A719" w14:textId="77777777" w:rsidR="00BB5E91" w:rsidRPr="0063119B" w:rsidRDefault="00BB5E91" w:rsidP="003311FD">
      <w:pPr>
        <w:keepNext/>
        <w:rPr>
          <w:szCs w:val="22"/>
        </w:rPr>
      </w:pPr>
    </w:p>
    <w:p w14:paraId="41F42799" w14:textId="77777777" w:rsidR="00337111" w:rsidRPr="0063119B" w:rsidRDefault="00337111" w:rsidP="00337111">
      <w:pPr>
        <w:tabs>
          <w:tab w:val="left" w:pos="1080"/>
        </w:tabs>
        <w:autoSpaceDE w:val="0"/>
        <w:autoSpaceDN w:val="0"/>
        <w:adjustRightInd w:val="0"/>
        <w:rPr>
          <w:szCs w:val="22"/>
        </w:rPr>
      </w:pPr>
      <w:r w:rsidRPr="0063119B">
        <w:rPr>
          <w:szCs w:val="22"/>
        </w:rPr>
        <w:t>A passagem de doentes da varfarina, um antagonista da vitamina K (INR 2,0 a 3,0) para rivaroxabano (20 mg) ou de rivaroxabano (20 mg) para varfarina (INR 2,0 a 3,0) aumentou o tempo de protrombina/INR (Neoplastin) de forma mais do que aditiva (podem observar</w:t>
      </w:r>
      <w:r w:rsidRPr="0063119B">
        <w:rPr>
          <w:szCs w:val="22"/>
        </w:rPr>
        <w:noBreakHyphen/>
        <w:t>se valores individuais do INR até 12), enquanto que os efeitos sobre o aPTT, a inibição da atividade do fator Xa e o potencial da trombina endógena foram aditivos.</w:t>
      </w:r>
    </w:p>
    <w:p w14:paraId="4E9FF74A" w14:textId="77777777" w:rsidR="00337111" w:rsidRPr="0063119B" w:rsidRDefault="00337111" w:rsidP="00337111">
      <w:pPr>
        <w:tabs>
          <w:tab w:val="left" w:pos="1080"/>
        </w:tabs>
        <w:autoSpaceDE w:val="0"/>
        <w:autoSpaceDN w:val="0"/>
        <w:adjustRightInd w:val="0"/>
        <w:rPr>
          <w:szCs w:val="22"/>
        </w:rPr>
      </w:pPr>
      <w:r w:rsidRPr="0063119B">
        <w:rPr>
          <w:szCs w:val="22"/>
        </w:rPr>
        <w:t>Se se desejar testar os efeitos farmacodinâmicos do rivaroxabano durante o período de passagem, podem utilizar</w:t>
      </w:r>
      <w:r w:rsidRPr="0063119B">
        <w:rPr>
          <w:szCs w:val="22"/>
        </w:rPr>
        <w:noBreakHyphen/>
        <w:t>se a atividade antifator Xa, PiCT e Heptest dado que estes testes não foram afetados pela varfarina. No quarto dia após a última dose de varfarina, todos os testes (incluindo TP, aPTT, inibição da atividade do fator Xa e PTE) refletiram apenas o efeito do rivaroxabano.</w:t>
      </w:r>
    </w:p>
    <w:p w14:paraId="69DEC27F" w14:textId="77777777" w:rsidR="00337111" w:rsidRPr="0063119B" w:rsidRDefault="00337111" w:rsidP="00337111">
      <w:pPr>
        <w:autoSpaceDE w:val="0"/>
        <w:autoSpaceDN w:val="0"/>
        <w:adjustRightInd w:val="0"/>
        <w:rPr>
          <w:szCs w:val="22"/>
        </w:rPr>
      </w:pPr>
      <w:r w:rsidRPr="0063119B">
        <w:rPr>
          <w:szCs w:val="22"/>
        </w:rPr>
        <w:t>Se se desejar testar os efeitos farmacodinâmicos da varfarina durante o período de passagem, pode utilizar</w:t>
      </w:r>
      <w:r w:rsidRPr="0063119B">
        <w:rPr>
          <w:szCs w:val="22"/>
        </w:rPr>
        <w:noBreakHyphen/>
        <w:t>se a determinação do INR na C</w:t>
      </w:r>
      <w:r w:rsidRPr="0063119B">
        <w:rPr>
          <w:szCs w:val="22"/>
          <w:vertAlign w:val="subscript"/>
        </w:rPr>
        <w:t>min</w:t>
      </w:r>
      <w:r w:rsidRPr="0063119B">
        <w:rPr>
          <w:szCs w:val="22"/>
        </w:rPr>
        <w:t xml:space="preserve"> do rivaroxabano (24 horas após a toma anterior de rivaroxabano) dado que este teste é minimamente afetado pelo rivaroxabano neste ponto.</w:t>
      </w:r>
    </w:p>
    <w:p w14:paraId="21D88291" w14:textId="77777777" w:rsidR="00337111" w:rsidRPr="0063119B" w:rsidRDefault="00337111" w:rsidP="00337111">
      <w:pPr>
        <w:autoSpaceDE w:val="0"/>
        <w:autoSpaceDN w:val="0"/>
        <w:adjustRightInd w:val="0"/>
        <w:rPr>
          <w:i/>
          <w:szCs w:val="22"/>
          <w:u w:val="single"/>
        </w:rPr>
      </w:pPr>
      <w:r w:rsidRPr="0063119B">
        <w:rPr>
          <w:szCs w:val="22"/>
        </w:rPr>
        <w:t>Não se observaram interações farmacocinéticas entre a varfarina e o rivaroxabano.</w:t>
      </w:r>
    </w:p>
    <w:p w14:paraId="0A15B4E5" w14:textId="77777777" w:rsidR="00465D14" w:rsidRPr="0063119B" w:rsidRDefault="00465D14" w:rsidP="00337111">
      <w:pPr>
        <w:suppressAutoHyphens/>
        <w:rPr>
          <w:noProof/>
          <w:szCs w:val="22"/>
          <w:u w:val="single"/>
        </w:rPr>
      </w:pPr>
    </w:p>
    <w:p w14:paraId="7DC95BDA" w14:textId="77777777" w:rsidR="00337111" w:rsidRDefault="00337111" w:rsidP="00337111">
      <w:pPr>
        <w:suppressAutoHyphens/>
        <w:rPr>
          <w:noProof/>
          <w:szCs w:val="22"/>
          <w:u w:val="single"/>
        </w:rPr>
      </w:pPr>
      <w:r w:rsidRPr="0063119B">
        <w:rPr>
          <w:noProof/>
          <w:szCs w:val="22"/>
          <w:u w:val="single"/>
        </w:rPr>
        <w:t>Indutores do CYP3A4</w:t>
      </w:r>
    </w:p>
    <w:p w14:paraId="30D5AFE9" w14:textId="77777777" w:rsidR="00BB5E91" w:rsidRPr="0063119B" w:rsidRDefault="00BB5E91" w:rsidP="00337111">
      <w:pPr>
        <w:suppressAutoHyphens/>
        <w:rPr>
          <w:noProof/>
          <w:szCs w:val="22"/>
          <w:u w:val="single"/>
        </w:rPr>
      </w:pPr>
    </w:p>
    <w:p w14:paraId="10CA3EE9" w14:textId="77777777" w:rsidR="00337111" w:rsidRPr="0063119B" w:rsidRDefault="00337111" w:rsidP="00337111">
      <w:pPr>
        <w:suppressAutoHyphens/>
        <w:rPr>
          <w:noProof/>
          <w:szCs w:val="22"/>
        </w:rPr>
      </w:pPr>
      <w:r w:rsidRPr="0063119B">
        <w:rPr>
          <w:noProof/>
          <w:szCs w:val="22"/>
        </w:rPr>
        <w:t>A coadministração de rivaroxabano com rifampicina, um potente indutor do CYP3A4, originou uma diminuição aproximada de 50% da média da AUC do rivaroxabano, com diminuições paralelas nos seus efeitos farmacodinâmicos. O uso concomitante de rivaroxabano com outros indutores potentes do CYP3A4 (ex.: fenitoína, carbamazepina, fenobarbital ou hipericão</w:t>
      </w:r>
      <w:r w:rsidR="002F13C2" w:rsidRPr="0063119B">
        <w:rPr>
          <w:noProof/>
          <w:szCs w:val="22"/>
        </w:rPr>
        <w:t xml:space="preserve"> </w:t>
      </w:r>
      <w:r w:rsidR="002F13C2" w:rsidRPr="0063119B">
        <w:rPr>
          <w:rStyle w:val="BoldtextinprintedPIonly"/>
          <w:b w:val="0"/>
          <w:noProof/>
          <w:szCs w:val="22"/>
        </w:rPr>
        <w:t>(</w:t>
      </w:r>
      <w:r w:rsidR="002F13C2" w:rsidRPr="0063119B">
        <w:rPr>
          <w:rStyle w:val="BoldtextinprintedPIonly"/>
          <w:b w:val="0"/>
          <w:i/>
          <w:noProof/>
          <w:szCs w:val="22"/>
        </w:rPr>
        <w:t>Hypericum perforatum</w:t>
      </w:r>
      <w:r w:rsidR="002F13C2" w:rsidRPr="0063119B">
        <w:rPr>
          <w:rStyle w:val="BoldtextinprintedPIonly"/>
          <w:b w:val="0"/>
          <w:noProof/>
          <w:szCs w:val="22"/>
        </w:rPr>
        <w:t>)</w:t>
      </w:r>
      <w:r w:rsidRPr="0063119B">
        <w:rPr>
          <w:noProof/>
          <w:szCs w:val="22"/>
        </w:rPr>
        <w:t xml:space="preserve">) pode originar também a redução das concentrações plasmáticas do rivaroxabano. </w:t>
      </w:r>
      <w:r w:rsidR="0020489B" w:rsidRPr="0063119B">
        <w:rPr>
          <w:noProof/>
          <w:szCs w:val="22"/>
        </w:rPr>
        <w:t>Por este motivo, a administração concom</w:t>
      </w:r>
      <w:r w:rsidR="002B55ED" w:rsidRPr="0063119B">
        <w:rPr>
          <w:noProof/>
          <w:szCs w:val="22"/>
        </w:rPr>
        <w:t>itante</w:t>
      </w:r>
      <w:r w:rsidR="0020489B" w:rsidRPr="0063119B">
        <w:rPr>
          <w:noProof/>
          <w:szCs w:val="22"/>
        </w:rPr>
        <w:t xml:space="preserve"> de</w:t>
      </w:r>
      <w:r w:rsidRPr="0063119B">
        <w:rPr>
          <w:noProof/>
          <w:szCs w:val="22"/>
        </w:rPr>
        <w:t xml:space="preserve"> indutores potentes do CYP3A4 deve ser </w:t>
      </w:r>
      <w:r w:rsidR="00DC7C5B" w:rsidRPr="0063119B">
        <w:rPr>
          <w:noProof/>
          <w:szCs w:val="22"/>
        </w:rPr>
        <w:t>evitad</w:t>
      </w:r>
      <w:r w:rsidR="0037518B" w:rsidRPr="0063119B">
        <w:rPr>
          <w:noProof/>
          <w:szCs w:val="22"/>
        </w:rPr>
        <w:t>a</w:t>
      </w:r>
      <w:r w:rsidR="00DC7C5B" w:rsidRPr="0063119B">
        <w:rPr>
          <w:noProof/>
          <w:szCs w:val="22"/>
        </w:rPr>
        <w:t xml:space="preserve"> a menos que o doente seja observado atentamente quanto a sinais e sintomas de trombose</w:t>
      </w:r>
      <w:r w:rsidRPr="0063119B">
        <w:rPr>
          <w:noProof/>
          <w:szCs w:val="22"/>
        </w:rPr>
        <w:t>.</w:t>
      </w:r>
    </w:p>
    <w:p w14:paraId="39DC2C23" w14:textId="77777777" w:rsidR="00337111" w:rsidRPr="0063119B" w:rsidRDefault="00337111" w:rsidP="00337111">
      <w:pPr>
        <w:suppressAutoHyphens/>
        <w:rPr>
          <w:noProof/>
          <w:szCs w:val="22"/>
        </w:rPr>
      </w:pPr>
    </w:p>
    <w:p w14:paraId="4E961D18" w14:textId="77777777" w:rsidR="00337111" w:rsidRDefault="00337111" w:rsidP="00337111">
      <w:pPr>
        <w:suppressAutoHyphens/>
        <w:rPr>
          <w:noProof/>
          <w:szCs w:val="22"/>
          <w:u w:val="single"/>
        </w:rPr>
      </w:pPr>
      <w:r w:rsidRPr="0063119B">
        <w:rPr>
          <w:noProof/>
          <w:szCs w:val="22"/>
          <w:u w:val="single"/>
        </w:rPr>
        <w:t>Outros tratamentos concomitantes</w:t>
      </w:r>
    </w:p>
    <w:p w14:paraId="6FE70E83" w14:textId="77777777" w:rsidR="00BB5E91" w:rsidRPr="0063119B" w:rsidRDefault="00BB5E91" w:rsidP="00337111">
      <w:pPr>
        <w:suppressAutoHyphens/>
        <w:rPr>
          <w:noProof/>
          <w:szCs w:val="22"/>
          <w:u w:val="single"/>
        </w:rPr>
      </w:pPr>
    </w:p>
    <w:p w14:paraId="0E24ADE8" w14:textId="77777777" w:rsidR="00337111" w:rsidRPr="0063119B" w:rsidRDefault="00337111" w:rsidP="00337111">
      <w:pPr>
        <w:suppressAutoHyphens/>
        <w:rPr>
          <w:noProof/>
          <w:szCs w:val="22"/>
        </w:rPr>
      </w:pPr>
      <w:r w:rsidRPr="0063119B">
        <w:rPr>
          <w:noProof/>
          <w:szCs w:val="22"/>
        </w:rPr>
        <w:t>Não foram observadas interações farmacocinéticas ou farmacodinâmicas clinicamente relevantes quando o rivaroxabano foi coadministrado com midazolam (substrato do CYP3A4), digoxina (substrato da gp</w:t>
      </w:r>
      <w:r w:rsidRPr="0063119B">
        <w:rPr>
          <w:noProof/>
          <w:szCs w:val="22"/>
        </w:rPr>
        <w:noBreakHyphen/>
        <w:t>P), atorvastatina (substrato do CYP3A4 e da gp</w:t>
      </w:r>
      <w:r w:rsidRPr="0063119B">
        <w:rPr>
          <w:noProof/>
          <w:szCs w:val="22"/>
        </w:rPr>
        <w:noBreakHyphen/>
        <w:t>P) ou omeprazol (inibidor da bomba de protões). O rivaroxabano não inibe nem induz nenhuma isoforma importante do CYP, como o CYP3A4.</w:t>
      </w:r>
    </w:p>
    <w:p w14:paraId="30304991" w14:textId="77777777" w:rsidR="00337111" w:rsidRPr="0063119B" w:rsidRDefault="00337111" w:rsidP="00337111">
      <w:pPr>
        <w:suppressAutoHyphens/>
        <w:rPr>
          <w:noProof/>
          <w:szCs w:val="22"/>
        </w:rPr>
      </w:pPr>
    </w:p>
    <w:p w14:paraId="47830090" w14:textId="77777777" w:rsidR="00337111" w:rsidRDefault="00337111" w:rsidP="00337111">
      <w:pPr>
        <w:keepNext/>
        <w:suppressAutoHyphens/>
        <w:rPr>
          <w:noProof/>
          <w:szCs w:val="22"/>
          <w:u w:val="single"/>
        </w:rPr>
      </w:pPr>
      <w:r w:rsidRPr="0063119B">
        <w:rPr>
          <w:noProof/>
          <w:szCs w:val="22"/>
          <w:u w:val="single"/>
        </w:rPr>
        <w:t>Parâmetros laboratoriais</w:t>
      </w:r>
    </w:p>
    <w:p w14:paraId="07B979B2" w14:textId="77777777" w:rsidR="00BB5E91" w:rsidRPr="0063119B" w:rsidRDefault="00BB5E91" w:rsidP="00337111">
      <w:pPr>
        <w:keepNext/>
        <w:suppressAutoHyphens/>
        <w:rPr>
          <w:noProof/>
          <w:szCs w:val="22"/>
          <w:u w:val="single"/>
        </w:rPr>
      </w:pPr>
    </w:p>
    <w:p w14:paraId="717E4BEC" w14:textId="77777777" w:rsidR="00337111" w:rsidRPr="0063119B" w:rsidRDefault="00337111" w:rsidP="00337111">
      <w:pPr>
        <w:keepNext/>
        <w:suppressAutoHyphens/>
        <w:rPr>
          <w:noProof/>
          <w:szCs w:val="22"/>
        </w:rPr>
      </w:pPr>
      <w:r w:rsidRPr="0063119B">
        <w:rPr>
          <w:noProof/>
          <w:szCs w:val="22"/>
        </w:rPr>
        <w:t>Os parâmetros de coagulação (ex.: TP, aPTT, HepTest) são afetados conforme esperado pelo modo de ação do rivaroxabano (ver secção 5.1).</w:t>
      </w:r>
    </w:p>
    <w:p w14:paraId="153387A9" w14:textId="77777777" w:rsidR="00337111" w:rsidRPr="0063119B" w:rsidRDefault="00337111" w:rsidP="00337111">
      <w:pPr>
        <w:suppressAutoHyphens/>
        <w:ind w:left="567" w:hanging="567"/>
        <w:rPr>
          <w:b/>
          <w:noProof/>
          <w:szCs w:val="22"/>
        </w:rPr>
      </w:pPr>
    </w:p>
    <w:p w14:paraId="74E819A9" w14:textId="77777777" w:rsidR="00337111" w:rsidRPr="0063119B" w:rsidRDefault="00337111" w:rsidP="00337111">
      <w:pPr>
        <w:keepNext/>
        <w:suppressAutoHyphens/>
        <w:ind w:left="567" w:hanging="567"/>
        <w:rPr>
          <w:b/>
          <w:noProof/>
          <w:szCs w:val="22"/>
        </w:rPr>
      </w:pPr>
      <w:r w:rsidRPr="0063119B">
        <w:rPr>
          <w:b/>
          <w:noProof/>
          <w:szCs w:val="22"/>
        </w:rPr>
        <w:t>4.6</w:t>
      </w:r>
      <w:r w:rsidRPr="0063119B">
        <w:rPr>
          <w:b/>
          <w:noProof/>
          <w:szCs w:val="22"/>
        </w:rPr>
        <w:tab/>
        <w:t>Fertilidade, gravidez e aleitamento</w:t>
      </w:r>
    </w:p>
    <w:p w14:paraId="072D5C3D" w14:textId="77777777" w:rsidR="00337111" w:rsidRPr="0063119B" w:rsidRDefault="00337111" w:rsidP="00337111">
      <w:pPr>
        <w:keepNext/>
        <w:suppressAutoHyphens/>
        <w:rPr>
          <w:noProof/>
          <w:szCs w:val="22"/>
        </w:rPr>
      </w:pPr>
    </w:p>
    <w:p w14:paraId="72383CBD" w14:textId="77777777" w:rsidR="00337111" w:rsidRPr="0063119B" w:rsidRDefault="00337111" w:rsidP="00337111">
      <w:pPr>
        <w:keepNext/>
        <w:suppressAutoHyphens/>
        <w:rPr>
          <w:noProof/>
          <w:szCs w:val="22"/>
          <w:u w:val="single"/>
        </w:rPr>
      </w:pPr>
      <w:r w:rsidRPr="0063119B">
        <w:rPr>
          <w:noProof/>
          <w:szCs w:val="22"/>
          <w:u w:val="single"/>
        </w:rPr>
        <w:t>Gravidez</w:t>
      </w:r>
    </w:p>
    <w:p w14:paraId="727F21C8" w14:textId="77777777" w:rsidR="00337111" w:rsidRPr="0063119B" w:rsidRDefault="00337111" w:rsidP="00337111">
      <w:pPr>
        <w:keepNext/>
        <w:suppressAutoHyphens/>
        <w:rPr>
          <w:noProof/>
          <w:szCs w:val="22"/>
        </w:rPr>
      </w:pPr>
      <w:r w:rsidRPr="0063119B">
        <w:rPr>
          <w:noProof/>
          <w:szCs w:val="22"/>
        </w:rPr>
        <w:t xml:space="preserve">A segurança e eficácia de </w:t>
      </w:r>
      <w:r w:rsidR="00651577" w:rsidRPr="0063119B">
        <w:rPr>
          <w:szCs w:val="22"/>
        </w:rPr>
        <w:t>rivaroxabano</w:t>
      </w:r>
      <w:r w:rsidRPr="0063119B">
        <w:rPr>
          <w:noProof/>
          <w:szCs w:val="22"/>
        </w:rPr>
        <w:t xml:space="preserve"> não foram estabelecidas em mulheres grávidas. Os estudos em animais revelaram toxicidade reprodutiva (ver secção 5.3). Devido à potencial toxicidade reprodutiva, </w:t>
      </w:r>
      <w:r w:rsidRPr="0063119B">
        <w:rPr>
          <w:noProof/>
          <w:szCs w:val="22"/>
        </w:rPr>
        <w:lastRenderedPageBreak/>
        <w:t xml:space="preserve">ao risco intrínseco de hemorragia e à evidência de que o rivaroxabano atravessa a placenta, </w:t>
      </w:r>
      <w:r w:rsidR="00651577" w:rsidRPr="0063119B">
        <w:rPr>
          <w:noProof/>
          <w:szCs w:val="22"/>
        </w:rPr>
        <w:t xml:space="preserve">o </w:t>
      </w:r>
      <w:r w:rsidR="00651577" w:rsidRPr="0063119B">
        <w:rPr>
          <w:szCs w:val="22"/>
        </w:rPr>
        <w:t>rivaroxabano</w:t>
      </w:r>
      <w:r w:rsidR="00651577" w:rsidRPr="0063119B">
        <w:rPr>
          <w:noProof/>
          <w:szCs w:val="22"/>
        </w:rPr>
        <w:t xml:space="preserve"> </w:t>
      </w:r>
      <w:r w:rsidRPr="0063119B">
        <w:rPr>
          <w:noProof/>
          <w:szCs w:val="22"/>
        </w:rPr>
        <w:t>é contraindicado durante a gravidez (ver secção 4.3).</w:t>
      </w:r>
    </w:p>
    <w:p w14:paraId="123FF111" w14:textId="77777777" w:rsidR="00337111" w:rsidRPr="0063119B" w:rsidRDefault="00337111" w:rsidP="00337111">
      <w:pPr>
        <w:suppressAutoHyphens/>
        <w:rPr>
          <w:noProof/>
          <w:szCs w:val="22"/>
        </w:rPr>
      </w:pPr>
      <w:r w:rsidRPr="0063119B">
        <w:rPr>
          <w:noProof/>
          <w:szCs w:val="22"/>
        </w:rPr>
        <w:t>As mulheres em idade fértil devem evitar engravidar durante o tratamento com rivaroxabano.</w:t>
      </w:r>
    </w:p>
    <w:p w14:paraId="3A0FD2F2" w14:textId="77777777" w:rsidR="00337111" w:rsidRPr="0063119B" w:rsidRDefault="00337111" w:rsidP="00337111">
      <w:pPr>
        <w:suppressAutoHyphens/>
        <w:rPr>
          <w:noProof/>
          <w:szCs w:val="22"/>
        </w:rPr>
      </w:pPr>
    </w:p>
    <w:p w14:paraId="0C1C697B" w14:textId="77777777" w:rsidR="00337111" w:rsidRPr="0063119B" w:rsidRDefault="00337111" w:rsidP="00337111">
      <w:pPr>
        <w:suppressAutoHyphens/>
        <w:rPr>
          <w:noProof/>
          <w:szCs w:val="22"/>
          <w:u w:val="single"/>
        </w:rPr>
      </w:pPr>
      <w:r w:rsidRPr="0063119B">
        <w:rPr>
          <w:noProof/>
          <w:szCs w:val="22"/>
          <w:u w:val="single"/>
        </w:rPr>
        <w:t>Amamentação</w:t>
      </w:r>
    </w:p>
    <w:p w14:paraId="390745D0" w14:textId="77777777" w:rsidR="00337111" w:rsidRPr="0063119B" w:rsidRDefault="00337111" w:rsidP="00337111">
      <w:pPr>
        <w:suppressAutoHyphens/>
        <w:rPr>
          <w:noProof/>
          <w:szCs w:val="22"/>
        </w:rPr>
      </w:pPr>
      <w:r w:rsidRPr="0063119B">
        <w:rPr>
          <w:noProof/>
          <w:szCs w:val="22"/>
        </w:rPr>
        <w:t xml:space="preserve">A segurança e eficácia de </w:t>
      </w:r>
      <w:r w:rsidR="00651577" w:rsidRPr="0063119B">
        <w:rPr>
          <w:szCs w:val="22"/>
        </w:rPr>
        <w:t>rivaroxabano</w:t>
      </w:r>
      <w:r w:rsidRPr="0063119B">
        <w:rPr>
          <w:noProof/>
          <w:szCs w:val="22"/>
        </w:rPr>
        <w:t xml:space="preserve"> não foram estabelecidas em mães que estão a amamentar. Os dados obtidos em animais indicam que rivaroxabano é excretado no leite. Deste modo, </w:t>
      </w:r>
      <w:r w:rsidR="00651577" w:rsidRPr="0063119B">
        <w:rPr>
          <w:noProof/>
          <w:szCs w:val="22"/>
        </w:rPr>
        <w:t xml:space="preserve">o </w:t>
      </w:r>
      <w:r w:rsidR="00651577" w:rsidRPr="0063119B">
        <w:rPr>
          <w:szCs w:val="22"/>
        </w:rPr>
        <w:t>rivaroxabano</w:t>
      </w:r>
      <w:r w:rsidR="00651577" w:rsidRPr="0063119B">
        <w:rPr>
          <w:noProof/>
          <w:szCs w:val="22"/>
        </w:rPr>
        <w:t xml:space="preserve"> </w:t>
      </w:r>
      <w:r w:rsidRPr="0063119B">
        <w:rPr>
          <w:noProof/>
          <w:szCs w:val="22"/>
        </w:rPr>
        <w:t>é contraindicado durante a amamentação (ver secção 4.3). Tem de ser tomada uma decisão sobre a descontinuação da amamentação ou a descontinuação/abstenção da terapêutica.</w:t>
      </w:r>
    </w:p>
    <w:p w14:paraId="670E03E4" w14:textId="77777777" w:rsidR="00337111" w:rsidRPr="0063119B" w:rsidRDefault="00337111" w:rsidP="00337111">
      <w:pPr>
        <w:suppressAutoHyphens/>
        <w:rPr>
          <w:noProof/>
          <w:szCs w:val="22"/>
        </w:rPr>
      </w:pPr>
    </w:p>
    <w:p w14:paraId="1FB83F09" w14:textId="77777777" w:rsidR="00337111" w:rsidRPr="0063119B" w:rsidRDefault="00337111" w:rsidP="00337111">
      <w:pPr>
        <w:keepNext/>
        <w:rPr>
          <w:szCs w:val="22"/>
        </w:rPr>
      </w:pPr>
      <w:r w:rsidRPr="0063119B">
        <w:rPr>
          <w:szCs w:val="22"/>
          <w:u w:val="single"/>
        </w:rPr>
        <w:t>Fertilidade</w:t>
      </w:r>
    </w:p>
    <w:p w14:paraId="7A5703BF" w14:textId="77777777" w:rsidR="00337111" w:rsidRPr="0063119B" w:rsidRDefault="00337111" w:rsidP="00337111">
      <w:pPr>
        <w:suppressAutoHyphens/>
        <w:rPr>
          <w:noProof/>
          <w:szCs w:val="22"/>
        </w:rPr>
      </w:pPr>
      <w:r w:rsidRPr="0063119B">
        <w:rPr>
          <w:szCs w:val="22"/>
        </w:rPr>
        <w:t>Não se realizaram estudos específicos com rivaroxabano para avaliar os efeitos sobre a fertilidade no ser humano. Não se observaram quaisquer efeitos num estudo de fertilidade masculina e feminina realizado em ratos (ver secção 5.3).</w:t>
      </w:r>
    </w:p>
    <w:p w14:paraId="7737C187" w14:textId="77777777" w:rsidR="00337111" w:rsidRPr="0063119B" w:rsidRDefault="00337111" w:rsidP="00337111">
      <w:pPr>
        <w:suppressAutoHyphens/>
        <w:ind w:left="567" w:hanging="567"/>
        <w:rPr>
          <w:noProof/>
          <w:szCs w:val="22"/>
        </w:rPr>
      </w:pPr>
    </w:p>
    <w:p w14:paraId="31083DB9" w14:textId="77777777" w:rsidR="00337111" w:rsidRPr="0063119B" w:rsidRDefault="00337111" w:rsidP="00337111">
      <w:pPr>
        <w:keepNext/>
        <w:suppressAutoHyphens/>
        <w:ind w:left="567" w:hanging="567"/>
        <w:rPr>
          <w:b/>
          <w:noProof/>
          <w:szCs w:val="22"/>
        </w:rPr>
      </w:pPr>
      <w:r w:rsidRPr="0063119B">
        <w:rPr>
          <w:b/>
          <w:noProof/>
          <w:szCs w:val="22"/>
        </w:rPr>
        <w:t>4.7</w:t>
      </w:r>
      <w:r w:rsidRPr="0063119B">
        <w:rPr>
          <w:b/>
          <w:noProof/>
          <w:szCs w:val="22"/>
        </w:rPr>
        <w:tab/>
        <w:t>Efeitos sobre a capacidade de conduzir e utilizar máquinas</w:t>
      </w:r>
    </w:p>
    <w:p w14:paraId="2434A86B" w14:textId="77777777" w:rsidR="00337111" w:rsidRPr="0063119B" w:rsidRDefault="00337111" w:rsidP="00337111">
      <w:pPr>
        <w:keepNext/>
        <w:suppressAutoHyphens/>
        <w:rPr>
          <w:b/>
          <w:noProof/>
          <w:szCs w:val="22"/>
        </w:rPr>
      </w:pPr>
    </w:p>
    <w:p w14:paraId="132DCBEB" w14:textId="77777777" w:rsidR="00337111" w:rsidRPr="0063119B" w:rsidRDefault="00651577" w:rsidP="00337111">
      <w:pPr>
        <w:keepNext/>
        <w:suppressAutoHyphens/>
        <w:rPr>
          <w:noProof/>
          <w:szCs w:val="22"/>
        </w:rPr>
      </w:pPr>
      <w:r w:rsidRPr="0063119B">
        <w:rPr>
          <w:noProof/>
          <w:szCs w:val="22"/>
        </w:rPr>
        <w:t xml:space="preserve">Os efeitos do </w:t>
      </w:r>
      <w:r w:rsidRPr="0063119B">
        <w:rPr>
          <w:szCs w:val="22"/>
        </w:rPr>
        <w:t>rivaroxabano</w:t>
      </w:r>
      <w:r w:rsidRPr="0063119B">
        <w:rPr>
          <w:noProof/>
          <w:szCs w:val="22"/>
        </w:rPr>
        <w:t xml:space="preserve"> sobre </w:t>
      </w:r>
      <w:r w:rsidR="00337111" w:rsidRPr="0063119B">
        <w:rPr>
          <w:noProof/>
          <w:szCs w:val="22"/>
        </w:rPr>
        <w:t>a capacidade de conduzir e utilizar máquinas</w:t>
      </w:r>
      <w:r w:rsidRPr="0063119B">
        <w:rPr>
          <w:noProof/>
          <w:szCs w:val="22"/>
        </w:rPr>
        <w:t xml:space="preserve"> são reduzidos</w:t>
      </w:r>
      <w:r w:rsidR="00337111" w:rsidRPr="0063119B">
        <w:rPr>
          <w:noProof/>
          <w:szCs w:val="22"/>
        </w:rPr>
        <w:t>. Foram notificadas reações adversas como síncope (frequência: pouco frequentes) e tonturas (frequência: frequentes) (ver secção 4.8). Os doentes com estas reações adversas não devem conduzir ou utilizar máquinas.</w:t>
      </w:r>
    </w:p>
    <w:p w14:paraId="5EF4AEF1" w14:textId="77777777" w:rsidR="00337111" w:rsidRPr="0063119B" w:rsidRDefault="00337111" w:rsidP="00337111">
      <w:pPr>
        <w:suppressAutoHyphens/>
        <w:ind w:left="567" w:hanging="567"/>
        <w:rPr>
          <w:b/>
          <w:noProof/>
          <w:szCs w:val="22"/>
        </w:rPr>
      </w:pPr>
    </w:p>
    <w:p w14:paraId="6BE832B5" w14:textId="77777777" w:rsidR="00337111" w:rsidRPr="0063119B" w:rsidRDefault="00337111" w:rsidP="004E2759">
      <w:pPr>
        <w:keepNext/>
        <w:keepLines/>
        <w:suppressAutoHyphens/>
        <w:ind w:left="567" w:hanging="567"/>
        <w:rPr>
          <w:b/>
          <w:noProof/>
          <w:szCs w:val="22"/>
        </w:rPr>
      </w:pPr>
      <w:r w:rsidRPr="0063119B">
        <w:rPr>
          <w:b/>
          <w:noProof/>
          <w:szCs w:val="22"/>
        </w:rPr>
        <w:t>4.8</w:t>
      </w:r>
      <w:r w:rsidRPr="0063119B">
        <w:rPr>
          <w:b/>
          <w:noProof/>
          <w:szCs w:val="22"/>
        </w:rPr>
        <w:tab/>
        <w:t>Efeitos indesejáveis</w:t>
      </w:r>
    </w:p>
    <w:p w14:paraId="45EE3DD1" w14:textId="77777777" w:rsidR="00337111" w:rsidRPr="0063119B" w:rsidRDefault="00337111" w:rsidP="004E2759">
      <w:pPr>
        <w:keepNext/>
        <w:keepLines/>
        <w:suppressAutoHyphens/>
        <w:rPr>
          <w:noProof/>
          <w:szCs w:val="22"/>
        </w:rPr>
      </w:pPr>
    </w:p>
    <w:p w14:paraId="5FC662B3" w14:textId="77777777" w:rsidR="00337111" w:rsidRDefault="00337111" w:rsidP="004E2759">
      <w:pPr>
        <w:keepNext/>
        <w:keepLines/>
        <w:suppressAutoHyphens/>
        <w:rPr>
          <w:noProof/>
          <w:szCs w:val="22"/>
          <w:u w:val="single"/>
        </w:rPr>
      </w:pPr>
      <w:r w:rsidRPr="0063119B">
        <w:rPr>
          <w:noProof/>
          <w:szCs w:val="22"/>
          <w:u w:val="single"/>
        </w:rPr>
        <w:t>Resumo do perfil de segurança</w:t>
      </w:r>
    </w:p>
    <w:p w14:paraId="58C55CD2" w14:textId="77777777" w:rsidR="00BF0E6B" w:rsidRPr="0063119B" w:rsidRDefault="00BF0E6B" w:rsidP="004E2759">
      <w:pPr>
        <w:keepNext/>
        <w:keepLines/>
        <w:suppressAutoHyphens/>
        <w:rPr>
          <w:noProof/>
          <w:szCs w:val="22"/>
        </w:rPr>
      </w:pPr>
    </w:p>
    <w:p w14:paraId="2686BE6E" w14:textId="77777777" w:rsidR="00BF0E6B" w:rsidRDefault="00337111" w:rsidP="00951279">
      <w:pPr>
        <w:keepNext/>
        <w:keepLines/>
        <w:rPr>
          <w:szCs w:val="22"/>
        </w:rPr>
      </w:pPr>
      <w:r w:rsidRPr="0063119B">
        <w:rPr>
          <w:szCs w:val="22"/>
        </w:rPr>
        <w:t xml:space="preserve">A segurança do rivaroxabano foi avaliada em </w:t>
      </w:r>
      <w:r w:rsidR="00A82450" w:rsidRPr="0063119B">
        <w:rPr>
          <w:szCs w:val="22"/>
        </w:rPr>
        <w:t>tre</w:t>
      </w:r>
      <w:r w:rsidR="00923B5E" w:rsidRPr="0063119B">
        <w:rPr>
          <w:szCs w:val="22"/>
        </w:rPr>
        <w:t xml:space="preserve">ze </w:t>
      </w:r>
      <w:r w:rsidRPr="0063119B">
        <w:rPr>
          <w:szCs w:val="22"/>
        </w:rPr>
        <w:t>estudos</w:t>
      </w:r>
      <w:r w:rsidR="00BF0E6B">
        <w:rPr>
          <w:szCs w:val="22"/>
        </w:rPr>
        <w:t xml:space="preserve"> de referência</w:t>
      </w:r>
      <w:r w:rsidRPr="0063119B">
        <w:rPr>
          <w:szCs w:val="22"/>
        </w:rPr>
        <w:t xml:space="preserve"> de fase III</w:t>
      </w:r>
      <w:r w:rsidR="00BF0E6B">
        <w:rPr>
          <w:szCs w:val="22"/>
        </w:rPr>
        <w:t xml:space="preserve"> (ver Quadro 1).</w:t>
      </w:r>
    </w:p>
    <w:p w14:paraId="1A444925" w14:textId="6ECF9A73" w:rsidR="00337111" w:rsidRPr="0063119B" w:rsidRDefault="00BF0E6B" w:rsidP="00951279">
      <w:pPr>
        <w:keepNext/>
        <w:keepLines/>
        <w:rPr>
          <w:szCs w:val="22"/>
        </w:rPr>
      </w:pPr>
      <w:r>
        <w:rPr>
          <w:szCs w:val="22"/>
        </w:rPr>
        <w:t xml:space="preserve">Globalmente, foram </w:t>
      </w:r>
      <w:r w:rsidR="00337111" w:rsidRPr="0063119B">
        <w:rPr>
          <w:szCs w:val="22"/>
        </w:rPr>
        <w:t>expostos ao rivaroxabano</w:t>
      </w:r>
      <w:r w:rsidR="002F5919" w:rsidRPr="002F5919">
        <w:rPr>
          <w:szCs w:val="22"/>
        </w:rPr>
        <w:t xml:space="preserve"> </w:t>
      </w:r>
      <w:r>
        <w:rPr>
          <w:szCs w:val="22"/>
        </w:rPr>
        <w:t>69.608 doentes adultos em dezanove estudos de fase III e 4</w:t>
      </w:r>
      <w:r w:rsidR="00320623">
        <w:rPr>
          <w:szCs w:val="22"/>
        </w:rPr>
        <w:t>88</w:t>
      </w:r>
      <w:r>
        <w:rPr>
          <w:szCs w:val="22"/>
        </w:rPr>
        <w:t xml:space="preserve"> doentes pediátricos</w:t>
      </w:r>
      <w:r w:rsidR="002F5919">
        <w:rPr>
          <w:szCs w:val="22"/>
        </w:rPr>
        <w:t xml:space="preserve"> em dois estudos pediátricos de fase II e </w:t>
      </w:r>
      <w:r w:rsidR="00320623">
        <w:rPr>
          <w:szCs w:val="22"/>
        </w:rPr>
        <w:t xml:space="preserve">em dois estudos </w:t>
      </w:r>
      <w:r w:rsidR="002F5919">
        <w:rPr>
          <w:szCs w:val="22"/>
        </w:rPr>
        <w:t>de fase III</w:t>
      </w:r>
      <w:r>
        <w:rPr>
          <w:szCs w:val="22"/>
        </w:rPr>
        <w:t>.</w:t>
      </w:r>
    </w:p>
    <w:p w14:paraId="48B6D959" w14:textId="77777777" w:rsidR="00337111" w:rsidRPr="0063119B" w:rsidRDefault="00337111" w:rsidP="00951279">
      <w:pPr>
        <w:rPr>
          <w:b/>
          <w:szCs w:val="22"/>
        </w:rPr>
      </w:pPr>
    </w:p>
    <w:p w14:paraId="29BCFB0F" w14:textId="77777777" w:rsidR="00337111" w:rsidRDefault="00337111" w:rsidP="00951279">
      <w:pPr>
        <w:rPr>
          <w:b/>
          <w:bCs/>
          <w:szCs w:val="22"/>
        </w:rPr>
      </w:pPr>
      <w:r w:rsidRPr="0063119B">
        <w:rPr>
          <w:b/>
          <w:szCs w:val="22"/>
        </w:rPr>
        <w:t xml:space="preserve">Quadro 1: Número de doentes estudados, dose diária </w:t>
      </w:r>
      <w:r w:rsidR="00923B5E" w:rsidRPr="0063119B">
        <w:rPr>
          <w:b/>
          <w:szCs w:val="22"/>
        </w:rPr>
        <w:t xml:space="preserve">total </w:t>
      </w:r>
      <w:r w:rsidRPr="0063119B">
        <w:rPr>
          <w:b/>
          <w:szCs w:val="22"/>
        </w:rPr>
        <w:t xml:space="preserve">e duração </w:t>
      </w:r>
      <w:r w:rsidR="00923B5E" w:rsidRPr="0063119B">
        <w:rPr>
          <w:b/>
          <w:szCs w:val="22"/>
        </w:rPr>
        <w:t xml:space="preserve">máxima </w:t>
      </w:r>
      <w:r w:rsidRPr="0063119B">
        <w:rPr>
          <w:b/>
          <w:szCs w:val="22"/>
        </w:rPr>
        <w:t>do tratamento em estudos de fase III</w:t>
      </w:r>
      <w:r w:rsidR="002F5919">
        <w:rPr>
          <w:b/>
          <w:szCs w:val="22"/>
        </w:rPr>
        <w:t xml:space="preserve"> </w:t>
      </w:r>
      <w:r w:rsidR="002F5919">
        <w:rPr>
          <w:b/>
          <w:bCs/>
          <w:szCs w:val="22"/>
        </w:rPr>
        <w:t>em doentes adultos e pediátricos</w:t>
      </w:r>
    </w:p>
    <w:p w14:paraId="51F82C1D" w14:textId="77777777" w:rsidR="002F5919" w:rsidRPr="0063119B" w:rsidRDefault="002F5919" w:rsidP="0095127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1189"/>
        <w:gridCol w:w="2127"/>
        <w:gridCol w:w="2045"/>
      </w:tblGrid>
      <w:tr w:rsidR="00337111" w:rsidRPr="0063119B" w14:paraId="2B66F4B1" w14:textId="77777777" w:rsidTr="00A82450">
        <w:trPr>
          <w:tblHeader/>
        </w:trPr>
        <w:tc>
          <w:tcPr>
            <w:tcW w:w="3823" w:type="dxa"/>
          </w:tcPr>
          <w:p w14:paraId="38C1412F" w14:textId="77777777" w:rsidR="00337111" w:rsidRPr="0063119B" w:rsidRDefault="00337111" w:rsidP="00951279">
            <w:pPr>
              <w:rPr>
                <w:szCs w:val="22"/>
              </w:rPr>
            </w:pPr>
            <w:r w:rsidRPr="0063119B">
              <w:rPr>
                <w:b/>
                <w:szCs w:val="22"/>
              </w:rPr>
              <w:t>Indicação</w:t>
            </w:r>
          </w:p>
        </w:tc>
        <w:tc>
          <w:tcPr>
            <w:tcW w:w="1199" w:type="dxa"/>
          </w:tcPr>
          <w:p w14:paraId="68EE6A15" w14:textId="77777777" w:rsidR="00337111" w:rsidRPr="0063119B" w:rsidRDefault="00337111" w:rsidP="00951279">
            <w:pPr>
              <w:rPr>
                <w:szCs w:val="22"/>
              </w:rPr>
            </w:pPr>
            <w:r w:rsidRPr="0063119B">
              <w:rPr>
                <w:b/>
                <w:szCs w:val="22"/>
              </w:rPr>
              <w:t>Número de doentes*</w:t>
            </w:r>
          </w:p>
        </w:tc>
        <w:tc>
          <w:tcPr>
            <w:tcW w:w="2158" w:type="dxa"/>
          </w:tcPr>
          <w:p w14:paraId="1D68A8CF" w14:textId="77777777" w:rsidR="00337111" w:rsidRPr="0063119B" w:rsidRDefault="00337111" w:rsidP="00951279">
            <w:pPr>
              <w:rPr>
                <w:szCs w:val="22"/>
              </w:rPr>
            </w:pPr>
            <w:r w:rsidRPr="0063119B">
              <w:rPr>
                <w:b/>
                <w:szCs w:val="22"/>
              </w:rPr>
              <w:t xml:space="preserve">Dose diária </w:t>
            </w:r>
            <w:r w:rsidR="00923B5E" w:rsidRPr="0063119B">
              <w:rPr>
                <w:b/>
                <w:szCs w:val="22"/>
              </w:rPr>
              <w:t>total</w:t>
            </w:r>
          </w:p>
        </w:tc>
        <w:tc>
          <w:tcPr>
            <w:tcW w:w="2096" w:type="dxa"/>
          </w:tcPr>
          <w:p w14:paraId="5320C65E" w14:textId="77777777" w:rsidR="00337111" w:rsidRPr="0063119B" w:rsidRDefault="00337111" w:rsidP="00951279">
            <w:pPr>
              <w:rPr>
                <w:szCs w:val="22"/>
              </w:rPr>
            </w:pPr>
            <w:r w:rsidRPr="0063119B">
              <w:rPr>
                <w:b/>
                <w:szCs w:val="22"/>
              </w:rPr>
              <w:t>Duração máxima do tratamento</w:t>
            </w:r>
          </w:p>
        </w:tc>
      </w:tr>
      <w:tr w:rsidR="00337111" w:rsidRPr="0063119B" w14:paraId="669F54BF" w14:textId="77777777" w:rsidTr="00A82450">
        <w:tc>
          <w:tcPr>
            <w:tcW w:w="3823" w:type="dxa"/>
          </w:tcPr>
          <w:p w14:paraId="27C5FD66" w14:textId="77777777" w:rsidR="00337111" w:rsidRPr="0063119B" w:rsidRDefault="00337111" w:rsidP="00951279">
            <w:pPr>
              <w:rPr>
                <w:szCs w:val="22"/>
              </w:rPr>
            </w:pPr>
            <w:r w:rsidRPr="0063119B">
              <w:rPr>
                <w:szCs w:val="22"/>
              </w:rPr>
              <w:t>Prevenção do tromboembolismo venoso (TEV) em doentes adultos submetidos a artroplastia eletiva da anca ou joelho</w:t>
            </w:r>
          </w:p>
        </w:tc>
        <w:tc>
          <w:tcPr>
            <w:tcW w:w="1199" w:type="dxa"/>
          </w:tcPr>
          <w:p w14:paraId="7196F663" w14:textId="77777777" w:rsidR="00337111" w:rsidRPr="0063119B" w:rsidRDefault="00337111" w:rsidP="00951279">
            <w:pPr>
              <w:rPr>
                <w:szCs w:val="22"/>
              </w:rPr>
            </w:pPr>
            <w:r w:rsidRPr="0063119B">
              <w:rPr>
                <w:szCs w:val="22"/>
              </w:rPr>
              <w:t>6.097</w:t>
            </w:r>
          </w:p>
        </w:tc>
        <w:tc>
          <w:tcPr>
            <w:tcW w:w="2158" w:type="dxa"/>
          </w:tcPr>
          <w:p w14:paraId="477726FB" w14:textId="77777777" w:rsidR="00337111" w:rsidRPr="0063119B" w:rsidRDefault="00337111" w:rsidP="00951279">
            <w:pPr>
              <w:rPr>
                <w:szCs w:val="22"/>
              </w:rPr>
            </w:pPr>
            <w:r w:rsidRPr="0063119B">
              <w:rPr>
                <w:szCs w:val="22"/>
              </w:rPr>
              <w:t>10 mg</w:t>
            </w:r>
          </w:p>
        </w:tc>
        <w:tc>
          <w:tcPr>
            <w:tcW w:w="2096" w:type="dxa"/>
          </w:tcPr>
          <w:p w14:paraId="411F3E21" w14:textId="77777777" w:rsidR="00337111" w:rsidRPr="0063119B" w:rsidRDefault="00337111" w:rsidP="00951279">
            <w:pPr>
              <w:rPr>
                <w:szCs w:val="22"/>
              </w:rPr>
            </w:pPr>
            <w:r w:rsidRPr="0063119B">
              <w:rPr>
                <w:szCs w:val="22"/>
              </w:rPr>
              <w:t>39 dias</w:t>
            </w:r>
          </w:p>
        </w:tc>
      </w:tr>
      <w:tr w:rsidR="00337111" w:rsidRPr="0063119B" w14:paraId="589E979F" w14:textId="77777777" w:rsidTr="00A82450">
        <w:tc>
          <w:tcPr>
            <w:tcW w:w="3823" w:type="dxa"/>
          </w:tcPr>
          <w:p w14:paraId="09831EA6" w14:textId="77777777" w:rsidR="00337111" w:rsidRPr="0063119B" w:rsidRDefault="00337111" w:rsidP="00951279">
            <w:pPr>
              <w:rPr>
                <w:szCs w:val="22"/>
              </w:rPr>
            </w:pPr>
            <w:r w:rsidRPr="0063119B">
              <w:rPr>
                <w:szCs w:val="22"/>
              </w:rPr>
              <w:t xml:space="preserve">Prevenção do </w:t>
            </w:r>
            <w:r w:rsidR="00487F72" w:rsidRPr="0063119B">
              <w:rPr>
                <w:szCs w:val="22"/>
              </w:rPr>
              <w:t>TEV</w:t>
            </w:r>
            <w:r w:rsidRPr="0063119B">
              <w:rPr>
                <w:szCs w:val="22"/>
              </w:rPr>
              <w:t xml:space="preserve"> em doentes não cirúrgicos</w:t>
            </w:r>
          </w:p>
        </w:tc>
        <w:tc>
          <w:tcPr>
            <w:tcW w:w="1199" w:type="dxa"/>
          </w:tcPr>
          <w:p w14:paraId="063B7211" w14:textId="77777777" w:rsidR="00337111" w:rsidRPr="0063119B" w:rsidRDefault="00337111" w:rsidP="00951279">
            <w:pPr>
              <w:rPr>
                <w:szCs w:val="22"/>
              </w:rPr>
            </w:pPr>
            <w:r w:rsidRPr="0063119B">
              <w:rPr>
                <w:szCs w:val="22"/>
              </w:rPr>
              <w:t>3.997</w:t>
            </w:r>
          </w:p>
        </w:tc>
        <w:tc>
          <w:tcPr>
            <w:tcW w:w="2158" w:type="dxa"/>
          </w:tcPr>
          <w:p w14:paraId="3193ACA6" w14:textId="77777777" w:rsidR="00337111" w:rsidRPr="0063119B" w:rsidRDefault="00337111" w:rsidP="00951279">
            <w:pPr>
              <w:rPr>
                <w:szCs w:val="22"/>
              </w:rPr>
            </w:pPr>
            <w:r w:rsidRPr="0063119B">
              <w:rPr>
                <w:szCs w:val="22"/>
              </w:rPr>
              <w:t>10 mg</w:t>
            </w:r>
          </w:p>
        </w:tc>
        <w:tc>
          <w:tcPr>
            <w:tcW w:w="2096" w:type="dxa"/>
          </w:tcPr>
          <w:p w14:paraId="0953382C" w14:textId="77777777" w:rsidR="00337111" w:rsidRPr="0063119B" w:rsidRDefault="00337111" w:rsidP="00951279">
            <w:pPr>
              <w:rPr>
                <w:szCs w:val="22"/>
              </w:rPr>
            </w:pPr>
            <w:r w:rsidRPr="0063119B">
              <w:rPr>
                <w:szCs w:val="22"/>
              </w:rPr>
              <w:t>39 dias</w:t>
            </w:r>
          </w:p>
        </w:tc>
      </w:tr>
      <w:tr w:rsidR="00337111" w:rsidRPr="0063119B" w14:paraId="60B8463C" w14:textId="77777777" w:rsidTr="00A82450">
        <w:tc>
          <w:tcPr>
            <w:tcW w:w="3823" w:type="dxa"/>
          </w:tcPr>
          <w:p w14:paraId="572B8BF9" w14:textId="2322BEC3" w:rsidR="00337111" w:rsidRPr="0063119B" w:rsidRDefault="00337111" w:rsidP="00951279">
            <w:pPr>
              <w:rPr>
                <w:szCs w:val="22"/>
              </w:rPr>
            </w:pPr>
            <w:r w:rsidRPr="0063119B">
              <w:rPr>
                <w:szCs w:val="22"/>
              </w:rPr>
              <w:t xml:space="preserve">Tratamento da </w:t>
            </w:r>
            <w:r w:rsidR="000536F1">
              <w:rPr>
                <w:szCs w:val="22"/>
              </w:rPr>
              <w:t>trombose venosa profunda (</w:t>
            </w:r>
            <w:r w:rsidRPr="0063119B">
              <w:rPr>
                <w:szCs w:val="22"/>
              </w:rPr>
              <w:t>TVP</w:t>
            </w:r>
            <w:r w:rsidR="000536F1">
              <w:rPr>
                <w:szCs w:val="22"/>
              </w:rPr>
              <w:t>)</w:t>
            </w:r>
            <w:r w:rsidRPr="0063119B">
              <w:rPr>
                <w:szCs w:val="22"/>
              </w:rPr>
              <w:t xml:space="preserve">, </w:t>
            </w:r>
            <w:r w:rsidR="000536F1">
              <w:rPr>
                <w:szCs w:val="22"/>
              </w:rPr>
              <w:t>embolismo pulmonar (</w:t>
            </w:r>
            <w:r w:rsidRPr="0063119B">
              <w:rPr>
                <w:szCs w:val="22"/>
              </w:rPr>
              <w:t>EP</w:t>
            </w:r>
            <w:r w:rsidR="000536F1">
              <w:rPr>
                <w:szCs w:val="22"/>
              </w:rPr>
              <w:t>)</w:t>
            </w:r>
            <w:r w:rsidRPr="0063119B">
              <w:rPr>
                <w:szCs w:val="22"/>
              </w:rPr>
              <w:t xml:space="preserve"> e prevenção da recorrência</w:t>
            </w:r>
          </w:p>
        </w:tc>
        <w:tc>
          <w:tcPr>
            <w:tcW w:w="1199" w:type="dxa"/>
          </w:tcPr>
          <w:p w14:paraId="3CA5A7CC" w14:textId="77777777" w:rsidR="00337111" w:rsidRPr="0063119B" w:rsidRDefault="00337111" w:rsidP="00951279">
            <w:pPr>
              <w:rPr>
                <w:szCs w:val="22"/>
              </w:rPr>
            </w:pPr>
            <w:r w:rsidRPr="0063119B">
              <w:rPr>
                <w:szCs w:val="22"/>
              </w:rPr>
              <w:t>6</w:t>
            </w:r>
            <w:r w:rsidR="00923B5E" w:rsidRPr="0063119B">
              <w:rPr>
                <w:szCs w:val="22"/>
              </w:rPr>
              <w:t>.790</w:t>
            </w:r>
          </w:p>
        </w:tc>
        <w:tc>
          <w:tcPr>
            <w:tcW w:w="2158" w:type="dxa"/>
          </w:tcPr>
          <w:p w14:paraId="3A231CDE" w14:textId="77777777" w:rsidR="00337111" w:rsidRPr="0063119B" w:rsidRDefault="00337111" w:rsidP="00951279">
            <w:pPr>
              <w:rPr>
                <w:szCs w:val="22"/>
              </w:rPr>
            </w:pPr>
            <w:r w:rsidRPr="0063119B">
              <w:rPr>
                <w:szCs w:val="22"/>
              </w:rPr>
              <w:t>Dias 1 </w:t>
            </w:r>
            <w:r w:rsidRPr="0063119B">
              <w:rPr>
                <w:szCs w:val="22"/>
              </w:rPr>
              <w:noBreakHyphen/>
              <w:t> 21: 30 mg</w:t>
            </w:r>
          </w:p>
          <w:p w14:paraId="70174FBB" w14:textId="77777777" w:rsidR="00337111" w:rsidRPr="0063119B" w:rsidRDefault="00337111" w:rsidP="00951279">
            <w:pPr>
              <w:rPr>
                <w:szCs w:val="22"/>
              </w:rPr>
            </w:pPr>
            <w:r w:rsidRPr="0063119B">
              <w:rPr>
                <w:szCs w:val="22"/>
              </w:rPr>
              <w:t>Dia 22 e seguintes: 20 mg</w:t>
            </w:r>
          </w:p>
          <w:p w14:paraId="495AA607" w14:textId="77777777" w:rsidR="00923B5E" w:rsidRPr="0063119B" w:rsidRDefault="00923B5E" w:rsidP="00951279">
            <w:pPr>
              <w:rPr>
                <w:szCs w:val="22"/>
              </w:rPr>
            </w:pPr>
            <w:r w:rsidRPr="0063119B">
              <w:rPr>
                <w:szCs w:val="22"/>
              </w:rPr>
              <w:t>Depois de pelo menos 6 meses: 10 mg ou 20 mg</w:t>
            </w:r>
          </w:p>
        </w:tc>
        <w:tc>
          <w:tcPr>
            <w:tcW w:w="2096" w:type="dxa"/>
          </w:tcPr>
          <w:p w14:paraId="35A0465E" w14:textId="77777777" w:rsidR="00337111" w:rsidRPr="0063119B" w:rsidRDefault="00337111" w:rsidP="00951279">
            <w:pPr>
              <w:rPr>
                <w:szCs w:val="22"/>
              </w:rPr>
            </w:pPr>
            <w:r w:rsidRPr="0063119B">
              <w:rPr>
                <w:szCs w:val="22"/>
              </w:rPr>
              <w:t>21 meses</w:t>
            </w:r>
          </w:p>
        </w:tc>
      </w:tr>
      <w:tr w:rsidR="002F5919" w:rsidRPr="0063119B" w14:paraId="4565EAE3" w14:textId="77777777" w:rsidTr="00A82450">
        <w:tc>
          <w:tcPr>
            <w:tcW w:w="3823" w:type="dxa"/>
          </w:tcPr>
          <w:p w14:paraId="186B4D95" w14:textId="77777777" w:rsidR="002F5919" w:rsidRPr="00EF3721" w:rsidRDefault="002F5919" w:rsidP="00EF3721">
            <w:pPr>
              <w:pStyle w:val="Default"/>
              <w:rPr>
                <w:szCs w:val="22"/>
                <w:lang w:val="pt-PT"/>
              </w:rPr>
            </w:pPr>
            <w:r w:rsidRPr="00EF3721">
              <w:rPr>
                <w:sz w:val="22"/>
                <w:szCs w:val="22"/>
                <w:lang w:val="pt-PT"/>
              </w:rPr>
              <w:t xml:space="preserve">Tratamento do TEV e prevenção da recorrência de TEV em recém-nascidos de termo e em crianças com menos de 18 anos de idade após o início do tratamento anticoagulante padrão </w:t>
            </w:r>
          </w:p>
        </w:tc>
        <w:tc>
          <w:tcPr>
            <w:tcW w:w="1199" w:type="dxa"/>
          </w:tcPr>
          <w:p w14:paraId="678C022D" w14:textId="77777777" w:rsidR="002F5919" w:rsidRPr="0063119B" w:rsidRDefault="002F5919" w:rsidP="00951279">
            <w:pPr>
              <w:rPr>
                <w:szCs w:val="22"/>
              </w:rPr>
            </w:pPr>
            <w:r>
              <w:rPr>
                <w:szCs w:val="22"/>
              </w:rPr>
              <w:t>329</w:t>
            </w:r>
          </w:p>
        </w:tc>
        <w:tc>
          <w:tcPr>
            <w:tcW w:w="2158" w:type="dxa"/>
          </w:tcPr>
          <w:p w14:paraId="013C6945" w14:textId="77777777" w:rsidR="002F5919" w:rsidRPr="00EF3721" w:rsidRDefault="002F5919" w:rsidP="00EF3721">
            <w:pPr>
              <w:pStyle w:val="Default"/>
              <w:rPr>
                <w:szCs w:val="22"/>
                <w:lang w:val="pt-PT"/>
              </w:rPr>
            </w:pPr>
            <w:r w:rsidRPr="00EF3721">
              <w:rPr>
                <w:sz w:val="22"/>
                <w:szCs w:val="22"/>
                <w:lang w:val="pt-PT"/>
              </w:rPr>
              <w:t xml:space="preserve">Dose ajustada em função do peso corporal de modo a se atingir uma exposição semelhante à observada em adultos tratados para TVP com 20 mg de </w:t>
            </w:r>
            <w:r w:rsidRPr="00EF3721">
              <w:rPr>
                <w:sz w:val="22"/>
                <w:szCs w:val="22"/>
                <w:lang w:val="pt-PT"/>
              </w:rPr>
              <w:lastRenderedPageBreak/>
              <w:t xml:space="preserve">rivaroxabano uma vez por dia </w:t>
            </w:r>
          </w:p>
        </w:tc>
        <w:tc>
          <w:tcPr>
            <w:tcW w:w="2096" w:type="dxa"/>
          </w:tcPr>
          <w:p w14:paraId="059F2548" w14:textId="77777777" w:rsidR="002F5919" w:rsidRPr="0063119B" w:rsidRDefault="002F5919" w:rsidP="00951279">
            <w:pPr>
              <w:rPr>
                <w:szCs w:val="22"/>
              </w:rPr>
            </w:pPr>
            <w:r>
              <w:rPr>
                <w:szCs w:val="22"/>
              </w:rPr>
              <w:lastRenderedPageBreak/>
              <w:t>12 meses</w:t>
            </w:r>
          </w:p>
        </w:tc>
      </w:tr>
      <w:tr w:rsidR="00337111" w:rsidRPr="0063119B" w14:paraId="6871204B" w14:textId="77777777" w:rsidTr="00A82450">
        <w:tc>
          <w:tcPr>
            <w:tcW w:w="3823" w:type="dxa"/>
          </w:tcPr>
          <w:p w14:paraId="71F0E07C" w14:textId="77777777" w:rsidR="00337111" w:rsidRPr="0063119B" w:rsidRDefault="00337111" w:rsidP="00951279">
            <w:pPr>
              <w:rPr>
                <w:szCs w:val="22"/>
              </w:rPr>
            </w:pPr>
            <w:r w:rsidRPr="0063119B">
              <w:rPr>
                <w:szCs w:val="22"/>
              </w:rPr>
              <w:t>Prevenção do acidente vascular cerebral e do embolismo sistémico em doentes com fibrilhação auricular não-valvular</w:t>
            </w:r>
          </w:p>
        </w:tc>
        <w:tc>
          <w:tcPr>
            <w:tcW w:w="1199" w:type="dxa"/>
          </w:tcPr>
          <w:p w14:paraId="40E0E3B7" w14:textId="77777777" w:rsidR="00337111" w:rsidRPr="0063119B" w:rsidRDefault="00337111" w:rsidP="00951279">
            <w:pPr>
              <w:rPr>
                <w:szCs w:val="22"/>
              </w:rPr>
            </w:pPr>
            <w:r w:rsidRPr="0063119B">
              <w:rPr>
                <w:szCs w:val="22"/>
              </w:rPr>
              <w:t>7.750</w:t>
            </w:r>
          </w:p>
        </w:tc>
        <w:tc>
          <w:tcPr>
            <w:tcW w:w="2158" w:type="dxa"/>
          </w:tcPr>
          <w:p w14:paraId="0E8CC843" w14:textId="77777777" w:rsidR="00337111" w:rsidRPr="0063119B" w:rsidRDefault="00337111" w:rsidP="00951279">
            <w:pPr>
              <w:rPr>
                <w:szCs w:val="22"/>
              </w:rPr>
            </w:pPr>
            <w:r w:rsidRPr="0063119B">
              <w:rPr>
                <w:szCs w:val="22"/>
              </w:rPr>
              <w:t>20 mg</w:t>
            </w:r>
          </w:p>
        </w:tc>
        <w:tc>
          <w:tcPr>
            <w:tcW w:w="2096" w:type="dxa"/>
          </w:tcPr>
          <w:p w14:paraId="49EB7194" w14:textId="77777777" w:rsidR="00337111" w:rsidRPr="0063119B" w:rsidRDefault="00337111" w:rsidP="00951279">
            <w:pPr>
              <w:rPr>
                <w:szCs w:val="22"/>
              </w:rPr>
            </w:pPr>
            <w:r w:rsidRPr="0063119B">
              <w:rPr>
                <w:szCs w:val="22"/>
              </w:rPr>
              <w:t>41 meses</w:t>
            </w:r>
          </w:p>
        </w:tc>
      </w:tr>
      <w:tr w:rsidR="00337111" w:rsidRPr="0063119B" w14:paraId="13D8A1FC" w14:textId="77777777" w:rsidTr="00A82450">
        <w:tc>
          <w:tcPr>
            <w:tcW w:w="3823" w:type="dxa"/>
          </w:tcPr>
          <w:p w14:paraId="56F0BBCE" w14:textId="77777777" w:rsidR="00337111" w:rsidRPr="0063119B" w:rsidRDefault="00337111" w:rsidP="00951279">
            <w:pPr>
              <w:rPr>
                <w:szCs w:val="22"/>
              </w:rPr>
            </w:pPr>
            <w:r w:rsidRPr="0063119B">
              <w:rPr>
                <w:szCs w:val="22"/>
              </w:rPr>
              <w:t xml:space="preserve">Prevenção </w:t>
            </w:r>
            <w:r w:rsidR="0050665B" w:rsidRPr="0063119B">
              <w:rPr>
                <w:szCs w:val="22"/>
              </w:rPr>
              <w:t xml:space="preserve">de </w:t>
            </w:r>
            <w:r w:rsidR="0050665B" w:rsidRPr="0063119B">
              <w:rPr>
                <w:noProof/>
                <w:szCs w:val="22"/>
              </w:rPr>
              <w:t xml:space="preserve">acontecimentos aterotrombóticos </w:t>
            </w:r>
            <w:r w:rsidR="0050665B" w:rsidRPr="0063119B">
              <w:rPr>
                <w:szCs w:val="22"/>
              </w:rPr>
              <w:t>em doentes após uma</w:t>
            </w:r>
            <w:r w:rsidR="00487F72" w:rsidRPr="0063119B">
              <w:rPr>
                <w:szCs w:val="22"/>
              </w:rPr>
              <w:t xml:space="preserve"> síndrome coronária aguda</w:t>
            </w:r>
            <w:r w:rsidR="0050665B" w:rsidRPr="0063119B">
              <w:rPr>
                <w:szCs w:val="22"/>
              </w:rPr>
              <w:t xml:space="preserve"> </w:t>
            </w:r>
            <w:r w:rsidR="00487F72" w:rsidRPr="0063119B">
              <w:rPr>
                <w:szCs w:val="22"/>
              </w:rPr>
              <w:t>(</w:t>
            </w:r>
            <w:r w:rsidRPr="0063119B">
              <w:rPr>
                <w:szCs w:val="22"/>
              </w:rPr>
              <w:t>SCA</w:t>
            </w:r>
            <w:r w:rsidR="00487F72" w:rsidRPr="0063119B">
              <w:rPr>
                <w:szCs w:val="22"/>
              </w:rPr>
              <w:t>)</w:t>
            </w:r>
          </w:p>
        </w:tc>
        <w:tc>
          <w:tcPr>
            <w:tcW w:w="1199" w:type="dxa"/>
          </w:tcPr>
          <w:p w14:paraId="6C61B084" w14:textId="77777777" w:rsidR="00337111" w:rsidRPr="0063119B" w:rsidRDefault="00337111" w:rsidP="00951279">
            <w:pPr>
              <w:rPr>
                <w:szCs w:val="22"/>
              </w:rPr>
            </w:pPr>
            <w:r w:rsidRPr="0063119B">
              <w:rPr>
                <w:szCs w:val="22"/>
              </w:rPr>
              <w:t>10.225</w:t>
            </w:r>
          </w:p>
        </w:tc>
        <w:tc>
          <w:tcPr>
            <w:tcW w:w="2158" w:type="dxa"/>
          </w:tcPr>
          <w:p w14:paraId="7ABD9A41" w14:textId="77777777" w:rsidR="00337111" w:rsidRPr="0063119B" w:rsidRDefault="00337111" w:rsidP="00951279">
            <w:pPr>
              <w:rPr>
                <w:szCs w:val="22"/>
              </w:rPr>
            </w:pPr>
            <w:r w:rsidRPr="0063119B">
              <w:rPr>
                <w:szCs w:val="22"/>
              </w:rPr>
              <w:t xml:space="preserve">5 mg ou 10 mg respetivamente, </w:t>
            </w:r>
            <w:r w:rsidR="00AD4F52" w:rsidRPr="0063119B">
              <w:rPr>
                <w:szCs w:val="22"/>
              </w:rPr>
              <w:t>coadministrados</w:t>
            </w:r>
            <w:r w:rsidRPr="0063119B">
              <w:rPr>
                <w:szCs w:val="22"/>
              </w:rPr>
              <w:t xml:space="preserve"> com AAS ou AAS com clopidogrel ou ticlopidina</w:t>
            </w:r>
          </w:p>
        </w:tc>
        <w:tc>
          <w:tcPr>
            <w:tcW w:w="2096" w:type="dxa"/>
          </w:tcPr>
          <w:p w14:paraId="56D3BBCE" w14:textId="77777777" w:rsidR="00337111" w:rsidRPr="0063119B" w:rsidRDefault="00337111" w:rsidP="00951279">
            <w:pPr>
              <w:rPr>
                <w:szCs w:val="22"/>
              </w:rPr>
            </w:pPr>
            <w:r w:rsidRPr="0063119B">
              <w:rPr>
                <w:szCs w:val="22"/>
              </w:rPr>
              <w:t>31 meses</w:t>
            </w:r>
          </w:p>
        </w:tc>
      </w:tr>
      <w:tr w:rsidR="00BF0E6B" w:rsidRPr="0063119B" w14:paraId="2C92C92B" w14:textId="77777777" w:rsidTr="00A82450">
        <w:tc>
          <w:tcPr>
            <w:tcW w:w="3823" w:type="dxa"/>
            <w:vMerge w:val="restart"/>
          </w:tcPr>
          <w:p w14:paraId="78CAF358" w14:textId="77777777" w:rsidR="00BF0E6B" w:rsidRPr="0063119B" w:rsidRDefault="00BF0E6B" w:rsidP="00A82450">
            <w:pPr>
              <w:rPr>
                <w:szCs w:val="22"/>
              </w:rPr>
            </w:pPr>
            <w:r w:rsidRPr="0063119B">
              <w:rPr>
                <w:szCs w:val="22"/>
              </w:rPr>
              <w:t xml:space="preserve">Prevenção de acontecimentos aterotrombóticos em doentes com DAC/DAP </w:t>
            </w:r>
          </w:p>
        </w:tc>
        <w:tc>
          <w:tcPr>
            <w:tcW w:w="1199" w:type="dxa"/>
          </w:tcPr>
          <w:p w14:paraId="1CE67D05" w14:textId="77777777" w:rsidR="00BF0E6B" w:rsidRPr="0063119B" w:rsidRDefault="00BF0E6B" w:rsidP="00A82450">
            <w:pPr>
              <w:rPr>
                <w:szCs w:val="22"/>
              </w:rPr>
            </w:pPr>
            <w:r w:rsidRPr="0063119B">
              <w:rPr>
                <w:szCs w:val="22"/>
              </w:rPr>
              <w:t>18.244</w:t>
            </w:r>
          </w:p>
        </w:tc>
        <w:tc>
          <w:tcPr>
            <w:tcW w:w="2158" w:type="dxa"/>
          </w:tcPr>
          <w:p w14:paraId="5156DAA5" w14:textId="77777777" w:rsidR="00BF0E6B" w:rsidRPr="0063119B" w:rsidRDefault="00BF0E6B" w:rsidP="00A82450">
            <w:pPr>
              <w:rPr>
                <w:szCs w:val="22"/>
              </w:rPr>
            </w:pPr>
            <w:r w:rsidRPr="0063119B">
              <w:rPr>
                <w:szCs w:val="22"/>
              </w:rPr>
              <w:t>5 mg coadministrados com AAS ou 10 mg isoladamente</w:t>
            </w:r>
          </w:p>
        </w:tc>
        <w:tc>
          <w:tcPr>
            <w:tcW w:w="2096" w:type="dxa"/>
          </w:tcPr>
          <w:p w14:paraId="0C0EBDC4" w14:textId="77777777" w:rsidR="00BF0E6B" w:rsidRPr="0063119B" w:rsidRDefault="00BF0E6B" w:rsidP="00A82450">
            <w:pPr>
              <w:rPr>
                <w:szCs w:val="22"/>
              </w:rPr>
            </w:pPr>
            <w:r w:rsidRPr="0063119B">
              <w:rPr>
                <w:szCs w:val="22"/>
              </w:rPr>
              <w:t>47 meses</w:t>
            </w:r>
          </w:p>
        </w:tc>
      </w:tr>
      <w:tr w:rsidR="00BF0E6B" w:rsidRPr="0063119B" w14:paraId="09328842" w14:textId="77777777" w:rsidTr="00A82450">
        <w:tc>
          <w:tcPr>
            <w:tcW w:w="3823" w:type="dxa"/>
            <w:vMerge/>
          </w:tcPr>
          <w:p w14:paraId="163C3C9B" w14:textId="77777777" w:rsidR="00BF0E6B" w:rsidRPr="0063119B" w:rsidRDefault="00BF0E6B" w:rsidP="00BF0E6B">
            <w:pPr>
              <w:rPr>
                <w:szCs w:val="22"/>
              </w:rPr>
            </w:pPr>
          </w:p>
        </w:tc>
        <w:tc>
          <w:tcPr>
            <w:tcW w:w="1199" w:type="dxa"/>
          </w:tcPr>
          <w:p w14:paraId="1FEDD2D0" w14:textId="77777777" w:rsidR="00BF0E6B" w:rsidRPr="0063119B" w:rsidRDefault="00BF0E6B" w:rsidP="00BF0E6B">
            <w:pPr>
              <w:rPr>
                <w:szCs w:val="22"/>
              </w:rPr>
            </w:pPr>
            <w:r>
              <w:rPr>
                <w:szCs w:val="22"/>
              </w:rPr>
              <w:t>3.256**</w:t>
            </w:r>
          </w:p>
        </w:tc>
        <w:tc>
          <w:tcPr>
            <w:tcW w:w="2158" w:type="dxa"/>
          </w:tcPr>
          <w:p w14:paraId="01BD3A80" w14:textId="77777777" w:rsidR="00BF0E6B" w:rsidRPr="0063119B" w:rsidRDefault="00BF0E6B" w:rsidP="00BF0E6B">
            <w:pPr>
              <w:rPr>
                <w:szCs w:val="22"/>
              </w:rPr>
            </w:pPr>
            <w:r>
              <w:rPr>
                <w:szCs w:val="22"/>
              </w:rPr>
              <w:t>5 mg coadministrados com AAS</w:t>
            </w:r>
          </w:p>
        </w:tc>
        <w:tc>
          <w:tcPr>
            <w:tcW w:w="2096" w:type="dxa"/>
          </w:tcPr>
          <w:p w14:paraId="5379F82C" w14:textId="77777777" w:rsidR="00BF0E6B" w:rsidRPr="0063119B" w:rsidRDefault="00BF0E6B" w:rsidP="00BF0E6B">
            <w:pPr>
              <w:rPr>
                <w:szCs w:val="22"/>
              </w:rPr>
            </w:pPr>
            <w:r>
              <w:rPr>
                <w:szCs w:val="22"/>
              </w:rPr>
              <w:t>42 meses</w:t>
            </w:r>
          </w:p>
        </w:tc>
      </w:tr>
    </w:tbl>
    <w:p w14:paraId="72A1EF0A" w14:textId="77777777" w:rsidR="00337111" w:rsidRDefault="00337111" w:rsidP="00337111">
      <w:pPr>
        <w:rPr>
          <w:szCs w:val="22"/>
        </w:rPr>
      </w:pPr>
      <w:r w:rsidRPr="0063119B">
        <w:rPr>
          <w:szCs w:val="22"/>
        </w:rPr>
        <w:t>*Doentes expostos a pelo menos uma dose de rivaroxabano</w:t>
      </w:r>
    </w:p>
    <w:p w14:paraId="495C5322" w14:textId="77777777" w:rsidR="00BF0E6B" w:rsidRPr="0063119B" w:rsidRDefault="00BF0E6B" w:rsidP="00337111">
      <w:pPr>
        <w:rPr>
          <w:szCs w:val="22"/>
        </w:rPr>
      </w:pPr>
      <w:r>
        <w:rPr>
          <w:szCs w:val="22"/>
        </w:rPr>
        <w:t>** Do estudo VOYAGER PAD</w:t>
      </w:r>
    </w:p>
    <w:p w14:paraId="75EE2CF8" w14:textId="77777777" w:rsidR="00337111" w:rsidRPr="0063119B" w:rsidRDefault="00337111" w:rsidP="00337111">
      <w:pPr>
        <w:rPr>
          <w:szCs w:val="22"/>
        </w:rPr>
      </w:pPr>
    </w:p>
    <w:p w14:paraId="4D401C55" w14:textId="77777777" w:rsidR="004A61A4" w:rsidRPr="0063119B" w:rsidRDefault="004A61A4" w:rsidP="004A61A4">
      <w:pPr>
        <w:suppressAutoHyphens/>
        <w:rPr>
          <w:noProof/>
          <w:szCs w:val="22"/>
          <w:u w:val="single"/>
        </w:rPr>
      </w:pPr>
      <w:r w:rsidRPr="0063119B">
        <w:rPr>
          <w:rFonts w:eastAsia="SimSun"/>
          <w:szCs w:val="22"/>
        </w:rPr>
        <w:t xml:space="preserve">As </w:t>
      </w:r>
      <w:r w:rsidR="00C9556C" w:rsidRPr="0063119B">
        <w:rPr>
          <w:rFonts w:eastAsia="SimSun"/>
          <w:szCs w:val="22"/>
        </w:rPr>
        <w:t>reações</w:t>
      </w:r>
      <w:r w:rsidRPr="0063119B">
        <w:rPr>
          <w:rFonts w:eastAsia="SimSun"/>
          <w:szCs w:val="22"/>
        </w:rPr>
        <w:t xml:space="preserve"> adversas notificadas com maior frequência em doentes a</w:t>
      </w:r>
      <w:r w:rsidR="0020489B" w:rsidRPr="0063119B">
        <w:rPr>
          <w:rFonts w:eastAsia="SimSun"/>
          <w:szCs w:val="22"/>
        </w:rPr>
        <w:t>os quais foi administrado</w:t>
      </w:r>
      <w:r w:rsidRPr="0063119B">
        <w:rPr>
          <w:rFonts w:eastAsia="SimSun"/>
          <w:szCs w:val="22"/>
        </w:rPr>
        <w:t xml:space="preserve"> rivaroxabano foram hemorragias </w:t>
      </w:r>
      <w:r w:rsidR="00487F72" w:rsidRPr="0063119B">
        <w:rPr>
          <w:noProof/>
          <w:szCs w:val="22"/>
        </w:rPr>
        <w:t>(Quadro 2)</w:t>
      </w:r>
      <w:r w:rsidR="00487F72" w:rsidRPr="0063119B">
        <w:rPr>
          <w:rFonts w:eastAsia="SimSun"/>
          <w:szCs w:val="22"/>
        </w:rPr>
        <w:t xml:space="preserve"> </w:t>
      </w:r>
      <w:r w:rsidRPr="0063119B">
        <w:rPr>
          <w:rFonts w:eastAsia="SimSun"/>
          <w:szCs w:val="22"/>
        </w:rPr>
        <w:t xml:space="preserve">(ver </w:t>
      </w:r>
      <w:r w:rsidR="00487F72" w:rsidRPr="0063119B">
        <w:rPr>
          <w:rFonts w:eastAsia="SimSun"/>
          <w:szCs w:val="22"/>
        </w:rPr>
        <w:t xml:space="preserve">também </w:t>
      </w:r>
      <w:r w:rsidRPr="0063119B">
        <w:rPr>
          <w:rFonts w:eastAsia="SimSun"/>
          <w:szCs w:val="22"/>
        </w:rPr>
        <w:t xml:space="preserve">secção 4.4 e </w:t>
      </w:r>
      <w:r w:rsidR="0020489B" w:rsidRPr="0063119B">
        <w:rPr>
          <w:rFonts w:eastAsia="SimSun"/>
          <w:szCs w:val="22"/>
        </w:rPr>
        <w:t>“</w:t>
      </w:r>
      <w:r w:rsidRPr="0063119B">
        <w:rPr>
          <w:noProof/>
          <w:szCs w:val="22"/>
        </w:rPr>
        <w:t>Descrição das reações adversas selecionadas</w:t>
      </w:r>
      <w:r w:rsidR="0020489B" w:rsidRPr="0063119B">
        <w:rPr>
          <w:noProof/>
          <w:szCs w:val="22"/>
        </w:rPr>
        <w:t>”</w:t>
      </w:r>
      <w:r w:rsidRPr="0063119B">
        <w:rPr>
          <w:noProof/>
          <w:szCs w:val="22"/>
        </w:rPr>
        <w:t xml:space="preserve"> abaixo). As hemorragias notificadas com maior frequência </w:t>
      </w:r>
      <w:r w:rsidRPr="0063119B">
        <w:rPr>
          <w:szCs w:val="22"/>
        </w:rPr>
        <w:t>foram epistaxe (</w:t>
      </w:r>
      <w:r w:rsidR="00A82450" w:rsidRPr="0063119B">
        <w:rPr>
          <w:szCs w:val="22"/>
        </w:rPr>
        <w:t>4,5</w:t>
      </w:r>
      <w:r w:rsidRPr="0063119B">
        <w:rPr>
          <w:szCs w:val="22"/>
        </w:rPr>
        <w:t>%) e hemorragia do trato gastrointestinal (</w:t>
      </w:r>
      <w:r w:rsidR="00A82450" w:rsidRPr="0063119B">
        <w:rPr>
          <w:szCs w:val="22"/>
        </w:rPr>
        <w:t>3,8</w:t>
      </w:r>
      <w:r w:rsidRPr="0063119B">
        <w:rPr>
          <w:szCs w:val="22"/>
        </w:rPr>
        <w:t>%).</w:t>
      </w:r>
    </w:p>
    <w:p w14:paraId="2F8BB4A2" w14:textId="77777777" w:rsidR="00923B5E" w:rsidRPr="0063119B" w:rsidRDefault="00923B5E" w:rsidP="00337111">
      <w:pPr>
        <w:rPr>
          <w:rFonts w:eastAsia="SimSun"/>
          <w:szCs w:val="22"/>
        </w:rPr>
      </w:pPr>
    </w:p>
    <w:p w14:paraId="1D9D76D5" w14:textId="77777777" w:rsidR="002F4FE5" w:rsidRPr="0063119B" w:rsidRDefault="002F4FE5" w:rsidP="002F4FE5">
      <w:pPr>
        <w:keepNext/>
        <w:rPr>
          <w:b/>
          <w:szCs w:val="22"/>
        </w:rPr>
      </w:pPr>
      <w:r w:rsidRPr="0063119B">
        <w:rPr>
          <w:b/>
          <w:szCs w:val="22"/>
        </w:rPr>
        <w:t>Quadro 2</w:t>
      </w:r>
      <w:r w:rsidR="0000492E" w:rsidRPr="0063119B">
        <w:rPr>
          <w:b/>
          <w:szCs w:val="22"/>
        </w:rPr>
        <w:t>:</w:t>
      </w:r>
      <w:r w:rsidRPr="0063119B">
        <w:rPr>
          <w:b/>
          <w:szCs w:val="22"/>
        </w:rPr>
        <w:t xml:space="preserve"> </w:t>
      </w:r>
      <w:r w:rsidR="00104B9D" w:rsidRPr="0063119B">
        <w:rPr>
          <w:b/>
          <w:szCs w:val="22"/>
        </w:rPr>
        <w:t>Taxas de acontecimentos hemorrá</w:t>
      </w:r>
      <w:r w:rsidRPr="0063119B">
        <w:rPr>
          <w:b/>
          <w:szCs w:val="22"/>
        </w:rPr>
        <w:t>gi</w:t>
      </w:r>
      <w:r w:rsidR="00104B9D" w:rsidRPr="0063119B">
        <w:rPr>
          <w:b/>
          <w:szCs w:val="22"/>
        </w:rPr>
        <w:t>cos</w:t>
      </w:r>
      <w:r w:rsidR="00D753EC" w:rsidRPr="0063119B">
        <w:rPr>
          <w:b/>
          <w:szCs w:val="22"/>
        </w:rPr>
        <w:t>*</w:t>
      </w:r>
      <w:r w:rsidRPr="0063119B">
        <w:rPr>
          <w:b/>
          <w:szCs w:val="22"/>
        </w:rPr>
        <w:t xml:space="preserve"> e anemia em doentes expostos ao rivaroxabano nos estudos de fase III </w:t>
      </w:r>
      <w:r w:rsidR="002F5919">
        <w:rPr>
          <w:b/>
          <w:bCs/>
          <w:szCs w:val="22"/>
        </w:rPr>
        <w:t xml:space="preserve">em doente adultos e pediátricos </w:t>
      </w:r>
      <w:r w:rsidRPr="0063119B">
        <w:rPr>
          <w:b/>
          <w:szCs w:val="22"/>
        </w:rPr>
        <w:t>concluídos</w:t>
      </w:r>
    </w:p>
    <w:p w14:paraId="3CE483E6" w14:textId="77777777" w:rsidR="002F4FE5" w:rsidRPr="0063119B" w:rsidRDefault="002F4FE5" w:rsidP="002F4FE5">
      <w:pPr>
        <w:keepNext/>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2F4FE5" w:rsidRPr="0063119B" w14:paraId="45096F2D" w14:textId="77777777" w:rsidTr="002F4FE5">
        <w:trPr>
          <w:tblHeader/>
        </w:trPr>
        <w:tc>
          <w:tcPr>
            <w:tcW w:w="3544" w:type="dxa"/>
          </w:tcPr>
          <w:p w14:paraId="25A4E313" w14:textId="77777777" w:rsidR="002F4FE5" w:rsidRPr="0063119B" w:rsidRDefault="002F4FE5" w:rsidP="002F4FE5">
            <w:pPr>
              <w:keepNext/>
              <w:rPr>
                <w:b/>
                <w:szCs w:val="22"/>
              </w:rPr>
            </w:pPr>
            <w:r w:rsidRPr="0063119B">
              <w:rPr>
                <w:b/>
                <w:szCs w:val="22"/>
              </w:rPr>
              <w:t>Indicação</w:t>
            </w:r>
          </w:p>
        </w:tc>
        <w:tc>
          <w:tcPr>
            <w:tcW w:w="1985" w:type="dxa"/>
          </w:tcPr>
          <w:p w14:paraId="41A8258C" w14:textId="77777777" w:rsidR="002F4FE5" w:rsidRPr="0063119B" w:rsidRDefault="002F4FE5" w:rsidP="002F4FE5">
            <w:pPr>
              <w:keepNext/>
              <w:rPr>
                <w:szCs w:val="22"/>
              </w:rPr>
            </w:pPr>
            <w:r w:rsidRPr="0063119B">
              <w:rPr>
                <w:b/>
                <w:szCs w:val="22"/>
              </w:rPr>
              <w:t>Qualquer hemorragia</w:t>
            </w:r>
          </w:p>
        </w:tc>
        <w:tc>
          <w:tcPr>
            <w:tcW w:w="2126" w:type="dxa"/>
          </w:tcPr>
          <w:p w14:paraId="6AB536EF" w14:textId="77777777" w:rsidR="002F4FE5" w:rsidRPr="0063119B" w:rsidRDefault="002F4FE5" w:rsidP="002F4FE5">
            <w:pPr>
              <w:keepNext/>
              <w:rPr>
                <w:b/>
                <w:szCs w:val="22"/>
              </w:rPr>
            </w:pPr>
            <w:r w:rsidRPr="0063119B">
              <w:rPr>
                <w:b/>
                <w:szCs w:val="22"/>
              </w:rPr>
              <w:t>Anemia</w:t>
            </w:r>
          </w:p>
        </w:tc>
      </w:tr>
      <w:tr w:rsidR="002F4FE5" w:rsidRPr="0063119B" w14:paraId="62557326" w14:textId="77777777" w:rsidTr="002F4FE5">
        <w:tc>
          <w:tcPr>
            <w:tcW w:w="3544" w:type="dxa"/>
          </w:tcPr>
          <w:p w14:paraId="15FAF0F6" w14:textId="77777777" w:rsidR="002F4FE5" w:rsidRPr="0063119B" w:rsidRDefault="002F4FE5" w:rsidP="00487F72">
            <w:pPr>
              <w:keepNext/>
              <w:rPr>
                <w:szCs w:val="22"/>
              </w:rPr>
            </w:pPr>
            <w:r w:rsidRPr="0063119B">
              <w:rPr>
                <w:szCs w:val="22"/>
              </w:rPr>
              <w:t>Prevenção d</w:t>
            </w:r>
            <w:r w:rsidR="00B45C8F" w:rsidRPr="0063119B">
              <w:rPr>
                <w:szCs w:val="22"/>
              </w:rPr>
              <w:t>o</w:t>
            </w:r>
            <w:r w:rsidR="00BE519A" w:rsidRPr="0063119B">
              <w:rPr>
                <w:szCs w:val="22"/>
              </w:rPr>
              <w:t xml:space="preserve"> tromboembolismo venoso (</w:t>
            </w:r>
            <w:r w:rsidR="00487F72" w:rsidRPr="0063119B">
              <w:rPr>
                <w:szCs w:val="22"/>
              </w:rPr>
              <w:t>TEV</w:t>
            </w:r>
            <w:r w:rsidR="00BE519A">
              <w:rPr>
                <w:szCs w:val="22"/>
              </w:rPr>
              <w:t>)</w:t>
            </w:r>
            <w:r w:rsidRPr="0063119B">
              <w:rPr>
                <w:szCs w:val="22"/>
              </w:rPr>
              <w:t xml:space="preserve"> em doentes adultos submetidos a artroplastia eletiva da anca ou joelho</w:t>
            </w:r>
          </w:p>
        </w:tc>
        <w:tc>
          <w:tcPr>
            <w:tcW w:w="1985" w:type="dxa"/>
          </w:tcPr>
          <w:p w14:paraId="56FAB826" w14:textId="77777777" w:rsidR="002F4FE5" w:rsidRPr="0063119B" w:rsidRDefault="002F4FE5" w:rsidP="002F4FE5">
            <w:pPr>
              <w:keepNext/>
              <w:rPr>
                <w:szCs w:val="22"/>
              </w:rPr>
            </w:pPr>
            <w:r w:rsidRPr="0063119B">
              <w:rPr>
                <w:szCs w:val="22"/>
              </w:rPr>
              <w:t>6,8% dos doentes</w:t>
            </w:r>
          </w:p>
        </w:tc>
        <w:tc>
          <w:tcPr>
            <w:tcW w:w="2126" w:type="dxa"/>
          </w:tcPr>
          <w:p w14:paraId="6B777F24" w14:textId="77777777" w:rsidR="002F4FE5" w:rsidRPr="0063119B" w:rsidRDefault="002F4FE5" w:rsidP="002F4FE5">
            <w:pPr>
              <w:keepNext/>
              <w:rPr>
                <w:szCs w:val="22"/>
              </w:rPr>
            </w:pPr>
            <w:r w:rsidRPr="0063119B">
              <w:rPr>
                <w:szCs w:val="22"/>
              </w:rPr>
              <w:t>5,9% dos doentes</w:t>
            </w:r>
          </w:p>
        </w:tc>
      </w:tr>
      <w:tr w:rsidR="002F4FE5" w:rsidRPr="0063119B" w14:paraId="751CB2A0" w14:textId="77777777" w:rsidTr="002F4FE5">
        <w:tc>
          <w:tcPr>
            <w:tcW w:w="3544" w:type="dxa"/>
          </w:tcPr>
          <w:p w14:paraId="032F6860" w14:textId="18D37F49" w:rsidR="002F4FE5" w:rsidRPr="0063119B" w:rsidRDefault="002F4FE5" w:rsidP="000E46B1">
            <w:pPr>
              <w:keepNext/>
              <w:rPr>
                <w:szCs w:val="22"/>
              </w:rPr>
            </w:pPr>
            <w:r w:rsidRPr="0063119B">
              <w:rPr>
                <w:szCs w:val="22"/>
              </w:rPr>
              <w:t>Prevenção d</w:t>
            </w:r>
            <w:r w:rsidR="000E46B1" w:rsidRPr="0063119B">
              <w:rPr>
                <w:szCs w:val="22"/>
              </w:rPr>
              <w:t>o</w:t>
            </w:r>
            <w:r w:rsidRPr="0063119B">
              <w:rPr>
                <w:szCs w:val="22"/>
              </w:rPr>
              <w:t xml:space="preserve"> </w:t>
            </w:r>
            <w:r w:rsidR="000536F1" w:rsidRPr="0063119B">
              <w:rPr>
                <w:szCs w:val="22"/>
              </w:rPr>
              <w:t>tromboembolismo venoso</w:t>
            </w:r>
            <w:r w:rsidR="000536F1" w:rsidRPr="0063119B" w:rsidDel="000536F1">
              <w:rPr>
                <w:szCs w:val="22"/>
              </w:rPr>
              <w:t xml:space="preserve"> </w:t>
            </w:r>
            <w:r w:rsidRPr="0063119B">
              <w:rPr>
                <w:szCs w:val="22"/>
              </w:rPr>
              <w:t xml:space="preserve">em doentes </w:t>
            </w:r>
            <w:r w:rsidR="00AB54CD" w:rsidRPr="0063119B">
              <w:rPr>
                <w:szCs w:val="22"/>
              </w:rPr>
              <w:t>com patologias médicas</w:t>
            </w:r>
          </w:p>
        </w:tc>
        <w:tc>
          <w:tcPr>
            <w:tcW w:w="1985" w:type="dxa"/>
          </w:tcPr>
          <w:p w14:paraId="4CC3F01C" w14:textId="77777777" w:rsidR="002F4FE5" w:rsidRPr="0063119B" w:rsidRDefault="002F4FE5" w:rsidP="002F4FE5">
            <w:pPr>
              <w:keepNext/>
              <w:rPr>
                <w:szCs w:val="22"/>
              </w:rPr>
            </w:pPr>
            <w:r w:rsidRPr="0063119B">
              <w:rPr>
                <w:szCs w:val="22"/>
              </w:rPr>
              <w:t>12,6% dos doentes</w:t>
            </w:r>
          </w:p>
        </w:tc>
        <w:tc>
          <w:tcPr>
            <w:tcW w:w="2126" w:type="dxa"/>
          </w:tcPr>
          <w:p w14:paraId="13DF35B9" w14:textId="77777777" w:rsidR="002F4FE5" w:rsidRPr="0063119B" w:rsidRDefault="002F4FE5" w:rsidP="002F4FE5">
            <w:pPr>
              <w:keepNext/>
              <w:rPr>
                <w:szCs w:val="22"/>
              </w:rPr>
            </w:pPr>
            <w:r w:rsidRPr="0063119B">
              <w:rPr>
                <w:szCs w:val="22"/>
              </w:rPr>
              <w:t>2,1% dos doentes</w:t>
            </w:r>
          </w:p>
        </w:tc>
      </w:tr>
      <w:tr w:rsidR="002F4FE5" w:rsidRPr="0063119B" w14:paraId="717709EC" w14:textId="77777777" w:rsidTr="002F4FE5">
        <w:tc>
          <w:tcPr>
            <w:tcW w:w="3544" w:type="dxa"/>
          </w:tcPr>
          <w:p w14:paraId="68FD9BB5" w14:textId="77777777" w:rsidR="002F4FE5" w:rsidRPr="0063119B" w:rsidRDefault="002F4FE5" w:rsidP="004075A4">
            <w:pPr>
              <w:keepNext/>
              <w:rPr>
                <w:szCs w:val="22"/>
              </w:rPr>
            </w:pPr>
            <w:r w:rsidRPr="0063119B">
              <w:rPr>
                <w:szCs w:val="22"/>
              </w:rPr>
              <w:t xml:space="preserve">Tratamento da </w:t>
            </w:r>
            <w:r w:rsidR="0051410B" w:rsidRPr="0063119B">
              <w:rPr>
                <w:szCs w:val="22"/>
              </w:rPr>
              <w:t xml:space="preserve">TVP, </w:t>
            </w:r>
            <w:r w:rsidRPr="0063119B">
              <w:rPr>
                <w:szCs w:val="22"/>
              </w:rPr>
              <w:t>EP e prevenção de recorrências</w:t>
            </w:r>
          </w:p>
        </w:tc>
        <w:tc>
          <w:tcPr>
            <w:tcW w:w="1985" w:type="dxa"/>
          </w:tcPr>
          <w:p w14:paraId="644B6B0F" w14:textId="77777777" w:rsidR="002F4FE5" w:rsidRPr="0063119B" w:rsidRDefault="002F4FE5" w:rsidP="002F4FE5">
            <w:pPr>
              <w:keepNext/>
              <w:rPr>
                <w:szCs w:val="22"/>
              </w:rPr>
            </w:pPr>
            <w:r w:rsidRPr="0063119B">
              <w:rPr>
                <w:szCs w:val="22"/>
              </w:rPr>
              <w:t>23% dos doentes</w:t>
            </w:r>
          </w:p>
        </w:tc>
        <w:tc>
          <w:tcPr>
            <w:tcW w:w="2126" w:type="dxa"/>
          </w:tcPr>
          <w:p w14:paraId="3C570567" w14:textId="77777777" w:rsidR="002F4FE5" w:rsidRPr="0063119B" w:rsidRDefault="002F4FE5" w:rsidP="002F4FE5">
            <w:pPr>
              <w:keepNext/>
              <w:rPr>
                <w:szCs w:val="22"/>
              </w:rPr>
            </w:pPr>
            <w:r w:rsidRPr="0063119B">
              <w:rPr>
                <w:szCs w:val="22"/>
              </w:rPr>
              <w:t>1,6% dos doentes</w:t>
            </w:r>
          </w:p>
        </w:tc>
      </w:tr>
      <w:tr w:rsidR="002F5919" w:rsidRPr="0063119B" w14:paraId="70568AFC" w14:textId="77777777" w:rsidTr="002F4FE5">
        <w:tc>
          <w:tcPr>
            <w:tcW w:w="3544" w:type="dxa"/>
          </w:tcPr>
          <w:p w14:paraId="7EC483D7" w14:textId="77777777" w:rsidR="002F5919" w:rsidRPr="00EF3721" w:rsidRDefault="002F5919" w:rsidP="00EF3721">
            <w:pPr>
              <w:pStyle w:val="Default"/>
              <w:rPr>
                <w:szCs w:val="22"/>
                <w:lang w:val="pt-PT"/>
              </w:rPr>
            </w:pPr>
            <w:r w:rsidRPr="00EF3721">
              <w:rPr>
                <w:sz w:val="22"/>
                <w:szCs w:val="22"/>
                <w:lang w:val="pt-PT"/>
              </w:rPr>
              <w:t xml:space="preserve">Tratamento do TEV e prevenção da recorrência de TEV em recém-nascidos de termo e em crianças com menos de 18 anos de idade após o início do tratamento anticoagulante padrão </w:t>
            </w:r>
          </w:p>
        </w:tc>
        <w:tc>
          <w:tcPr>
            <w:tcW w:w="1985" w:type="dxa"/>
          </w:tcPr>
          <w:tbl>
            <w:tblPr>
              <w:tblW w:w="0" w:type="auto"/>
              <w:tblBorders>
                <w:top w:val="nil"/>
                <w:left w:val="nil"/>
                <w:bottom w:val="nil"/>
                <w:right w:val="nil"/>
              </w:tblBorders>
              <w:tblLook w:val="0000" w:firstRow="0" w:lastRow="0" w:firstColumn="0" w:lastColumn="0" w:noHBand="0" w:noVBand="0"/>
            </w:tblPr>
            <w:tblGrid>
              <w:gridCol w:w="1769"/>
            </w:tblGrid>
            <w:tr w:rsidR="002F5919" w:rsidRPr="002F5919" w14:paraId="076E02C4" w14:textId="77777777">
              <w:trPr>
                <w:trHeight w:val="147"/>
              </w:trPr>
              <w:tc>
                <w:tcPr>
                  <w:tcW w:w="0" w:type="auto"/>
                </w:tcPr>
                <w:p w14:paraId="5402B887" w14:textId="77777777" w:rsidR="002F5919" w:rsidRPr="002F5919" w:rsidRDefault="002F5919" w:rsidP="002F5919">
                  <w:pPr>
                    <w:autoSpaceDE w:val="0"/>
                    <w:autoSpaceDN w:val="0"/>
                    <w:adjustRightInd w:val="0"/>
                    <w:rPr>
                      <w:color w:val="000000"/>
                      <w:szCs w:val="22"/>
                      <w:lang w:eastAsia="pt-PT"/>
                    </w:rPr>
                  </w:pPr>
                  <w:r w:rsidRPr="002F5919">
                    <w:rPr>
                      <w:color w:val="000000"/>
                      <w:szCs w:val="22"/>
                      <w:lang w:eastAsia="pt-PT"/>
                    </w:rPr>
                    <w:t xml:space="preserve">39,5% dos </w:t>
                  </w:r>
                  <w:r>
                    <w:rPr>
                      <w:color w:val="000000"/>
                      <w:szCs w:val="22"/>
                      <w:lang w:eastAsia="pt-PT"/>
                    </w:rPr>
                    <w:t xml:space="preserve"> do</w:t>
                  </w:r>
                  <w:r w:rsidRPr="002F5919">
                    <w:rPr>
                      <w:color w:val="000000"/>
                      <w:szCs w:val="22"/>
                      <w:lang w:eastAsia="pt-PT"/>
                    </w:rPr>
                    <w:t xml:space="preserve">entes </w:t>
                  </w:r>
                </w:p>
              </w:tc>
            </w:tr>
          </w:tbl>
          <w:p w14:paraId="226CC603" w14:textId="77777777" w:rsidR="002F5919" w:rsidRPr="0063119B" w:rsidRDefault="002F5919" w:rsidP="002F4FE5">
            <w:pPr>
              <w:keepNext/>
              <w:rPr>
                <w:szCs w:val="22"/>
              </w:rPr>
            </w:pPr>
          </w:p>
        </w:tc>
        <w:tc>
          <w:tcPr>
            <w:tcW w:w="2126" w:type="dxa"/>
          </w:tcPr>
          <w:tbl>
            <w:tblPr>
              <w:tblW w:w="0" w:type="auto"/>
              <w:tblBorders>
                <w:top w:val="nil"/>
                <w:left w:val="nil"/>
                <w:bottom w:val="nil"/>
                <w:right w:val="nil"/>
              </w:tblBorders>
              <w:tblLook w:val="0000" w:firstRow="0" w:lastRow="0" w:firstColumn="0" w:lastColumn="0" w:noHBand="0" w:noVBand="0"/>
            </w:tblPr>
            <w:tblGrid>
              <w:gridCol w:w="1762"/>
            </w:tblGrid>
            <w:tr w:rsidR="002F5919" w:rsidRPr="002F5919" w14:paraId="75B4E738" w14:textId="77777777" w:rsidTr="00184C85">
              <w:trPr>
                <w:trHeight w:val="147"/>
              </w:trPr>
              <w:tc>
                <w:tcPr>
                  <w:tcW w:w="0" w:type="auto"/>
                </w:tcPr>
                <w:p w14:paraId="41F52C65" w14:textId="77777777" w:rsidR="002F5919" w:rsidRPr="002F5919" w:rsidRDefault="002F5919" w:rsidP="002F5919">
                  <w:pPr>
                    <w:autoSpaceDE w:val="0"/>
                    <w:autoSpaceDN w:val="0"/>
                    <w:adjustRightInd w:val="0"/>
                    <w:rPr>
                      <w:color w:val="000000"/>
                      <w:szCs w:val="22"/>
                      <w:lang w:eastAsia="pt-PT"/>
                    </w:rPr>
                  </w:pPr>
                  <w:r w:rsidRPr="002F5919">
                    <w:rPr>
                      <w:color w:val="000000"/>
                      <w:szCs w:val="22"/>
                      <w:lang w:eastAsia="pt-PT"/>
                    </w:rPr>
                    <w:t xml:space="preserve">4,6% dos doentes </w:t>
                  </w:r>
                </w:p>
              </w:tc>
            </w:tr>
          </w:tbl>
          <w:p w14:paraId="381748F4" w14:textId="77777777" w:rsidR="002F5919" w:rsidRPr="0063119B" w:rsidRDefault="002F5919" w:rsidP="002F4FE5">
            <w:pPr>
              <w:keepNext/>
              <w:rPr>
                <w:szCs w:val="22"/>
              </w:rPr>
            </w:pPr>
          </w:p>
        </w:tc>
      </w:tr>
      <w:tr w:rsidR="002F4FE5" w:rsidRPr="0063119B" w14:paraId="068A1500" w14:textId="77777777" w:rsidTr="002F4FE5">
        <w:tc>
          <w:tcPr>
            <w:tcW w:w="3544" w:type="dxa"/>
          </w:tcPr>
          <w:p w14:paraId="431ED74A" w14:textId="77777777" w:rsidR="002F4FE5" w:rsidRPr="0063119B" w:rsidRDefault="002F4FE5" w:rsidP="002F4FE5">
            <w:pPr>
              <w:keepNext/>
              <w:rPr>
                <w:szCs w:val="22"/>
              </w:rPr>
            </w:pPr>
            <w:r w:rsidRPr="0063119B">
              <w:rPr>
                <w:szCs w:val="22"/>
              </w:rPr>
              <w:lastRenderedPageBreak/>
              <w:t>Prevenção de AVC e embolismo sistémico em doentes com fibrilhação auricular não valvular</w:t>
            </w:r>
          </w:p>
        </w:tc>
        <w:tc>
          <w:tcPr>
            <w:tcW w:w="1985" w:type="dxa"/>
          </w:tcPr>
          <w:p w14:paraId="11360189" w14:textId="77777777" w:rsidR="002F4FE5" w:rsidRPr="0063119B" w:rsidRDefault="002F4FE5" w:rsidP="002F4FE5">
            <w:pPr>
              <w:keepNext/>
              <w:rPr>
                <w:szCs w:val="22"/>
              </w:rPr>
            </w:pPr>
            <w:r w:rsidRPr="0063119B">
              <w:rPr>
                <w:szCs w:val="22"/>
              </w:rPr>
              <w:t>28 por 100 </w:t>
            </w:r>
            <w:r w:rsidR="00BF0E6B" w:rsidRPr="0063119B" w:rsidDel="00BF0E6B">
              <w:rPr>
                <w:szCs w:val="22"/>
              </w:rPr>
              <w:t xml:space="preserve"> </w:t>
            </w:r>
            <w:r w:rsidRPr="0063119B">
              <w:rPr>
                <w:szCs w:val="22"/>
              </w:rPr>
              <w:t>doente</w:t>
            </w:r>
            <w:r w:rsidR="00BF0E6B">
              <w:rPr>
                <w:szCs w:val="22"/>
              </w:rPr>
              <w:t>s-ano</w:t>
            </w:r>
          </w:p>
        </w:tc>
        <w:tc>
          <w:tcPr>
            <w:tcW w:w="2126" w:type="dxa"/>
          </w:tcPr>
          <w:p w14:paraId="5FE59B77" w14:textId="77777777" w:rsidR="002F4FE5" w:rsidRPr="0063119B" w:rsidRDefault="002F4FE5" w:rsidP="002F4FE5">
            <w:pPr>
              <w:keepNext/>
              <w:rPr>
                <w:szCs w:val="22"/>
              </w:rPr>
            </w:pPr>
            <w:r w:rsidRPr="0063119B">
              <w:rPr>
                <w:szCs w:val="22"/>
              </w:rPr>
              <w:t>2,5 por 100 </w:t>
            </w:r>
            <w:r w:rsidR="00BF0E6B" w:rsidRPr="0063119B" w:rsidDel="00BF0E6B">
              <w:rPr>
                <w:szCs w:val="22"/>
              </w:rPr>
              <w:t xml:space="preserve"> </w:t>
            </w:r>
            <w:r w:rsidRPr="0063119B">
              <w:rPr>
                <w:szCs w:val="22"/>
              </w:rPr>
              <w:t>doente</w:t>
            </w:r>
            <w:r w:rsidR="00BF0E6B">
              <w:rPr>
                <w:szCs w:val="22"/>
              </w:rPr>
              <w:t>s-ano</w:t>
            </w:r>
          </w:p>
        </w:tc>
      </w:tr>
      <w:tr w:rsidR="002F4FE5" w:rsidRPr="0063119B" w14:paraId="63BA482D" w14:textId="77777777" w:rsidTr="002F4FE5">
        <w:tc>
          <w:tcPr>
            <w:tcW w:w="3544" w:type="dxa"/>
          </w:tcPr>
          <w:p w14:paraId="7A5462A2" w14:textId="77777777" w:rsidR="002F4FE5" w:rsidRPr="0063119B" w:rsidRDefault="002F4FE5" w:rsidP="002F4FE5">
            <w:pPr>
              <w:keepNext/>
              <w:rPr>
                <w:szCs w:val="22"/>
              </w:rPr>
            </w:pPr>
            <w:r w:rsidRPr="0063119B">
              <w:rPr>
                <w:szCs w:val="22"/>
              </w:rPr>
              <w:t>Prevenção de acontecimentos aterotrombótic</w:t>
            </w:r>
            <w:r w:rsidR="00240206" w:rsidRPr="0063119B">
              <w:rPr>
                <w:szCs w:val="22"/>
              </w:rPr>
              <w:t xml:space="preserve">os em doentes após </w:t>
            </w:r>
            <w:r w:rsidRPr="0063119B">
              <w:rPr>
                <w:szCs w:val="22"/>
              </w:rPr>
              <w:t>um SCA</w:t>
            </w:r>
          </w:p>
        </w:tc>
        <w:tc>
          <w:tcPr>
            <w:tcW w:w="1985" w:type="dxa"/>
          </w:tcPr>
          <w:p w14:paraId="1258E58D" w14:textId="77777777" w:rsidR="002F4FE5" w:rsidRPr="0063119B" w:rsidRDefault="002F4FE5" w:rsidP="002F4FE5">
            <w:pPr>
              <w:keepNext/>
              <w:rPr>
                <w:szCs w:val="22"/>
              </w:rPr>
            </w:pPr>
            <w:r w:rsidRPr="0063119B">
              <w:rPr>
                <w:szCs w:val="22"/>
              </w:rPr>
              <w:t>22 por 100 </w:t>
            </w:r>
            <w:r w:rsidR="00BF0E6B" w:rsidRPr="0063119B" w:rsidDel="00BF0E6B">
              <w:rPr>
                <w:szCs w:val="22"/>
              </w:rPr>
              <w:t xml:space="preserve"> </w:t>
            </w:r>
            <w:r w:rsidRPr="0063119B">
              <w:rPr>
                <w:szCs w:val="22"/>
              </w:rPr>
              <w:t>doente</w:t>
            </w:r>
            <w:r w:rsidR="00BF0E6B">
              <w:rPr>
                <w:szCs w:val="22"/>
              </w:rPr>
              <w:t>s-ano</w:t>
            </w:r>
          </w:p>
        </w:tc>
        <w:tc>
          <w:tcPr>
            <w:tcW w:w="2126" w:type="dxa"/>
          </w:tcPr>
          <w:p w14:paraId="776B2012" w14:textId="77777777" w:rsidR="002F4FE5" w:rsidRPr="0063119B" w:rsidRDefault="002F4FE5" w:rsidP="002F4FE5">
            <w:pPr>
              <w:keepNext/>
              <w:rPr>
                <w:szCs w:val="22"/>
              </w:rPr>
            </w:pPr>
            <w:r w:rsidRPr="0063119B">
              <w:rPr>
                <w:szCs w:val="22"/>
              </w:rPr>
              <w:t>1,4 por 100 </w:t>
            </w:r>
            <w:r w:rsidR="00BF0E6B" w:rsidRPr="0063119B" w:rsidDel="00BF0E6B">
              <w:rPr>
                <w:szCs w:val="22"/>
              </w:rPr>
              <w:t xml:space="preserve"> </w:t>
            </w:r>
            <w:r w:rsidRPr="0063119B">
              <w:rPr>
                <w:szCs w:val="22"/>
              </w:rPr>
              <w:t>doente</w:t>
            </w:r>
            <w:r w:rsidR="00BF0E6B">
              <w:rPr>
                <w:szCs w:val="22"/>
              </w:rPr>
              <w:t>s-ano</w:t>
            </w:r>
          </w:p>
        </w:tc>
      </w:tr>
      <w:tr w:rsidR="00BF0E6B" w:rsidRPr="0063119B" w14:paraId="69840EEE" w14:textId="77777777" w:rsidTr="00F03D43">
        <w:tc>
          <w:tcPr>
            <w:tcW w:w="3544" w:type="dxa"/>
            <w:vMerge w:val="restart"/>
          </w:tcPr>
          <w:p w14:paraId="7C6FC714" w14:textId="77777777" w:rsidR="00BF0E6B" w:rsidRPr="0063119B" w:rsidRDefault="00BF0E6B" w:rsidP="001B0380">
            <w:pPr>
              <w:keepNext/>
              <w:rPr>
                <w:szCs w:val="22"/>
              </w:rPr>
            </w:pPr>
            <w:r w:rsidRPr="0063119B">
              <w:rPr>
                <w:szCs w:val="22"/>
              </w:rPr>
              <w:t>Prevenção de acontecimentos aterotrombóticos em doentes com DAC/DAP</w:t>
            </w:r>
          </w:p>
        </w:tc>
        <w:tc>
          <w:tcPr>
            <w:tcW w:w="1985" w:type="dxa"/>
            <w:tcBorders>
              <w:bottom w:val="single" w:sz="4" w:space="0" w:color="auto"/>
            </w:tcBorders>
          </w:tcPr>
          <w:p w14:paraId="67353736" w14:textId="77777777" w:rsidR="00BF0E6B" w:rsidRPr="0063119B" w:rsidRDefault="00BF0E6B" w:rsidP="00D753EC">
            <w:pPr>
              <w:keepNext/>
              <w:rPr>
                <w:szCs w:val="22"/>
              </w:rPr>
            </w:pPr>
            <w:r w:rsidRPr="0063119B">
              <w:rPr>
                <w:szCs w:val="22"/>
              </w:rPr>
              <w:t>6,7 por 100 </w:t>
            </w:r>
            <w:r w:rsidRPr="0063119B" w:rsidDel="00BF0E6B">
              <w:rPr>
                <w:szCs w:val="22"/>
              </w:rPr>
              <w:t xml:space="preserve"> </w:t>
            </w:r>
            <w:r w:rsidRPr="0063119B">
              <w:rPr>
                <w:szCs w:val="22"/>
              </w:rPr>
              <w:t>doente</w:t>
            </w:r>
            <w:r>
              <w:rPr>
                <w:szCs w:val="22"/>
              </w:rPr>
              <w:t>s-ano</w:t>
            </w:r>
          </w:p>
        </w:tc>
        <w:tc>
          <w:tcPr>
            <w:tcW w:w="2126" w:type="dxa"/>
            <w:tcBorders>
              <w:bottom w:val="single" w:sz="4" w:space="0" w:color="auto"/>
            </w:tcBorders>
          </w:tcPr>
          <w:p w14:paraId="7F93F0A6" w14:textId="77777777" w:rsidR="00BF0E6B" w:rsidRPr="0063119B" w:rsidRDefault="00BF0E6B" w:rsidP="00D753EC">
            <w:pPr>
              <w:keepNext/>
              <w:rPr>
                <w:szCs w:val="22"/>
              </w:rPr>
            </w:pPr>
            <w:r w:rsidRPr="0063119B">
              <w:rPr>
                <w:szCs w:val="22"/>
              </w:rPr>
              <w:t>0,15 por 100 </w:t>
            </w:r>
            <w:r w:rsidRPr="0063119B" w:rsidDel="00BF0E6B">
              <w:rPr>
                <w:szCs w:val="22"/>
              </w:rPr>
              <w:t xml:space="preserve"> </w:t>
            </w:r>
            <w:r w:rsidRPr="0063119B">
              <w:rPr>
                <w:szCs w:val="22"/>
              </w:rPr>
              <w:t>doente</w:t>
            </w:r>
            <w:r>
              <w:rPr>
                <w:szCs w:val="22"/>
              </w:rPr>
              <w:t>s-ano</w:t>
            </w:r>
            <w:r w:rsidRPr="0063119B">
              <w:rPr>
                <w:szCs w:val="22"/>
              </w:rPr>
              <w:t xml:space="preserve">** </w:t>
            </w:r>
          </w:p>
        </w:tc>
      </w:tr>
      <w:tr w:rsidR="00BF0E6B" w:rsidRPr="0063119B" w14:paraId="64710C8F" w14:textId="77777777" w:rsidTr="0056664B">
        <w:tc>
          <w:tcPr>
            <w:tcW w:w="3544" w:type="dxa"/>
            <w:vMerge/>
            <w:tcBorders>
              <w:bottom w:val="single" w:sz="4" w:space="0" w:color="auto"/>
            </w:tcBorders>
          </w:tcPr>
          <w:p w14:paraId="0A3DBFC5" w14:textId="77777777" w:rsidR="00BF0E6B" w:rsidRPr="0063119B" w:rsidRDefault="00BF0E6B" w:rsidP="001B0380">
            <w:pPr>
              <w:keepNext/>
              <w:rPr>
                <w:szCs w:val="22"/>
              </w:rPr>
            </w:pPr>
          </w:p>
        </w:tc>
        <w:tc>
          <w:tcPr>
            <w:tcW w:w="1985" w:type="dxa"/>
            <w:tcBorders>
              <w:bottom w:val="single" w:sz="4" w:space="0" w:color="auto"/>
            </w:tcBorders>
          </w:tcPr>
          <w:p w14:paraId="7DF28CFA" w14:textId="77777777" w:rsidR="00BF0E6B" w:rsidRPr="0063119B" w:rsidRDefault="00BF0E6B" w:rsidP="00D753EC">
            <w:pPr>
              <w:keepNext/>
              <w:rPr>
                <w:szCs w:val="22"/>
              </w:rPr>
            </w:pPr>
            <w:r>
              <w:rPr>
                <w:szCs w:val="22"/>
              </w:rPr>
              <w:t>8</w:t>
            </w:r>
            <w:r w:rsidRPr="0063119B">
              <w:rPr>
                <w:szCs w:val="22"/>
              </w:rPr>
              <w:t>,</w:t>
            </w:r>
            <w:r>
              <w:rPr>
                <w:szCs w:val="22"/>
              </w:rPr>
              <w:t>38</w:t>
            </w:r>
            <w:r w:rsidRPr="0063119B">
              <w:rPr>
                <w:szCs w:val="22"/>
              </w:rPr>
              <w:t xml:space="preserve"> por 100 </w:t>
            </w:r>
            <w:r w:rsidRPr="0063119B" w:rsidDel="00BF0E6B">
              <w:rPr>
                <w:szCs w:val="22"/>
              </w:rPr>
              <w:t xml:space="preserve"> </w:t>
            </w:r>
            <w:r w:rsidRPr="0063119B">
              <w:rPr>
                <w:szCs w:val="22"/>
              </w:rPr>
              <w:t>doente</w:t>
            </w:r>
            <w:r>
              <w:rPr>
                <w:szCs w:val="22"/>
              </w:rPr>
              <w:t>s-ano</w:t>
            </w:r>
            <w:r w:rsidRPr="007E1ED7">
              <w:rPr>
                <w:szCs w:val="22"/>
                <w:vertAlign w:val="superscript"/>
              </w:rPr>
              <w:t>#</w:t>
            </w:r>
          </w:p>
        </w:tc>
        <w:tc>
          <w:tcPr>
            <w:tcW w:w="2126" w:type="dxa"/>
            <w:tcBorders>
              <w:bottom w:val="single" w:sz="4" w:space="0" w:color="auto"/>
            </w:tcBorders>
          </w:tcPr>
          <w:p w14:paraId="5D175DA9" w14:textId="77777777" w:rsidR="00BF0E6B" w:rsidRPr="0063119B" w:rsidRDefault="00BF0E6B" w:rsidP="00D753EC">
            <w:pPr>
              <w:keepNext/>
              <w:rPr>
                <w:szCs w:val="22"/>
              </w:rPr>
            </w:pPr>
            <w:r>
              <w:rPr>
                <w:szCs w:val="22"/>
              </w:rPr>
              <w:t>0</w:t>
            </w:r>
            <w:r w:rsidRPr="0063119B">
              <w:rPr>
                <w:szCs w:val="22"/>
              </w:rPr>
              <w:t>,7</w:t>
            </w:r>
            <w:r>
              <w:rPr>
                <w:szCs w:val="22"/>
              </w:rPr>
              <w:t>4</w:t>
            </w:r>
            <w:r w:rsidRPr="0063119B">
              <w:rPr>
                <w:szCs w:val="22"/>
              </w:rPr>
              <w:t xml:space="preserve"> por 100 </w:t>
            </w:r>
            <w:r w:rsidRPr="0063119B" w:rsidDel="00BF0E6B">
              <w:rPr>
                <w:szCs w:val="22"/>
              </w:rPr>
              <w:t xml:space="preserve"> </w:t>
            </w:r>
            <w:r w:rsidRPr="0063119B">
              <w:rPr>
                <w:szCs w:val="22"/>
              </w:rPr>
              <w:t>doente</w:t>
            </w:r>
            <w:r>
              <w:rPr>
                <w:szCs w:val="22"/>
              </w:rPr>
              <w:t>s-ano***</w:t>
            </w:r>
            <w:r w:rsidRPr="007E1ED7">
              <w:rPr>
                <w:szCs w:val="22"/>
                <w:vertAlign w:val="superscript"/>
              </w:rPr>
              <w:t>#</w:t>
            </w:r>
          </w:p>
        </w:tc>
      </w:tr>
      <w:tr w:rsidR="00A82450" w:rsidRPr="0063119B" w14:paraId="505A2DA4" w14:textId="77777777" w:rsidTr="00D713B4">
        <w:tc>
          <w:tcPr>
            <w:tcW w:w="7655" w:type="dxa"/>
            <w:gridSpan w:val="3"/>
            <w:tcBorders>
              <w:top w:val="single" w:sz="4" w:space="0" w:color="auto"/>
              <w:left w:val="nil"/>
              <w:bottom w:val="nil"/>
              <w:right w:val="nil"/>
            </w:tcBorders>
          </w:tcPr>
          <w:p w14:paraId="5FFBC6EE" w14:textId="77777777" w:rsidR="00A82450" w:rsidRPr="0063119B" w:rsidRDefault="00A82450" w:rsidP="00D56F59">
            <w:pPr>
              <w:keepNext/>
              <w:tabs>
                <w:tab w:val="left" w:pos="459"/>
              </w:tabs>
              <w:rPr>
                <w:szCs w:val="22"/>
              </w:rPr>
            </w:pPr>
            <w:r w:rsidRPr="0063119B">
              <w:rPr>
                <w:szCs w:val="22"/>
              </w:rPr>
              <w:t>*</w:t>
            </w:r>
            <w:r w:rsidRPr="0063119B">
              <w:rPr>
                <w:szCs w:val="22"/>
              </w:rPr>
              <w:tab/>
              <w:t>Para todos os estudos com rivaroxabano foram recolhidos, notificados e adjudicados todos o</w:t>
            </w:r>
            <w:r w:rsidR="00D56F59" w:rsidRPr="0063119B">
              <w:rPr>
                <w:szCs w:val="22"/>
              </w:rPr>
              <w:t>s acontecimentos hemorrágicos.</w:t>
            </w:r>
          </w:p>
          <w:p w14:paraId="590B7166" w14:textId="77777777" w:rsidR="00A82450" w:rsidRDefault="00D56F59" w:rsidP="001B0380">
            <w:pPr>
              <w:keepNext/>
              <w:tabs>
                <w:tab w:val="left" w:pos="459"/>
              </w:tabs>
              <w:rPr>
                <w:szCs w:val="22"/>
              </w:rPr>
            </w:pPr>
            <w:r w:rsidRPr="0063119B">
              <w:rPr>
                <w:szCs w:val="22"/>
              </w:rPr>
              <w:t>**</w:t>
            </w:r>
            <w:r w:rsidR="00A82450" w:rsidRPr="0063119B">
              <w:rPr>
                <w:szCs w:val="22"/>
              </w:rPr>
              <w:tab/>
              <w:t>No estudo COMPASS, existe uma incidência baixa de anemia dado ter sido utilizad</w:t>
            </w:r>
            <w:r w:rsidR="0037054F" w:rsidRPr="0063119B">
              <w:rPr>
                <w:szCs w:val="22"/>
              </w:rPr>
              <w:t>a</w:t>
            </w:r>
            <w:r w:rsidR="00A82450" w:rsidRPr="0063119B">
              <w:rPr>
                <w:szCs w:val="22"/>
              </w:rPr>
              <w:t xml:space="preserve"> um</w:t>
            </w:r>
            <w:r w:rsidR="0037054F" w:rsidRPr="0063119B">
              <w:rPr>
                <w:szCs w:val="22"/>
              </w:rPr>
              <w:t>a</w:t>
            </w:r>
            <w:r w:rsidR="00A82450" w:rsidRPr="0063119B">
              <w:rPr>
                <w:szCs w:val="22"/>
              </w:rPr>
              <w:t xml:space="preserve"> </w:t>
            </w:r>
            <w:r w:rsidR="0037054F" w:rsidRPr="0063119B">
              <w:rPr>
                <w:szCs w:val="22"/>
              </w:rPr>
              <w:t>abordagem</w:t>
            </w:r>
            <w:r w:rsidR="00A82450" w:rsidRPr="0063119B">
              <w:rPr>
                <w:szCs w:val="22"/>
              </w:rPr>
              <w:t xml:space="preserve"> seletiv</w:t>
            </w:r>
            <w:r w:rsidR="0037054F" w:rsidRPr="0063119B">
              <w:rPr>
                <w:szCs w:val="22"/>
              </w:rPr>
              <w:t>a</w:t>
            </w:r>
            <w:r w:rsidR="00A82450" w:rsidRPr="0063119B">
              <w:rPr>
                <w:szCs w:val="22"/>
              </w:rPr>
              <w:t xml:space="preserve"> para recolha de acontecimentos adversos</w:t>
            </w:r>
          </w:p>
          <w:p w14:paraId="270A4733" w14:textId="77777777" w:rsidR="00BF0E6B" w:rsidRPr="0063119B" w:rsidRDefault="00BF0E6B" w:rsidP="001B0380">
            <w:pPr>
              <w:keepNext/>
              <w:tabs>
                <w:tab w:val="left" w:pos="459"/>
              </w:tabs>
              <w:rPr>
                <w:szCs w:val="22"/>
              </w:rPr>
            </w:pPr>
            <w:r>
              <w:rPr>
                <w:szCs w:val="22"/>
              </w:rPr>
              <w:t>***</w:t>
            </w:r>
            <w:r w:rsidRPr="0063119B">
              <w:rPr>
                <w:szCs w:val="22"/>
              </w:rPr>
              <w:tab/>
            </w:r>
            <w:r>
              <w:rPr>
                <w:szCs w:val="22"/>
              </w:rPr>
              <w:t xml:space="preserve"> </w:t>
            </w:r>
            <w:r>
              <w:t>Aplicou-se uma abordagem seletiva para recolha de acontecimentos adversos #</w:t>
            </w:r>
            <w:r w:rsidRPr="0063119B">
              <w:rPr>
                <w:szCs w:val="22"/>
              </w:rPr>
              <w:tab/>
            </w:r>
            <w:r>
              <w:t>Do estudo VOYAGER PAD</w:t>
            </w:r>
          </w:p>
        </w:tc>
      </w:tr>
    </w:tbl>
    <w:p w14:paraId="2E95DCAC" w14:textId="77777777" w:rsidR="00337111" w:rsidRPr="0063119B" w:rsidRDefault="00337111" w:rsidP="00337111">
      <w:pPr>
        <w:rPr>
          <w:b/>
          <w:szCs w:val="22"/>
        </w:rPr>
      </w:pPr>
    </w:p>
    <w:p w14:paraId="463F8222" w14:textId="77777777" w:rsidR="00337111" w:rsidRDefault="00337111" w:rsidP="00337111">
      <w:pPr>
        <w:rPr>
          <w:szCs w:val="22"/>
          <w:u w:val="single"/>
        </w:rPr>
      </w:pPr>
      <w:r w:rsidRPr="0063119B">
        <w:rPr>
          <w:szCs w:val="22"/>
          <w:u w:val="single"/>
        </w:rPr>
        <w:t>Lista tabelada de reações adversas</w:t>
      </w:r>
    </w:p>
    <w:p w14:paraId="0D702F6A" w14:textId="77777777" w:rsidR="00BB5E91" w:rsidRPr="0063119B" w:rsidRDefault="00BB5E91" w:rsidP="00337111">
      <w:pPr>
        <w:rPr>
          <w:szCs w:val="22"/>
        </w:rPr>
      </w:pPr>
    </w:p>
    <w:p w14:paraId="23D7BFEA" w14:textId="77777777" w:rsidR="00337111" w:rsidRPr="0063119B" w:rsidRDefault="00337111" w:rsidP="00337111">
      <w:pPr>
        <w:suppressAutoHyphens/>
        <w:rPr>
          <w:szCs w:val="22"/>
        </w:rPr>
      </w:pPr>
      <w:r w:rsidRPr="0063119B">
        <w:rPr>
          <w:szCs w:val="22"/>
        </w:rPr>
        <w:t xml:space="preserve">As frequências de reações adversas notificadas com </w:t>
      </w:r>
      <w:r w:rsidR="00651577" w:rsidRPr="0063119B">
        <w:rPr>
          <w:szCs w:val="22"/>
        </w:rPr>
        <w:t>o rivaroxabano</w:t>
      </w:r>
      <w:r w:rsidR="002F5919">
        <w:rPr>
          <w:szCs w:val="22"/>
        </w:rPr>
        <w:t xml:space="preserve"> em doentes adultos e pediátricos</w:t>
      </w:r>
      <w:r w:rsidR="00651577" w:rsidRPr="0063119B">
        <w:rPr>
          <w:szCs w:val="22"/>
        </w:rPr>
        <w:t xml:space="preserve"> </w:t>
      </w:r>
      <w:r w:rsidRPr="0063119B">
        <w:rPr>
          <w:szCs w:val="22"/>
        </w:rPr>
        <w:t xml:space="preserve">estão resumidas abaixo no </w:t>
      </w:r>
      <w:r w:rsidR="00487F72" w:rsidRPr="0063119B">
        <w:rPr>
          <w:szCs w:val="22"/>
        </w:rPr>
        <w:t>Q</w:t>
      </w:r>
      <w:r w:rsidRPr="0063119B">
        <w:rPr>
          <w:szCs w:val="22"/>
        </w:rPr>
        <w:t>uadro </w:t>
      </w:r>
      <w:r w:rsidR="00240206" w:rsidRPr="0063119B">
        <w:rPr>
          <w:szCs w:val="22"/>
        </w:rPr>
        <w:t>3</w:t>
      </w:r>
      <w:r w:rsidRPr="0063119B">
        <w:rPr>
          <w:szCs w:val="22"/>
        </w:rPr>
        <w:t xml:space="preserve"> por classe de sistemas de órgãos (classificação MedDRA) e por frequência.</w:t>
      </w:r>
    </w:p>
    <w:p w14:paraId="26EA35A6" w14:textId="77777777" w:rsidR="00337111" w:rsidRPr="0063119B" w:rsidRDefault="00337111" w:rsidP="00337111">
      <w:pPr>
        <w:suppressAutoHyphens/>
        <w:rPr>
          <w:b/>
          <w:noProof/>
          <w:szCs w:val="22"/>
        </w:rPr>
      </w:pPr>
    </w:p>
    <w:p w14:paraId="0218D948" w14:textId="77777777" w:rsidR="00337111" w:rsidRPr="0063119B" w:rsidRDefault="00337111" w:rsidP="00A9161F">
      <w:pPr>
        <w:keepNext/>
        <w:keepLines/>
        <w:suppressAutoHyphens/>
        <w:jc w:val="both"/>
        <w:rPr>
          <w:noProof/>
          <w:szCs w:val="22"/>
        </w:rPr>
      </w:pPr>
      <w:r w:rsidRPr="0063119B">
        <w:rPr>
          <w:noProof/>
          <w:szCs w:val="22"/>
        </w:rPr>
        <w:t>As frequências são definidas como:</w:t>
      </w:r>
    </w:p>
    <w:p w14:paraId="0E544692" w14:textId="77777777" w:rsidR="002F13C2" w:rsidRPr="0063119B" w:rsidRDefault="002F13C2" w:rsidP="002F13C2">
      <w:pPr>
        <w:suppressAutoHyphens/>
        <w:jc w:val="both"/>
        <w:rPr>
          <w:szCs w:val="22"/>
        </w:rPr>
      </w:pPr>
      <w:r w:rsidRPr="0063119B">
        <w:rPr>
          <w:noProof/>
          <w:szCs w:val="22"/>
        </w:rPr>
        <w:t>muito frequentes (≥ 1/10</w:t>
      </w:r>
      <w:r w:rsidRPr="0063119B">
        <w:rPr>
          <w:szCs w:val="22"/>
        </w:rPr>
        <w:t xml:space="preserve">) </w:t>
      </w:r>
    </w:p>
    <w:p w14:paraId="52241759" w14:textId="77777777" w:rsidR="00337111" w:rsidRPr="0063119B" w:rsidRDefault="00337111" w:rsidP="00337111">
      <w:pPr>
        <w:suppressAutoHyphens/>
        <w:jc w:val="both"/>
        <w:rPr>
          <w:noProof/>
          <w:szCs w:val="22"/>
        </w:rPr>
      </w:pPr>
      <w:r w:rsidRPr="0063119B">
        <w:rPr>
          <w:noProof/>
          <w:szCs w:val="22"/>
        </w:rPr>
        <w:t>frequentes (≥ 1/100, &lt; 1/10)</w:t>
      </w:r>
    </w:p>
    <w:p w14:paraId="4DA086AD" w14:textId="77777777" w:rsidR="00337111" w:rsidRPr="0063119B" w:rsidRDefault="00337111" w:rsidP="00337111">
      <w:pPr>
        <w:suppressAutoHyphens/>
        <w:jc w:val="both"/>
        <w:rPr>
          <w:noProof/>
          <w:szCs w:val="22"/>
        </w:rPr>
      </w:pPr>
      <w:r w:rsidRPr="0063119B">
        <w:rPr>
          <w:noProof/>
          <w:szCs w:val="22"/>
        </w:rPr>
        <w:t>pouco frequentes (≥ 1/1.000, &lt; 1/100)</w:t>
      </w:r>
    </w:p>
    <w:p w14:paraId="225B706B" w14:textId="77777777" w:rsidR="00337111" w:rsidRPr="0063119B" w:rsidRDefault="00337111" w:rsidP="00337111">
      <w:pPr>
        <w:suppressAutoHyphens/>
        <w:jc w:val="both"/>
        <w:rPr>
          <w:noProof/>
          <w:szCs w:val="22"/>
        </w:rPr>
      </w:pPr>
      <w:r w:rsidRPr="0063119B">
        <w:rPr>
          <w:noProof/>
          <w:szCs w:val="22"/>
        </w:rPr>
        <w:t>raros (≥ 1/10.000, &lt; 1/1.000)</w:t>
      </w:r>
    </w:p>
    <w:p w14:paraId="28F47CFC" w14:textId="77777777" w:rsidR="002F13C2" w:rsidRPr="0063119B" w:rsidRDefault="002F13C2" w:rsidP="002F13C2">
      <w:pPr>
        <w:suppressAutoHyphens/>
        <w:jc w:val="both"/>
        <w:rPr>
          <w:noProof/>
          <w:szCs w:val="22"/>
        </w:rPr>
      </w:pPr>
      <w:r w:rsidRPr="0063119B">
        <w:rPr>
          <w:noProof/>
          <w:szCs w:val="22"/>
        </w:rPr>
        <w:t>muito raros (&lt; 1/10.000)</w:t>
      </w:r>
    </w:p>
    <w:p w14:paraId="466B874B" w14:textId="77777777" w:rsidR="00337111" w:rsidRPr="0063119B" w:rsidRDefault="002F13C2" w:rsidP="00337111">
      <w:pPr>
        <w:suppressAutoHyphens/>
        <w:rPr>
          <w:noProof/>
          <w:szCs w:val="22"/>
        </w:rPr>
      </w:pPr>
      <w:r w:rsidRPr="0063119B">
        <w:rPr>
          <w:noProof/>
          <w:szCs w:val="22"/>
        </w:rPr>
        <w:t>d</w:t>
      </w:r>
      <w:r w:rsidR="00337111" w:rsidRPr="0063119B">
        <w:rPr>
          <w:noProof/>
          <w:szCs w:val="22"/>
        </w:rPr>
        <w:t>esconhecido</w:t>
      </w:r>
      <w:r w:rsidRPr="0063119B">
        <w:rPr>
          <w:noProof/>
          <w:szCs w:val="22"/>
        </w:rPr>
        <w:t xml:space="preserve"> (</w:t>
      </w:r>
      <w:r w:rsidR="00337111" w:rsidRPr="0063119B">
        <w:rPr>
          <w:noProof/>
          <w:szCs w:val="22"/>
        </w:rPr>
        <w:t>não pode ser calculada a partir dos dados disponíveis</w:t>
      </w:r>
      <w:r w:rsidRPr="0063119B">
        <w:rPr>
          <w:noProof/>
          <w:szCs w:val="22"/>
        </w:rPr>
        <w:t>)</w:t>
      </w:r>
    </w:p>
    <w:p w14:paraId="2632277B" w14:textId="77777777" w:rsidR="00337111" w:rsidRPr="0063119B" w:rsidRDefault="00337111" w:rsidP="00337111">
      <w:pPr>
        <w:rPr>
          <w:b/>
          <w:szCs w:val="22"/>
        </w:rPr>
      </w:pPr>
    </w:p>
    <w:p w14:paraId="6D216E5A" w14:textId="04C6CC9E" w:rsidR="00337111" w:rsidRDefault="00337111" w:rsidP="00337111">
      <w:pPr>
        <w:rPr>
          <w:b/>
          <w:szCs w:val="22"/>
        </w:rPr>
      </w:pPr>
      <w:r w:rsidRPr="0063119B">
        <w:rPr>
          <w:b/>
          <w:szCs w:val="22"/>
        </w:rPr>
        <w:t>Quadro </w:t>
      </w:r>
      <w:r w:rsidR="00923B5E" w:rsidRPr="0063119B">
        <w:rPr>
          <w:b/>
          <w:szCs w:val="22"/>
        </w:rPr>
        <w:t>3</w:t>
      </w:r>
      <w:r w:rsidRPr="0063119B">
        <w:rPr>
          <w:b/>
          <w:szCs w:val="22"/>
        </w:rPr>
        <w:t xml:space="preserve">: </w:t>
      </w:r>
      <w:r w:rsidR="009934BB" w:rsidRPr="0063119B">
        <w:rPr>
          <w:b/>
          <w:szCs w:val="22"/>
        </w:rPr>
        <w:t xml:space="preserve">Todas as reações adversas notificadas em doentes </w:t>
      </w:r>
      <w:r w:rsidR="002F5919">
        <w:rPr>
          <w:b/>
          <w:szCs w:val="22"/>
        </w:rPr>
        <w:t xml:space="preserve">adultos </w:t>
      </w:r>
      <w:r w:rsidR="009934BB" w:rsidRPr="0063119B">
        <w:rPr>
          <w:b/>
          <w:szCs w:val="22"/>
        </w:rPr>
        <w:t xml:space="preserve">em </w:t>
      </w:r>
      <w:r w:rsidR="002F5919">
        <w:rPr>
          <w:b/>
          <w:szCs w:val="22"/>
        </w:rPr>
        <w:t>estudos</w:t>
      </w:r>
      <w:r w:rsidR="009934BB" w:rsidRPr="0063119B">
        <w:rPr>
          <w:b/>
          <w:szCs w:val="22"/>
        </w:rPr>
        <w:t xml:space="preserve"> clínicos de fase III ou por utilização pós-comercialização</w:t>
      </w:r>
      <w:r w:rsidR="00D753EC" w:rsidRPr="0063119B">
        <w:rPr>
          <w:b/>
          <w:szCs w:val="22"/>
        </w:rPr>
        <w:t>*</w:t>
      </w:r>
      <w:r w:rsidR="002F5919">
        <w:rPr>
          <w:b/>
          <w:szCs w:val="22"/>
        </w:rPr>
        <w:t xml:space="preserve"> </w:t>
      </w:r>
      <w:r w:rsidR="002F5919">
        <w:rPr>
          <w:b/>
          <w:bCs/>
          <w:szCs w:val="22"/>
        </w:rPr>
        <w:t xml:space="preserve">e em dois estudos de fase II e </w:t>
      </w:r>
      <w:r w:rsidR="00320623">
        <w:rPr>
          <w:b/>
          <w:bCs/>
          <w:szCs w:val="22"/>
        </w:rPr>
        <w:t xml:space="preserve">dois </w:t>
      </w:r>
      <w:r w:rsidR="002F5919">
        <w:rPr>
          <w:b/>
          <w:bCs/>
          <w:szCs w:val="22"/>
        </w:rPr>
        <w:t>estudo</w:t>
      </w:r>
      <w:r w:rsidR="00320623">
        <w:rPr>
          <w:b/>
          <w:bCs/>
          <w:szCs w:val="22"/>
        </w:rPr>
        <w:t>s</w:t>
      </w:r>
      <w:r w:rsidR="002F5919">
        <w:rPr>
          <w:b/>
          <w:bCs/>
          <w:szCs w:val="22"/>
        </w:rPr>
        <w:t xml:space="preserve"> de fase III em doentes pediátricos</w:t>
      </w:r>
    </w:p>
    <w:p w14:paraId="36935647" w14:textId="77777777" w:rsidR="002F5919" w:rsidRPr="0063119B" w:rsidRDefault="002F5919" w:rsidP="00337111">
      <w:pPr>
        <w:rPr>
          <w:noProof/>
          <w:szCs w:val="22"/>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1813"/>
        <w:gridCol w:w="1756"/>
        <w:gridCol w:w="1842"/>
        <w:gridCol w:w="1916"/>
      </w:tblGrid>
      <w:tr w:rsidR="009934BB" w:rsidRPr="0063119B" w14:paraId="6853B552" w14:textId="77777777" w:rsidTr="006A13A4">
        <w:trPr>
          <w:tblHeader/>
        </w:trPr>
        <w:tc>
          <w:tcPr>
            <w:tcW w:w="1950" w:type="dxa"/>
          </w:tcPr>
          <w:p w14:paraId="4D61A4B4" w14:textId="77777777" w:rsidR="009934BB" w:rsidRPr="0063119B" w:rsidRDefault="009934BB" w:rsidP="0044301C">
            <w:pPr>
              <w:suppressAutoHyphens/>
              <w:rPr>
                <w:b/>
                <w:noProof/>
                <w:szCs w:val="22"/>
              </w:rPr>
            </w:pPr>
            <w:r w:rsidRPr="0063119B">
              <w:rPr>
                <w:b/>
                <w:noProof/>
                <w:szCs w:val="22"/>
              </w:rPr>
              <w:t>Frequentes</w:t>
            </w:r>
          </w:p>
          <w:p w14:paraId="35F86F19" w14:textId="77777777" w:rsidR="009934BB" w:rsidRPr="0063119B" w:rsidRDefault="009934BB" w:rsidP="0044301C">
            <w:pPr>
              <w:suppressAutoHyphens/>
              <w:rPr>
                <w:noProof/>
                <w:szCs w:val="22"/>
              </w:rPr>
            </w:pPr>
          </w:p>
        </w:tc>
        <w:tc>
          <w:tcPr>
            <w:tcW w:w="1812" w:type="dxa"/>
          </w:tcPr>
          <w:p w14:paraId="16CAE687" w14:textId="77777777" w:rsidR="009934BB" w:rsidRPr="0063119B" w:rsidRDefault="009934BB" w:rsidP="0044301C">
            <w:pPr>
              <w:suppressAutoHyphens/>
              <w:rPr>
                <w:b/>
                <w:noProof/>
                <w:szCs w:val="22"/>
              </w:rPr>
            </w:pPr>
            <w:r w:rsidRPr="0063119B">
              <w:rPr>
                <w:b/>
                <w:noProof/>
                <w:szCs w:val="22"/>
              </w:rPr>
              <w:t>Pouco frequentes</w:t>
            </w:r>
          </w:p>
          <w:p w14:paraId="00FA97B9" w14:textId="77777777" w:rsidR="009934BB" w:rsidRPr="0063119B" w:rsidRDefault="009934BB" w:rsidP="0044301C">
            <w:pPr>
              <w:suppressAutoHyphens/>
              <w:rPr>
                <w:noProof/>
                <w:szCs w:val="22"/>
              </w:rPr>
            </w:pPr>
          </w:p>
        </w:tc>
        <w:tc>
          <w:tcPr>
            <w:tcW w:w="1756" w:type="dxa"/>
          </w:tcPr>
          <w:p w14:paraId="289B3D0B" w14:textId="77777777" w:rsidR="009934BB" w:rsidRPr="0063119B" w:rsidRDefault="009934BB" w:rsidP="0044301C">
            <w:pPr>
              <w:suppressAutoHyphens/>
              <w:rPr>
                <w:b/>
                <w:noProof/>
                <w:szCs w:val="22"/>
              </w:rPr>
            </w:pPr>
            <w:r w:rsidRPr="0063119B">
              <w:rPr>
                <w:b/>
                <w:noProof/>
                <w:szCs w:val="22"/>
              </w:rPr>
              <w:t>Raros</w:t>
            </w:r>
          </w:p>
          <w:p w14:paraId="6681A89C" w14:textId="77777777" w:rsidR="009934BB" w:rsidRPr="0063119B" w:rsidRDefault="009934BB" w:rsidP="0044301C">
            <w:pPr>
              <w:suppressAutoHyphens/>
              <w:rPr>
                <w:noProof/>
                <w:szCs w:val="22"/>
              </w:rPr>
            </w:pPr>
          </w:p>
        </w:tc>
        <w:tc>
          <w:tcPr>
            <w:tcW w:w="1842" w:type="dxa"/>
          </w:tcPr>
          <w:p w14:paraId="172E574E" w14:textId="77777777" w:rsidR="009934BB" w:rsidRPr="0063119B" w:rsidRDefault="009934BB" w:rsidP="0044301C">
            <w:pPr>
              <w:suppressAutoHyphens/>
              <w:rPr>
                <w:b/>
                <w:noProof/>
                <w:szCs w:val="22"/>
              </w:rPr>
            </w:pPr>
            <w:r w:rsidRPr="0063119B">
              <w:rPr>
                <w:b/>
                <w:noProof/>
                <w:szCs w:val="22"/>
              </w:rPr>
              <w:t>Muito raros</w:t>
            </w:r>
          </w:p>
        </w:tc>
        <w:tc>
          <w:tcPr>
            <w:tcW w:w="1916" w:type="dxa"/>
          </w:tcPr>
          <w:p w14:paraId="67D81969" w14:textId="77777777" w:rsidR="009934BB" w:rsidRPr="0063119B" w:rsidRDefault="009934BB" w:rsidP="0044301C">
            <w:pPr>
              <w:suppressAutoHyphens/>
              <w:rPr>
                <w:b/>
                <w:noProof/>
                <w:szCs w:val="22"/>
                <w:vertAlign w:val="superscript"/>
              </w:rPr>
            </w:pPr>
            <w:r w:rsidRPr="0063119B">
              <w:rPr>
                <w:b/>
                <w:noProof/>
                <w:szCs w:val="22"/>
              </w:rPr>
              <w:t>Desconhecido</w:t>
            </w:r>
          </w:p>
        </w:tc>
      </w:tr>
      <w:tr w:rsidR="009934BB" w:rsidRPr="0063119B" w14:paraId="06A5434E" w14:textId="77777777" w:rsidTr="00D733A1">
        <w:tc>
          <w:tcPr>
            <w:tcW w:w="5583" w:type="dxa"/>
            <w:gridSpan w:val="3"/>
          </w:tcPr>
          <w:p w14:paraId="6E60055F" w14:textId="77777777" w:rsidR="009934BB" w:rsidRPr="0063119B" w:rsidRDefault="009934BB" w:rsidP="0044301C">
            <w:pPr>
              <w:suppressAutoHyphens/>
              <w:rPr>
                <w:b/>
                <w:noProof/>
                <w:szCs w:val="22"/>
              </w:rPr>
            </w:pPr>
            <w:r w:rsidRPr="0063119B">
              <w:rPr>
                <w:b/>
                <w:noProof/>
                <w:szCs w:val="22"/>
              </w:rPr>
              <w:t>Doenças do sangue e do sistema linfático</w:t>
            </w:r>
          </w:p>
        </w:tc>
        <w:tc>
          <w:tcPr>
            <w:tcW w:w="1755" w:type="dxa"/>
          </w:tcPr>
          <w:p w14:paraId="74BAEDA4" w14:textId="77777777" w:rsidR="009934BB" w:rsidRPr="0063119B" w:rsidRDefault="009934BB" w:rsidP="0044301C">
            <w:pPr>
              <w:suppressAutoHyphens/>
              <w:rPr>
                <w:b/>
                <w:noProof/>
                <w:szCs w:val="22"/>
              </w:rPr>
            </w:pPr>
          </w:p>
        </w:tc>
        <w:tc>
          <w:tcPr>
            <w:tcW w:w="1938" w:type="dxa"/>
          </w:tcPr>
          <w:p w14:paraId="423BAE94" w14:textId="77777777" w:rsidR="009934BB" w:rsidRPr="0063119B" w:rsidRDefault="009934BB" w:rsidP="0044301C">
            <w:pPr>
              <w:suppressAutoHyphens/>
              <w:rPr>
                <w:b/>
                <w:noProof/>
                <w:szCs w:val="22"/>
              </w:rPr>
            </w:pPr>
          </w:p>
        </w:tc>
      </w:tr>
      <w:tr w:rsidR="009934BB" w:rsidRPr="0063119B" w14:paraId="4CA86647" w14:textId="77777777" w:rsidTr="00D733A1">
        <w:tc>
          <w:tcPr>
            <w:tcW w:w="1991" w:type="dxa"/>
          </w:tcPr>
          <w:p w14:paraId="0D13AB28" w14:textId="77777777" w:rsidR="009934BB" w:rsidRPr="0063119B" w:rsidRDefault="009934BB" w:rsidP="0044301C">
            <w:pPr>
              <w:suppressAutoHyphens/>
              <w:rPr>
                <w:b/>
                <w:noProof/>
                <w:szCs w:val="22"/>
              </w:rPr>
            </w:pPr>
            <w:r w:rsidRPr="0063119B">
              <w:rPr>
                <w:noProof/>
                <w:szCs w:val="22"/>
              </w:rPr>
              <w:t>Anemia (incl. parâmetros laboratoriais respetivos)</w:t>
            </w:r>
          </w:p>
        </w:tc>
        <w:tc>
          <w:tcPr>
            <w:tcW w:w="1836" w:type="dxa"/>
          </w:tcPr>
          <w:p w14:paraId="4699CA43" w14:textId="77777777" w:rsidR="009934BB" w:rsidRPr="0063119B" w:rsidRDefault="009934BB" w:rsidP="008E7EA4">
            <w:pPr>
              <w:suppressAutoHyphens/>
              <w:rPr>
                <w:noProof/>
                <w:szCs w:val="22"/>
              </w:rPr>
            </w:pPr>
            <w:r w:rsidRPr="0063119B">
              <w:rPr>
                <w:noProof/>
                <w:szCs w:val="22"/>
              </w:rPr>
              <w:t>Trombocitose (incl. aumento da contagem de plaquetas)</w:t>
            </w:r>
            <w:r w:rsidRPr="0063119B">
              <w:rPr>
                <w:noProof/>
                <w:szCs w:val="22"/>
                <w:vertAlign w:val="superscript"/>
              </w:rPr>
              <w:t>A</w:t>
            </w:r>
            <w:r w:rsidRPr="0063119B">
              <w:rPr>
                <w:noProof/>
                <w:szCs w:val="22"/>
              </w:rPr>
              <w:t>,</w:t>
            </w:r>
          </w:p>
          <w:p w14:paraId="14F1570A" w14:textId="77777777" w:rsidR="009934BB" w:rsidRPr="0063119B" w:rsidRDefault="009934BB" w:rsidP="008E7EA4">
            <w:pPr>
              <w:suppressAutoHyphens/>
              <w:rPr>
                <w:b/>
                <w:noProof/>
                <w:szCs w:val="22"/>
              </w:rPr>
            </w:pPr>
            <w:r w:rsidRPr="0063119B">
              <w:rPr>
                <w:noProof/>
                <w:szCs w:val="22"/>
              </w:rPr>
              <w:t>Trombocitopenia</w:t>
            </w:r>
          </w:p>
        </w:tc>
        <w:tc>
          <w:tcPr>
            <w:tcW w:w="1756" w:type="dxa"/>
          </w:tcPr>
          <w:p w14:paraId="09A4E74A" w14:textId="77777777" w:rsidR="009934BB" w:rsidRPr="0063119B" w:rsidRDefault="009934BB" w:rsidP="0044301C">
            <w:pPr>
              <w:suppressAutoHyphens/>
              <w:rPr>
                <w:b/>
                <w:noProof/>
                <w:szCs w:val="22"/>
              </w:rPr>
            </w:pPr>
          </w:p>
        </w:tc>
        <w:tc>
          <w:tcPr>
            <w:tcW w:w="1755" w:type="dxa"/>
          </w:tcPr>
          <w:p w14:paraId="1649AE65" w14:textId="77777777" w:rsidR="009934BB" w:rsidRPr="0063119B" w:rsidRDefault="009934BB" w:rsidP="0044301C">
            <w:pPr>
              <w:suppressAutoHyphens/>
              <w:rPr>
                <w:b/>
                <w:noProof/>
                <w:szCs w:val="22"/>
              </w:rPr>
            </w:pPr>
          </w:p>
        </w:tc>
        <w:tc>
          <w:tcPr>
            <w:tcW w:w="1938" w:type="dxa"/>
          </w:tcPr>
          <w:p w14:paraId="23B40820" w14:textId="77777777" w:rsidR="009934BB" w:rsidRPr="0063119B" w:rsidRDefault="009934BB" w:rsidP="0044301C">
            <w:pPr>
              <w:suppressAutoHyphens/>
              <w:rPr>
                <w:b/>
                <w:noProof/>
                <w:szCs w:val="22"/>
              </w:rPr>
            </w:pPr>
          </w:p>
        </w:tc>
      </w:tr>
      <w:tr w:rsidR="009934BB" w:rsidRPr="0063119B" w14:paraId="0EA86F9C" w14:textId="77777777" w:rsidTr="00D733A1">
        <w:tc>
          <w:tcPr>
            <w:tcW w:w="5583" w:type="dxa"/>
            <w:gridSpan w:val="3"/>
          </w:tcPr>
          <w:p w14:paraId="73688389" w14:textId="77777777" w:rsidR="009934BB" w:rsidRPr="0063119B" w:rsidRDefault="009934BB" w:rsidP="0044301C">
            <w:pPr>
              <w:suppressAutoHyphens/>
              <w:rPr>
                <w:b/>
                <w:noProof/>
                <w:szCs w:val="22"/>
              </w:rPr>
            </w:pPr>
            <w:r w:rsidRPr="0063119B">
              <w:rPr>
                <w:b/>
                <w:noProof/>
                <w:szCs w:val="22"/>
              </w:rPr>
              <w:t>Doenças do sistema imunitário</w:t>
            </w:r>
          </w:p>
        </w:tc>
        <w:tc>
          <w:tcPr>
            <w:tcW w:w="1755" w:type="dxa"/>
          </w:tcPr>
          <w:p w14:paraId="0B8B257E" w14:textId="77777777" w:rsidR="009934BB" w:rsidRPr="0063119B" w:rsidRDefault="009934BB" w:rsidP="0044301C">
            <w:pPr>
              <w:suppressAutoHyphens/>
              <w:rPr>
                <w:b/>
                <w:noProof/>
                <w:szCs w:val="22"/>
              </w:rPr>
            </w:pPr>
          </w:p>
        </w:tc>
        <w:tc>
          <w:tcPr>
            <w:tcW w:w="1938" w:type="dxa"/>
          </w:tcPr>
          <w:p w14:paraId="742A1D06" w14:textId="77777777" w:rsidR="009934BB" w:rsidRPr="0063119B" w:rsidRDefault="009934BB" w:rsidP="0044301C">
            <w:pPr>
              <w:suppressAutoHyphens/>
              <w:rPr>
                <w:b/>
                <w:noProof/>
                <w:szCs w:val="22"/>
              </w:rPr>
            </w:pPr>
          </w:p>
        </w:tc>
      </w:tr>
      <w:tr w:rsidR="009934BB" w:rsidRPr="0063119B" w14:paraId="6B823A30" w14:textId="77777777" w:rsidTr="00D733A1">
        <w:tc>
          <w:tcPr>
            <w:tcW w:w="1991" w:type="dxa"/>
          </w:tcPr>
          <w:p w14:paraId="6ECE7408" w14:textId="77777777" w:rsidR="009934BB" w:rsidRPr="0063119B" w:rsidRDefault="009934BB" w:rsidP="0044301C">
            <w:pPr>
              <w:suppressAutoHyphens/>
              <w:rPr>
                <w:b/>
                <w:noProof/>
                <w:szCs w:val="22"/>
              </w:rPr>
            </w:pPr>
          </w:p>
        </w:tc>
        <w:tc>
          <w:tcPr>
            <w:tcW w:w="1836" w:type="dxa"/>
          </w:tcPr>
          <w:p w14:paraId="0146583D" w14:textId="77777777" w:rsidR="009934BB" w:rsidRPr="0063119B" w:rsidRDefault="009934BB" w:rsidP="0044301C">
            <w:pPr>
              <w:suppressAutoHyphens/>
              <w:rPr>
                <w:noProof/>
                <w:szCs w:val="22"/>
              </w:rPr>
            </w:pPr>
            <w:r w:rsidRPr="0063119B">
              <w:rPr>
                <w:noProof/>
                <w:szCs w:val="22"/>
              </w:rPr>
              <w:t>Reação alérgica, dermatite alérgica,</w:t>
            </w:r>
          </w:p>
          <w:p w14:paraId="02B3BD0F" w14:textId="77777777" w:rsidR="009934BB" w:rsidRPr="0063119B" w:rsidRDefault="009934BB" w:rsidP="0044301C">
            <w:pPr>
              <w:suppressAutoHyphens/>
              <w:rPr>
                <w:b/>
                <w:noProof/>
                <w:szCs w:val="22"/>
              </w:rPr>
            </w:pPr>
            <w:r w:rsidRPr="0063119B">
              <w:rPr>
                <w:noProof/>
                <w:szCs w:val="22"/>
              </w:rPr>
              <w:t>Angiodema e edema alérgico</w:t>
            </w:r>
          </w:p>
        </w:tc>
        <w:tc>
          <w:tcPr>
            <w:tcW w:w="1756" w:type="dxa"/>
          </w:tcPr>
          <w:p w14:paraId="446891F6" w14:textId="77777777" w:rsidR="009934BB" w:rsidRPr="0063119B" w:rsidRDefault="009934BB" w:rsidP="0044301C">
            <w:pPr>
              <w:suppressAutoHyphens/>
              <w:rPr>
                <w:b/>
                <w:noProof/>
                <w:szCs w:val="22"/>
              </w:rPr>
            </w:pPr>
          </w:p>
        </w:tc>
        <w:tc>
          <w:tcPr>
            <w:tcW w:w="1755" w:type="dxa"/>
          </w:tcPr>
          <w:p w14:paraId="7AB46177" w14:textId="77777777" w:rsidR="009934BB" w:rsidRPr="0063119B" w:rsidRDefault="009934BB" w:rsidP="0044301C">
            <w:pPr>
              <w:suppressAutoHyphens/>
              <w:rPr>
                <w:b/>
                <w:noProof/>
                <w:szCs w:val="22"/>
              </w:rPr>
            </w:pPr>
            <w:r w:rsidRPr="0063119B">
              <w:rPr>
                <w:szCs w:val="22"/>
              </w:rPr>
              <w:t>Reações anafiláticas, incluindo choque anafilático</w:t>
            </w:r>
          </w:p>
        </w:tc>
        <w:tc>
          <w:tcPr>
            <w:tcW w:w="1938" w:type="dxa"/>
          </w:tcPr>
          <w:p w14:paraId="750C14AD" w14:textId="77777777" w:rsidR="009934BB" w:rsidRPr="0063119B" w:rsidRDefault="009934BB" w:rsidP="0044301C">
            <w:pPr>
              <w:suppressAutoHyphens/>
              <w:rPr>
                <w:b/>
                <w:noProof/>
                <w:szCs w:val="22"/>
              </w:rPr>
            </w:pPr>
          </w:p>
        </w:tc>
      </w:tr>
      <w:tr w:rsidR="009934BB" w:rsidRPr="0063119B" w14:paraId="41B6D24B" w14:textId="77777777" w:rsidTr="00D733A1">
        <w:tc>
          <w:tcPr>
            <w:tcW w:w="5583" w:type="dxa"/>
            <w:gridSpan w:val="3"/>
          </w:tcPr>
          <w:p w14:paraId="7DFF41B0" w14:textId="77777777" w:rsidR="009934BB" w:rsidRPr="0063119B" w:rsidRDefault="009934BB" w:rsidP="0044301C">
            <w:pPr>
              <w:suppressAutoHyphens/>
              <w:rPr>
                <w:noProof/>
                <w:szCs w:val="22"/>
              </w:rPr>
            </w:pPr>
            <w:r w:rsidRPr="0063119B">
              <w:rPr>
                <w:b/>
                <w:noProof/>
                <w:szCs w:val="22"/>
              </w:rPr>
              <w:t>Doenças do sistema nervoso</w:t>
            </w:r>
          </w:p>
        </w:tc>
        <w:tc>
          <w:tcPr>
            <w:tcW w:w="1755" w:type="dxa"/>
          </w:tcPr>
          <w:p w14:paraId="4487FFB0" w14:textId="77777777" w:rsidR="009934BB" w:rsidRPr="0063119B" w:rsidRDefault="009934BB" w:rsidP="0044301C">
            <w:pPr>
              <w:suppressAutoHyphens/>
              <w:rPr>
                <w:noProof/>
                <w:szCs w:val="22"/>
              </w:rPr>
            </w:pPr>
          </w:p>
        </w:tc>
        <w:tc>
          <w:tcPr>
            <w:tcW w:w="1938" w:type="dxa"/>
          </w:tcPr>
          <w:p w14:paraId="3068DB6E" w14:textId="77777777" w:rsidR="009934BB" w:rsidRPr="0063119B" w:rsidRDefault="009934BB" w:rsidP="0044301C">
            <w:pPr>
              <w:suppressAutoHyphens/>
              <w:rPr>
                <w:noProof/>
                <w:szCs w:val="22"/>
              </w:rPr>
            </w:pPr>
          </w:p>
        </w:tc>
      </w:tr>
      <w:tr w:rsidR="009934BB" w:rsidRPr="0063119B" w14:paraId="2A118A1E" w14:textId="77777777" w:rsidTr="00D733A1">
        <w:tc>
          <w:tcPr>
            <w:tcW w:w="1991" w:type="dxa"/>
          </w:tcPr>
          <w:p w14:paraId="1DAE5E17" w14:textId="77777777" w:rsidR="009934BB" w:rsidRPr="0063119B" w:rsidRDefault="009934BB" w:rsidP="0044301C">
            <w:pPr>
              <w:suppressAutoHyphens/>
              <w:rPr>
                <w:b/>
                <w:noProof/>
                <w:szCs w:val="22"/>
              </w:rPr>
            </w:pPr>
            <w:r w:rsidRPr="0063119B">
              <w:rPr>
                <w:noProof/>
                <w:szCs w:val="22"/>
              </w:rPr>
              <w:t>Tonturas, cefaleias</w:t>
            </w:r>
          </w:p>
        </w:tc>
        <w:tc>
          <w:tcPr>
            <w:tcW w:w="1836" w:type="dxa"/>
          </w:tcPr>
          <w:p w14:paraId="455C5FD6" w14:textId="77777777" w:rsidR="009934BB" w:rsidRPr="0063119B" w:rsidRDefault="009934BB" w:rsidP="0044301C">
            <w:pPr>
              <w:suppressAutoHyphens/>
              <w:rPr>
                <w:b/>
                <w:noProof/>
                <w:szCs w:val="22"/>
              </w:rPr>
            </w:pPr>
            <w:r w:rsidRPr="0063119B">
              <w:rPr>
                <w:noProof/>
                <w:szCs w:val="22"/>
              </w:rPr>
              <w:t>Hemorragia cerebral e intracraniana, síncope</w:t>
            </w:r>
          </w:p>
        </w:tc>
        <w:tc>
          <w:tcPr>
            <w:tcW w:w="1756" w:type="dxa"/>
          </w:tcPr>
          <w:p w14:paraId="03D57986" w14:textId="77777777" w:rsidR="009934BB" w:rsidRPr="0063119B" w:rsidRDefault="009934BB" w:rsidP="0044301C">
            <w:pPr>
              <w:suppressAutoHyphens/>
              <w:rPr>
                <w:noProof/>
                <w:szCs w:val="22"/>
              </w:rPr>
            </w:pPr>
          </w:p>
        </w:tc>
        <w:tc>
          <w:tcPr>
            <w:tcW w:w="1755" w:type="dxa"/>
          </w:tcPr>
          <w:p w14:paraId="2FA3C8EC" w14:textId="77777777" w:rsidR="009934BB" w:rsidRPr="0063119B" w:rsidRDefault="009934BB" w:rsidP="0044301C">
            <w:pPr>
              <w:suppressAutoHyphens/>
              <w:rPr>
                <w:noProof/>
                <w:szCs w:val="22"/>
              </w:rPr>
            </w:pPr>
          </w:p>
        </w:tc>
        <w:tc>
          <w:tcPr>
            <w:tcW w:w="1938" w:type="dxa"/>
          </w:tcPr>
          <w:p w14:paraId="395FC4E6" w14:textId="77777777" w:rsidR="009934BB" w:rsidRPr="0063119B" w:rsidRDefault="009934BB" w:rsidP="0044301C">
            <w:pPr>
              <w:suppressAutoHyphens/>
              <w:rPr>
                <w:noProof/>
                <w:szCs w:val="22"/>
              </w:rPr>
            </w:pPr>
          </w:p>
        </w:tc>
      </w:tr>
      <w:tr w:rsidR="009934BB" w:rsidRPr="0063119B" w14:paraId="6FC0E949" w14:textId="77777777" w:rsidTr="009934BB">
        <w:tc>
          <w:tcPr>
            <w:tcW w:w="9276" w:type="dxa"/>
            <w:gridSpan w:val="5"/>
          </w:tcPr>
          <w:p w14:paraId="7DEC5D36" w14:textId="77777777" w:rsidR="009934BB" w:rsidRPr="0063119B" w:rsidRDefault="009934BB" w:rsidP="0044301C">
            <w:pPr>
              <w:suppressAutoHyphens/>
              <w:rPr>
                <w:b/>
                <w:noProof/>
                <w:szCs w:val="22"/>
              </w:rPr>
            </w:pPr>
            <w:r w:rsidRPr="0063119B">
              <w:rPr>
                <w:b/>
                <w:noProof/>
                <w:szCs w:val="22"/>
              </w:rPr>
              <w:lastRenderedPageBreak/>
              <w:t>Afeções oculares</w:t>
            </w:r>
          </w:p>
        </w:tc>
      </w:tr>
      <w:tr w:rsidR="009934BB" w:rsidRPr="0063119B" w14:paraId="28C4195C" w14:textId="77777777" w:rsidTr="00D733A1">
        <w:tc>
          <w:tcPr>
            <w:tcW w:w="1991" w:type="dxa"/>
          </w:tcPr>
          <w:p w14:paraId="56C27B59" w14:textId="77777777" w:rsidR="009934BB" w:rsidRPr="0063119B" w:rsidRDefault="009934BB" w:rsidP="0044301C">
            <w:pPr>
              <w:suppressAutoHyphens/>
              <w:rPr>
                <w:noProof/>
                <w:szCs w:val="22"/>
              </w:rPr>
            </w:pPr>
            <w:r w:rsidRPr="0063119B">
              <w:rPr>
                <w:noProof/>
                <w:szCs w:val="22"/>
              </w:rPr>
              <w:t>Hemorragia ocular (incl. hemorragia conjuntival)</w:t>
            </w:r>
          </w:p>
        </w:tc>
        <w:tc>
          <w:tcPr>
            <w:tcW w:w="1836" w:type="dxa"/>
          </w:tcPr>
          <w:p w14:paraId="7E02D979" w14:textId="77777777" w:rsidR="009934BB" w:rsidRPr="0063119B" w:rsidRDefault="009934BB" w:rsidP="0044301C">
            <w:pPr>
              <w:suppressAutoHyphens/>
              <w:rPr>
                <w:b/>
                <w:noProof/>
                <w:szCs w:val="22"/>
              </w:rPr>
            </w:pPr>
          </w:p>
        </w:tc>
        <w:tc>
          <w:tcPr>
            <w:tcW w:w="1756" w:type="dxa"/>
          </w:tcPr>
          <w:p w14:paraId="4E5DF67C" w14:textId="77777777" w:rsidR="009934BB" w:rsidRPr="0063119B" w:rsidRDefault="009934BB" w:rsidP="0044301C">
            <w:pPr>
              <w:suppressAutoHyphens/>
              <w:rPr>
                <w:b/>
                <w:noProof/>
                <w:szCs w:val="22"/>
              </w:rPr>
            </w:pPr>
          </w:p>
        </w:tc>
        <w:tc>
          <w:tcPr>
            <w:tcW w:w="1755" w:type="dxa"/>
          </w:tcPr>
          <w:p w14:paraId="05C5D2E2" w14:textId="77777777" w:rsidR="009934BB" w:rsidRPr="0063119B" w:rsidRDefault="009934BB" w:rsidP="0044301C">
            <w:pPr>
              <w:suppressAutoHyphens/>
              <w:rPr>
                <w:b/>
                <w:noProof/>
                <w:szCs w:val="22"/>
              </w:rPr>
            </w:pPr>
          </w:p>
        </w:tc>
        <w:tc>
          <w:tcPr>
            <w:tcW w:w="1938" w:type="dxa"/>
          </w:tcPr>
          <w:p w14:paraId="1137E7CB" w14:textId="77777777" w:rsidR="009934BB" w:rsidRPr="0063119B" w:rsidRDefault="009934BB" w:rsidP="0044301C">
            <w:pPr>
              <w:suppressAutoHyphens/>
              <w:rPr>
                <w:b/>
                <w:noProof/>
                <w:szCs w:val="22"/>
              </w:rPr>
            </w:pPr>
          </w:p>
        </w:tc>
      </w:tr>
      <w:tr w:rsidR="009934BB" w:rsidRPr="0063119B" w14:paraId="3F0786C5" w14:textId="77777777" w:rsidTr="00D733A1">
        <w:tc>
          <w:tcPr>
            <w:tcW w:w="5583" w:type="dxa"/>
            <w:gridSpan w:val="3"/>
          </w:tcPr>
          <w:p w14:paraId="060DA442" w14:textId="77777777" w:rsidR="009934BB" w:rsidRPr="0063119B" w:rsidRDefault="009934BB" w:rsidP="0044301C">
            <w:pPr>
              <w:suppressAutoHyphens/>
              <w:rPr>
                <w:b/>
                <w:noProof/>
                <w:szCs w:val="22"/>
              </w:rPr>
            </w:pPr>
            <w:r w:rsidRPr="0063119B">
              <w:rPr>
                <w:b/>
                <w:noProof/>
                <w:szCs w:val="22"/>
              </w:rPr>
              <w:t>Cardiopatias</w:t>
            </w:r>
          </w:p>
        </w:tc>
        <w:tc>
          <w:tcPr>
            <w:tcW w:w="1755" w:type="dxa"/>
          </w:tcPr>
          <w:p w14:paraId="5463368A" w14:textId="77777777" w:rsidR="009934BB" w:rsidRPr="0063119B" w:rsidRDefault="009934BB" w:rsidP="0044301C">
            <w:pPr>
              <w:suppressAutoHyphens/>
              <w:rPr>
                <w:b/>
                <w:noProof/>
                <w:szCs w:val="22"/>
              </w:rPr>
            </w:pPr>
          </w:p>
        </w:tc>
        <w:tc>
          <w:tcPr>
            <w:tcW w:w="1938" w:type="dxa"/>
          </w:tcPr>
          <w:p w14:paraId="7D303FAB" w14:textId="77777777" w:rsidR="009934BB" w:rsidRPr="0063119B" w:rsidRDefault="009934BB" w:rsidP="0044301C">
            <w:pPr>
              <w:suppressAutoHyphens/>
              <w:rPr>
                <w:b/>
                <w:noProof/>
                <w:szCs w:val="22"/>
              </w:rPr>
            </w:pPr>
          </w:p>
        </w:tc>
      </w:tr>
      <w:tr w:rsidR="009934BB" w:rsidRPr="0063119B" w14:paraId="3282155D" w14:textId="77777777" w:rsidTr="00D733A1">
        <w:tc>
          <w:tcPr>
            <w:tcW w:w="1991" w:type="dxa"/>
          </w:tcPr>
          <w:p w14:paraId="1ECA12F4" w14:textId="77777777" w:rsidR="009934BB" w:rsidRPr="0063119B" w:rsidRDefault="009934BB" w:rsidP="0044301C">
            <w:pPr>
              <w:suppressAutoHyphens/>
              <w:rPr>
                <w:noProof/>
                <w:szCs w:val="22"/>
              </w:rPr>
            </w:pPr>
          </w:p>
        </w:tc>
        <w:tc>
          <w:tcPr>
            <w:tcW w:w="1836" w:type="dxa"/>
          </w:tcPr>
          <w:p w14:paraId="4945D6E2" w14:textId="77777777" w:rsidR="009934BB" w:rsidRPr="0063119B" w:rsidRDefault="009934BB" w:rsidP="0044301C">
            <w:pPr>
              <w:suppressAutoHyphens/>
              <w:rPr>
                <w:noProof/>
                <w:szCs w:val="22"/>
              </w:rPr>
            </w:pPr>
            <w:r w:rsidRPr="0063119B">
              <w:rPr>
                <w:noProof/>
                <w:szCs w:val="22"/>
              </w:rPr>
              <w:t>Taquicardia</w:t>
            </w:r>
          </w:p>
        </w:tc>
        <w:tc>
          <w:tcPr>
            <w:tcW w:w="1756" w:type="dxa"/>
          </w:tcPr>
          <w:p w14:paraId="17517771" w14:textId="77777777" w:rsidR="009934BB" w:rsidRPr="0063119B" w:rsidRDefault="009934BB" w:rsidP="0044301C">
            <w:pPr>
              <w:suppressAutoHyphens/>
              <w:rPr>
                <w:noProof/>
                <w:szCs w:val="22"/>
              </w:rPr>
            </w:pPr>
          </w:p>
        </w:tc>
        <w:tc>
          <w:tcPr>
            <w:tcW w:w="1755" w:type="dxa"/>
          </w:tcPr>
          <w:p w14:paraId="2B5FEDA3" w14:textId="77777777" w:rsidR="009934BB" w:rsidRPr="0063119B" w:rsidRDefault="009934BB" w:rsidP="0044301C">
            <w:pPr>
              <w:suppressAutoHyphens/>
              <w:rPr>
                <w:noProof/>
                <w:szCs w:val="22"/>
              </w:rPr>
            </w:pPr>
          </w:p>
        </w:tc>
        <w:tc>
          <w:tcPr>
            <w:tcW w:w="1938" w:type="dxa"/>
          </w:tcPr>
          <w:p w14:paraId="1A2C59EA" w14:textId="77777777" w:rsidR="009934BB" w:rsidRPr="0063119B" w:rsidRDefault="009934BB" w:rsidP="0044301C">
            <w:pPr>
              <w:suppressAutoHyphens/>
              <w:rPr>
                <w:noProof/>
                <w:szCs w:val="22"/>
              </w:rPr>
            </w:pPr>
          </w:p>
        </w:tc>
      </w:tr>
      <w:tr w:rsidR="009934BB" w:rsidRPr="0063119B" w14:paraId="55BDBBA3" w14:textId="77777777" w:rsidTr="00D733A1">
        <w:tc>
          <w:tcPr>
            <w:tcW w:w="5583" w:type="dxa"/>
            <w:gridSpan w:val="3"/>
          </w:tcPr>
          <w:p w14:paraId="437A62D5" w14:textId="77777777" w:rsidR="009934BB" w:rsidRPr="0063119B" w:rsidRDefault="009934BB" w:rsidP="0044301C">
            <w:pPr>
              <w:suppressAutoHyphens/>
              <w:rPr>
                <w:b/>
                <w:noProof/>
                <w:szCs w:val="22"/>
              </w:rPr>
            </w:pPr>
            <w:r w:rsidRPr="0063119B">
              <w:rPr>
                <w:b/>
                <w:noProof/>
                <w:szCs w:val="22"/>
              </w:rPr>
              <w:t>Vasculopatias</w:t>
            </w:r>
          </w:p>
        </w:tc>
        <w:tc>
          <w:tcPr>
            <w:tcW w:w="1755" w:type="dxa"/>
          </w:tcPr>
          <w:p w14:paraId="492E5B3F" w14:textId="77777777" w:rsidR="009934BB" w:rsidRPr="0063119B" w:rsidRDefault="009934BB" w:rsidP="0044301C">
            <w:pPr>
              <w:suppressAutoHyphens/>
              <w:rPr>
                <w:b/>
                <w:noProof/>
                <w:szCs w:val="22"/>
              </w:rPr>
            </w:pPr>
          </w:p>
        </w:tc>
        <w:tc>
          <w:tcPr>
            <w:tcW w:w="1938" w:type="dxa"/>
          </w:tcPr>
          <w:p w14:paraId="126F5FDF" w14:textId="77777777" w:rsidR="009934BB" w:rsidRPr="0063119B" w:rsidRDefault="009934BB" w:rsidP="0044301C">
            <w:pPr>
              <w:suppressAutoHyphens/>
              <w:rPr>
                <w:b/>
                <w:noProof/>
                <w:szCs w:val="22"/>
              </w:rPr>
            </w:pPr>
          </w:p>
        </w:tc>
      </w:tr>
      <w:tr w:rsidR="009934BB" w:rsidRPr="0063119B" w14:paraId="60A75DA7" w14:textId="77777777" w:rsidTr="00D733A1">
        <w:tc>
          <w:tcPr>
            <w:tcW w:w="1991" w:type="dxa"/>
          </w:tcPr>
          <w:p w14:paraId="6AD43CF2" w14:textId="77777777" w:rsidR="009934BB" w:rsidRPr="0063119B" w:rsidRDefault="009934BB" w:rsidP="0044301C">
            <w:pPr>
              <w:suppressAutoHyphens/>
              <w:rPr>
                <w:b/>
                <w:noProof/>
                <w:szCs w:val="22"/>
              </w:rPr>
            </w:pPr>
            <w:r w:rsidRPr="0063119B">
              <w:rPr>
                <w:noProof/>
                <w:szCs w:val="22"/>
              </w:rPr>
              <w:t>Hipotensão, hematoma</w:t>
            </w:r>
          </w:p>
        </w:tc>
        <w:tc>
          <w:tcPr>
            <w:tcW w:w="1836" w:type="dxa"/>
          </w:tcPr>
          <w:p w14:paraId="6B32FCDC" w14:textId="77777777" w:rsidR="009934BB" w:rsidRPr="0063119B" w:rsidRDefault="009934BB" w:rsidP="0044301C">
            <w:pPr>
              <w:suppressAutoHyphens/>
              <w:rPr>
                <w:b/>
                <w:noProof/>
                <w:szCs w:val="22"/>
              </w:rPr>
            </w:pPr>
          </w:p>
        </w:tc>
        <w:tc>
          <w:tcPr>
            <w:tcW w:w="1756" w:type="dxa"/>
          </w:tcPr>
          <w:p w14:paraId="1E1B61F6" w14:textId="77777777" w:rsidR="009934BB" w:rsidRPr="0063119B" w:rsidRDefault="009934BB" w:rsidP="0044301C">
            <w:pPr>
              <w:suppressAutoHyphens/>
              <w:rPr>
                <w:b/>
                <w:noProof/>
                <w:szCs w:val="22"/>
              </w:rPr>
            </w:pPr>
          </w:p>
        </w:tc>
        <w:tc>
          <w:tcPr>
            <w:tcW w:w="1755" w:type="dxa"/>
          </w:tcPr>
          <w:p w14:paraId="1B89CC59" w14:textId="77777777" w:rsidR="009934BB" w:rsidRPr="0063119B" w:rsidRDefault="009934BB" w:rsidP="0044301C">
            <w:pPr>
              <w:suppressAutoHyphens/>
              <w:rPr>
                <w:b/>
                <w:noProof/>
                <w:szCs w:val="22"/>
              </w:rPr>
            </w:pPr>
          </w:p>
        </w:tc>
        <w:tc>
          <w:tcPr>
            <w:tcW w:w="1938" w:type="dxa"/>
          </w:tcPr>
          <w:p w14:paraId="10712BBB" w14:textId="77777777" w:rsidR="009934BB" w:rsidRPr="0063119B" w:rsidRDefault="009934BB" w:rsidP="0044301C">
            <w:pPr>
              <w:suppressAutoHyphens/>
              <w:rPr>
                <w:b/>
                <w:noProof/>
                <w:szCs w:val="22"/>
              </w:rPr>
            </w:pPr>
          </w:p>
        </w:tc>
      </w:tr>
      <w:tr w:rsidR="009934BB" w:rsidRPr="0063119B" w14:paraId="701670A9" w14:textId="77777777" w:rsidTr="009934BB">
        <w:tc>
          <w:tcPr>
            <w:tcW w:w="9276" w:type="dxa"/>
            <w:gridSpan w:val="5"/>
          </w:tcPr>
          <w:p w14:paraId="0FC0BCC4" w14:textId="77777777" w:rsidR="009934BB" w:rsidRPr="0063119B" w:rsidRDefault="009934BB" w:rsidP="0044301C">
            <w:pPr>
              <w:suppressAutoHyphens/>
              <w:rPr>
                <w:b/>
                <w:noProof/>
                <w:szCs w:val="22"/>
              </w:rPr>
            </w:pPr>
            <w:r w:rsidRPr="0063119B">
              <w:rPr>
                <w:b/>
                <w:noProof/>
                <w:szCs w:val="22"/>
              </w:rPr>
              <w:t>Doenças respiratórias, torácicas e do mediastino</w:t>
            </w:r>
          </w:p>
        </w:tc>
      </w:tr>
      <w:tr w:rsidR="009934BB" w:rsidRPr="0063119B" w14:paraId="140B7B0C" w14:textId="77777777" w:rsidTr="00D733A1">
        <w:tc>
          <w:tcPr>
            <w:tcW w:w="1991" w:type="dxa"/>
          </w:tcPr>
          <w:p w14:paraId="27ECEBD9" w14:textId="77777777" w:rsidR="009934BB" w:rsidRPr="0063119B" w:rsidRDefault="009934BB" w:rsidP="0044301C">
            <w:pPr>
              <w:suppressAutoHyphens/>
              <w:rPr>
                <w:noProof/>
                <w:szCs w:val="22"/>
              </w:rPr>
            </w:pPr>
            <w:r w:rsidRPr="0063119B">
              <w:rPr>
                <w:noProof/>
                <w:szCs w:val="22"/>
              </w:rPr>
              <w:t>Epistaxe, hemoptise</w:t>
            </w:r>
          </w:p>
        </w:tc>
        <w:tc>
          <w:tcPr>
            <w:tcW w:w="1836" w:type="dxa"/>
          </w:tcPr>
          <w:p w14:paraId="47209F66" w14:textId="77777777" w:rsidR="009934BB" w:rsidRPr="0063119B" w:rsidRDefault="009934BB" w:rsidP="0044301C">
            <w:pPr>
              <w:suppressAutoHyphens/>
              <w:rPr>
                <w:noProof/>
                <w:szCs w:val="22"/>
              </w:rPr>
            </w:pPr>
          </w:p>
        </w:tc>
        <w:tc>
          <w:tcPr>
            <w:tcW w:w="1756" w:type="dxa"/>
          </w:tcPr>
          <w:p w14:paraId="498FF567" w14:textId="77777777" w:rsidR="009934BB" w:rsidRPr="0063119B" w:rsidRDefault="009934BB" w:rsidP="0044301C">
            <w:pPr>
              <w:suppressAutoHyphens/>
              <w:rPr>
                <w:noProof/>
                <w:szCs w:val="22"/>
              </w:rPr>
            </w:pPr>
          </w:p>
        </w:tc>
        <w:tc>
          <w:tcPr>
            <w:tcW w:w="1755" w:type="dxa"/>
          </w:tcPr>
          <w:p w14:paraId="32C65918" w14:textId="4C3923ED" w:rsidR="009934BB" w:rsidRPr="0063119B" w:rsidRDefault="000536F1" w:rsidP="0044301C">
            <w:pPr>
              <w:suppressAutoHyphens/>
              <w:rPr>
                <w:noProof/>
                <w:szCs w:val="22"/>
              </w:rPr>
            </w:pPr>
            <w:r>
              <w:rPr>
                <w:noProof/>
                <w:szCs w:val="22"/>
              </w:rPr>
              <w:t>Pneumonia eosinofilica</w:t>
            </w:r>
          </w:p>
        </w:tc>
        <w:tc>
          <w:tcPr>
            <w:tcW w:w="1938" w:type="dxa"/>
          </w:tcPr>
          <w:p w14:paraId="7E54BE0A" w14:textId="77777777" w:rsidR="009934BB" w:rsidRPr="0063119B" w:rsidRDefault="009934BB" w:rsidP="0044301C">
            <w:pPr>
              <w:suppressAutoHyphens/>
              <w:rPr>
                <w:noProof/>
                <w:szCs w:val="22"/>
              </w:rPr>
            </w:pPr>
          </w:p>
        </w:tc>
      </w:tr>
      <w:tr w:rsidR="009934BB" w:rsidRPr="0063119B" w14:paraId="1F28D77A" w14:textId="77777777" w:rsidTr="00D733A1">
        <w:tc>
          <w:tcPr>
            <w:tcW w:w="5583" w:type="dxa"/>
            <w:gridSpan w:val="3"/>
          </w:tcPr>
          <w:p w14:paraId="177C471D" w14:textId="77777777" w:rsidR="009934BB" w:rsidRPr="0063119B" w:rsidRDefault="009934BB" w:rsidP="0044301C">
            <w:pPr>
              <w:suppressAutoHyphens/>
              <w:rPr>
                <w:b/>
                <w:noProof/>
                <w:szCs w:val="22"/>
              </w:rPr>
            </w:pPr>
            <w:r w:rsidRPr="0063119B">
              <w:rPr>
                <w:b/>
                <w:noProof/>
                <w:szCs w:val="22"/>
              </w:rPr>
              <w:t>Doenças gastrointestinais</w:t>
            </w:r>
          </w:p>
        </w:tc>
        <w:tc>
          <w:tcPr>
            <w:tcW w:w="1755" w:type="dxa"/>
          </w:tcPr>
          <w:p w14:paraId="15C0EF84" w14:textId="77777777" w:rsidR="009934BB" w:rsidRPr="0063119B" w:rsidRDefault="009934BB" w:rsidP="0044301C">
            <w:pPr>
              <w:suppressAutoHyphens/>
              <w:rPr>
                <w:b/>
                <w:noProof/>
                <w:szCs w:val="22"/>
              </w:rPr>
            </w:pPr>
          </w:p>
        </w:tc>
        <w:tc>
          <w:tcPr>
            <w:tcW w:w="1938" w:type="dxa"/>
          </w:tcPr>
          <w:p w14:paraId="25B15579" w14:textId="77777777" w:rsidR="009934BB" w:rsidRPr="0063119B" w:rsidRDefault="009934BB" w:rsidP="0044301C">
            <w:pPr>
              <w:suppressAutoHyphens/>
              <w:rPr>
                <w:b/>
                <w:noProof/>
                <w:szCs w:val="22"/>
              </w:rPr>
            </w:pPr>
          </w:p>
        </w:tc>
      </w:tr>
      <w:tr w:rsidR="009934BB" w:rsidRPr="0063119B" w14:paraId="1409B913" w14:textId="77777777" w:rsidTr="00D733A1">
        <w:tc>
          <w:tcPr>
            <w:tcW w:w="1991" w:type="dxa"/>
          </w:tcPr>
          <w:p w14:paraId="7CDF38F6" w14:textId="77777777" w:rsidR="009934BB" w:rsidRPr="0063119B" w:rsidRDefault="009934BB" w:rsidP="0044301C">
            <w:pPr>
              <w:suppressAutoHyphens/>
              <w:rPr>
                <w:noProof/>
                <w:szCs w:val="22"/>
                <w:vertAlign w:val="superscript"/>
              </w:rPr>
            </w:pPr>
            <w:r w:rsidRPr="0063119B">
              <w:rPr>
                <w:noProof/>
                <w:szCs w:val="22"/>
              </w:rPr>
              <w:t>Hemorragia gengival, hemorragia do trato gastrointestinal (incl. hemorragia retal), dores gastrointestinais e abdominais, dispepsia, náuseas, obstipação</w:t>
            </w:r>
            <w:r w:rsidRPr="0063119B">
              <w:rPr>
                <w:noProof/>
                <w:szCs w:val="22"/>
                <w:vertAlign w:val="superscript"/>
              </w:rPr>
              <w:t>A</w:t>
            </w:r>
            <w:r w:rsidRPr="0063119B">
              <w:rPr>
                <w:noProof/>
                <w:szCs w:val="22"/>
              </w:rPr>
              <w:t>, diarreia, vómitos</w:t>
            </w:r>
            <w:r w:rsidRPr="0063119B">
              <w:rPr>
                <w:noProof/>
                <w:szCs w:val="22"/>
                <w:vertAlign w:val="superscript"/>
              </w:rPr>
              <w:t>A</w:t>
            </w:r>
          </w:p>
        </w:tc>
        <w:tc>
          <w:tcPr>
            <w:tcW w:w="1836" w:type="dxa"/>
          </w:tcPr>
          <w:p w14:paraId="1A9926D0" w14:textId="77777777" w:rsidR="009934BB" w:rsidRPr="0063119B" w:rsidRDefault="009934BB" w:rsidP="0044301C">
            <w:pPr>
              <w:suppressAutoHyphens/>
              <w:rPr>
                <w:noProof/>
                <w:szCs w:val="22"/>
              </w:rPr>
            </w:pPr>
            <w:r w:rsidRPr="0063119B">
              <w:rPr>
                <w:noProof/>
                <w:szCs w:val="22"/>
              </w:rPr>
              <w:t>Xerostomia</w:t>
            </w:r>
          </w:p>
        </w:tc>
        <w:tc>
          <w:tcPr>
            <w:tcW w:w="1756" w:type="dxa"/>
          </w:tcPr>
          <w:p w14:paraId="0072AD58" w14:textId="77777777" w:rsidR="009934BB" w:rsidRPr="0063119B" w:rsidRDefault="009934BB" w:rsidP="0044301C">
            <w:pPr>
              <w:suppressAutoHyphens/>
              <w:rPr>
                <w:noProof/>
                <w:szCs w:val="22"/>
              </w:rPr>
            </w:pPr>
          </w:p>
        </w:tc>
        <w:tc>
          <w:tcPr>
            <w:tcW w:w="1755" w:type="dxa"/>
          </w:tcPr>
          <w:p w14:paraId="4A70A9C9" w14:textId="77777777" w:rsidR="009934BB" w:rsidRPr="0063119B" w:rsidRDefault="009934BB" w:rsidP="0044301C">
            <w:pPr>
              <w:suppressAutoHyphens/>
              <w:rPr>
                <w:noProof/>
                <w:szCs w:val="22"/>
              </w:rPr>
            </w:pPr>
          </w:p>
        </w:tc>
        <w:tc>
          <w:tcPr>
            <w:tcW w:w="1938" w:type="dxa"/>
          </w:tcPr>
          <w:p w14:paraId="5F2E734A" w14:textId="77777777" w:rsidR="009934BB" w:rsidRPr="0063119B" w:rsidRDefault="009934BB" w:rsidP="0044301C">
            <w:pPr>
              <w:suppressAutoHyphens/>
              <w:rPr>
                <w:noProof/>
                <w:szCs w:val="22"/>
              </w:rPr>
            </w:pPr>
          </w:p>
        </w:tc>
      </w:tr>
      <w:tr w:rsidR="009934BB" w:rsidRPr="0063119B" w14:paraId="081DE061" w14:textId="77777777" w:rsidTr="00D733A1">
        <w:tc>
          <w:tcPr>
            <w:tcW w:w="5583" w:type="dxa"/>
            <w:gridSpan w:val="3"/>
          </w:tcPr>
          <w:p w14:paraId="540DC38D" w14:textId="77777777" w:rsidR="009934BB" w:rsidRPr="0063119B" w:rsidRDefault="009934BB" w:rsidP="0044301C">
            <w:pPr>
              <w:suppressAutoHyphens/>
              <w:rPr>
                <w:b/>
                <w:noProof/>
                <w:szCs w:val="22"/>
              </w:rPr>
            </w:pPr>
            <w:r w:rsidRPr="0063119B">
              <w:rPr>
                <w:b/>
                <w:noProof/>
                <w:szCs w:val="22"/>
              </w:rPr>
              <w:t>Afeções hepatobiliares</w:t>
            </w:r>
          </w:p>
        </w:tc>
        <w:tc>
          <w:tcPr>
            <w:tcW w:w="1755" w:type="dxa"/>
          </w:tcPr>
          <w:p w14:paraId="2F13D429" w14:textId="77777777" w:rsidR="009934BB" w:rsidRPr="0063119B" w:rsidRDefault="009934BB" w:rsidP="0044301C">
            <w:pPr>
              <w:suppressAutoHyphens/>
              <w:rPr>
                <w:b/>
                <w:noProof/>
                <w:szCs w:val="22"/>
              </w:rPr>
            </w:pPr>
          </w:p>
        </w:tc>
        <w:tc>
          <w:tcPr>
            <w:tcW w:w="1938" w:type="dxa"/>
          </w:tcPr>
          <w:p w14:paraId="26BEFDDD" w14:textId="77777777" w:rsidR="009934BB" w:rsidRPr="0063119B" w:rsidRDefault="009934BB" w:rsidP="0044301C">
            <w:pPr>
              <w:suppressAutoHyphens/>
              <w:rPr>
                <w:b/>
                <w:noProof/>
                <w:szCs w:val="22"/>
              </w:rPr>
            </w:pPr>
          </w:p>
        </w:tc>
      </w:tr>
      <w:tr w:rsidR="009934BB" w:rsidRPr="0063119B" w14:paraId="37ADA27A" w14:textId="77777777" w:rsidTr="00D733A1">
        <w:tc>
          <w:tcPr>
            <w:tcW w:w="1991" w:type="dxa"/>
          </w:tcPr>
          <w:p w14:paraId="7D359B96" w14:textId="77777777" w:rsidR="009934BB" w:rsidRPr="0063119B" w:rsidRDefault="009934BB" w:rsidP="0044301C">
            <w:pPr>
              <w:suppressAutoHyphens/>
              <w:rPr>
                <w:noProof/>
                <w:szCs w:val="22"/>
              </w:rPr>
            </w:pPr>
            <w:r w:rsidRPr="0063119B">
              <w:rPr>
                <w:noProof/>
                <w:szCs w:val="22"/>
              </w:rPr>
              <w:t>Aumento das transaminases</w:t>
            </w:r>
          </w:p>
        </w:tc>
        <w:tc>
          <w:tcPr>
            <w:tcW w:w="1836" w:type="dxa"/>
          </w:tcPr>
          <w:p w14:paraId="0C9ECC18" w14:textId="77777777" w:rsidR="009934BB" w:rsidRPr="0063119B" w:rsidRDefault="009934BB" w:rsidP="008E7EA4">
            <w:pPr>
              <w:suppressAutoHyphens/>
              <w:rPr>
                <w:noProof/>
                <w:szCs w:val="22"/>
              </w:rPr>
            </w:pPr>
            <w:r w:rsidRPr="0063119B">
              <w:rPr>
                <w:noProof/>
                <w:szCs w:val="22"/>
              </w:rPr>
              <w:t>Compromisso hepático,</w:t>
            </w:r>
          </w:p>
          <w:p w14:paraId="43087F46" w14:textId="77777777" w:rsidR="009934BB" w:rsidRPr="0063119B" w:rsidRDefault="009934BB" w:rsidP="008E7EA4">
            <w:pPr>
              <w:suppressAutoHyphens/>
              <w:rPr>
                <w:b/>
                <w:noProof/>
                <w:szCs w:val="22"/>
              </w:rPr>
            </w:pPr>
            <w:r w:rsidRPr="0063119B">
              <w:rPr>
                <w:szCs w:val="22"/>
              </w:rPr>
              <w:t>Aumento da bilirrubina, aumento da fosfatase alcalina sérica</w:t>
            </w:r>
            <w:r w:rsidRPr="0063119B">
              <w:rPr>
                <w:szCs w:val="22"/>
                <w:vertAlign w:val="superscript"/>
              </w:rPr>
              <w:t>A</w:t>
            </w:r>
            <w:r w:rsidRPr="0063119B">
              <w:rPr>
                <w:szCs w:val="22"/>
              </w:rPr>
              <w:t>, aumento da GGT</w:t>
            </w:r>
            <w:r w:rsidRPr="0063119B">
              <w:rPr>
                <w:szCs w:val="22"/>
                <w:vertAlign w:val="superscript"/>
              </w:rPr>
              <w:t>A</w:t>
            </w:r>
          </w:p>
        </w:tc>
        <w:tc>
          <w:tcPr>
            <w:tcW w:w="1756" w:type="dxa"/>
          </w:tcPr>
          <w:p w14:paraId="38077001" w14:textId="77777777" w:rsidR="009934BB" w:rsidRPr="0063119B" w:rsidRDefault="009934BB" w:rsidP="0044301C">
            <w:pPr>
              <w:suppressAutoHyphens/>
              <w:rPr>
                <w:noProof/>
                <w:szCs w:val="22"/>
              </w:rPr>
            </w:pPr>
            <w:r w:rsidRPr="0063119B">
              <w:rPr>
                <w:noProof/>
                <w:szCs w:val="22"/>
              </w:rPr>
              <w:t>Icterícia</w:t>
            </w:r>
            <w:r w:rsidR="00D031E5" w:rsidRPr="0063119B">
              <w:rPr>
                <w:noProof/>
                <w:szCs w:val="22"/>
              </w:rPr>
              <w:t>,</w:t>
            </w:r>
          </w:p>
          <w:p w14:paraId="1060AC76" w14:textId="77777777" w:rsidR="00D031E5" w:rsidRPr="0063119B" w:rsidRDefault="00D031E5" w:rsidP="00B23D33">
            <w:pPr>
              <w:suppressAutoHyphens/>
              <w:rPr>
                <w:b/>
                <w:noProof/>
                <w:szCs w:val="22"/>
              </w:rPr>
            </w:pPr>
            <w:r w:rsidRPr="0063119B">
              <w:rPr>
                <w:szCs w:val="22"/>
              </w:rPr>
              <w:t>Bilirrubina conjugada aumentada (com ou sem aumento concomitante da ALT)</w:t>
            </w:r>
            <w:r w:rsidR="00BA7F7B" w:rsidRPr="0063119B">
              <w:rPr>
                <w:szCs w:val="22"/>
              </w:rPr>
              <w:t>,</w:t>
            </w:r>
            <w:r w:rsidR="00BA7F7B" w:rsidRPr="0063119B">
              <w:rPr>
                <w:szCs w:val="22"/>
              </w:rPr>
              <w:br/>
              <w:t>Colestase, Hepatite (incl.</w:t>
            </w:r>
            <w:r w:rsidR="00B23D33" w:rsidRPr="0063119B">
              <w:rPr>
                <w:szCs w:val="22"/>
              </w:rPr>
              <w:t xml:space="preserve"> Lesão </w:t>
            </w:r>
            <w:r w:rsidRPr="0063119B">
              <w:rPr>
                <w:szCs w:val="22"/>
              </w:rPr>
              <w:t>hepatocelular)</w:t>
            </w:r>
          </w:p>
        </w:tc>
        <w:tc>
          <w:tcPr>
            <w:tcW w:w="1755" w:type="dxa"/>
          </w:tcPr>
          <w:p w14:paraId="67C4D307" w14:textId="77777777" w:rsidR="009934BB" w:rsidRPr="0063119B" w:rsidRDefault="009934BB" w:rsidP="0044301C">
            <w:pPr>
              <w:suppressAutoHyphens/>
              <w:rPr>
                <w:b/>
                <w:noProof/>
                <w:szCs w:val="22"/>
              </w:rPr>
            </w:pPr>
          </w:p>
        </w:tc>
        <w:tc>
          <w:tcPr>
            <w:tcW w:w="1938" w:type="dxa"/>
          </w:tcPr>
          <w:p w14:paraId="04E09B2C" w14:textId="77777777" w:rsidR="009934BB" w:rsidRPr="0063119B" w:rsidRDefault="009934BB" w:rsidP="0044301C">
            <w:pPr>
              <w:suppressAutoHyphens/>
              <w:rPr>
                <w:b/>
                <w:noProof/>
                <w:szCs w:val="22"/>
              </w:rPr>
            </w:pPr>
          </w:p>
        </w:tc>
      </w:tr>
      <w:tr w:rsidR="00D031E5" w:rsidRPr="0063119B" w14:paraId="5BA433D2" w14:textId="77777777" w:rsidTr="00B6417D">
        <w:tc>
          <w:tcPr>
            <w:tcW w:w="9276" w:type="dxa"/>
            <w:gridSpan w:val="5"/>
          </w:tcPr>
          <w:p w14:paraId="1B3F04B4" w14:textId="77777777" w:rsidR="00D031E5" w:rsidRPr="0063119B" w:rsidRDefault="00D031E5" w:rsidP="0044301C">
            <w:pPr>
              <w:keepNext/>
              <w:suppressAutoHyphens/>
              <w:rPr>
                <w:b/>
                <w:noProof/>
                <w:szCs w:val="22"/>
              </w:rPr>
            </w:pPr>
            <w:r w:rsidRPr="0063119B">
              <w:rPr>
                <w:b/>
                <w:noProof/>
                <w:szCs w:val="22"/>
              </w:rPr>
              <w:t>Afeções dos tecidos cutâneos e subcutâneos</w:t>
            </w:r>
          </w:p>
        </w:tc>
      </w:tr>
      <w:tr w:rsidR="009934BB" w:rsidRPr="0063119B" w14:paraId="30094750" w14:textId="77777777" w:rsidTr="00D733A1">
        <w:tc>
          <w:tcPr>
            <w:tcW w:w="1950" w:type="dxa"/>
          </w:tcPr>
          <w:p w14:paraId="4564F59A" w14:textId="77777777" w:rsidR="009934BB" w:rsidRPr="0063119B" w:rsidRDefault="009934BB" w:rsidP="00A9161F">
            <w:pPr>
              <w:suppressAutoHyphens/>
              <w:rPr>
                <w:noProof/>
                <w:szCs w:val="22"/>
              </w:rPr>
            </w:pPr>
            <w:r w:rsidRPr="0063119B">
              <w:rPr>
                <w:noProof/>
                <w:szCs w:val="22"/>
              </w:rPr>
              <w:t>Prurido (incl. casos pouco frequentes de prurido generalizado), exantema cutâneo, equimose, hemorragia cutânea e subcutânea</w:t>
            </w:r>
          </w:p>
        </w:tc>
        <w:tc>
          <w:tcPr>
            <w:tcW w:w="1812" w:type="dxa"/>
          </w:tcPr>
          <w:p w14:paraId="4D2EE784" w14:textId="77777777" w:rsidR="009934BB" w:rsidRPr="0063119B" w:rsidRDefault="009934BB" w:rsidP="0044301C">
            <w:pPr>
              <w:keepNext/>
              <w:suppressAutoHyphens/>
              <w:rPr>
                <w:noProof/>
                <w:szCs w:val="22"/>
              </w:rPr>
            </w:pPr>
            <w:r w:rsidRPr="0063119B">
              <w:rPr>
                <w:noProof/>
                <w:szCs w:val="22"/>
              </w:rPr>
              <w:t>Urticária</w:t>
            </w:r>
          </w:p>
        </w:tc>
        <w:tc>
          <w:tcPr>
            <w:tcW w:w="1756" w:type="dxa"/>
          </w:tcPr>
          <w:p w14:paraId="1B74933D" w14:textId="77777777" w:rsidR="009934BB" w:rsidRPr="0063119B" w:rsidRDefault="009934BB" w:rsidP="0044301C">
            <w:pPr>
              <w:keepNext/>
              <w:suppressAutoHyphens/>
              <w:rPr>
                <w:noProof/>
                <w:szCs w:val="22"/>
              </w:rPr>
            </w:pPr>
          </w:p>
        </w:tc>
        <w:tc>
          <w:tcPr>
            <w:tcW w:w="1842" w:type="dxa"/>
          </w:tcPr>
          <w:p w14:paraId="62414E4B" w14:textId="77777777" w:rsidR="00B23D33" w:rsidRPr="0063119B" w:rsidRDefault="00D031E5" w:rsidP="0044301C">
            <w:pPr>
              <w:keepNext/>
              <w:suppressAutoHyphens/>
              <w:rPr>
                <w:szCs w:val="22"/>
              </w:rPr>
            </w:pPr>
            <w:r w:rsidRPr="0063119B">
              <w:rPr>
                <w:szCs w:val="22"/>
              </w:rPr>
              <w:t>Síndrome de Stevens-John</w:t>
            </w:r>
            <w:r w:rsidR="00B23D33" w:rsidRPr="0063119B">
              <w:rPr>
                <w:szCs w:val="22"/>
              </w:rPr>
              <w:t>son/Necrólise Epidérmica Tóxica,</w:t>
            </w:r>
          </w:p>
          <w:p w14:paraId="7E6589DB" w14:textId="77777777" w:rsidR="009934BB" w:rsidRPr="0063119B" w:rsidRDefault="00D031E5" w:rsidP="0044301C">
            <w:pPr>
              <w:keepNext/>
              <w:suppressAutoHyphens/>
              <w:rPr>
                <w:noProof/>
                <w:szCs w:val="22"/>
              </w:rPr>
            </w:pPr>
            <w:r w:rsidRPr="0063119B">
              <w:rPr>
                <w:szCs w:val="22"/>
              </w:rPr>
              <w:t>Síndrome de DRESS</w:t>
            </w:r>
          </w:p>
        </w:tc>
        <w:tc>
          <w:tcPr>
            <w:tcW w:w="1916" w:type="dxa"/>
          </w:tcPr>
          <w:p w14:paraId="18668501" w14:textId="77777777" w:rsidR="009934BB" w:rsidRPr="0063119B" w:rsidRDefault="009934BB" w:rsidP="0044301C">
            <w:pPr>
              <w:keepNext/>
              <w:suppressAutoHyphens/>
              <w:rPr>
                <w:noProof/>
                <w:szCs w:val="22"/>
              </w:rPr>
            </w:pPr>
          </w:p>
        </w:tc>
      </w:tr>
      <w:tr w:rsidR="009934BB" w:rsidRPr="0063119B" w14:paraId="2B961923" w14:textId="77777777" w:rsidTr="009934BB">
        <w:tc>
          <w:tcPr>
            <w:tcW w:w="9276" w:type="dxa"/>
            <w:gridSpan w:val="5"/>
          </w:tcPr>
          <w:p w14:paraId="6F019AA2" w14:textId="77777777" w:rsidR="009934BB" w:rsidRPr="0063119B" w:rsidRDefault="009934BB" w:rsidP="00A9161F">
            <w:pPr>
              <w:keepNext/>
              <w:suppressAutoHyphens/>
              <w:rPr>
                <w:b/>
                <w:noProof/>
                <w:szCs w:val="22"/>
              </w:rPr>
            </w:pPr>
            <w:r w:rsidRPr="0063119B">
              <w:rPr>
                <w:b/>
                <w:noProof/>
                <w:szCs w:val="22"/>
              </w:rPr>
              <w:t xml:space="preserve">Afeções musculosqueléticas e dos tecidos conjuntivos </w:t>
            </w:r>
          </w:p>
        </w:tc>
      </w:tr>
      <w:tr w:rsidR="009934BB" w:rsidRPr="0063119B" w14:paraId="3FFE7BB9" w14:textId="77777777" w:rsidTr="00D733A1">
        <w:tc>
          <w:tcPr>
            <w:tcW w:w="1950" w:type="dxa"/>
          </w:tcPr>
          <w:p w14:paraId="384F16ED" w14:textId="77777777" w:rsidR="009934BB" w:rsidRPr="0063119B" w:rsidRDefault="009934BB" w:rsidP="00A9161F">
            <w:pPr>
              <w:keepNext/>
              <w:suppressAutoHyphens/>
              <w:rPr>
                <w:noProof/>
                <w:szCs w:val="22"/>
                <w:vertAlign w:val="superscript"/>
              </w:rPr>
            </w:pPr>
            <w:r w:rsidRPr="0063119B">
              <w:rPr>
                <w:noProof/>
                <w:szCs w:val="22"/>
              </w:rPr>
              <w:t>Dor nas extremidades</w:t>
            </w:r>
            <w:r w:rsidRPr="0063119B">
              <w:rPr>
                <w:noProof/>
                <w:szCs w:val="22"/>
                <w:vertAlign w:val="superscript"/>
              </w:rPr>
              <w:t>A</w:t>
            </w:r>
          </w:p>
        </w:tc>
        <w:tc>
          <w:tcPr>
            <w:tcW w:w="1812" w:type="dxa"/>
          </w:tcPr>
          <w:p w14:paraId="4D2F5950" w14:textId="77777777" w:rsidR="009934BB" w:rsidRPr="0063119B" w:rsidRDefault="009934BB" w:rsidP="00A9161F">
            <w:pPr>
              <w:keepNext/>
              <w:suppressAutoHyphens/>
              <w:rPr>
                <w:noProof/>
                <w:szCs w:val="22"/>
              </w:rPr>
            </w:pPr>
            <w:r w:rsidRPr="0063119B">
              <w:rPr>
                <w:noProof/>
                <w:szCs w:val="22"/>
              </w:rPr>
              <w:t>Hemartrose</w:t>
            </w:r>
          </w:p>
        </w:tc>
        <w:tc>
          <w:tcPr>
            <w:tcW w:w="1756" w:type="dxa"/>
          </w:tcPr>
          <w:p w14:paraId="2C823C63" w14:textId="77777777" w:rsidR="009934BB" w:rsidRPr="0063119B" w:rsidRDefault="009934BB" w:rsidP="00A9161F">
            <w:pPr>
              <w:keepNext/>
              <w:suppressAutoHyphens/>
              <w:rPr>
                <w:noProof/>
                <w:szCs w:val="22"/>
              </w:rPr>
            </w:pPr>
            <w:r w:rsidRPr="0063119B">
              <w:rPr>
                <w:noProof/>
                <w:szCs w:val="22"/>
              </w:rPr>
              <w:t>Hemorragia muscular</w:t>
            </w:r>
          </w:p>
        </w:tc>
        <w:tc>
          <w:tcPr>
            <w:tcW w:w="1842" w:type="dxa"/>
          </w:tcPr>
          <w:p w14:paraId="1B537224" w14:textId="77777777" w:rsidR="009934BB" w:rsidRPr="0063119B" w:rsidRDefault="009934BB" w:rsidP="00A9161F">
            <w:pPr>
              <w:keepNext/>
              <w:suppressAutoHyphens/>
              <w:rPr>
                <w:noProof/>
                <w:szCs w:val="22"/>
              </w:rPr>
            </w:pPr>
          </w:p>
        </w:tc>
        <w:tc>
          <w:tcPr>
            <w:tcW w:w="1916" w:type="dxa"/>
          </w:tcPr>
          <w:p w14:paraId="6B4E9030" w14:textId="77777777" w:rsidR="009934BB" w:rsidRPr="0063119B" w:rsidRDefault="009934BB" w:rsidP="00A9161F">
            <w:pPr>
              <w:keepNext/>
              <w:suppressAutoHyphens/>
              <w:rPr>
                <w:noProof/>
                <w:szCs w:val="22"/>
              </w:rPr>
            </w:pPr>
            <w:r w:rsidRPr="0063119B">
              <w:rPr>
                <w:noProof/>
                <w:szCs w:val="22"/>
              </w:rPr>
              <w:t>Síndrome compartimental secundária a hemorragia</w:t>
            </w:r>
          </w:p>
        </w:tc>
      </w:tr>
      <w:tr w:rsidR="009934BB" w:rsidRPr="0063119B" w14:paraId="2022AB71" w14:textId="77777777" w:rsidTr="00D733A1">
        <w:tc>
          <w:tcPr>
            <w:tcW w:w="5518" w:type="dxa"/>
            <w:gridSpan w:val="3"/>
          </w:tcPr>
          <w:p w14:paraId="20DD2C78" w14:textId="77777777" w:rsidR="009934BB" w:rsidRPr="0063119B" w:rsidRDefault="009934BB" w:rsidP="0044301C">
            <w:pPr>
              <w:suppressAutoHyphens/>
              <w:rPr>
                <w:b/>
                <w:noProof/>
                <w:szCs w:val="22"/>
              </w:rPr>
            </w:pPr>
            <w:r w:rsidRPr="0063119B">
              <w:rPr>
                <w:b/>
                <w:noProof/>
                <w:szCs w:val="22"/>
              </w:rPr>
              <w:t>Doenças renais e urinárias</w:t>
            </w:r>
          </w:p>
        </w:tc>
        <w:tc>
          <w:tcPr>
            <w:tcW w:w="1842" w:type="dxa"/>
          </w:tcPr>
          <w:p w14:paraId="5FFFBD47" w14:textId="77777777" w:rsidR="009934BB" w:rsidRPr="0063119B" w:rsidRDefault="009934BB" w:rsidP="0044301C">
            <w:pPr>
              <w:suppressAutoHyphens/>
              <w:rPr>
                <w:b/>
                <w:noProof/>
                <w:szCs w:val="22"/>
              </w:rPr>
            </w:pPr>
          </w:p>
        </w:tc>
        <w:tc>
          <w:tcPr>
            <w:tcW w:w="1916" w:type="dxa"/>
          </w:tcPr>
          <w:p w14:paraId="710D23C8" w14:textId="77777777" w:rsidR="009934BB" w:rsidRPr="0063119B" w:rsidRDefault="009934BB" w:rsidP="0044301C">
            <w:pPr>
              <w:suppressAutoHyphens/>
              <w:rPr>
                <w:b/>
                <w:noProof/>
                <w:szCs w:val="22"/>
              </w:rPr>
            </w:pPr>
          </w:p>
        </w:tc>
      </w:tr>
      <w:tr w:rsidR="009934BB" w:rsidRPr="0063119B" w14:paraId="1BB252BB" w14:textId="77777777" w:rsidTr="00D733A1">
        <w:tc>
          <w:tcPr>
            <w:tcW w:w="1950" w:type="dxa"/>
          </w:tcPr>
          <w:p w14:paraId="6D17C439" w14:textId="77777777" w:rsidR="009934BB" w:rsidRPr="0063119B" w:rsidRDefault="009934BB" w:rsidP="0044301C">
            <w:pPr>
              <w:suppressAutoHyphens/>
              <w:rPr>
                <w:noProof/>
                <w:szCs w:val="22"/>
              </w:rPr>
            </w:pPr>
            <w:r w:rsidRPr="0063119B">
              <w:rPr>
                <w:noProof/>
                <w:szCs w:val="22"/>
              </w:rPr>
              <w:lastRenderedPageBreak/>
              <w:t>Hemorragia do trato urogenital (incluindo hematúria e menorragia</w:t>
            </w:r>
            <w:r w:rsidRPr="0063119B">
              <w:rPr>
                <w:noProof/>
                <w:szCs w:val="22"/>
                <w:vertAlign w:val="superscript"/>
              </w:rPr>
              <w:t>B</w:t>
            </w:r>
            <w:r w:rsidRPr="0063119B">
              <w:rPr>
                <w:noProof/>
                <w:szCs w:val="22"/>
              </w:rPr>
              <w:t xml:space="preserve">), </w:t>
            </w:r>
          </w:p>
          <w:p w14:paraId="43CFA50F" w14:textId="77777777" w:rsidR="009934BB" w:rsidRPr="0063119B" w:rsidRDefault="009934BB" w:rsidP="0044301C">
            <w:pPr>
              <w:suppressAutoHyphens/>
              <w:rPr>
                <w:noProof/>
                <w:szCs w:val="22"/>
              </w:rPr>
            </w:pPr>
            <w:r w:rsidRPr="0063119B">
              <w:rPr>
                <w:noProof/>
                <w:szCs w:val="22"/>
              </w:rPr>
              <w:t>compromisso renal (incl. aumento da creatinina no sangue, aumento de ureia no sangue)</w:t>
            </w:r>
          </w:p>
        </w:tc>
        <w:tc>
          <w:tcPr>
            <w:tcW w:w="1812" w:type="dxa"/>
          </w:tcPr>
          <w:p w14:paraId="0FFC0F16" w14:textId="77777777" w:rsidR="009934BB" w:rsidRPr="0063119B" w:rsidRDefault="009934BB" w:rsidP="0044301C">
            <w:pPr>
              <w:suppressAutoHyphens/>
              <w:rPr>
                <w:b/>
                <w:noProof/>
                <w:szCs w:val="22"/>
                <w:vertAlign w:val="superscript"/>
              </w:rPr>
            </w:pPr>
          </w:p>
        </w:tc>
        <w:tc>
          <w:tcPr>
            <w:tcW w:w="1756" w:type="dxa"/>
          </w:tcPr>
          <w:p w14:paraId="53DB8247" w14:textId="77777777" w:rsidR="009934BB" w:rsidRPr="0063119B" w:rsidRDefault="009934BB" w:rsidP="0044301C">
            <w:pPr>
              <w:suppressAutoHyphens/>
              <w:rPr>
                <w:b/>
                <w:noProof/>
                <w:szCs w:val="22"/>
              </w:rPr>
            </w:pPr>
          </w:p>
        </w:tc>
        <w:tc>
          <w:tcPr>
            <w:tcW w:w="1842" w:type="dxa"/>
          </w:tcPr>
          <w:p w14:paraId="2721BBFB" w14:textId="77777777" w:rsidR="009934BB" w:rsidRPr="0063119B" w:rsidRDefault="009934BB" w:rsidP="0044301C">
            <w:pPr>
              <w:suppressAutoHyphens/>
              <w:rPr>
                <w:noProof/>
                <w:szCs w:val="22"/>
              </w:rPr>
            </w:pPr>
          </w:p>
        </w:tc>
        <w:tc>
          <w:tcPr>
            <w:tcW w:w="1916" w:type="dxa"/>
          </w:tcPr>
          <w:p w14:paraId="54354C06" w14:textId="4D1E7353" w:rsidR="009934BB" w:rsidRPr="0063119B" w:rsidRDefault="009934BB" w:rsidP="0044301C">
            <w:pPr>
              <w:suppressAutoHyphens/>
              <w:rPr>
                <w:noProof/>
                <w:szCs w:val="22"/>
              </w:rPr>
            </w:pPr>
            <w:r w:rsidRPr="0063119B">
              <w:rPr>
                <w:noProof/>
                <w:szCs w:val="22"/>
              </w:rPr>
              <w:t>Insuficiência renal/insuficiência renal aguda secundária a hemorragia suficiente para causar hipoperfusão</w:t>
            </w:r>
            <w:r w:rsidR="00347A76">
              <w:rPr>
                <w:noProof/>
                <w:szCs w:val="22"/>
              </w:rPr>
              <w:t xml:space="preserve">, </w:t>
            </w:r>
            <w:r w:rsidR="00347A76">
              <w:t>Nefropatia relacionada com anticoagulante</w:t>
            </w:r>
          </w:p>
        </w:tc>
      </w:tr>
      <w:tr w:rsidR="009934BB" w:rsidRPr="0063119B" w14:paraId="196E335C" w14:textId="77777777" w:rsidTr="009934BB">
        <w:tc>
          <w:tcPr>
            <w:tcW w:w="9276" w:type="dxa"/>
            <w:gridSpan w:val="5"/>
          </w:tcPr>
          <w:p w14:paraId="231C8D87" w14:textId="77777777" w:rsidR="009934BB" w:rsidRPr="0063119B" w:rsidRDefault="009934BB" w:rsidP="0044301C">
            <w:pPr>
              <w:suppressAutoHyphens/>
              <w:rPr>
                <w:b/>
                <w:noProof/>
                <w:szCs w:val="22"/>
              </w:rPr>
            </w:pPr>
            <w:r w:rsidRPr="0063119B">
              <w:rPr>
                <w:b/>
                <w:noProof/>
                <w:szCs w:val="22"/>
              </w:rPr>
              <w:t>Perturbações gerais e alterações no local de administração</w:t>
            </w:r>
          </w:p>
        </w:tc>
      </w:tr>
      <w:tr w:rsidR="009934BB" w:rsidRPr="0063119B" w14:paraId="22988CA4" w14:textId="77777777" w:rsidTr="00D733A1">
        <w:tc>
          <w:tcPr>
            <w:tcW w:w="1950" w:type="dxa"/>
          </w:tcPr>
          <w:p w14:paraId="33B5168E" w14:textId="77777777" w:rsidR="009934BB" w:rsidRPr="0063119B" w:rsidRDefault="009934BB" w:rsidP="0044301C">
            <w:pPr>
              <w:suppressAutoHyphens/>
              <w:rPr>
                <w:b/>
                <w:noProof/>
                <w:szCs w:val="22"/>
              </w:rPr>
            </w:pPr>
            <w:r w:rsidRPr="0063119B">
              <w:rPr>
                <w:noProof/>
                <w:szCs w:val="22"/>
              </w:rPr>
              <w:t>Febre</w:t>
            </w:r>
            <w:r w:rsidRPr="0063119B">
              <w:rPr>
                <w:noProof/>
                <w:szCs w:val="22"/>
                <w:vertAlign w:val="superscript"/>
              </w:rPr>
              <w:t>A</w:t>
            </w:r>
            <w:r w:rsidRPr="0063119B">
              <w:rPr>
                <w:noProof/>
                <w:szCs w:val="22"/>
              </w:rPr>
              <w:t>, edema periférico, diminuição da força e energia de um modo geral (incl. fadiga, astenia)</w:t>
            </w:r>
          </w:p>
        </w:tc>
        <w:tc>
          <w:tcPr>
            <w:tcW w:w="1812" w:type="dxa"/>
          </w:tcPr>
          <w:p w14:paraId="452F2006" w14:textId="77777777" w:rsidR="009934BB" w:rsidRPr="0063119B" w:rsidRDefault="009934BB" w:rsidP="0044301C">
            <w:pPr>
              <w:suppressAutoHyphens/>
              <w:rPr>
                <w:b/>
                <w:noProof/>
                <w:szCs w:val="22"/>
              </w:rPr>
            </w:pPr>
            <w:r w:rsidRPr="0063119B">
              <w:rPr>
                <w:noProof/>
                <w:szCs w:val="22"/>
              </w:rPr>
              <w:t>Sensação de mal</w:t>
            </w:r>
            <w:r w:rsidRPr="0063119B">
              <w:rPr>
                <w:noProof/>
                <w:szCs w:val="22"/>
              </w:rPr>
              <w:noBreakHyphen/>
              <w:t>estar</w:t>
            </w:r>
          </w:p>
        </w:tc>
        <w:tc>
          <w:tcPr>
            <w:tcW w:w="1756" w:type="dxa"/>
          </w:tcPr>
          <w:p w14:paraId="3BEC693C" w14:textId="77777777" w:rsidR="009934BB" w:rsidRPr="0063119B" w:rsidRDefault="009934BB" w:rsidP="0044301C">
            <w:pPr>
              <w:suppressAutoHyphens/>
              <w:rPr>
                <w:b/>
                <w:noProof/>
                <w:szCs w:val="22"/>
              </w:rPr>
            </w:pPr>
            <w:r w:rsidRPr="0063119B">
              <w:rPr>
                <w:noProof/>
                <w:szCs w:val="22"/>
              </w:rPr>
              <w:t>Edema localizado</w:t>
            </w:r>
            <w:r w:rsidRPr="0063119B">
              <w:rPr>
                <w:noProof/>
                <w:szCs w:val="22"/>
                <w:vertAlign w:val="superscript"/>
              </w:rPr>
              <w:t>A</w:t>
            </w:r>
          </w:p>
        </w:tc>
        <w:tc>
          <w:tcPr>
            <w:tcW w:w="1842" w:type="dxa"/>
          </w:tcPr>
          <w:p w14:paraId="778E0194" w14:textId="77777777" w:rsidR="009934BB" w:rsidRPr="0063119B" w:rsidRDefault="009934BB" w:rsidP="0044301C">
            <w:pPr>
              <w:suppressAutoHyphens/>
              <w:rPr>
                <w:b/>
                <w:noProof/>
                <w:szCs w:val="22"/>
              </w:rPr>
            </w:pPr>
          </w:p>
        </w:tc>
        <w:tc>
          <w:tcPr>
            <w:tcW w:w="1916" w:type="dxa"/>
          </w:tcPr>
          <w:p w14:paraId="1DDF825B" w14:textId="77777777" w:rsidR="009934BB" w:rsidRPr="0063119B" w:rsidRDefault="009934BB" w:rsidP="0044301C">
            <w:pPr>
              <w:suppressAutoHyphens/>
              <w:rPr>
                <w:b/>
                <w:noProof/>
                <w:szCs w:val="22"/>
              </w:rPr>
            </w:pPr>
          </w:p>
        </w:tc>
      </w:tr>
      <w:tr w:rsidR="009934BB" w:rsidRPr="0063119B" w14:paraId="15FDAE5C" w14:textId="77777777" w:rsidTr="00D733A1">
        <w:tc>
          <w:tcPr>
            <w:tcW w:w="5518" w:type="dxa"/>
            <w:gridSpan w:val="3"/>
          </w:tcPr>
          <w:p w14:paraId="5158302A" w14:textId="77777777" w:rsidR="009934BB" w:rsidRPr="0063119B" w:rsidRDefault="009934BB" w:rsidP="0044301C">
            <w:pPr>
              <w:suppressAutoHyphens/>
              <w:rPr>
                <w:noProof/>
                <w:szCs w:val="22"/>
              </w:rPr>
            </w:pPr>
            <w:r w:rsidRPr="0063119B">
              <w:rPr>
                <w:b/>
                <w:noProof/>
                <w:szCs w:val="22"/>
              </w:rPr>
              <w:t>Exames complementares de diagnóstico</w:t>
            </w:r>
          </w:p>
        </w:tc>
        <w:tc>
          <w:tcPr>
            <w:tcW w:w="1842" w:type="dxa"/>
          </w:tcPr>
          <w:p w14:paraId="3F3CAB20" w14:textId="77777777" w:rsidR="009934BB" w:rsidRPr="0063119B" w:rsidRDefault="009934BB" w:rsidP="0044301C">
            <w:pPr>
              <w:suppressAutoHyphens/>
              <w:rPr>
                <w:noProof/>
                <w:szCs w:val="22"/>
              </w:rPr>
            </w:pPr>
          </w:p>
        </w:tc>
        <w:tc>
          <w:tcPr>
            <w:tcW w:w="1916" w:type="dxa"/>
          </w:tcPr>
          <w:p w14:paraId="157DCBBC" w14:textId="77777777" w:rsidR="009934BB" w:rsidRPr="0063119B" w:rsidRDefault="009934BB" w:rsidP="0044301C">
            <w:pPr>
              <w:suppressAutoHyphens/>
              <w:rPr>
                <w:noProof/>
                <w:szCs w:val="22"/>
              </w:rPr>
            </w:pPr>
          </w:p>
        </w:tc>
      </w:tr>
      <w:tr w:rsidR="009934BB" w:rsidRPr="0063119B" w14:paraId="285289B6" w14:textId="77777777" w:rsidTr="00D733A1">
        <w:tc>
          <w:tcPr>
            <w:tcW w:w="1950" w:type="dxa"/>
          </w:tcPr>
          <w:p w14:paraId="4016C8B4" w14:textId="77777777" w:rsidR="009934BB" w:rsidRPr="0063119B" w:rsidRDefault="009934BB" w:rsidP="0044301C">
            <w:pPr>
              <w:suppressAutoHyphens/>
              <w:rPr>
                <w:noProof/>
                <w:szCs w:val="22"/>
              </w:rPr>
            </w:pPr>
          </w:p>
        </w:tc>
        <w:tc>
          <w:tcPr>
            <w:tcW w:w="1812" w:type="dxa"/>
          </w:tcPr>
          <w:p w14:paraId="451E6D98" w14:textId="77777777" w:rsidR="009934BB" w:rsidRPr="0063119B" w:rsidRDefault="00D031E5" w:rsidP="00D031E5">
            <w:pPr>
              <w:suppressAutoHyphens/>
              <w:rPr>
                <w:noProof/>
                <w:szCs w:val="22"/>
              </w:rPr>
            </w:pPr>
            <w:r w:rsidRPr="0063119B">
              <w:rPr>
                <w:noProof/>
                <w:szCs w:val="22"/>
              </w:rPr>
              <w:t>A</w:t>
            </w:r>
            <w:r w:rsidR="009934BB" w:rsidRPr="0063119B">
              <w:rPr>
                <w:noProof/>
                <w:szCs w:val="22"/>
              </w:rPr>
              <w:t>umento da HDL</w:t>
            </w:r>
            <w:r w:rsidR="009934BB" w:rsidRPr="0063119B">
              <w:rPr>
                <w:noProof/>
                <w:szCs w:val="22"/>
                <w:vertAlign w:val="superscript"/>
              </w:rPr>
              <w:t>A</w:t>
            </w:r>
            <w:r w:rsidR="009934BB" w:rsidRPr="0063119B">
              <w:rPr>
                <w:noProof/>
                <w:szCs w:val="22"/>
              </w:rPr>
              <w:t>, aumento da lipase</w:t>
            </w:r>
            <w:r w:rsidR="009934BB" w:rsidRPr="0063119B">
              <w:rPr>
                <w:noProof/>
                <w:szCs w:val="22"/>
                <w:vertAlign w:val="superscript"/>
              </w:rPr>
              <w:t>A</w:t>
            </w:r>
            <w:r w:rsidR="009934BB" w:rsidRPr="0063119B">
              <w:rPr>
                <w:noProof/>
                <w:szCs w:val="22"/>
              </w:rPr>
              <w:t>, aumento da amilase</w:t>
            </w:r>
            <w:r w:rsidR="009934BB" w:rsidRPr="0063119B">
              <w:rPr>
                <w:noProof/>
                <w:szCs w:val="22"/>
                <w:vertAlign w:val="superscript"/>
              </w:rPr>
              <w:t>A</w:t>
            </w:r>
          </w:p>
        </w:tc>
        <w:tc>
          <w:tcPr>
            <w:tcW w:w="1756" w:type="dxa"/>
          </w:tcPr>
          <w:p w14:paraId="3B5F2FA5" w14:textId="77777777" w:rsidR="009934BB" w:rsidRPr="0063119B" w:rsidRDefault="009934BB" w:rsidP="0044301C">
            <w:pPr>
              <w:suppressAutoHyphens/>
              <w:rPr>
                <w:noProof/>
                <w:szCs w:val="22"/>
              </w:rPr>
            </w:pPr>
          </w:p>
        </w:tc>
        <w:tc>
          <w:tcPr>
            <w:tcW w:w="1842" w:type="dxa"/>
          </w:tcPr>
          <w:p w14:paraId="4DB39519" w14:textId="77777777" w:rsidR="009934BB" w:rsidRPr="0063119B" w:rsidRDefault="009934BB" w:rsidP="0044301C">
            <w:pPr>
              <w:suppressAutoHyphens/>
              <w:rPr>
                <w:noProof/>
                <w:szCs w:val="22"/>
              </w:rPr>
            </w:pPr>
          </w:p>
        </w:tc>
        <w:tc>
          <w:tcPr>
            <w:tcW w:w="1916" w:type="dxa"/>
          </w:tcPr>
          <w:p w14:paraId="7D6BB6D8" w14:textId="77777777" w:rsidR="009934BB" w:rsidRPr="0063119B" w:rsidRDefault="009934BB" w:rsidP="0044301C">
            <w:pPr>
              <w:suppressAutoHyphens/>
              <w:rPr>
                <w:noProof/>
                <w:szCs w:val="22"/>
              </w:rPr>
            </w:pPr>
          </w:p>
        </w:tc>
      </w:tr>
      <w:tr w:rsidR="009934BB" w:rsidRPr="0063119B" w14:paraId="38D644C4" w14:textId="77777777" w:rsidTr="009934BB">
        <w:tc>
          <w:tcPr>
            <w:tcW w:w="9276" w:type="dxa"/>
            <w:gridSpan w:val="5"/>
          </w:tcPr>
          <w:p w14:paraId="0179CDBC" w14:textId="77777777" w:rsidR="009934BB" w:rsidRPr="0063119B" w:rsidRDefault="009934BB" w:rsidP="0044301C">
            <w:pPr>
              <w:suppressAutoHyphens/>
              <w:rPr>
                <w:noProof/>
                <w:szCs w:val="22"/>
              </w:rPr>
            </w:pPr>
            <w:r w:rsidRPr="0063119B">
              <w:rPr>
                <w:b/>
                <w:noProof/>
                <w:szCs w:val="22"/>
              </w:rPr>
              <w:t>Complicações de intervenções relacionadas com lesões e intoxicações</w:t>
            </w:r>
          </w:p>
        </w:tc>
      </w:tr>
      <w:tr w:rsidR="009934BB" w:rsidRPr="0063119B" w14:paraId="5F3FC1AB" w14:textId="77777777" w:rsidTr="00D733A1">
        <w:tc>
          <w:tcPr>
            <w:tcW w:w="1950" w:type="dxa"/>
          </w:tcPr>
          <w:p w14:paraId="0F18F823" w14:textId="77777777" w:rsidR="009934BB" w:rsidRPr="0063119B" w:rsidRDefault="009934BB" w:rsidP="0044301C">
            <w:pPr>
              <w:suppressAutoHyphens/>
              <w:rPr>
                <w:noProof/>
                <w:szCs w:val="22"/>
              </w:rPr>
            </w:pPr>
            <w:r w:rsidRPr="0063119B">
              <w:rPr>
                <w:noProof/>
                <w:szCs w:val="22"/>
              </w:rPr>
              <w:t>Hemorragia pós</w:t>
            </w:r>
            <w:r w:rsidRPr="0063119B">
              <w:rPr>
                <w:noProof/>
                <w:szCs w:val="22"/>
              </w:rPr>
              <w:noBreakHyphen/>
              <w:t>procedimento (incl. anemia pós</w:t>
            </w:r>
            <w:r w:rsidRPr="0063119B">
              <w:rPr>
                <w:noProof/>
                <w:szCs w:val="22"/>
              </w:rPr>
              <w:noBreakHyphen/>
              <w:t>operatória e hemorragia da ferida), contusão, secreção da ferida</w:t>
            </w:r>
            <w:r w:rsidRPr="0063119B">
              <w:rPr>
                <w:noProof/>
                <w:szCs w:val="22"/>
                <w:vertAlign w:val="superscript"/>
              </w:rPr>
              <w:t>A</w:t>
            </w:r>
          </w:p>
        </w:tc>
        <w:tc>
          <w:tcPr>
            <w:tcW w:w="1812" w:type="dxa"/>
          </w:tcPr>
          <w:p w14:paraId="4BF408FE" w14:textId="77777777" w:rsidR="009934BB" w:rsidRPr="0063119B" w:rsidRDefault="009934BB" w:rsidP="0044301C">
            <w:pPr>
              <w:suppressAutoHyphens/>
              <w:rPr>
                <w:noProof/>
                <w:szCs w:val="22"/>
              </w:rPr>
            </w:pPr>
          </w:p>
        </w:tc>
        <w:tc>
          <w:tcPr>
            <w:tcW w:w="1756" w:type="dxa"/>
          </w:tcPr>
          <w:p w14:paraId="6C09CD8A" w14:textId="77777777" w:rsidR="009934BB" w:rsidRPr="0063119B" w:rsidRDefault="009934BB" w:rsidP="0044301C">
            <w:pPr>
              <w:suppressAutoHyphens/>
              <w:rPr>
                <w:noProof/>
                <w:szCs w:val="22"/>
              </w:rPr>
            </w:pPr>
            <w:r w:rsidRPr="0063119B">
              <w:rPr>
                <w:noProof/>
                <w:szCs w:val="22"/>
              </w:rPr>
              <w:t>Pseudoaneurisma vascular</w:t>
            </w:r>
            <w:r w:rsidRPr="0063119B">
              <w:rPr>
                <w:noProof/>
                <w:szCs w:val="22"/>
                <w:vertAlign w:val="superscript"/>
              </w:rPr>
              <w:t>C</w:t>
            </w:r>
          </w:p>
        </w:tc>
        <w:tc>
          <w:tcPr>
            <w:tcW w:w="1842" w:type="dxa"/>
          </w:tcPr>
          <w:p w14:paraId="4F1F1C18" w14:textId="77777777" w:rsidR="009934BB" w:rsidRPr="0063119B" w:rsidRDefault="009934BB" w:rsidP="0044301C">
            <w:pPr>
              <w:suppressAutoHyphens/>
              <w:rPr>
                <w:noProof/>
                <w:szCs w:val="22"/>
              </w:rPr>
            </w:pPr>
          </w:p>
        </w:tc>
        <w:tc>
          <w:tcPr>
            <w:tcW w:w="1916" w:type="dxa"/>
          </w:tcPr>
          <w:p w14:paraId="7785B363" w14:textId="77777777" w:rsidR="009934BB" w:rsidRPr="0063119B" w:rsidRDefault="009934BB" w:rsidP="0044301C">
            <w:pPr>
              <w:suppressAutoHyphens/>
              <w:rPr>
                <w:noProof/>
                <w:szCs w:val="22"/>
              </w:rPr>
            </w:pPr>
          </w:p>
        </w:tc>
      </w:tr>
    </w:tbl>
    <w:p w14:paraId="2BF59BC2" w14:textId="77777777" w:rsidR="00337111" w:rsidRPr="0063119B" w:rsidRDefault="00337111" w:rsidP="00337111">
      <w:pPr>
        <w:suppressAutoHyphens/>
        <w:rPr>
          <w:noProof/>
          <w:szCs w:val="22"/>
        </w:rPr>
      </w:pPr>
      <w:r w:rsidRPr="0063119B">
        <w:rPr>
          <w:szCs w:val="22"/>
        </w:rPr>
        <w:t>A: observados na p</w:t>
      </w:r>
      <w:r w:rsidRPr="0063119B">
        <w:rPr>
          <w:noProof/>
          <w:szCs w:val="22"/>
        </w:rPr>
        <w:t>revenção do TEV em doentes adultos submetidos a artroplastia eletiva da anca ou joelho</w:t>
      </w:r>
    </w:p>
    <w:p w14:paraId="086524C4" w14:textId="77777777" w:rsidR="00337111" w:rsidRPr="0063119B" w:rsidRDefault="00337111" w:rsidP="00337111">
      <w:pPr>
        <w:rPr>
          <w:szCs w:val="22"/>
        </w:rPr>
      </w:pPr>
      <w:r w:rsidRPr="0063119B">
        <w:rPr>
          <w:szCs w:val="22"/>
        </w:rPr>
        <w:t>B: observados no tratamento da TVP, EP e prevenção da recorrência como muito frequentes em mulheres com &lt; 55 anos</w:t>
      </w:r>
    </w:p>
    <w:p w14:paraId="2B402B07" w14:textId="77777777" w:rsidR="00337111" w:rsidRPr="0063119B" w:rsidRDefault="00337111" w:rsidP="00337111">
      <w:pPr>
        <w:rPr>
          <w:szCs w:val="22"/>
        </w:rPr>
      </w:pPr>
      <w:r w:rsidRPr="0063119B">
        <w:rPr>
          <w:szCs w:val="22"/>
        </w:rPr>
        <w:t xml:space="preserve">C: observados como pouco frequentes na prevenção </w:t>
      </w:r>
      <w:r w:rsidR="003813F1" w:rsidRPr="0063119B">
        <w:rPr>
          <w:szCs w:val="22"/>
        </w:rPr>
        <w:t>de acontecimentos aterotrombóticos</w:t>
      </w:r>
      <w:r w:rsidRPr="0063119B">
        <w:rPr>
          <w:szCs w:val="22"/>
        </w:rPr>
        <w:t xml:space="preserve"> em doentes após um SCA (após intervenção </w:t>
      </w:r>
      <w:r w:rsidR="003813F1" w:rsidRPr="0063119B">
        <w:rPr>
          <w:szCs w:val="22"/>
        </w:rPr>
        <w:t xml:space="preserve">coronária </w:t>
      </w:r>
      <w:r w:rsidRPr="0063119B">
        <w:rPr>
          <w:szCs w:val="22"/>
        </w:rPr>
        <w:t>percutânea)</w:t>
      </w:r>
    </w:p>
    <w:p w14:paraId="57BF6B61" w14:textId="77777777" w:rsidR="00A82450" w:rsidRPr="0063119B" w:rsidRDefault="00A82450" w:rsidP="00145B36">
      <w:pPr>
        <w:tabs>
          <w:tab w:val="left" w:pos="284"/>
        </w:tabs>
        <w:rPr>
          <w:szCs w:val="22"/>
        </w:rPr>
      </w:pPr>
      <w:r w:rsidRPr="0063119B">
        <w:rPr>
          <w:szCs w:val="22"/>
        </w:rPr>
        <w:t>*</w:t>
      </w:r>
      <w:r w:rsidRPr="0063119B">
        <w:rPr>
          <w:szCs w:val="22"/>
        </w:rPr>
        <w:tab/>
      </w:r>
      <w:r w:rsidR="00BF0E6B">
        <w:t>Aplicou-se uma abordagem seletiva pré-especificada para a recolha de acontecimentos adversos em estudos de fase III selecionados. A incidência de reações adversas não aumentou e não foi identificada nenhuma reação adversa medicamentosa nova após a análise destes estudos.</w:t>
      </w:r>
    </w:p>
    <w:p w14:paraId="65875F26" w14:textId="77777777" w:rsidR="00337111" w:rsidRPr="0063119B" w:rsidRDefault="00337111" w:rsidP="00337111">
      <w:pPr>
        <w:suppressAutoHyphens/>
        <w:rPr>
          <w:noProof/>
          <w:szCs w:val="22"/>
        </w:rPr>
      </w:pPr>
    </w:p>
    <w:p w14:paraId="155A18C3" w14:textId="77777777" w:rsidR="00337111" w:rsidRPr="0063119B" w:rsidRDefault="00337111" w:rsidP="003311FD">
      <w:pPr>
        <w:keepNext/>
        <w:suppressAutoHyphens/>
        <w:rPr>
          <w:noProof/>
          <w:szCs w:val="22"/>
          <w:u w:val="single"/>
        </w:rPr>
      </w:pPr>
      <w:r w:rsidRPr="0063119B">
        <w:rPr>
          <w:noProof/>
          <w:szCs w:val="22"/>
          <w:u w:val="single"/>
        </w:rPr>
        <w:t>Descrição das reações adversas selecionadas</w:t>
      </w:r>
    </w:p>
    <w:p w14:paraId="3C74B028" w14:textId="77777777" w:rsidR="00CD587B" w:rsidRPr="0063119B" w:rsidRDefault="00CD587B" w:rsidP="00337111">
      <w:pPr>
        <w:suppressAutoHyphens/>
        <w:rPr>
          <w:noProof/>
          <w:szCs w:val="22"/>
        </w:rPr>
      </w:pPr>
    </w:p>
    <w:p w14:paraId="6396B4AA" w14:textId="77777777" w:rsidR="00337111" w:rsidRPr="0063119B" w:rsidRDefault="00337111" w:rsidP="00337111">
      <w:pPr>
        <w:suppressAutoHyphens/>
        <w:rPr>
          <w:noProof/>
          <w:szCs w:val="22"/>
        </w:rPr>
      </w:pPr>
      <w:r w:rsidRPr="0063119B">
        <w:rPr>
          <w:noProof/>
          <w:szCs w:val="22"/>
        </w:rPr>
        <w:t xml:space="preserve">Devido ao modo de ação farmacológico, a utilização de </w:t>
      </w:r>
      <w:r w:rsidR="00651577" w:rsidRPr="0063119B">
        <w:rPr>
          <w:szCs w:val="22"/>
        </w:rPr>
        <w:t>rivaroxabano</w:t>
      </w:r>
      <w:r w:rsidRPr="0063119B">
        <w:rPr>
          <w:noProof/>
          <w:szCs w:val="22"/>
        </w:rPr>
        <w:t xml:space="preserve"> pode estar associada a um risco acrescido de hemorragia, oculta ou evidente, de qualquer tecido ou órgão, que pode resultar em anemia pós</w:t>
      </w:r>
      <w:r w:rsidRPr="0063119B">
        <w:rPr>
          <w:noProof/>
          <w:szCs w:val="22"/>
        </w:rPr>
        <w:noBreakHyphen/>
        <w:t xml:space="preserve">hemorrágica. Os sinais, sintomas e gravidade (incluindo desfecho fatal) irão variar de acordo com a localização e o grau ou a extensão da hemorragia e/ou anemia (ver secção 4.9 Controlo da hemorragia). </w:t>
      </w:r>
      <w:r w:rsidR="00D701F0" w:rsidRPr="0063119B">
        <w:rPr>
          <w:noProof/>
          <w:szCs w:val="22"/>
        </w:rPr>
        <w:t>Nos</w:t>
      </w:r>
      <w:r w:rsidRPr="0063119B">
        <w:rPr>
          <w:noProof/>
          <w:szCs w:val="22"/>
        </w:rPr>
        <w:t xml:space="preserve"> estudos clínicos, foram observadas com maior frequência hemorragias das mucosas (ex.: epistaxe, gengival, gastrointestinal, genitourinária</w:t>
      </w:r>
      <w:r w:rsidR="008E7EA4" w:rsidRPr="0063119B">
        <w:rPr>
          <w:noProof/>
          <w:szCs w:val="22"/>
        </w:rPr>
        <w:t xml:space="preserve"> incluindo hemorragia vaginal anormal ou menstrual aumentada</w:t>
      </w:r>
      <w:r w:rsidRPr="0063119B">
        <w:rPr>
          <w:noProof/>
          <w:szCs w:val="22"/>
        </w:rPr>
        <w:t>) e anemia durante o tratamento prolongado com rivaroxabano, comparativamente ao tratamento com AVK. Assim, para além de uma vigilância clínica adequada, testes laboratoriais de hemoglobina/hematócrito podem ser uma mais</w:t>
      </w:r>
      <w:r w:rsidR="00FE6F39" w:rsidRPr="0063119B">
        <w:rPr>
          <w:noProof/>
          <w:szCs w:val="22"/>
        </w:rPr>
        <w:t>-</w:t>
      </w:r>
      <w:r w:rsidRPr="0063119B">
        <w:rPr>
          <w:noProof/>
          <w:szCs w:val="22"/>
        </w:rPr>
        <w:t xml:space="preserve">valia para detetar hemorragias </w:t>
      </w:r>
      <w:r w:rsidRPr="0063119B">
        <w:rPr>
          <w:noProof/>
          <w:szCs w:val="22"/>
        </w:rPr>
        <w:lastRenderedPageBreak/>
        <w:t>ocultas</w:t>
      </w:r>
      <w:r w:rsidR="008E7EA4" w:rsidRPr="0063119B">
        <w:rPr>
          <w:noProof/>
          <w:szCs w:val="22"/>
        </w:rPr>
        <w:t xml:space="preserve"> e quantificar a relevância clínica de uma hemorragia óbvia</w:t>
      </w:r>
      <w:r w:rsidRPr="0063119B">
        <w:rPr>
          <w:noProof/>
          <w:szCs w:val="22"/>
        </w:rPr>
        <w:t xml:space="preserve">, quando considerado necessário. O risco de hemorragias pode estar aumentado em certos grupos de doentes, como por exemplo, os doentes com hipertensão arterial grave não controlada e/ou em tratamento concomitante, afetando a hemostase (ver </w:t>
      </w:r>
      <w:r w:rsidR="00487F72" w:rsidRPr="0063119B">
        <w:rPr>
          <w:noProof/>
          <w:szCs w:val="22"/>
        </w:rPr>
        <w:t>secção 4.4 “</w:t>
      </w:r>
      <w:r w:rsidRPr="0063119B">
        <w:rPr>
          <w:noProof/>
          <w:szCs w:val="22"/>
        </w:rPr>
        <w:t>Risco hemorrágico</w:t>
      </w:r>
      <w:r w:rsidR="00487F72" w:rsidRPr="0063119B">
        <w:rPr>
          <w:noProof/>
          <w:szCs w:val="22"/>
        </w:rPr>
        <w:t>”</w:t>
      </w:r>
      <w:r w:rsidRPr="0063119B">
        <w:rPr>
          <w:noProof/>
          <w:szCs w:val="22"/>
        </w:rPr>
        <w:t>). A hemorragia menstrual pode estar intensificada e/ou prolongada. As complicações hemorrágicas poderão apresentar</w:t>
      </w:r>
      <w:r w:rsidRPr="0063119B">
        <w:rPr>
          <w:noProof/>
          <w:szCs w:val="22"/>
        </w:rPr>
        <w:noBreakHyphen/>
        <w:t>se como fraqueza, palidez, tonturas, cefaleias ou edema inexplicável, dispneia e choque inexplicável. Em alguns casos, observaram</w:t>
      </w:r>
      <w:r w:rsidRPr="0063119B">
        <w:rPr>
          <w:noProof/>
          <w:szCs w:val="22"/>
        </w:rPr>
        <w:noBreakHyphen/>
        <w:t>se, como consequência da anemia, sintomas de isquémia cardíaca como dor no peito ou angina de peito.</w:t>
      </w:r>
    </w:p>
    <w:p w14:paraId="279DB833" w14:textId="064DDA79" w:rsidR="00337111" w:rsidRPr="0063119B" w:rsidRDefault="00337111" w:rsidP="00337111">
      <w:pPr>
        <w:suppressAutoHyphens/>
        <w:rPr>
          <w:noProof/>
          <w:szCs w:val="22"/>
        </w:rPr>
      </w:pPr>
      <w:r w:rsidRPr="0063119B">
        <w:rPr>
          <w:noProof/>
          <w:szCs w:val="22"/>
        </w:rPr>
        <w:t xml:space="preserve">Foram notificadas com </w:t>
      </w:r>
      <w:r w:rsidR="00651577" w:rsidRPr="0063119B">
        <w:rPr>
          <w:noProof/>
          <w:szCs w:val="22"/>
        </w:rPr>
        <w:t xml:space="preserve">o </w:t>
      </w:r>
      <w:r w:rsidR="00651577" w:rsidRPr="0063119B">
        <w:rPr>
          <w:szCs w:val="22"/>
        </w:rPr>
        <w:t>rivaroxabano</w:t>
      </w:r>
      <w:r w:rsidR="00651577" w:rsidRPr="0063119B">
        <w:rPr>
          <w:noProof/>
          <w:szCs w:val="22"/>
        </w:rPr>
        <w:t xml:space="preserve"> </w:t>
      </w:r>
      <w:r w:rsidRPr="0063119B">
        <w:rPr>
          <w:noProof/>
          <w:szCs w:val="22"/>
        </w:rPr>
        <w:t>complicações secundárias conhecidas à hemorragia grave, tais como síndrome compartimental e insuficiência renal devidas à hipoperfusão</w:t>
      </w:r>
      <w:r w:rsidR="00347A76">
        <w:rPr>
          <w:noProof/>
          <w:szCs w:val="22"/>
        </w:rPr>
        <w:t xml:space="preserve"> </w:t>
      </w:r>
      <w:r w:rsidR="00347A76">
        <w:t>ou nefropatia relacionada com anticoagulante</w:t>
      </w:r>
      <w:r w:rsidRPr="0063119B">
        <w:rPr>
          <w:noProof/>
          <w:szCs w:val="22"/>
        </w:rPr>
        <w:t>. Por este motivo, ao avaliar</w:t>
      </w:r>
      <w:r w:rsidRPr="0063119B">
        <w:rPr>
          <w:noProof/>
          <w:szCs w:val="22"/>
        </w:rPr>
        <w:noBreakHyphen/>
        <w:t>se o estado de qualquer doente tratado com anticoagulantes, deverá ser considerada a possibilidade de hemorragia.</w:t>
      </w:r>
    </w:p>
    <w:p w14:paraId="68B03938" w14:textId="77777777" w:rsidR="00BA0AA0" w:rsidRDefault="00BA0AA0" w:rsidP="00BA0AA0">
      <w:pPr>
        <w:tabs>
          <w:tab w:val="left" w:pos="4074"/>
        </w:tabs>
        <w:rPr>
          <w:szCs w:val="22"/>
        </w:rPr>
      </w:pPr>
    </w:p>
    <w:p w14:paraId="4B8FF821" w14:textId="77777777" w:rsidR="002F5919" w:rsidRPr="006A13A4" w:rsidRDefault="002F5919" w:rsidP="002F5919">
      <w:pPr>
        <w:autoSpaceDE w:val="0"/>
        <w:autoSpaceDN w:val="0"/>
        <w:adjustRightInd w:val="0"/>
        <w:rPr>
          <w:color w:val="000000"/>
          <w:szCs w:val="22"/>
          <w:u w:val="single"/>
          <w:lang w:eastAsia="pt-PT"/>
        </w:rPr>
      </w:pPr>
      <w:r w:rsidRPr="006A13A4">
        <w:rPr>
          <w:color w:val="000000"/>
          <w:szCs w:val="22"/>
          <w:u w:val="single"/>
          <w:lang w:eastAsia="pt-PT"/>
        </w:rPr>
        <w:t xml:space="preserve">População pediátrica </w:t>
      </w:r>
    </w:p>
    <w:p w14:paraId="00397326" w14:textId="47C136F3" w:rsidR="00320623" w:rsidRPr="006A13A4" w:rsidRDefault="00320623" w:rsidP="002F5919">
      <w:pPr>
        <w:autoSpaceDE w:val="0"/>
        <w:autoSpaceDN w:val="0"/>
        <w:adjustRightInd w:val="0"/>
        <w:rPr>
          <w:i/>
          <w:iCs/>
          <w:color w:val="000000"/>
          <w:szCs w:val="22"/>
          <w:lang w:eastAsia="pt-PT"/>
        </w:rPr>
      </w:pPr>
      <w:r w:rsidRPr="006A13A4">
        <w:rPr>
          <w:i/>
          <w:iCs/>
        </w:rPr>
        <w:t>Tratamento do TVE e prevenção da recorrência do TVE</w:t>
      </w:r>
    </w:p>
    <w:p w14:paraId="6D2EDB35" w14:textId="66F92CD2" w:rsidR="002F5919" w:rsidRPr="002F5919" w:rsidRDefault="002F5919" w:rsidP="002F5919">
      <w:pPr>
        <w:autoSpaceDE w:val="0"/>
        <w:autoSpaceDN w:val="0"/>
        <w:adjustRightInd w:val="0"/>
        <w:rPr>
          <w:color w:val="000000"/>
          <w:szCs w:val="22"/>
          <w:lang w:eastAsia="pt-PT"/>
        </w:rPr>
      </w:pPr>
      <w:r w:rsidRPr="002F5919">
        <w:rPr>
          <w:color w:val="000000"/>
          <w:szCs w:val="22"/>
          <w:lang w:eastAsia="pt-PT"/>
        </w:rPr>
        <w:t xml:space="preserve">A avaliação da segurança em crianças e adolescentes baseia-se nos dados da segurança de dois estudos de fase II e um de fase III abertos, controlados com substância ativa, em doentes pediátricos com idade entre o nascimento e até menos de 18 anos de idade. Os achados da segurança foram, em geral, semelhantes entre o rivaroxabano e o comparador nos vários grupos etários pediátricos. Em termos globais, o perfil de segurança nas 412 crianças e adolescentes tratados com rivaroxabano foi semelhante ao observado na população adulta e foi consistente entre os subgrupos etários, embora a avaliação tenha sido limitada pelo pequeno número de doentes. </w:t>
      </w:r>
    </w:p>
    <w:p w14:paraId="399C7C90" w14:textId="77777777" w:rsidR="002F5919" w:rsidRDefault="002F5919" w:rsidP="002F5919">
      <w:pPr>
        <w:tabs>
          <w:tab w:val="left" w:pos="4074"/>
        </w:tabs>
        <w:rPr>
          <w:color w:val="000000"/>
          <w:szCs w:val="22"/>
          <w:lang w:eastAsia="pt-PT"/>
        </w:rPr>
      </w:pPr>
      <w:r w:rsidRPr="002F5919">
        <w:rPr>
          <w:color w:val="000000"/>
          <w:szCs w:val="22"/>
          <w:lang w:eastAsia="pt-PT"/>
        </w:rPr>
        <w:t>Nos doentes pediátricos foram notificadas com maior frequência cefaleias (muito frequente, 16,7%), febre (muito frequente, 11,7%), epistaxe (muito frequente, 11,2%), vómitos (muito frequente, 10,7%), taquicardia (frequente, 1,5%), aumento da bilirrubina (frequente, 1,5%) e aumento da bilirrubina conjugada (pouco frequente, 0,7%) em comparação com os adultos. Consistemente com a população adulta, observou-se menorragia em 6,6% (frequente) das adolescentes após a menarca. A trombocitopenia, conforme observada na experiência pós-comercialização na população adulta, foi frequente (4,6%) em ensaios clínicos pediátricos. As reações adversas medicamentosas</w:t>
      </w:r>
      <w:r w:rsidRPr="002F5919">
        <w:rPr>
          <w:szCs w:val="22"/>
        </w:rPr>
        <w:t xml:space="preserve"> </w:t>
      </w:r>
      <w:r>
        <w:rPr>
          <w:szCs w:val="22"/>
        </w:rPr>
        <w:t>em doentes pediátricos foram principalmente de intensidade ligeira a moderada.</w:t>
      </w:r>
    </w:p>
    <w:p w14:paraId="436360FA" w14:textId="77777777" w:rsidR="002F5919" w:rsidRPr="0063119B" w:rsidRDefault="002F5919" w:rsidP="002F5919">
      <w:pPr>
        <w:tabs>
          <w:tab w:val="left" w:pos="4074"/>
        </w:tabs>
        <w:rPr>
          <w:szCs w:val="22"/>
        </w:rPr>
      </w:pPr>
    </w:p>
    <w:p w14:paraId="568C274B" w14:textId="77777777" w:rsidR="00392EA8" w:rsidRPr="0063119B" w:rsidRDefault="00392EA8" w:rsidP="00392EA8">
      <w:pPr>
        <w:suppressAutoHyphens/>
        <w:rPr>
          <w:szCs w:val="22"/>
          <w:u w:val="single"/>
        </w:rPr>
      </w:pPr>
      <w:r w:rsidRPr="0063119B">
        <w:rPr>
          <w:noProof/>
          <w:szCs w:val="22"/>
          <w:u w:val="single"/>
        </w:rPr>
        <w:t>Notificação de suspeitas de reações adversas</w:t>
      </w:r>
    </w:p>
    <w:p w14:paraId="59CC453B" w14:textId="77777777" w:rsidR="00BA0AA0" w:rsidRPr="0063119B" w:rsidRDefault="00392EA8" w:rsidP="00392EA8">
      <w:pPr>
        <w:keepNext/>
        <w:keepLines/>
        <w:tabs>
          <w:tab w:val="left" w:pos="4074"/>
        </w:tabs>
        <w:rPr>
          <w:noProof/>
          <w:szCs w:val="22"/>
        </w:rPr>
      </w:pPr>
      <w:r w:rsidRPr="0063119B">
        <w:rPr>
          <w:noProof/>
          <w:szCs w:val="22"/>
        </w:rPr>
        <w:t>A notificação de suspeitas de reações adversas após a autorização do medicamento é importante, uma vez que permite uma monitorização contínua da relação benefício-risco do medicamento.</w:t>
      </w:r>
      <w:r w:rsidRPr="0063119B">
        <w:rPr>
          <w:szCs w:val="22"/>
        </w:rPr>
        <w:t xml:space="preserve"> Pede-se aos profissionais de saúde que notifiquem quaisquer suspeitas de reações adversas através </w:t>
      </w:r>
      <w:r w:rsidRPr="0063119B">
        <w:rPr>
          <w:szCs w:val="22"/>
          <w:highlight w:val="lightGray"/>
        </w:rPr>
        <w:t xml:space="preserve">do sistema nacional de notificação mencionado no </w:t>
      </w:r>
      <w:hyperlink r:id="rId18" w:history="1">
        <w:r w:rsidRPr="0063119B">
          <w:rPr>
            <w:rStyle w:val="Hyperlink"/>
            <w:szCs w:val="22"/>
            <w:highlight w:val="lightGray"/>
          </w:rPr>
          <w:t>Apêndice V</w:t>
        </w:r>
      </w:hyperlink>
      <w:r w:rsidR="00BA0AA0" w:rsidRPr="0063119B">
        <w:rPr>
          <w:noProof/>
          <w:szCs w:val="22"/>
        </w:rPr>
        <w:t>.</w:t>
      </w:r>
    </w:p>
    <w:p w14:paraId="0C88D23C" w14:textId="77777777" w:rsidR="00C0156E" w:rsidRPr="0063119B" w:rsidRDefault="00C0156E" w:rsidP="003345A8">
      <w:pPr>
        <w:tabs>
          <w:tab w:val="left" w:pos="4074"/>
        </w:tabs>
        <w:rPr>
          <w:noProof/>
          <w:szCs w:val="22"/>
        </w:rPr>
      </w:pPr>
    </w:p>
    <w:p w14:paraId="77F60D8D" w14:textId="77777777" w:rsidR="00337111" w:rsidRPr="0063119B" w:rsidRDefault="00337111" w:rsidP="003345A8">
      <w:pPr>
        <w:keepNext/>
        <w:suppressAutoHyphens/>
        <w:ind w:left="567" w:hanging="567"/>
        <w:rPr>
          <w:noProof/>
          <w:szCs w:val="22"/>
        </w:rPr>
      </w:pPr>
      <w:r w:rsidRPr="0063119B">
        <w:rPr>
          <w:b/>
          <w:noProof/>
          <w:szCs w:val="22"/>
        </w:rPr>
        <w:t>4.9</w:t>
      </w:r>
      <w:r w:rsidRPr="0063119B">
        <w:rPr>
          <w:b/>
          <w:noProof/>
          <w:szCs w:val="22"/>
        </w:rPr>
        <w:tab/>
        <w:t>Sobredosagem</w:t>
      </w:r>
    </w:p>
    <w:p w14:paraId="3572DE8C" w14:textId="77777777" w:rsidR="00337111" w:rsidRPr="0063119B" w:rsidRDefault="00337111" w:rsidP="003345A8">
      <w:pPr>
        <w:keepNext/>
        <w:suppressAutoHyphens/>
        <w:rPr>
          <w:noProof/>
          <w:szCs w:val="22"/>
        </w:rPr>
      </w:pPr>
    </w:p>
    <w:p w14:paraId="12D0724F" w14:textId="77777777" w:rsidR="00337111" w:rsidRPr="0063119B" w:rsidRDefault="00337111" w:rsidP="003345A8">
      <w:pPr>
        <w:keepNext/>
        <w:suppressAutoHyphens/>
        <w:rPr>
          <w:rFonts w:eastAsia="MS Mincho"/>
          <w:szCs w:val="22"/>
          <w:lang w:eastAsia="ja-JP"/>
        </w:rPr>
      </w:pPr>
      <w:r w:rsidRPr="0063119B">
        <w:rPr>
          <w:szCs w:val="22"/>
        </w:rPr>
        <w:t>Foram notificados casos raros de sobredosagem</w:t>
      </w:r>
      <w:r w:rsidR="002F5919">
        <w:rPr>
          <w:szCs w:val="22"/>
        </w:rPr>
        <w:t xml:space="preserve"> em adultos</w:t>
      </w:r>
      <w:r w:rsidRPr="0063119B">
        <w:rPr>
          <w:szCs w:val="22"/>
        </w:rPr>
        <w:t xml:space="preserve"> com doses até </w:t>
      </w:r>
      <w:r w:rsidR="002F5919">
        <w:rPr>
          <w:szCs w:val="22"/>
        </w:rPr>
        <w:t>19</w:t>
      </w:r>
      <w:r w:rsidRPr="0063119B">
        <w:rPr>
          <w:szCs w:val="22"/>
        </w:rPr>
        <w:t>60 mg</w:t>
      </w:r>
      <w:r w:rsidR="002F5919">
        <w:rPr>
          <w:szCs w:val="22"/>
        </w:rPr>
        <w:t>.</w:t>
      </w:r>
      <w:r w:rsidRPr="0063119B">
        <w:rPr>
          <w:szCs w:val="22"/>
        </w:rPr>
        <w:t xml:space="preserve"> </w:t>
      </w:r>
      <w:r w:rsidR="007E13AF">
        <w:rPr>
          <w:szCs w:val="22"/>
        </w:rPr>
        <w:t>Em casos de sobredosagem, o doente deve ser cuidadosamente observado quanto a</w:t>
      </w:r>
      <w:r w:rsidRPr="0063119B">
        <w:rPr>
          <w:szCs w:val="22"/>
        </w:rPr>
        <w:t xml:space="preserve"> complicações hemorrágicas ou outras reações adversas</w:t>
      </w:r>
      <w:r w:rsidR="007E13AF">
        <w:rPr>
          <w:szCs w:val="22"/>
        </w:rPr>
        <w:t xml:space="preserve"> (ver secção “Controlo da hemorragia”)</w:t>
      </w:r>
      <w:r w:rsidRPr="0063119B">
        <w:rPr>
          <w:szCs w:val="22"/>
        </w:rPr>
        <w:t xml:space="preserve">. </w:t>
      </w:r>
      <w:r w:rsidR="007E13AF">
        <w:rPr>
          <w:szCs w:val="22"/>
        </w:rPr>
        <w:t xml:space="preserve">Os dados disponíveis em crianças são limitados. </w:t>
      </w:r>
      <w:r w:rsidRPr="0063119B">
        <w:rPr>
          <w:rFonts w:eastAsia="MS Mincho"/>
          <w:szCs w:val="22"/>
          <w:lang w:eastAsia="ja-JP"/>
        </w:rPr>
        <w:t>Devido à absorção limitada, prevê</w:t>
      </w:r>
      <w:r w:rsidRPr="0063119B">
        <w:rPr>
          <w:rFonts w:eastAsia="MS Mincho"/>
          <w:szCs w:val="22"/>
          <w:lang w:eastAsia="ja-JP"/>
        </w:rPr>
        <w:noBreakHyphen/>
        <w:t>se um efeito máximo sem aumento adicional da exposição plasmática média em doses supraterapêuticas de 50 mg ou mais de rivaroxabano</w:t>
      </w:r>
      <w:r w:rsidR="007E13AF">
        <w:rPr>
          <w:rFonts w:eastAsia="MS Mincho"/>
          <w:szCs w:val="22"/>
          <w:lang w:eastAsia="ja-JP"/>
        </w:rPr>
        <w:t xml:space="preserve"> </w:t>
      </w:r>
      <w:r w:rsidR="007E13AF">
        <w:rPr>
          <w:szCs w:val="22"/>
        </w:rPr>
        <w:t>em adultos, contudo, não existem dados disponíveis com doses supraterapêuticas em crianças</w:t>
      </w:r>
      <w:r w:rsidRPr="0063119B">
        <w:rPr>
          <w:rFonts w:eastAsia="MS Mincho"/>
          <w:szCs w:val="22"/>
          <w:lang w:eastAsia="ja-JP"/>
        </w:rPr>
        <w:t xml:space="preserve">. </w:t>
      </w:r>
    </w:p>
    <w:p w14:paraId="61BE052F" w14:textId="77777777" w:rsidR="00337111" w:rsidRPr="0063119B" w:rsidRDefault="00882FBD" w:rsidP="00337111">
      <w:pPr>
        <w:suppressAutoHyphens/>
        <w:rPr>
          <w:noProof/>
          <w:szCs w:val="22"/>
        </w:rPr>
      </w:pPr>
      <w:r w:rsidRPr="0063119B">
        <w:rPr>
          <w:noProof/>
          <w:szCs w:val="22"/>
        </w:rPr>
        <w:t>E</w:t>
      </w:r>
      <w:r w:rsidR="00337111" w:rsidRPr="0063119B">
        <w:rPr>
          <w:noProof/>
          <w:szCs w:val="22"/>
        </w:rPr>
        <w:t xml:space="preserve">stá disponível um </w:t>
      </w:r>
      <w:r w:rsidRPr="0063119B">
        <w:rPr>
          <w:noProof/>
          <w:szCs w:val="22"/>
        </w:rPr>
        <w:t>agente de reversão específico (andexanet alfa)</w:t>
      </w:r>
      <w:r w:rsidR="00337111" w:rsidRPr="0063119B">
        <w:rPr>
          <w:noProof/>
          <w:szCs w:val="22"/>
        </w:rPr>
        <w:t xml:space="preserve"> que antagoniz</w:t>
      </w:r>
      <w:r w:rsidRPr="0063119B">
        <w:rPr>
          <w:noProof/>
          <w:szCs w:val="22"/>
        </w:rPr>
        <w:t>a</w:t>
      </w:r>
      <w:r w:rsidR="00337111" w:rsidRPr="0063119B">
        <w:rPr>
          <w:noProof/>
          <w:szCs w:val="22"/>
        </w:rPr>
        <w:t xml:space="preserve"> o efeito farmacodinâmico do rivaroxabano</w:t>
      </w:r>
      <w:r w:rsidRPr="0063119B">
        <w:rPr>
          <w:noProof/>
          <w:szCs w:val="22"/>
        </w:rPr>
        <w:t xml:space="preserve"> </w:t>
      </w:r>
      <w:r w:rsidR="007E13AF">
        <w:rPr>
          <w:szCs w:val="22"/>
        </w:rPr>
        <w:t xml:space="preserve">em adultos, mas o mesmo não está estabelecido em crianças </w:t>
      </w:r>
      <w:r w:rsidRPr="0063119B">
        <w:rPr>
          <w:noProof/>
          <w:szCs w:val="22"/>
        </w:rPr>
        <w:t>(ver o Resumo das Características do Medicamento andexanet alfa).</w:t>
      </w:r>
    </w:p>
    <w:p w14:paraId="51D9B6A9" w14:textId="77777777" w:rsidR="00337111" w:rsidRPr="0063119B" w:rsidRDefault="00337111" w:rsidP="00337111">
      <w:pPr>
        <w:suppressAutoHyphens/>
        <w:rPr>
          <w:noProof/>
          <w:szCs w:val="22"/>
        </w:rPr>
      </w:pPr>
      <w:r w:rsidRPr="0063119B">
        <w:rPr>
          <w:noProof/>
          <w:szCs w:val="22"/>
        </w:rPr>
        <w:t>Em caso de sobredosagem com rivaroxabano poderá ser considerada a utilização de carvão ativado para reduzir a absorção.</w:t>
      </w:r>
    </w:p>
    <w:p w14:paraId="28416263" w14:textId="77777777" w:rsidR="00337111" w:rsidRPr="0063119B" w:rsidRDefault="00337111" w:rsidP="00337111">
      <w:pPr>
        <w:suppressAutoHyphens/>
        <w:rPr>
          <w:noProof/>
          <w:szCs w:val="22"/>
        </w:rPr>
      </w:pPr>
    </w:p>
    <w:p w14:paraId="6F684681" w14:textId="77777777" w:rsidR="00337111" w:rsidRDefault="00337111" w:rsidP="00337111">
      <w:pPr>
        <w:suppressAutoHyphens/>
        <w:rPr>
          <w:noProof/>
          <w:szCs w:val="22"/>
          <w:u w:val="single"/>
        </w:rPr>
      </w:pPr>
      <w:r w:rsidRPr="0063119B">
        <w:rPr>
          <w:noProof/>
          <w:szCs w:val="22"/>
          <w:u w:val="single"/>
        </w:rPr>
        <w:t>Controlo da hemorragia</w:t>
      </w:r>
    </w:p>
    <w:p w14:paraId="0E65BB34" w14:textId="77777777" w:rsidR="00F14467" w:rsidRPr="0063119B" w:rsidRDefault="00F14467" w:rsidP="00337111">
      <w:pPr>
        <w:suppressAutoHyphens/>
        <w:rPr>
          <w:noProof/>
          <w:szCs w:val="22"/>
          <w:u w:val="single"/>
        </w:rPr>
      </w:pPr>
    </w:p>
    <w:p w14:paraId="6FCB6293" w14:textId="77777777" w:rsidR="00337111" w:rsidRPr="0063119B" w:rsidRDefault="00337111" w:rsidP="00337111">
      <w:pPr>
        <w:suppressAutoHyphens/>
        <w:rPr>
          <w:noProof/>
          <w:szCs w:val="22"/>
        </w:rPr>
      </w:pPr>
      <w:r w:rsidRPr="0063119B">
        <w:rPr>
          <w:noProof/>
          <w:szCs w:val="22"/>
        </w:rPr>
        <w:t xml:space="preserve">Se ocorrer uma complicação hemorrágica num doente tratado com rivaroxabano, a administração seguinte de rivaroxabano deve ser adiada ou o tratamento interrompido, se se considerar adequado. O rivaroxabano tem uma semivida de aproximadamente 5 a 13 horas </w:t>
      </w:r>
      <w:r w:rsidR="007E13AF">
        <w:rPr>
          <w:szCs w:val="22"/>
        </w:rPr>
        <w:t xml:space="preserve">em adultos. A semivida estimada em crianças, utilizando abordagens com modelos de farmacocinética populacional (popPK), é mais </w:t>
      </w:r>
      <w:r w:rsidR="007E13AF">
        <w:rPr>
          <w:szCs w:val="22"/>
        </w:rPr>
        <w:lastRenderedPageBreak/>
        <w:t xml:space="preserve">curta </w:t>
      </w:r>
      <w:r w:rsidRPr="0063119B">
        <w:rPr>
          <w:noProof/>
          <w:szCs w:val="22"/>
        </w:rPr>
        <w:t>(ver secção 5.2).</w:t>
      </w:r>
      <w:r w:rsidRPr="0063119B" w:rsidDel="006C7CA4">
        <w:rPr>
          <w:noProof/>
          <w:szCs w:val="22"/>
        </w:rPr>
        <w:t xml:space="preserve"> </w:t>
      </w:r>
      <w:r w:rsidRPr="0063119B">
        <w:rPr>
          <w:noProof/>
          <w:szCs w:val="22"/>
        </w:rPr>
        <w:t>O tratamento deve ser individualizado de acordo com a gravidade e localização da hemorragia. Pode utilizar</w:t>
      </w:r>
      <w:r w:rsidRPr="0063119B">
        <w:rPr>
          <w:noProof/>
          <w:szCs w:val="22"/>
        </w:rPr>
        <w:noBreakHyphen/>
        <w:t>se o tratamento sintomático apropriado, conforme necessário, como por exemplo, compressão mecânica (ex.: na epistaxe grave), hemostase cirúrgica com procedimentos de controlo de hemorragia, reposição hídrica e suporte hemodinâmico, produtos derivados do sangue (concentrado de eritrócitos ou plasma fresco congelado, dependendo se está associada uma anemia ou uma coagulopatia) ou plaquetas.</w:t>
      </w:r>
    </w:p>
    <w:p w14:paraId="68919371" w14:textId="59A48C9C" w:rsidR="00337111" w:rsidRPr="0063119B" w:rsidRDefault="00337111" w:rsidP="00337111">
      <w:pPr>
        <w:suppressAutoHyphens/>
        <w:rPr>
          <w:noProof/>
          <w:szCs w:val="22"/>
        </w:rPr>
      </w:pPr>
      <w:r w:rsidRPr="0063119B">
        <w:rPr>
          <w:noProof/>
          <w:szCs w:val="22"/>
        </w:rPr>
        <w:t>Se a hemorragia não puder ser controlada com as medidas anteriores, deve considerar</w:t>
      </w:r>
      <w:r w:rsidRPr="0063119B">
        <w:rPr>
          <w:noProof/>
          <w:szCs w:val="22"/>
        </w:rPr>
        <w:noBreakHyphen/>
        <w:t xml:space="preserve">se a administração </w:t>
      </w:r>
      <w:r w:rsidR="00882FBD" w:rsidRPr="0063119B">
        <w:rPr>
          <w:noProof/>
          <w:szCs w:val="22"/>
        </w:rPr>
        <w:t xml:space="preserve">de um agente de reversão do inibidor do factor Xa </w:t>
      </w:r>
      <w:r w:rsidR="007E0DE9" w:rsidRPr="0063119B">
        <w:rPr>
          <w:noProof/>
          <w:szCs w:val="22"/>
        </w:rPr>
        <w:t xml:space="preserve">específico </w:t>
      </w:r>
      <w:r w:rsidR="00882FBD" w:rsidRPr="0063119B">
        <w:rPr>
          <w:noProof/>
          <w:szCs w:val="22"/>
        </w:rPr>
        <w:t xml:space="preserve">(andexanet alfa), que antagoniza o efeito farmacodinâmico do rivaroxabano ou </w:t>
      </w:r>
      <w:r w:rsidRPr="0063119B">
        <w:rPr>
          <w:noProof/>
          <w:szCs w:val="22"/>
        </w:rPr>
        <w:t>de um agente procoagulante</w:t>
      </w:r>
      <w:r w:rsidR="007E0DE9" w:rsidRPr="0063119B">
        <w:rPr>
          <w:noProof/>
          <w:szCs w:val="22"/>
        </w:rPr>
        <w:t xml:space="preserve"> específico</w:t>
      </w:r>
      <w:r w:rsidRPr="0063119B">
        <w:rPr>
          <w:noProof/>
          <w:szCs w:val="22"/>
        </w:rPr>
        <w:t xml:space="preserve">, como por exemplo, concentrado de complexo de protrombina (CCP), concentrado de complexo de protrombina ativado (CCPA) ou fator VIIa recombinante (FVIIa-r). Contudo, existe atualmente uma experiência clínica muito limitada com a utilização destes </w:t>
      </w:r>
      <w:r w:rsidR="00A82450" w:rsidRPr="0063119B">
        <w:rPr>
          <w:noProof/>
          <w:szCs w:val="22"/>
        </w:rPr>
        <w:t>m</w:t>
      </w:r>
      <w:r w:rsidR="003E1D5A" w:rsidRPr="0063119B">
        <w:rPr>
          <w:noProof/>
          <w:szCs w:val="22"/>
        </w:rPr>
        <w:t>edicamen</w:t>
      </w:r>
      <w:r w:rsidR="00A82450" w:rsidRPr="0063119B">
        <w:rPr>
          <w:noProof/>
          <w:szCs w:val="22"/>
        </w:rPr>
        <w:t xml:space="preserve">tos </w:t>
      </w:r>
      <w:r w:rsidRPr="0063119B">
        <w:rPr>
          <w:noProof/>
          <w:szCs w:val="22"/>
        </w:rPr>
        <w:t xml:space="preserve">em </w:t>
      </w:r>
      <w:r w:rsidR="007E13AF">
        <w:rPr>
          <w:szCs w:val="22"/>
        </w:rPr>
        <w:t>em adultos e crianças</w:t>
      </w:r>
      <w:r w:rsidRPr="0063119B">
        <w:rPr>
          <w:noProof/>
          <w:szCs w:val="22"/>
        </w:rPr>
        <w:t xml:space="preserve"> tratados com rivaroxabano. A recomendação também é baseada nos dados não clínicos limitados. O ajuste da dose de fator VIIa recombinante deve ser considerado e titulado em função da melhoria da hemorragia.</w:t>
      </w:r>
      <w:r w:rsidR="00D8064B" w:rsidRPr="0063119B">
        <w:rPr>
          <w:noProof/>
          <w:szCs w:val="22"/>
        </w:rPr>
        <w:t xml:space="preserve"> Dependendo da disponibilidade local, em caso de grandes hemorragias deve considerar-se a consulta de um especialista em coagulação</w:t>
      </w:r>
      <w:r w:rsidR="00FA7D5D" w:rsidRPr="0063119B">
        <w:rPr>
          <w:noProof/>
          <w:szCs w:val="22"/>
        </w:rPr>
        <w:t xml:space="preserve"> (ver secção 5.1)</w:t>
      </w:r>
      <w:r w:rsidR="00D8064B" w:rsidRPr="0063119B">
        <w:rPr>
          <w:noProof/>
          <w:szCs w:val="22"/>
        </w:rPr>
        <w:t>.</w:t>
      </w:r>
    </w:p>
    <w:p w14:paraId="33D24193" w14:textId="77777777" w:rsidR="00337111" w:rsidRPr="0063119B" w:rsidRDefault="00337111" w:rsidP="00337111">
      <w:pPr>
        <w:suppressAutoHyphens/>
        <w:rPr>
          <w:noProof/>
          <w:szCs w:val="22"/>
        </w:rPr>
      </w:pPr>
    </w:p>
    <w:p w14:paraId="242A70FB" w14:textId="77777777" w:rsidR="00337111" w:rsidRPr="0063119B" w:rsidRDefault="00337111" w:rsidP="00337111">
      <w:pPr>
        <w:suppressAutoHyphens/>
        <w:rPr>
          <w:noProof/>
          <w:szCs w:val="22"/>
        </w:rPr>
      </w:pPr>
      <w:r w:rsidRPr="0063119B">
        <w:rPr>
          <w:noProof/>
          <w:szCs w:val="22"/>
        </w:rPr>
        <w:t xml:space="preserve">Não se espera que o sulfato de protamina e a vitamina K afetem a atividade anticoagulante do rivaroxabano. </w:t>
      </w:r>
      <w:r w:rsidR="00FA7D5D" w:rsidRPr="0063119B">
        <w:rPr>
          <w:noProof/>
          <w:szCs w:val="22"/>
        </w:rPr>
        <w:t>E</w:t>
      </w:r>
      <w:r w:rsidRPr="0063119B">
        <w:rPr>
          <w:noProof/>
          <w:szCs w:val="22"/>
        </w:rPr>
        <w:t xml:space="preserve">xiste </w:t>
      </w:r>
      <w:r w:rsidR="00FA7D5D" w:rsidRPr="0063119B">
        <w:rPr>
          <w:noProof/>
          <w:szCs w:val="22"/>
        </w:rPr>
        <w:t xml:space="preserve">uma </w:t>
      </w:r>
      <w:r w:rsidRPr="0063119B">
        <w:rPr>
          <w:noProof/>
          <w:szCs w:val="22"/>
        </w:rPr>
        <w:t xml:space="preserve">experiência </w:t>
      </w:r>
      <w:r w:rsidR="00FA7D5D" w:rsidRPr="0063119B">
        <w:rPr>
          <w:noProof/>
          <w:szCs w:val="22"/>
        </w:rPr>
        <w:t xml:space="preserve">limitada </w:t>
      </w:r>
      <w:r w:rsidRPr="0063119B">
        <w:rPr>
          <w:noProof/>
          <w:szCs w:val="22"/>
        </w:rPr>
        <w:t>com ácido tranexâmico</w:t>
      </w:r>
      <w:r w:rsidR="00FA7D5D" w:rsidRPr="0063119B">
        <w:rPr>
          <w:noProof/>
          <w:szCs w:val="22"/>
        </w:rPr>
        <w:t xml:space="preserve"> e não existe experiência com</w:t>
      </w:r>
      <w:r w:rsidR="0089294A" w:rsidRPr="0063119B">
        <w:rPr>
          <w:noProof/>
          <w:szCs w:val="22"/>
        </w:rPr>
        <w:t xml:space="preserve"> </w:t>
      </w:r>
      <w:r w:rsidRPr="0063119B">
        <w:rPr>
          <w:noProof/>
          <w:szCs w:val="22"/>
        </w:rPr>
        <w:t>ácido aminocapróico</w:t>
      </w:r>
      <w:r w:rsidR="00FA7D5D" w:rsidRPr="0063119B">
        <w:rPr>
          <w:noProof/>
          <w:szCs w:val="22"/>
        </w:rPr>
        <w:t xml:space="preserve"> e aprotinina</w:t>
      </w:r>
      <w:r w:rsidRPr="0063119B">
        <w:rPr>
          <w:noProof/>
          <w:szCs w:val="22"/>
        </w:rPr>
        <w:t xml:space="preserve"> em </w:t>
      </w:r>
      <w:r w:rsidR="007E13AF">
        <w:rPr>
          <w:noProof/>
          <w:szCs w:val="22"/>
        </w:rPr>
        <w:t>adultos</w:t>
      </w:r>
      <w:r w:rsidRPr="0063119B">
        <w:rPr>
          <w:noProof/>
          <w:szCs w:val="22"/>
        </w:rPr>
        <w:t xml:space="preserve"> tratados com rivaroxabano. </w:t>
      </w:r>
      <w:r w:rsidR="007E13AF">
        <w:rPr>
          <w:szCs w:val="22"/>
        </w:rPr>
        <w:t xml:space="preserve">Não existe experiência com a utilização destes agentes em crianças a receber rivaroxabano. </w:t>
      </w:r>
      <w:r w:rsidRPr="0063119B">
        <w:rPr>
          <w:noProof/>
          <w:szCs w:val="22"/>
        </w:rPr>
        <w:t>Não existe nem justificação científica sobre o benefício nem experiência com a utilização d</w:t>
      </w:r>
      <w:r w:rsidR="00FA7D5D" w:rsidRPr="0063119B">
        <w:rPr>
          <w:noProof/>
          <w:szCs w:val="22"/>
        </w:rPr>
        <w:t>o</w:t>
      </w:r>
      <w:r w:rsidRPr="0063119B">
        <w:rPr>
          <w:noProof/>
          <w:szCs w:val="22"/>
        </w:rPr>
        <w:t xml:space="preserve"> hemostático sistémico</w:t>
      </w:r>
      <w:r w:rsidR="00FA7D5D" w:rsidRPr="0063119B">
        <w:rPr>
          <w:noProof/>
          <w:szCs w:val="22"/>
        </w:rPr>
        <w:t xml:space="preserve"> </w:t>
      </w:r>
      <w:r w:rsidRPr="0063119B">
        <w:rPr>
          <w:noProof/>
          <w:szCs w:val="22"/>
        </w:rPr>
        <w:t>desmopressina em indivíduos tratados com rivaroxabano. Devido à elevada ligação às proteínas plasmáticas, não é esperado que o rivaroxabano seja dialisável.</w:t>
      </w:r>
    </w:p>
    <w:p w14:paraId="0B3D1917" w14:textId="77777777" w:rsidR="00337111" w:rsidRPr="0063119B" w:rsidRDefault="00337111" w:rsidP="00337111">
      <w:pPr>
        <w:suppressAutoHyphens/>
        <w:rPr>
          <w:noProof/>
          <w:szCs w:val="22"/>
        </w:rPr>
      </w:pPr>
    </w:p>
    <w:p w14:paraId="41F83AE8" w14:textId="77777777" w:rsidR="00337111" w:rsidRPr="0063119B" w:rsidRDefault="00337111" w:rsidP="00337111">
      <w:pPr>
        <w:suppressAutoHyphens/>
        <w:rPr>
          <w:noProof/>
          <w:szCs w:val="22"/>
        </w:rPr>
      </w:pPr>
    </w:p>
    <w:p w14:paraId="6AF8AEEB" w14:textId="77777777" w:rsidR="00337111" w:rsidRPr="0063119B" w:rsidRDefault="00337111" w:rsidP="00337111">
      <w:pPr>
        <w:suppressAutoHyphens/>
        <w:ind w:left="567" w:hanging="567"/>
        <w:rPr>
          <w:noProof/>
          <w:szCs w:val="22"/>
        </w:rPr>
      </w:pPr>
      <w:r w:rsidRPr="0063119B">
        <w:rPr>
          <w:b/>
          <w:noProof/>
          <w:szCs w:val="22"/>
        </w:rPr>
        <w:t>5.</w:t>
      </w:r>
      <w:r w:rsidRPr="0063119B">
        <w:rPr>
          <w:b/>
          <w:noProof/>
          <w:szCs w:val="22"/>
        </w:rPr>
        <w:tab/>
        <w:t>PROPRIEDADES FARMACOLÓGICAS</w:t>
      </w:r>
    </w:p>
    <w:p w14:paraId="615B6900" w14:textId="77777777" w:rsidR="00337111" w:rsidRPr="0063119B" w:rsidRDefault="00337111" w:rsidP="00337111">
      <w:pPr>
        <w:suppressAutoHyphens/>
        <w:rPr>
          <w:noProof/>
          <w:szCs w:val="22"/>
        </w:rPr>
      </w:pPr>
    </w:p>
    <w:p w14:paraId="0AD81A1E" w14:textId="77777777" w:rsidR="00337111" w:rsidRPr="0063119B" w:rsidRDefault="00337111" w:rsidP="00337111">
      <w:pPr>
        <w:suppressAutoHyphens/>
        <w:ind w:left="567" w:hanging="567"/>
        <w:rPr>
          <w:noProof/>
          <w:szCs w:val="22"/>
        </w:rPr>
      </w:pPr>
      <w:r w:rsidRPr="0063119B">
        <w:rPr>
          <w:b/>
          <w:noProof/>
          <w:szCs w:val="22"/>
        </w:rPr>
        <w:t>5.1</w:t>
      </w:r>
      <w:r w:rsidRPr="0063119B">
        <w:rPr>
          <w:b/>
          <w:noProof/>
          <w:szCs w:val="22"/>
        </w:rPr>
        <w:tab/>
        <w:t>Propriedades farmacodinâmicas</w:t>
      </w:r>
    </w:p>
    <w:p w14:paraId="1F6EA0B4" w14:textId="77777777" w:rsidR="00337111" w:rsidRPr="0063119B" w:rsidRDefault="00337111" w:rsidP="00337111">
      <w:pPr>
        <w:suppressAutoHyphens/>
        <w:rPr>
          <w:noProof/>
          <w:szCs w:val="22"/>
        </w:rPr>
      </w:pPr>
    </w:p>
    <w:p w14:paraId="7217EEE2" w14:textId="77777777" w:rsidR="00337111" w:rsidRPr="0063119B" w:rsidRDefault="00337111" w:rsidP="00337111">
      <w:pPr>
        <w:suppressAutoHyphens/>
        <w:rPr>
          <w:noProof/>
          <w:szCs w:val="22"/>
        </w:rPr>
      </w:pPr>
      <w:r w:rsidRPr="0063119B">
        <w:rPr>
          <w:noProof/>
          <w:szCs w:val="22"/>
        </w:rPr>
        <w:t xml:space="preserve">Grupo farmacoterapêutico: </w:t>
      </w:r>
      <w:r w:rsidR="00487F72" w:rsidRPr="0063119B">
        <w:rPr>
          <w:noProof/>
          <w:szCs w:val="22"/>
        </w:rPr>
        <w:t>Agentes antitrombóticos, i</w:t>
      </w:r>
      <w:r w:rsidR="00CB28E7" w:rsidRPr="0063119B">
        <w:rPr>
          <w:noProof/>
          <w:szCs w:val="22"/>
        </w:rPr>
        <w:t>nibidores diretos do fator Xa</w:t>
      </w:r>
      <w:r w:rsidRPr="0063119B">
        <w:rPr>
          <w:noProof/>
          <w:szCs w:val="22"/>
        </w:rPr>
        <w:t xml:space="preserve">, código ATC: </w:t>
      </w:r>
      <w:r w:rsidR="00CB28E7" w:rsidRPr="0063119B">
        <w:rPr>
          <w:noProof/>
          <w:szCs w:val="22"/>
        </w:rPr>
        <w:t>B01AF01</w:t>
      </w:r>
    </w:p>
    <w:p w14:paraId="1B34379C" w14:textId="77777777" w:rsidR="00337111" w:rsidRPr="0063119B" w:rsidRDefault="00337111" w:rsidP="00337111">
      <w:pPr>
        <w:suppressAutoHyphens/>
        <w:rPr>
          <w:noProof/>
          <w:szCs w:val="22"/>
        </w:rPr>
      </w:pPr>
    </w:p>
    <w:p w14:paraId="3D46178A" w14:textId="77777777" w:rsidR="00337111" w:rsidRDefault="00337111" w:rsidP="00337111">
      <w:pPr>
        <w:suppressAutoHyphens/>
        <w:rPr>
          <w:noProof/>
          <w:szCs w:val="22"/>
          <w:u w:val="single"/>
        </w:rPr>
      </w:pPr>
      <w:r w:rsidRPr="0063119B">
        <w:rPr>
          <w:noProof/>
          <w:szCs w:val="22"/>
          <w:u w:val="single"/>
        </w:rPr>
        <w:t>Mecanismo de ação</w:t>
      </w:r>
    </w:p>
    <w:p w14:paraId="4501E7FE" w14:textId="77777777" w:rsidR="00F14467" w:rsidRPr="0063119B" w:rsidRDefault="00F14467" w:rsidP="00337111">
      <w:pPr>
        <w:suppressAutoHyphens/>
        <w:rPr>
          <w:noProof/>
          <w:szCs w:val="22"/>
          <w:u w:val="single"/>
        </w:rPr>
      </w:pPr>
    </w:p>
    <w:p w14:paraId="752DD376" w14:textId="77777777" w:rsidR="00337111" w:rsidRPr="0063119B" w:rsidRDefault="00337111" w:rsidP="00337111">
      <w:pPr>
        <w:suppressAutoHyphens/>
        <w:rPr>
          <w:noProof/>
          <w:szCs w:val="22"/>
        </w:rPr>
      </w:pPr>
      <w:r w:rsidRPr="0063119B">
        <w:rPr>
          <w:noProof/>
          <w:szCs w:val="22"/>
        </w:rPr>
        <w:t xml:space="preserve">O rivaroxabano é um inibidor direto do fator Xa, altamente seletivo, com biodisponibilidade oral. A inibição do </w:t>
      </w:r>
      <w:r w:rsidR="00BD03D5" w:rsidRPr="0063119B">
        <w:rPr>
          <w:noProof/>
          <w:szCs w:val="22"/>
        </w:rPr>
        <w:t>fator </w:t>
      </w:r>
      <w:r w:rsidRPr="0063119B">
        <w:rPr>
          <w:noProof/>
          <w:szCs w:val="22"/>
        </w:rPr>
        <w:t>Xa interrompe as vias intrínseca e extrínseca da cascata de coagulação sanguínea, inibindo a formação de trombina e o desenvolvimento de trombos. O rivaroxabano não inibe a trombina (</w:t>
      </w:r>
      <w:r w:rsidR="004A1073" w:rsidRPr="0063119B">
        <w:rPr>
          <w:noProof/>
          <w:szCs w:val="22"/>
        </w:rPr>
        <w:t>f</w:t>
      </w:r>
      <w:r w:rsidRPr="0063119B">
        <w:rPr>
          <w:noProof/>
          <w:szCs w:val="22"/>
        </w:rPr>
        <w:t>ator II ativado) e não foram demonstrados efeitos sobre as plaquetas.</w:t>
      </w:r>
    </w:p>
    <w:p w14:paraId="7A164E0D" w14:textId="77777777" w:rsidR="00337111" w:rsidRPr="0063119B" w:rsidRDefault="00337111" w:rsidP="00337111">
      <w:pPr>
        <w:rPr>
          <w:i/>
          <w:noProof/>
          <w:szCs w:val="22"/>
          <w:u w:val="single"/>
        </w:rPr>
      </w:pPr>
    </w:p>
    <w:p w14:paraId="44BD300C" w14:textId="77777777" w:rsidR="00337111" w:rsidRDefault="00337111" w:rsidP="00337111">
      <w:pPr>
        <w:rPr>
          <w:noProof/>
          <w:szCs w:val="22"/>
          <w:u w:val="single"/>
        </w:rPr>
      </w:pPr>
      <w:r w:rsidRPr="0063119B">
        <w:rPr>
          <w:noProof/>
          <w:szCs w:val="22"/>
          <w:u w:val="single"/>
        </w:rPr>
        <w:t>Efeitos farmacodinâmicos</w:t>
      </w:r>
    </w:p>
    <w:p w14:paraId="28E928C8" w14:textId="77777777" w:rsidR="00F14467" w:rsidRPr="0063119B" w:rsidRDefault="00F14467" w:rsidP="00337111">
      <w:pPr>
        <w:rPr>
          <w:noProof/>
          <w:szCs w:val="22"/>
          <w:u w:val="single"/>
        </w:rPr>
      </w:pPr>
    </w:p>
    <w:p w14:paraId="13CE5421" w14:textId="77777777" w:rsidR="00337111" w:rsidRPr="0063119B" w:rsidRDefault="00337111" w:rsidP="00337111">
      <w:pPr>
        <w:rPr>
          <w:noProof/>
          <w:szCs w:val="22"/>
        </w:rPr>
      </w:pPr>
      <w:r w:rsidRPr="0063119B">
        <w:rPr>
          <w:noProof/>
          <w:szCs w:val="22"/>
        </w:rPr>
        <w:t xml:space="preserve">No ser humano foi observada inibição dose-dependente da atividade do </w:t>
      </w:r>
      <w:r w:rsidR="00BD03D5" w:rsidRPr="0063119B">
        <w:rPr>
          <w:noProof/>
          <w:szCs w:val="22"/>
        </w:rPr>
        <w:t>fator </w:t>
      </w:r>
      <w:r w:rsidRPr="0063119B">
        <w:rPr>
          <w:noProof/>
          <w:szCs w:val="22"/>
        </w:rPr>
        <w:t xml:space="preserve">Xa. O tempo de protrombina (TP) é influenciado pelo rivaroxabano de uma forma dependente da dose, com uma estreita correlação com as concentrações plasmáticas (valor r igual a 0,98) quando se emprega Neoplastin para o ensaio. Outros reagentes originariam resultados diferentes. A leitura do TP deve ser feita em segundos, porque o INR está apenas calibrado e validado para os cumarínicos e não pode ser usado para nenhum outro anticoagulante. </w:t>
      </w:r>
    </w:p>
    <w:p w14:paraId="6D7E36CC" w14:textId="77777777" w:rsidR="00337111" w:rsidRPr="0063119B" w:rsidRDefault="00337111" w:rsidP="00337111">
      <w:pPr>
        <w:rPr>
          <w:szCs w:val="22"/>
        </w:rPr>
      </w:pPr>
      <w:r w:rsidRPr="0063119B">
        <w:rPr>
          <w:noProof/>
          <w:szCs w:val="22"/>
        </w:rPr>
        <w:t>Em doentes tratados</w:t>
      </w:r>
      <w:r w:rsidRPr="0063119B">
        <w:rPr>
          <w:szCs w:val="22"/>
        </w:rPr>
        <w:t xml:space="preserve"> com rivaroxabano para tratamento da TVP e EP e na prevenção da recorrência,</w:t>
      </w:r>
      <w:r w:rsidRPr="0063119B">
        <w:rPr>
          <w:noProof/>
          <w:szCs w:val="22"/>
        </w:rPr>
        <w:t xml:space="preserve"> os percentis 5/95 de TP (Neoplastin) 2 </w:t>
      </w:r>
      <w:r w:rsidRPr="0063119B">
        <w:rPr>
          <w:noProof/>
          <w:szCs w:val="22"/>
        </w:rPr>
        <w:noBreakHyphen/>
        <w:t xml:space="preserve"> 4 horas após a ingestão do comprimido (ou seja, no momento do efeito máximo) variaram </w:t>
      </w:r>
      <w:r w:rsidRPr="0063119B">
        <w:rPr>
          <w:szCs w:val="22"/>
        </w:rPr>
        <w:t xml:space="preserve">entre 17 e 32 seg. com 15 mg de rivaroxabano duas vezes por dia e entre 15 e 30 seg. com 20 mg de rivaroxabano uma vez por dia. No valor mínimo (8 </w:t>
      </w:r>
      <w:r w:rsidR="000E46B1" w:rsidRPr="0063119B">
        <w:rPr>
          <w:szCs w:val="22"/>
        </w:rPr>
        <w:t>-</w:t>
      </w:r>
      <w:r w:rsidRPr="0063119B">
        <w:rPr>
          <w:szCs w:val="22"/>
        </w:rPr>
        <w:t xml:space="preserve"> 16 h após a ingestão do comprimido) os percentis 5/95 variaram entre 14 a 24 seg. com 15</w:t>
      </w:r>
      <w:r w:rsidR="00CD587B" w:rsidRPr="0063119B">
        <w:rPr>
          <w:szCs w:val="22"/>
        </w:rPr>
        <w:t> </w:t>
      </w:r>
      <w:r w:rsidRPr="0063119B">
        <w:rPr>
          <w:szCs w:val="22"/>
        </w:rPr>
        <w:t>mg duas vezes por dia e entre 13 a 20</w:t>
      </w:r>
      <w:r w:rsidR="00CD587B" w:rsidRPr="0063119B">
        <w:rPr>
          <w:szCs w:val="22"/>
        </w:rPr>
        <w:t> </w:t>
      </w:r>
      <w:r w:rsidRPr="0063119B">
        <w:rPr>
          <w:szCs w:val="22"/>
        </w:rPr>
        <w:t xml:space="preserve">seg. com 20 mg uma vez por dia (18 </w:t>
      </w:r>
      <w:r w:rsidR="00CD587B" w:rsidRPr="0063119B">
        <w:rPr>
          <w:szCs w:val="22"/>
        </w:rPr>
        <w:t>–</w:t>
      </w:r>
      <w:r w:rsidRPr="0063119B">
        <w:rPr>
          <w:szCs w:val="22"/>
        </w:rPr>
        <w:t xml:space="preserve"> 30</w:t>
      </w:r>
      <w:r w:rsidR="00CD587B" w:rsidRPr="0063119B">
        <w:rPr>
          <w:szCs w:val="22"/>
        </w:rPr>
        <w:t> </w:t>
      </w:r>
      <w:r w:rsidRPr="0063119B">
        <w:rPr>
          <w:szCs w:val="22"/>
        </w:rPr>
        <w:t>h após a ingestão do comprimido).</w:t>
      </w:r>
    </w:p>
    <w:p w14:paraId="1E0934E2" w14:textId="77777777" w:rsidR="00D66349" w:rsidRPr="0063119B" w:rsidRDefault="00337111" w:rsidP="00337111">
      <w:pPr>
        <w:rPr>
          <w:noProof/>
          <w:szCs w:val="22"/>
        </w:rPr>
      </w:pPr>
      <w:r w:rsidRPr="0063119B">
        <w:rPr>
          <w:bCs/>
          <w:szCs w:val="22"/>
        </w:rPr>
        <w:t>Em doentes com fibrilhação auricular não-valvular tratados com rivaroxabano para prevenção do acidente vascular cerebral e embolismo sistémico, os percentis 5/95 do TP (Neoplastin) 1 </w:t>
      </w:r>
      <w:r w:rsidRPr="0063119B">
        <w:rPr>
          <w:bCs/>
          <w:szCs w:val="22"/>
        </w:rPr>
        <w:noBreakHyphen/>
        <w:t xml:space="preserve"> 4 horas após a ingestão do comprimido (i.e. na altura do efeito máximo) variaram entre 14 e 40 seg. nos </w:t>
      </w:r>
      <w:r w:rsidRPr="0063119B">
        <w:rPr>
          <w:bCs/>
          <w:szCs w:val="22"/>
        </w:rPr>
        <w:lastRenderedPageBreak/>
        <w:t>doentes tratados com 20 mg de rivaroxabano uma vez por dia e entre 10 e 50 seg. nos doentes com compromisso renal moderado tratados com 15 mg uma vez por dia</w:t>
      </w:r>
      <w:r w:rsidRPr="0063119B">
        <w:rPr>
          <w:noProof/>
          <w:szCs w:val="22"/>
        </w:rPr>
        <w:t xml:space="preserve">. No valor mínimo (16 </w:t>
      </w:r>
      <w:r w:rsidR="000E46B1" w:rsidRPr="0063119B">
        <w:rPr>
          <w:noProof/>
          <w:szCs w:val="22"/>
        </w:rPr>
        <w:t>-</w:t>
      </w:r>
      <w:r w:rsidRPr="0063119B">
        <w:rPr>
          <w:noProof/>
          <w:szCs w:val="22"/>
        </w:rPr>
        <w:t xml:space="preserve"> 36</w:t>
      </w:r>
      <w:r w:rsidR="00CD587B" w:rsidRPr="0063119B">
        <w:rPr>
          <w:noProof/>
          <w:szCs w:val="22"/>
        </w:rPr>
        <w:t> </w:t>
      </w:r>
      <w:r w:rsidRPr="0063119B">
        <w:rPr>
          <w:noProof/>
          <w:szCs w:val="22"/>
        </w:rPr>
        <w:t>h após a ingestão do comprimido) os percentis 5/95 variaram de 12 a 26</w:t>
      </w:r>
      <w:r w:rsidR="00CD587B" w:rsidRPr="0063119B">
        <w:rPr>
          <w:noProof/>
          <w:szCs w:val="22"/>
        </w:rPr>
        <w:t> </w:t>
      </w:r>
      <w:r w:rsidRPr="0063119B">
        <w:rPr>
          <w:noProof/>
          <w:szCs w:val="22"/>
        </w:rPr>
        <w:t>seg. nos doentes tratados com 20 mg uma vez por dia e entre 12 a 26</w:t>
      </w:r>
      <w:r w:rsidR="00651577" w:rsidRPr="0063119B">
        <w:rPr>
          <w:noProof/>
          <w:szCs w:val="22"/>
        </w:rPr>
        <w:t> </w:t>
      </w:r>
      <w:r w:rsidRPr="0063119B">
        <w:rPr>
          <w:noProof/>
          <w:szCs w:val="22"/>
        </w:rPr>
        <w:t>seg. nos doentes com compromisso renal moderado tratados com 15 mg uma vez por dia.</w:t>
      </w:r>
    </w:p>
    <w:p w14:paraId="623E96D8" w14:textId="77777777" w:rsidR="00BD44CC" w:rsidRPr="0063119B" w:rsidRDefault="00BD44CC" w:rsidP="00BD44CC">
      <w:pPr>
        <w:rPr>
          <w:noProof/>
          <w:szCs w:val="22"/>
        </w:rPr>
      </w:pPr>
      <w:r w:rsidRPr="0063119B">
        <w:rPr>
          <w:noProof/>
          <w:szCs w:val="22"/>
        </w:rPr>
        <w:t>Num estudo de farmacologia clínica sobre a farmacodinâmica de reversão do rivaroxabano em doentes adultos saudáveis (n=22), foram avaliados os efeitos de doses únicas (50 UI/Kg) de dois tipos diferentes de CCPs, um CCP de 3 fatores (Fatores II, IX e X) e um CCP de 4 fatores (Fatores II, VII, IX e X). O CCP de 3 fatores reduziu os valores médios de TP de Neoplastin de aproximadamente 1,0</w:t>
      </w:r>
      <w:r w:rsidR="00CD587B" w:rsidRPr="0063119B">
        <w:rPr>
          <w:noProof/>
          <w:szCs w:val="22"/>
        </w:rPr>
        <w:t> </w:t>
      </w:r>
      <w:r w:rsidRPr="0063119B">
        <w:rPr>
          <w:noProof/>
          <w:szCs w:val="22"/>
        </w:rPr>
        <w:t>segundo em 30</w:t>
      </w:r>
      <w:r w:rsidR="00CD587B" w:rsidRPr="0063119B">
        <w:rPr>
          <w:noProof/>
          <w:szCs w:val="22"/>
        </w:rPr>
        <w:t> </w:t>
      </w:r>
      <w:r w:rsidRPr="0063119B">
        <w:rPr>
          <w:noProof/>
          <w:szCs w:val="22"/>
        </w:rPr>
        <w:t>minutos em comparação com reduções de aproximadamente 3,5 segundos observadas com o CCP de 4 fatores. Por outro lado, o CCP de 3 fatores teve um melhor e mais rápido efeito global na reversão das alterações na formação da trombina endógena que o CCP de 4 fatores (ver secção 4.9).</w:t>
      </w:r>
    </w:p>
    <w:p w14:paraId="162DC705" w14:textId="77777777" w:rsidR="00337111" w:rsidRPr="0063119B" w:rsidRDefault="00337111" w:rsidP="00337111">
      <w:pPr>
        <w:rPr>
          <w:noProof/>
          <w:szCs w:val="22"/>
        </w:rPr>
      </w:pPr>
      <w:r w:rsidRPr="0063119B">
        <w:rPr>
          <w:noProof/>
          <w:szCs w:val="22"/>
        </w:rPr>
        <w:t>O tempo de tromboplastina parcial ativada (aPTT) e o HepTest são igualmente prolongados, de forma dose</w:t>
      </w:r>
      <w:r w:rsidRPr="0063119B">
        <w:rPr>
          <w:noProof/>
          <w:szCs w:val="22"/>
        </w:rPr>
        <w:noBreakHyphen/>
        <w:t xml:space="preserve">dependente; contudo, não são recomendados para avaliar o efeito farmacodinâmico do rivaroxabano. Não há necessidade de monitorização dos parâmetros da coagulação durante o tratamento com rivaroxabano na prática clínica. </w:t>
      </w:r>
    </w:p>
    <w:p w14:paraId="7538C987" w14:textId="77777777" w:rsidR="00337111" w:rsidRPr="0063119B" w:rsidRDefault="00337111" w:rsidP="00337111">
      <w:pPr>
        <w:rPr>
          <w:noProof/>
          <w:szCs w:val="22"/>
        </w:rPr>
      </w:pPr>
      <w:r w:rsidRPr="0063119B">
        <w:rPr>
          <w:noProof/>
          <w:szCs w:val="22"/>
        </w:rPr>
        <w:t>Contudo, se clinicamente indicado, podem determinar-se os níveis de rivaroxabano através de testes quantitativos calibrados de antifator</w:t>
      </w:r>
      <w:r w:rsidR="000E1458" w:rsidRPr="0063119B">
        <w:rPr>
          <w:noProof/>
          <w:szCs w:val="22"/>
        </w:rPr>
        <w:t xml:space="preserve"> </w:t>
      </w:r>
      <w:r w:rsidRPr="0063119B">
        <w:rPr>
          <w:noProof/>
          <w:szCs w:val="22"/>
        </w:rPr>
        <w:t>Xa (ver secção 5.2).</w:t>
      </w:r>
    </w:p>
    <w:p w14:paraId="1E984185" w14:textId="77777777" w:rsidR="00337111" w:rsidRDefault="00337111" w:rsidP="00337111">
      <w:pPr>
        <w:rPr>
          <w:noProof/>
          <w:szCs w:val="22"/>
        </w:rPr>
      </w:pPr>
    </w:p>
    <w:p w14:paraId="5216605C" w14:textId="77777777" w:rsidR="007E13AF" w:rsidRPr="007E13AF" w:rsidRDefault="007E13AF" w:rsidP="007E13AF">
      <w:pPr>
        <w:autoSpaceDE w:val="0"/>
        <w:autoSpaceDN w:val="0"/>
        <w:adjustRightInd w:val="0"/>
        <w:rPr>
          <w:color w:val="000000"/>
          <w:szCs w:val="22"/>
          <w:lang w:eastAsia="pt-PT"/>
        </w:rPr>
      </w:pPr>
      <w:r w:rsidRPr="007E13AF">
        <w:rPr>
          <w:color w:val="000000"/>
          <w:szCs w:val="22"/>
          <w:lang w:eastAsia="pt-PT"/>
        </w:rPr>
        <w:t xml:space="preserve">População pediátrica </w:t>
      </w:r>
    </w:p>
    <w:p w14:paraId="3F7B897B" w14:textId="77777777" w:rsidR="007E13AF" w:rsidRPr="0063119B" w:rsidRDefault="007E13AF" w:rsidP="007E13AF">
      <w:pPr>
        <w:rPr>
          <w:noProof/>
          <w:szCs w:val="22"/>
        </w:rPr>
      </w:pPr>
      <w:r w:rsidRPr="007E13AF">
        <w:rPr>
          <w:color w:val="000000"/>
          <w:szCs w:val="22"/>
          <w:lang w:eastAsia="pt-PT"/>
        </w:rPr>
        <w:t>O TP (reagente neoplastina), o aPTT e o ensaio anti-Xa (com um teste quantitativo calibrado) apresentam uma correlação íntima com as concentrações plasmáticas nas crianças. A correlação entre o anti-Xa e as concentrações plasmáticas é linear com um declive próximo de 1. Poderão ocorrer discrepâncias individuais com valores anti-Xa superiores ou inferiores em comparação com as concentrações plasmáticas correspondentes. Não há necessidade de se efetuar uma monitorização de rotina dos parâmetros da coagulação durante o tratamento clínico com o rivaroxabano. Contudo, caso haja indicação clínica, as concentrações do rivaroxabano podem ser medidas através de testes anti-fator Xa quantitativos, calibrados, em mcg/l (ver quadro 13 na secção 5.2 quanto aos intervalos das concentrações plasmáticas do rivaroxabano observados em crianças). Tem de se ter em consideração o limite inferior de quantificação quando se utiliza o teste anti-Xa para quantificar as concentrações plasmáticas do rivaroxabano em crianças. Não foi estabelecido um limiar para a eficácia ou acontecimentos de segurança.</w:t>
      </w:r>
    </w:p>
    <w:p w14:paraId="01560848" w14:textId="77777777" w:rsidR="00337111" w:rsidRPr="0063119B" w:rsidRDefault="00337111" w:rsidP="00337111">
      <w:pPr>
        <w:keepNext/>
        <w:widowControl w:val="0"/>
        <w:rPr>
          <w:noProof/>
          <w:szCs w:val="22"/>
        </w:rPr>
      </w:pPr>
      <w:r w:rsidRPr="0063119B">
        <w:rPr>
          <w:noProof/>
          <w:szCs w:val="22"/>
          <w:u w:val="single"/>
        </w:rPr>
        <w:t>Eficácia e segurança clínicas</w:t>
      </w:r>
    </w:p>
    <w:p w14:paraId="5C886867" w14:textId="77777777" w:rsidR="00CD587B" w:rsidRPr="0063119B" w:rsidRDefault="00CD587B" w:rsidP="00337111">
      <w:pPr>
        <w:keepNext/>
        <w:widowControl w:val="0"/>
        <w:rPr>
          <w:i/>
          <w:szCs w:val="22"/>
        </w:rPr>
      </w:pPr>
    </w:p>
    <w:p w14:paraId="781A24BD" w14:textId="77777777" w:rsidR="00337111" w:rsidRPr="0063119B" w:rsidRDefault="00337111" w:rsidP="00337111">
      <w:pPr>
        <w:keepNext/>
        <w:widowControl w:val="0"/>
        <w:rPr>
          <w:szCs w:val="22"/>
        </w:rPr>
      </w:pPr>
      <w:r w:rsidRPr="0063119B">
        <w:rPr>
          <w:i/>
          <w:szCs w:val="22"/>
        </w:rPr>
        <w:t>Prevenção do acidente vascular cerebral e do embolismo sistémico em doentes com fibrilhação auricular não-valvular</w:t>
      </w:r>
    </w:p>
    <w:p w14:paraId="1E004C7D" w14:textId="77777777" w:rsidR="00337111" w:rsidRPr="0063119B" w:rsidRDefault="00337111" w:rsidP="00337111">
      <w:pPr>
        <w:rPr>
          <w:szCs w:val="22"/>
        </w:rPr>
      </w:pPr>
      <w:r w:rsidRPr="0063119B">
        <w:rPr>
          <w:szCs w:val="22"/>
        </w:rPr>
        <w:t xml:space="preserve">O programa clínico de </w:t>
      </w:r>
      <w:r w:rsidR="00651577" w:rsidRPr="0063119B">
        <w:rPr>
          <w:szCs w:val="22"/>
        </w:rPr>
        <w:t>rivaroxabano</w:t>
      </w:r>
      <w:r w:rsidRPr="0063119B">
        <w:rPr>
          <w:szCs w:val="22"/>
        </w:rPr>
        <w:t xml:space="preserve"> foi concebido para demonstrar a eficácia de </w:t>
      </w:r>
      <w:r w:rsidR="00651577" w:rsidRPr="0063119B">
        <w:rPr>
          <w:szCs w:val="22"/>
        </w:rPr>
        <w:t>rivaroxabano</w:t>
      </w:r>
      <w:r w:rsidRPr="0063119B">
        <w:rPr>
          <w:szCs w:val="22"/>
        </w:rPr>
        <w:t xml:space="preserve"> para a prevenção do acidente vascular cerebral e do embolismo sistémico em doentes com fibrilhação auricular não-valvular.</w:t>
      </w:r>
    </w:p>
    <w:p w14:paraId="0C832B8F" w14:textId="77777777" w:rsidR="00337111" w:rsidRPr="0063119B" w:rsidRDefault="00337111" w:rsidP="00337111">
      <w:pPr>
        <w:rPr>
          <w:szCs w:val="22"/>
        </w:rPr>
      </w:pPr>
      <w:r w:rsidRPr="0063119B">
        <w:rPr>
          <w:szCs w:val="22"/>
        </w:rPr>
        <w:t xml:space="preserve">No estudo de referência com dupla ocultação ROCKET AF, 14.264 doentes foram atribuídos para </w:t>
      </w:r>
      <w:r w:rsidR="00651577" w:rsidRPr="0063119B">
        <w:rPr>
          <w:szCs w:val="22"/>
        </w:rPr>
        <w:t>rivaroxabano</w:t>
      </w:r>
      <w:r w:rsidRPr="0063119B">
        <w:rPr>
          <w:szCs w:val="22"/>
        </w:rPr>
        <w:t xml:space="preserve"> na dose de 20 mg uma vez por dia (15 mg uma vez por dia em doentes com taxa de depuração da creatinina de 30 </w:t>
      </w:r>
      <w:r w:rsidRPr="0063119B">
        <w:rPr>
          <w:szCs w:val="22"/>
        </w:rPr>
        <w:noBreakHyphen/>
        <w:t> 49 ml/min) ou para varfarina numa dose titulada até atingir um INR alvo de 2,5 (intervalo terapêutico de 2,0 a 3,0). A duração média de tratamento foi de 19 meses e a duração total do tratamento atingiu um máximo de 41 meses.</w:t>
      </w:r>
    </w:p>
    <w:p w14:paraId="1F2ABFC1" w14:textId="77777777" w:rsidR="00337111" w:rsidRPr="0063119B" w:rsidRDefault="00337111" w:rsidP="00337111">
      <w:pPr>
        <w:rPr>
          <w:szCs w:val="22"/>
        </w:rPr>
      </w:pPr>
      <w:r w:rsidRPr="0063119B">
        <w:rPr>
          <w:szCs w:val="22"/>
        </w:rPr>
        <w:t>Foram tratados 34,9% dos doentes com ácido acetilsalicílico e 11,4% com antiarrítmicos de classe III incluindo a amiodarona.</w:t>
      </w:r>
    </w:p>
    <w:p w14:paraId="460B086F" w14:textId="77777777" w:rsidR="00337111" w:rsidRPr="0063119B" w:rsidRDefault="00337111" w:rsidP="00337111">
      <w:pPr>
        <w:rPr>
          <w:szCs w:val="22"/>
        </w:rPr>
      </w:pPr>
    </w:p>
    <w:p w14:paraId="304F6271" w14:textId="77777777" w:rsidR="00337111" w:rsidRPr="0063119B" w:rsidRDefault="00337111" w:rsidP="00337111">
      <w:pPr>
        <w:rPr>
          <w:szCs w:val="22"/>
        </w:rPr>
      </w:pPr>
      <w:r w:rsidRPr="0063119B">
        <w:rPr>
          <w:szCs w:val="22"/>
        </w:rPr>
        <w:t xml:space="preserve">No </w:t>
      </w:r>
      <w:r w:rsidRPr="0063119B">
        <w:rPr>
          <w:i/>
          <w:szCs w:val="22"/>
        </w:rPr>
        <w:t>endpoint</w:t>
      </w:r>
      <w:r w:rsidRPr="0063119B">
        <w:rPr>
          <w:szCs w:val="22"/>
        </w:rPr>
        <w:t xml:space="preserve"> primário composto de acidente vascular cerebral e embolismo sistémico que não do SNC, </w:t>
      </w:r>
      <w:r w:rsidR="00651577" w:rsidRPr="0063119B">
        <w:rPr>
          <w:szCs w:val="22"/>
        </w:rPr>
        <w:t xml:space="preserve">o rivaroxabano </w:t>
      </w:r>
      <w:r w:rsidRPr="0063119B">
        <w:rPr>
          <w:szCs w:val="22"/>
        </w:rPr>
        <w:t xml:space="preserve">não foi inferior à varfarina. Na população por protocolo em tratamento, ocorreram acidentes vasculares cerebrais e embolismo sistémico em 188 doentes com rivaroxabano (1,71% por ano) e em 241 doentes com varfarina (2,16% por ano) (0,79 HR; IC 95%, 0,66 </w:t>
      </w:r>
      <w:r w:rsidR="000E46B1" w:rsidRPr="0063119B">
        <w:rPr>
          <w:szCs w:val="22"/>
        </w:rPr>
        <w:t>-</w:t>
      </w:r>
      <w:r w:rsidRPr="0063119B">
        <w:rPr>
          <w:szCs w:val="22"/>
        </w:rPr>
        <w:t xml:space="preserve"> </w:t>
      </w:r>
      <w:r w:rsidR="00F104BA" w:rsidRPr="0063119B">
        <w:rPr>
          <w:szCs w:val="22"/>
        </w:rPr>
        <w:t xml:space="preserve"> </w:t>
      </w:r>
      <w:r w:rsidRPr="0063119B">
        <w:rPr>
          <w:szCs w:val="22"/>
        </w:rPr>
        <w:t xml:space="preserve">0,96; P&lt;0,001 para não inferioridade). Em todos os doentes aleatorizados, analisados de acordo com a ITT, ocorreram acontecimentos primários em 269 com rivaroxabano (2,12% por ano) e 306 com varfarina (2,42% por ano) (0,88 HR; IC 95%, 0,74 </w:t>
      </w:r>
      <w:r w:rsidR="000E46B1" w:rsidRPr="0063119B">
        <w:rPr>
          <w:szCs w:val="22"/>
        </w:rPr>
        <w:t>-</w:t>
      </w:r>
      <w:r w:rsidRPr="0063119B">
        <w:rPr>
          <w:szCs w:val="22"/>
        </w:rPr>
        <w:t xml:space="preserve"> </w:t>
      </w:r>
      <w:r w:rsidR="00F104BA" w:rsidRPr="0063119B">
        <w:rPr>
          <w:szCs w:val="22"/>
        </w:rPr>
        <w:t xml:space="preserve"> </w:t>
      </w:r>
      <w:r w:rsidRPr="0063119B">
        <w:rPr>
          <w:szCs w:val="22"/>
        </w:rPr>
        <w:t>1,03; P&lt;0,001 para não inferioridade; P=0,117 para superioridade).</w:t>
      </w:r>
    </w:p>
    <w:p w14:paraId="708053E7" w14:textId="77777777" w:rsidR="00337111" w:rsidRPr="0063119B" w:rsidRDefault="00337111" w:rsidP="00337111">
      <w:pPr>
        <w:rPr>
          <w:szCs w:val="22"/>
        </w:rPr>
      </w:pPr>
      <w:r w:rsidRPr="0063119B">
        <w:rPr>
          <w:szCs w:val="22"/>
        </w:rPr>
        <w:t xml:space="preserve">Os resultados para os </w:t>
      </w:r>
      <w:r w:rsidRPr="0063119B">
        <w:rPr>
          <w:i/>
          <w:szCs w:val="22"/>
        </w:rPr>
        <w:t>endpoints</w:t>
      </w:r>
      <w:r w:rsidRPr="0063119B">
        <w:rPr>
          <w:szCs w:val="22"/>
        </w:rPr>
        <w:t xml:space="preserve"> secundários tal como testados na ordem hierárquica da análise ITT são apresentados no Quadro</w:t>
      </w:r>
      <w:r w:rsidR="008E7EA4" w:rsidRPr="0063119B">
        <w:rPr>
          <w:szCs w:val="22"/>
        </w:rPr>
        <w:t> 4</w:t>
      </w:r>
      <w:r w:rsidRPr="0063119B">
        <w:rPr>
          <w:szCs w:val="22"/>
        </w:rPr>
        <w:t>.</w:t>
      </w:r>
    </w:p>
    <w:p w14:paraId="061FB05E" w14:textId="77777777" w:rsidR="00337111" w:rsidRPr="0063119B" w:rsidRDefault="00337111" w:rsidP="00337111">
      <w:pPr>
        <w:rPr>
          <w:szCs w:val="22"/>
          <w:shd w:val="clear" w:color="auto" w:fill="FFFFFF"/>
        </w:rPr>
      </w:pPr>
      <w:r w:rsidRPr="0063119B">
        <w:rPr>
          <w:szCs w:val="22"/>
        </w:rPr>
        <w:lastRenderedPageBreak/>
        <w:t>Nos doentes do grupo da varfarina, os valores de INR estiveram dentro do intervalo terapêutico (2,0 a 3,0) uma média de 55% do tempo (mediana, 58%; intervalo interquartil, 43 a 71). O efeito do rivaroxabano não diferiu dentro do nível do centro do TTR (tempo no intervalo do INR alvo entre 2,0 </w:t>
      </w:r>
      <w:r w:rsidR="000E46B1" w:rsidRPr="0063119B">
        <w:rPr>
          <w:szCs w:val="22"/>
        </w:rPr>
        <w:t>-</w:t>
      </w:r>
      <w:r w:rsidRPr="0063119B">
        <w:rPr>
          <w:szCs w:val="22"/>
        </w:rPr>
        <w:t xml:space="preserve"> 3,0) nos quartis de tamanho igual (P=0,74 para interação). No maior quartil de acordo com o centro, a </w:t>
      </w:r>
      <w:r w:rsidR="00F104BA" w:rsidRPr="0063119B">
        <w:rPr>
          <w:szCs w:val="22"/>
        </w:rPr>
        <w:t xml:space="preserve">Razão </w:t>
      </w:r>
      <w:r w:rsidRPr="0063119B">
        <w:rPr>
          <w:szCs w:val="22"/>
        </w:rPr>
        <w:t xml:space="preserve">de </w:t>
      </w:r>
      <w:r w:rsidR="00F104BA" w:rsidRPr="0063119B">
        <w:rPr>
          <w:szCs w:val="22"/>
        </w:rPr>
        <w:t xml:space="preserve">Risco (RR) </w:t>
      </w:r>
      <w:r w:rsidRPr="0063119B">
        <w:rPr>
          <w:szCs w:val="22"/>
        </w:rPr>
        <w:t>com rivaroxabano versus varfarina foi d</w:t>
      </w:r>
      <w:r w:rsidRPr="0063119B">
        <w:rPr>
          <w:szCs w:val="22"/>
          <w:shd w:val="clear" w:color="auto" w:fill="FFFFFF"/>
        </w:rPr>
        <w:t xml:space="preserve">e 0,74 (IC 95%, 0,49 </w:t>
      </w:r>
      <w:r w:rsidR="000E46B1" w:rsidRPr="0063119B">
        <w:rPr>
          <w:szCs w:val="22"/>
          <w:shd w:val="clear" w:color="auto" w:fill="FFFFFF"/>
        </w:rPr>
        <w:t>-</w:t>
      </w:r>
      <w:r w:rsidRPr="0063119B">
        <w:rPr>
          <w:szCs w:val="22"/>
          <w:shd w:val="clear" w:color="auto" w:fill="FFFFFF"/>
        </w:rPr>
        <w:t xml:space="preserve"> </w:t>
      </w:r>
      <w:r w:rsidR="00F104BA" w:rsidRPr="0063119B">
        <w:rPr>
          <w:szCs w:val="22"/>
          <w:shd w:val="clear" w:color="auto" w:fill="FFFFFF"/>
        </w:rPr>
        <w:t xml:space="preserve"> </w:t>
      </w:r>
      <w:r w:rsidRPr="0063119B">
        <w:rPr>
          <w:szCs w:val="22"/>
          <w:shd w:val="clear" w:color="auto" w:fill="FFFFFF"/>
        </w:rPr>
        <w:t>1,12).</w:t>
      </w:r>
    </w:p>
    <w:p w14:paraId="08BDCBE9" w14:textId="77777777" w:rsidR="00337111" w:rsidRPr="0063119B" w:rsidRDefault="00337111" w:rsidP="00337111">
      <w:pPr>
        <w:rPr>
          <w:szCs w:val="22"/>
        </w:rPr>
      </w:pPr>
      <w:r w:rsidRPr="0063119B">
        <w:rPr>
          <w:szCs w:val="22"/>
        </w:rPr>
        <w:t>As taxas de incidência para os objetivos principais de segurança (acontecimentos hemorrágicos principais e não principais clinicamente relevantes) foram semelhantes nos dois grupos de tratamento (ver Quadro </w:t>
      </w:r>
      <w:r w:rsidR="008E7EA4" w:rsidRPr="0063119B">
        <w:rPr>
          <w:szCs w:val="22"/>
        </w:rPr>
        <w:t>5</w:t>
      </w:r>
      <w:r w:rsidRPr="0063119B">
        <w:rPr>
          <w:szCs w:val="22"/>
        </w:rPr>
        <w:t>).</w:t>
      </w:r>
    </w:p>
    <w:p w14:paraId="7444613D" w14:textId="77777777" w:rsidR="00B316E9" w:rsidRPr="0063119B" w:rsidRDefault="00B316E9" w:rsidP="00337111">
      <w:pPr>
        <w:rPr>
          <w:szCs w:val="22"/>
        </w:rPr>
      </w:pPr>
    </w:p>
    <w:p w14:paraId="7E5358D1" w14:textId="77777777" w:rsidR="00337111" w:rsidRPr="0063119B" w:rsidRDefault="00337111" w:rsidP="00A9161F">
      <w:pPr>
        <w:keepNext/>
        <w:keepLines/>
        <w:rPr>
          <w:szCs w:val="22"/>
        </w:rPr>
      </w:pPr>
      <w:r w:rsidRPr="0063119B">
        <w:rPr>
          <w:b/>
          <w:szCs w:val="22"/>
        </w:rPr>
        <w:t>Quadro </w:t>
      </w:r>
      <w:r w:rsidR="008E7EA4" w:rsidRPr="0063119B">
        <w:rPr>
          <w:b/>
          <w:szCs w:val="22"/>
        </w:rPr>
        <w:t>4</w:t>
      </w:r>
      <w:r w:rsidRPr="0063119B">
        <w:rPr>
          <w:b/>
          <w:szCs w:val="22"/>
        </w:rPr>
        <w:t>: Resultados de eficácia do estudo de fase III ROCKET AF</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2268"/>
        <w:gridCol w:w="2835"/>
      </w:tblGrid>
      <w:tr w:rsidR="00337111" w:rsidRPr="0063119B" w14:paraId="03D35D11" w14:textId="77777777" w:rsidTr="0044301C">
        <w:trPr>
          <w:cantSplit/>
          <w:tblHeader/>
        </w:trPr>
        <w:tc>
          <w:tcPr>
            <w:tcW w:w="1985" w:type="dxa"/>
            <w:vAlign w:val="center"/>
          </w:tcPr>
          <w:p w14:paraId="5E834D46" w14:textId="77777777" w:rsidR="00337111" w:rsidRPr="0063119B" w:rsidRDefault="00337111" w:rsidP="00A9161F">
            <w:pPr>
              <w:pStyle w:val="BayerTableColumnHeadings"/>
              <w:keepNext/>
              <w:keepLines/>
              <w:ind w:left="34"/>
              <w:jc w:val="left"/>
              <w:rPr>
                <w:bCs/>
                <w:szCs w:val="22"/>
                <w:lang w:val="pt-PT"/>
              </w:rPr>
            </w:pPr>
            <w:r w:rsidRPr="0063119B">
              <w:rPr>
                <w:bCs/>
                <w:szCs w:val="22"/>
                <w:lang w:val="pt-PT"/>
              </w:rPr>
              <w:t>População do estudo</w:t>
            </w:r>
          </w:p>
        </w:tc>
        <w:tc>
          <w:tcPr>
            <w:tcW w:w="7371" w:type="dxa"/>
            <w:gridSpan w:val="3"/>
          </w:tcPr>
          <w:p w14:paraId="6E38604D" w14:textId="77777777" w:rsidR="00337111" w:rsidRPr="0063119B" w:rsidRDefault="00337111" w:rsidP="00A9161F">
            <w:pPr>
              <w:pStyle w:val="BayerTableColumnHeadings"/>
              <w:keepNext/>
              <w:keepLines/>
              <w:ind w:left="34"/>
              <w:jc w:val="left"/>
              <w:rPr>
                <w:bCs/>
                <w:szCs w:val="22"/>
                <w:lang w:val="pt-PT"/>
              </w:rPr>
            </w:pPr>
            <w:r w:rsidRPr="0063119B">
              <w:rPr>
                <w:bCs/>
                <w:szCs w:val="22"/>
                <w:lang w:val="pt-PT"/>
              </w:rPr>
              <w:t>Análise ITT da eficácia em doentes com fibrilhação auricular não-valvular</w:t>
            </w:r>
          </w:p>
        </w:tc>
      </w:tr>
      <w:tr w:rsidR="00337111" w:rsidRPr="0063119B" w14:paraId="63D4908D" w14:textId="77777777" w:rsidTr="0044301C">
        <w:trPr>
          <w:cantSplit/>
          <w:tblHeader/>
        </w:trPr>
        <w:tc>
          <w:tcPr>
            <w:tcW w:w="1985" w:type="dxa"/>
            <w:vAlign w:val="center"/>
          </w:tcPr>
          <w:p w14:paraId="5EA608A6" w14:textId="77777777" w:rsidR="00337111" w:rsidRPr="0063119B" w:rsidRDefault="00337111" w:rsidP="00A9161F">
            <w:pPr>
              <w:pStyle w:val="BayerTableRowHeadings"/>
              <w:keepLines/>
              <w:widowControl/>
              <w:rPr>
                <w:b/>
                <w:bCs/>
                <w:szCs w:val="22"/>
                <w:lang w:val="pt-PT"/>
              </w:rPr>
            </w:pPr>
            <w:r w:rsidRPr="0063119B">
              <w:rPr>
                <w:b/>
                <w:bCs/>
                <w:szCs w:val="22"/>
                <w:lang w:val="pt-PT"/>
              </w:rPr>
              <w:t>Doses do tratamento</w:t>
            </w:r>
          </w:p>
        </w:tc>
        <w:tc>
          <w:tcPr>
            <w:tcW w:w="2268" w:type="dxa"/>
          </w:tcPr>
          <w:p w14:paraId="22A6C058" w14:textId="77777777" w:rsidR="00337111" w:rsidRPr="0063119B" w:rsidRDefault="00DB6C0E" w:rsidP="00A9161F">
            <w:pPr>
              <w:pStyle w:val="BayerBodyTextFull"/>
              <w:keepNext/>
              <w:keepLines/>
              <w:ind w:left="12"/>
              <w:rPr>
                <w:b/>
                <w:bCs/>
                <w:sz w:val="22"/>
                <w:szCs w:val="22"/>
                <w:lang w:val="pt-PT"/>
              </w:rPr>
            </w:pPr>
            <w:r w:rsidRPr="0063119B">
              <w:rPr>
                <w:b/>
                <w:bCs/>
                <w:sz w:val="22"/>
                <w:szCs w:val="22"/>
                <w:lang w:val="pt-PT"/>
              </w:rPr>
              <w:t>Rivaroxabano</w:t>
            </w:r>
            <w:r w:rsidR="00BE519A">
              <w:rPr>
                <w:b/>
                <w:bCs/>
                <w:sz w:val="22"/>
                <w:szCs w:val="22"/>
                <w:lang w:val="pt-PT"/>
              </w:rPr>
              <w:t xml:space="preserve"> </w:t>
            </w:r>
            <w:r w:rsidR="00337111" w:rsidRPr="0063119B">
              <w:rPr>
                <w:b/>
                <w:bCs/>
                <w:sz w:val="22"/>
                <w:szCs w:val="22"/>
                <w:lang w:val="pt-PT"/>
              </w:rPr>
              <w:t>20 mg uma vez por dia (15 mg uma vez por dia em doentes com compromisso renal moderado)</w:t>
            </w:r>
          </w:p>
          <w:p w14:paraId="722DA2FE" w14:textId="77777777" w:rsidR="00337111" w:rsidRPr="0063119B" w:rsidRDefault="00337111" w:rsidP="00A9161F">
            <w:pPr>
              <w:pStyle w:val="BayerBodyTextFull"/>
              <w:keepNext/>
              <w:keepLines/>
              <w:ind w:left="12"/>
              <w:rPr>
                <w:b/>
                <w:bCs/>
                <w:sz w:val="22"/>
                <w:szCs w:val="22"/>
                <w:lang w:val="pt-PT"/>
              </w:rPr>
            </w:pPr>
            <w:r w:rsidRPr="0063119B">
              <w:rPr>
                <w:b/>
                <w:bCs/>
                <w:sz w:val="22"/>
                <w:szCs w:val="22"/>
                <w:lang w:val="pt-PT"/>
              </w:rPr>
              <w:t>Taxa de acontecimentos (100 dts-ano)</w:t>
            </w:r>
          </w:p>
        </w:tc>
        <w:tc>
          <w:tcPr>
            <w:tcW w:w="2268" w:type="dxa"/>
          </w:tcPr>
          <w:p w14:paraId="5BD2DEDC" w14:textId="77777777" w:rsidR="00337111" w:rsidRPr="0063119B" w:rsidRDefault="00337111" w:rsidP="00A9161F">
            <w:pPr>
              <w:pStyle w:val="BayerBodyTextFull"/>
              <w:keepNext/>
              <w:keepLines/>
              <w:ind w:left="12"/>
              <w:rPr>
                <w:b/>
                <w:bCs/>
                <w:sz w:val="22"/>
                <w:szCs w:val="22"/>
                <w:lang w:val="pt-PT"/>
              </w:rPr>
            </w:pPr>
            <w:r w:rsidRPr="0063119B">
              <w:rPr>
                <w:b/>
                <w:bCs/>
                <w:sz w:val="22"/>
                <w:szCs w:val="22"/>
                <w:lang w:val="pt-PT"/>
              </w:rPr>
              <w:t>Varfarina</w:t>
            </w:r>
            <w:r w:rsidR="00BE519A">
              <w:rPr>
                <w:b/>
                <w:bCs/>
                <w:sz w:val="22"/>
                <w:szCs w:val="22"/>
                <w:lang w:val="pt-PT"/>
              </w:rPr>
              <w:t xml:space="preserve"> </w:t>
            </w:r>
            <w:r w:rsidRPr="0063119B">
              <w:rPr>
                <w:b/>
                <w:bCs/>
                <w:sz w:val="22"/>
                <w:szCs w:val="22"/>
                <w:lang w:val="pt-PT"/>
              </w:rPr>
              <w:t>titulada até um INR alvo de 2,5 (intervalo terapêutico de 2,0 a 3,0)</w:t>
            </w:r>
          </w:p>
          <w:p w14:paraId="43BC900A" w14:textId="77777777" w:rsidR="00337111" w:rsidRPr="0063119B" w:rsidRDefault="00337111" w:rsidP="00A9161F">
            <w:pPr>
              <w:pStyle w:val="BayerBodyTextFull"/>
              <w:keepNext/>
              <w:keepLines/>
              <w:ind w:left="12"/>
              <w:rPr>
                <w:b/>
                <w:bCs/>
                <w:sz w:val="22"/>
                <w:szCs w:val="22"/>
                <w:lang w:val="pt-PT"/>
              </w:rPr>
            </w:pPr>
            <w:r w:rsidRPr="0063119B">
              <w:rPr>
                <w:b/>
                <w:bCs/>
                <w:sz w:val="22"/>
                <w:szCs w:val="22"/>
                <w:lang w:val="pt-PT"/>
              </w:rPr>
              <w:t>Taxa de acontecimentos (100 dts-ano)</w:t>
            </w:r>
          </w:p>
        </w:tc>
        <w:tc>
          <w:tcPr>
            <w:tcW w:w="2835" w:type="dxa"/>
            <w:vAlign w:val="center"/>
          </w:tcPr>
          <w:p w14:paraId="33EE9B9C" w14:textId="77777777" w:rsidR="00337111" w:rsidRPr="0063119B" w:rsidRDefault="00F104BA" w:rsidP="00A9161F">
            <w:pPr>
              <w:pStyle w:val="BayerBodyTextFull"/>
              <w:keepNext/>
              <w:keepLines/>
              <w:ind w:left="12"/>
              <w:rPr>
                <w:b/>
                <w:bCs/>
                <w:sz w:val="22"/>
                <w:szCs w:val="22"/>
                <w:lang w:val="pt-PT"/>
              </w:rPr>
            </w:pPr>
            <w:r w:rsidRPr="0063119B">
              <w:rPr>
                <w:b/>
                <w:bCs/>
                <w:sz w:val="22"/>
                <w:szCs w:val="22"/>
                <w:lang w:val="pt-PT"/>
              </w:rPr>
              <w:t>RR</w:t>
            </w:r>
            <w:r w:rsidR="00337111" w:rsidRPr="0063119B">
              <w:rPr>
                <w:b/>
                <w:bCs/>
                <w:sz w:val="22"/>
                <w:szCs w:val="22"/>
                <w:lang w:val="pt-PT"/>
              </w:rPr>
              <w:t xml:space="preserve"> (IC 95%)</w:t>
            </w:r>
            <w:r w:rsidR="00DC44A1">
              <w:rPr>
                <w:b/>
                <w:bCs/>
                <w:sz w:val="22"/>
                <w:szCs w:val="22"/>
                <w:lang w:val="pt-PT"/>
              </w:rPr>
              <w:t xml:space="preserve"> </w:t>
            </w:r>
            <w:r w:rsidR="00337111" w:rsidRPr="0063119B">
              <w:rPr>
                <w:b/>
                <w:bCs/>
                <w:sz w:val="22"/>
                <w:szCs w:val="22"/>
                <w:lang w:val="pt-PT"/>
              </w:rPr>
              <w:t>valor-p, teste para a superioridade</w:t>
            </w:r>
          </w:p>
        </w:tc>
      </w:tr>
      <w:tr w:rsidR="00337111" w:rsidRPr="0063119B" w14:paraId="70C96BB6" w14:textId="77777777" w:rsidTr="0044301C">
        <w:trPr>
          <w:cantSplit/>
        </w:trPr>
        <w:tc>
          <w:tcPr>
            <w:tcW w:w="1985" w:type="dxa"/>
            <w:vAlign w:val="center"/>
          </w:tcPr>
          <w:p w14:paraId="6CBA6C1A" w14:textId="77777777" w:rsidR="00337111" w:rsidRPr="0063119B" w:rsidRDefault="00337111" w:rsidP="00A9161F">
            <w:pPr>
              <w:pStyle w:val="BayerTableRowHeadings"/>
              <w:keepLines/>
              <w:rPr>
                <w:szCs w:val="22"/>
                <w:lang w:val="pt-PT"/>
              </w:rPr>
            </w:pPr>
            <w:r w:rsidRPr="0063119B">
              <w:rPr>
                <w:szCs w:val="22"/>
                <w:lang w:val="pt-PT"/>
              </w:rPr>
              <w:t>Acidente vascular cerebral e embolismo sistémico que não SNC</w:t>
            </w:r>
          </w:p>
        </w:tc>
        <w:tc>
          <w:tcPr>
            <w:tcW w:w="2268" w:type="dxa"/>
          </w:tcPr>
          <w:p w14:paraId="46D21D74" w14:textId="77777777" w:rsidR="00337111" w:rsidRPr="0063119B" w:rsidRDefault="00337111" w:rsidP="00A9161F">
            <w:pPr>
              <w:pStyle w:val="BayerBodyTextFull"/>
              <w:keepNext/>
              <w:keepLines/>
              <w:spacing w:before="0" w:after="0"/>
              <w:jc w:val="center"/>
              <w:rPr>
                <w:sz w:val="22"/>
                <w:szCs w:val="22"/>
                <w:lang w:val="pt-PT"/>
              </w:rPr>
            </w:pPr>
          </w:p>
          <w:p w14:paraId="05C0B64C" w14:textId="77777777" w:rsidR="00337111" w:rsidRPr="0063119B" w:rsidRDefault="00337111" w:rsidP="00A9161F">
            <w:pPr>
              <w:pStyle w:val="BayerBodyTextFull"/>
              <w:keepNext/>
              <w:keepLines/>
              <w:spacing w:before="0" w:after="0"/>
              <w:jc w:val="center"/>
              <w:rPr>
                <w:sz w:val="22"/>
                <w:szCs w:val="22"/>
                <w:lang w:val="pt-PT"/>
              </w:rPr>
            </w:pPr>
            <w:r w:rsidRPr="0063119B">
              <w:rPr>
                <w:sz w:val="22"/>
                <w:szCs w:val="22"/>
                <w:lang w:val="pt-PT"/>
              </w:rPr>
              <w:t>269</w:t>
            </w:r>
            <w:r w:rsidRPr="0063119B">
              <w:rPr>
                <w:sz w:val="22"/>
                <w:szCs w:val="22"/>
                <w:lang w:val="pt-PT"/>
              </w:rPr>
              <w:br/>
              <w:t>(2,12)</w:t>
            </w:r>
          </w:p>
        </w:tc>
        <w:tc>
          <w:tcPr>
            <w:tcW w:w="2268" w:type="dxa"/>
          </w:tcPr>
          <w:p w14:paraId="4D1E3C34" w14:textId="77777777" w:rsidR="00337111" w:rsidRPr="0063119B" w:rsidRDefault="00337111" w:rsidP="00A9161F">
            <w:pPr>
              <w:pStyle w:val="BayerBodyTextFull"/>
              <w:keepNext/>
              <w:keepLines/>
              <w:spacing w:before="0" w:after="0"/>
              <w:jc w:val="center"/>
              <w:rPr>
                <w:sz w:val="22"/>
                <w:szCs w:val="22"/>
                <w:lang w:val="pt-PT"/>
              </w:rPr>
            </w:pPr>
          </w:p>
          <w:p w14:paraId="1BF87261" w14:textId="77777777" w:rsidR="00337111" w:rsidRPr="0063119B" w:rsidRDefault="00337111" w:rsidP="00A9161F">
            <w:pPr>
              <w:pStyle w:val="BayerBodyTextFull"/>
              <w:keepNext/>
              <w:keepLines/>
              <w:spacing w:before="0" w:after="0"/>
              <w:jc w:val="center"/>
              <w:rPr>
                <w:sz w:val="22"/>
                <w:szCs w:val="22"/>
                <w:lang w:val="pt-PT"/>
              </w:rPr>
            </w:pPr>
            <w:r w:rsidRPr="0063119B">
              <w:rPr>
                <w:sz w:val="22"/>
                <w:szCs w:val="22"/>
                <w:lang w:val="pt-PT"/>
              </w:rPr>
              <w:t>306</w:t>
            </w:r>
            <w:r w:rsidRPr="0063119B">
              <w:rPr>
                <w:sz w:val="22"/>
                <w:szCs w:val="22"/>
                <w:lang w:val="pt-PT"/>
              </w:rPr>
              <w:br/>
              <w:t>(2,42)</w:t>
            </w:r>
          </w:p>
        </w:tc>
        <w:tc>
          <w:tcPr>
            <w:tcW w:w="2835" w:type="dxa"/>
          </w:tcPr>
          <w:p w14:paraId="2548C4C3" w14:textId="77777777" w:rsidR="00337111" w:rsidRPr="0063119B" w:rsidRDefault="00337111" w:rsidP="00A9161F">
            <w:pPr>
              <w:pStyle w:val="BayerBodyTextFull"/>
              <w:keepNext/>
              <w:keepLines/>
              <w:spacing w:before="0" w:after="0"/>
              <w:jc w:val="center"/>
              <w:rPr>
                <w:sz w:val="22"/>
                <w:szCs w:val="22"/>
                <w:lang w:val="pt-PT"/>
              </w:rPr>
            </w:pPr>
          </w:p>
          <w:p w14:paraId="73B1384A" w14:textId="77777777" w:rsidR="00337111" w:rsidRPr="0063119B" w:rsidRDefault="00337111" w:rsidP="00192DF0">
            <w:pPr>
              <w:pStyle w:val="BayerBodyTextFull"/>
              <w:keepNext/>
              <w:keepLines/>
              <w:spacing w:before="0" w:after="0"/>
              <w:jc w:val="center"/>
              <w:rPr>
                <w:sz w:val="22"/>
                <w:szCs w:val="22"/>
                <w:lang w:val="pt-PT"/>
              </w:rPr>
            </w:pPr>
            <w:r w:rsidRPr="0063119B">
              <w:rPr>
                <w:sz w:val="22"/>
                <w:szCs w:val="22"/>
                <w:lang w:val="pt-PT"/>
              </w:rPr>
              <w:t xml:space="preserve">0,88 </w:t>
            </w:r>
            <w:r w:rsidRPr="0063119B">
              <w:rPr>
                <w:sz w:val="22"/>
                <w:szCs w:val="22"/>
                <w:lang w:val="pt-PT"/>
              </w:rPr>
              <w:br/>
              <w:t xml:space="preserve">(0,74 </w:t>
            </w:r>
            <w:r w:rsidR="00192DF0" w:rsidRPr="0063119B">
              <w:rPr>
                <w:sz w:val="22"/>
                <w:szCs w:val="22"/>
                <w:lang w:val="pt-PT"/>
              </w:rPr>
              <w:t>- </w:t>
            </w:r>
            <w:r w:rsidRPr="0063119B">
              <w:rPr>
                <w:sz w:val="22"/>
                <w:szCs w:val="22"/>
                <w:lang w:val="pt-PT"/>
              </w:rPr>
              <w:t>1,03)</w:t>
            </w:r>
            <w:r w:rsidRPr="0063119B">
              <w:rPr>
                <w:sz w:val="22"/>
                <w:szCs w:val="22"/>
                <w:lang w:val="pt-PT"/>
              </w:rPr>
              <w:br/>
              <w:t>0,117</w:t>
            </w:r>
          </w:p>
        </w:tc>
      </w:tr>
      <w:tr w:rsidR="00337111" w:rsidRPr="0063119B" w14:paraId="001BE9B4" w14:textId="77777777" w:rsidTr="0044301C">
        <w:trPr>
          <w:cantSplit/>
        </w:trPr>
        <w:tc>
          <w:tcPr>
            <w:tcW w:w="1985" w:type="dxa"/>
            <w:vAlign w:val="center"/>
          </w:tcPr>
          <w:p w14:paraId="7A3616A1" w14:textId="77777777" w:rsidR="00337111" w:rsidRPr="0063119B" w:rsidRDefault="00337111" w:rsidP="0044301C">
            <w:pPr>
              <w:pStyle w:val="BayerTableRowHeadings"/>
              <w:keepNext w:val="0"/>
              <w:rPr>
                <w:szCs w:val="22"/>
                <w:lang w:val="pt-PT"/>
              </w:rPr>
            </w:pPr>
            <w:r w:rsidRPr="0063119B">
              <w:rPr>
                <w:szCs w:val="22"/>
                <w:lang w:val="pt-PT"/>
              </w:rPr>
              <w:t>Acidente vascular cerebral, embolismo sistémico que não do SNC e morte vascular</w:t>
            </w:r>
          </w:p>
        </w:tc>
        <w:tc>
          <w:tcPr>
            <w:tcW w:w="2268" w:type="dxa"/>
          </w:tcPr>
          <w:p w14:paraId="080F25E3" w14:textId="77777777" w:rsidR="00337111" w:rsidRPr="0063119B" w:rsidRDefault="00337111" w:rsidP="0044301C">
            <w:pPr>
              <w:pStyle w:val="BayerBodyTextFull"/>
              <w:spacing w:before="0" w:after="0"/>
              <w:jc w:val="center"/>
              <w:rPr>
                <w:sz w:val="22"/>
                <w:szCs w:val="22"/>
                <w:lang w:val="pt-PT"/>
              </w:rPr>
            </w:pPr>
          </w:p>
          <w:p w14:paraId="482D31A2"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572</w:t>
            </w:r>
            <w:r w:rsidRPr="0063119B">
              <w:rPr>
                <w:sz w:val="22"/>
                <w:szCs w:val="22"/>
                <w:lang w:val="pt-PT"/>
              </w:rPr>
              <w:br/>
              <w:t>(4,51)</w:t>
            </w:r>
          </w:p>
        </w:tc>
        <w:tc>
          <w:tcPr>
            <w:tcW w:w="2268" w:type="dxa"/>
          </w:tcPr>
          <w:p w14:paraId="08D5E839" w14:textId="77777777" w:rsidR="00337111" w:rsidRPr="0063119B" w:rsidRDefault="00337111" w:rsidP="0044301C">
            <w:pPr>
              <w:pStyle w:val="BayerBodyTextFull"/>
              <w:spacing w:before="0" w:after="0"/>
              <w:jc w:val="center"/>
              <w:rPr>
                <w:sz w:val="22"/>
                <w:szCs w:val="22"/>
                <w:lang w:val="pt-PT"/>
              </w:rPr>
            </w:pPr>
          </w:p>
          <w:p w14:paraId="113A9A6B"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609</w:t>
            </w:r>
          </w:p>
          <w:p w14:paraId="1042A7D5"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(4,81)</w:t>
            </w:r>
          </w:p>
        </w:tc>
        <w:tc>
          <w:tcPr>
            <w:tcW w:w="2835" w:type="dxa"/>
          </w:tcPr>
          <w:p w14:paraId="682D4941" w14:textId="77777777" w:rsidR="00337111" w:rsidRPr="0063119B" w:rsidRDefault="00337111" w:rsidP="0044301C">
            <w:pPr>
              <w:pStyle w:val="BayerBodyTextFull"/>
              <w:spacing w:before="0" w:after="0"/>
              <w:jc w:val="center"/>
              <w:rPr>
                <w:sz w:val="22"/>
                <w:szCs w:val="22"/>
                <w:lang w:val="pt-PT"/>
              </w:rPr>
            </w:pPr>
          </w:p>
          <w:p w14:paraId="2C602944"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 xml:space="preserve">0,94 </w:t>
            </w:r>
            <w:r w:rsidRPr="0063119B">
              <w:rPr>
                <w:sz w:val="22"/>
                <w:szCs w:val="22"/>
                <w:lang w:val="pt-PT"/>
              </w:rPr>
              <w:br/>
              <w:t xml:space="preserve">(0,84 </w:t>
            </w:r>
            <w:r w:rsidRPr="0063119B">
              <w:rPr>
                <w:sz w:val="22"/>
                <w:szCs w:val="22"/>
                <w:lang w:val="pt-PT"/>
              </w:rPr>
              <w:noBreakHyphen/>
              <w:t> 1,05)</w:t>
            </w:r>
            <w:r w:rsidRPr="0063119B">
              <w:rPr>
                <w:sz w:val="22"/>
                <w:szCs w:val="22"/>
                <w:lang w:val="pt-PT"/>
              </w:rPr>
              <w:br/>
              <w:t>0,265</w:t>
            </w:r>
          </w:p>
        </w:tc>
      </w:tr>
      <w:tr w:rsidR="00337111" w:rsidRPr="0063119B" w14:paraId="1ACDA420" w14:textId="77777777" w:rsidTr="0044301C">
        <w:trPr>
          <w:cantSplit/>
        </w:trPr>
        <w:tc>
          <w:tcPr>
            <w:tcW w:w="1985" w:type="dxa"/>
            <w:vAlign w:val="center"/>
          </w:tcPr>
          <w:p w14:paraId="49E14341" w14:textId="77777777" w:rsidR="00337111" w:rsidRPr="0063119B" w:rsidRDefault="00337111" w:rsidP="0044301C">
            <w:pPr>
              <w:pStyle w:val="BayerTableRowHeadings"/>
              <w:keepNext w:val="0"/>
              <w:rPr>
                <w:szCs w:val="22"/>
                <w:lang w:val="pt-PT"/>
              </w:rPr>
            </w:pPr>
            <w:r w:rsidRPr="0063119B">
              <w:rPr>
                <w:szCs w:val="22"/>
                <w:lang w:val="pt-PT"/>
              </w:rPr>
              <w:t>Acidente vascular cerebral, embolismo sistémico que não do SNC, morte vascular e enfarte do miocárdio</w:t>
            </w:r>
          </w:p>
        </w:tc>
        <w:tc>
          <w:tcPr>
            <w:tcW w:w="2268" w:type="dxa"/>
          </w:tcPr>
          <w:p w14:paraId="61DDFC8A" w14:textId="77777777" w:rsidR="00337111" w:rsidRPr="0063119B" w:rsidRDefault="00337111" w:rsidP="0044301C">
            <w:pPr>
              <w:pStyle w:val="BayerBodyTextFull"/>
              <w:spacing w:before="0" w:after="0"/>
              <w:jc w:val="center"/>
              <w:rPr>
                <w:sz w:val="22"/>
                <w:szCs w:val="22"/>
                <w:lang w:val="pt-PT"/>
              </w:rPr>
            </w:pPr>
          </w:p>
          <w:p w14:paraId="1C2E1FE3"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659</w:t>
            </w:r>
            <w:r w:rsidRPr="0063119B">
              <w:rPr>
                <w:sz w:val="22"/>
                <w:szCs w:val="22"/>
                <w:lang w:val="pt-PT"/>
              </w:rPr>
              <w:br/>
              <w:t>(5,24)</w:t>
            </w:r>
          </w:p>
        </w:tc>
        <w:tc>
          <w:tcPr>
            <w:tcW w:w="2268" w:type="dxa"/>
          </w:tcPr>
          <w:p w14:paraId="308A1491" w14:textId="77777777" w:rsidR="00337111" w:rsidRPr="0063119B" w:rsidRDefault="00337111" w:rsidP="0044301C">
            <w:pPr>
              <w:pStyle w:val="BayerBodyTextFull"/>
              <w:spacing w:before="0" w:after="0"/>
              <w:jc w:val="center"/>
              <w:rPr>
                <w:sz w:val="22"/>
                <w:szCs w:val="22"/>
                <w:lang w:val="pt-PT"/>
              </w:rPr>
            </w:pPr>
          </w:p>
          <w:p w14:paraId="3C43D4FE"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709</w:t>
            </w:r>
          </w:p>
          <w:p w14:paraId="114EF7B5"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(5,65)</w:t>
            </w:r>
          </w:p>
        </w:tc>
        <w:tc>
          <w:tcPr>
            <w:tcW w:w="2835" w:type="dxa"/>
          </w:tcPr>
          <w:p w14:paraId="1D818FA8" w14:textId="77777777" w:rsidR="00337111" w:rsidRPr="0063119B" w:rsidRDefault="00337111" w:rsidP="0044301C">
            <w:pPr>
              <w:pStyle w:val="BayerBodyTextFull"/>
              <w:spacing w:before="0" w:after="0"/>
              <w:jc w:val="center"/>
              <w:rPr>
                <w:sz w:val="22"/>
                <w:szCs w:val="22"/>
                <w:lang w:val="pt-PT"/>
              </w:rPr>
            </w:pPr>
          </w:p>
          <w:p w14:paraId="0E70DCA7"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 xml:space="preserve">0,93 </w:t>
            </w:r>
            <w:r w:rsidRPr="0063119B">
              <w:rPr>
                <w:sz w:val="22"/>
                <w:szCs w:val="22"/>
                <w:lang w:val="pt-PT"/>
              </w:rPr>
              <w:br/>
              <w:t xml:space="preserve">(0,83 </w:t>
            </w:r>
            <w:r w:rsidRPr="0063119B">
              <w:rPr>
                <w:sz w:val="22"/>
                <w:szCs w:val="22"/>
                <w:lang w:val="pt-PT"/>
              </w:rPr>
              <w:noBreakHyphen/>
              <w:t> 1,03)</w:t>
            </w:r>
            <w:r w:rsidRPr="0063119B">
              <w:rPr>
                <w:sz w:val="22"/>
                <w:szCs w:val="22"/>
                <w:lang w:val="pt-PT"/>
              </w:rPr>
              <w:br/>
              <w:t>0,158</w:t>
            </w:r>
          </w:p>
        </w:tc>
      </w:tr>
      <w:tr w:rsidR="00337111" w:rsidRPr="0063119B" w14:paraId="1356DBE9" w14:textId="77777777" w:rsidTr="0044301C">
        <w:trPr>
          <w:cantSplit/>
        </w:trPr>
        <w:tc>
          <w:tcPr>
            <w:tcW w:w="1985" w:type="dxa"/>
            <w:vAlign w:val="center"/>
          </w:tcPr>
          <w:p w14:paraId="5E1E0E9B" w14:textId="77777777" w:rsidR="00337111" w:rsidRPr="0063119B" w:rsidRDefault="00337111" w:rsidP="0044301C">
            <w:pPr>
              <w:pStyle w:val="BayerTableRowHeadings"/>
              <w:ind w:left="176"/>
              <w:rPr>
                <w:szCs w:val="22"/>
                <w:lang w:val="pt-PT"/>
              </w:rPr>
            </w:pPr>
            <w:r w:rsidRPr="0063119B">
              <w:rPr>
                <w:szCs w:val="22"/>
                <w:lang w:val="pt-PT"/>
              </w:rPr>
              <w:t>Acidente vascular cerebral</w:t>
            </w:r>
          </w:p>
        </w:tc>
        <w:tc>
          <w:tcPr>
            <w:tcW w:w="2268" w:type="dxa"/>
          </w:tcPr>
          <w:p w14:paraId="422325E0" w14:textId="77777777" w:rsidR="00337111" w:rsidRPr="0063119B" w:rsidRDefault="00337111" w:rsidP="0044301C">
            <w:pPr>
              <w:pStyle w:val="BayerBodyTextFull"/>
              <w:spacing w:before="0" w:after="0"/>
              <w:jc w:val="center"/>
              <w:rPr>
                <w:sz w:val="22"/>
                <w:szCs w:val="22"/>
                <w:lang w:val="pt-PT"/>
              </w:rPr>
            </w:pPr>
          </w:p>
          <w:p w14:paraId="5970ECD9"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 xml:space="preserve">253 </w:t>
            </w:r>
            <w:r w:rsidRPr="0063119B">
              <w:rPr>
                <w:sz w:val="22"/>
                <w:szCs w:val="22"/>
                <w:lang w:val="pt-PT"/>
              </w:rPr>
              <w:br/>
              <w:t>(1,99)</w:t>
            </w:r>
          </w:p>
        </w:tc>
        <w:tc>
          <w:tcPr>
            <w:tcW w:w="2268" w:type="dxa"/>
          </w:tcPr>
          <w:p w14:paraId="5C3B1EF1" w14:textId="77777777" w:rsidR="00337111" w:rsidRPr="0063119B" w:rsidRDefault="00337111" w:rsidP="0044301C">
            <w:pPr>
              <w:pStyle w:val="BayerBodyTextFull"/>
              <w:spacing w:before="0" w:after="0"/>
              <w:jc w:val="center"/>
              <w:rPr>
                <w:sz w:val="22"/>
                <w:szCs w:val="22"/>
                <w:lang w:val="pt-PT"/>
              </w:rPr>
            </w:pPr>
          </w:p>
          <w:p w14:paraId="631EE2C8"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281</w:t>
            </w:r>
          </w:p>
          <w:p w14:paraId="32EF0DB1"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(2,22)</w:t>
            </w:r>
          </w:p>
        </w:tc>
        <w:tc>
          <w:tcPr>
            <w:tcW w:w="2835" w:type="dxa"/>
          </w:tcPr>
          <w:p w14:paraId="17ECFC85" w14:textId="77777777" w:rsidR="00337111" w:rsidRPr="0063119B" w:rsidRDefault="00337111" w:rsidP="0044301C">
            <w:pPr>
              <w:pStyle w:val="BayerBodyTextFull"/>
              <w:spacing w:before="0" w:after="0"/>
              <w:jc w:val="center"/>
              <w:rPr>
                <w:sz w:val="22"/>
                <w:szCs w:val="22"/>
                <w:lang w:val="pt-PT"/>
              </w:rPr>
            </w:pPr>
          </w:p>
          <w:p w14:paraId="79A03D26"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 xml:space="preserve">0,90 </w:t>
            </w:r>
            <w:r w:rsidRPr="0063119B">
              <w:rPr>
                <w:sz w:val="22"/>
                <w:szCs w:val="22"/>
                <w:lang w:val="pt-PT"/>
              </w:rPr>
              <w:br/>
              <w:t xml:space="preserve">(0,76 </w:t>
            </w:r>
            <w:r w:rsidRPr="0063119B">
              <w:rPr>
                <w:sz w:val="22"/>
                <w:szCs w:val="22"/>
                <w:lang w:val="pt-PT"/>
              </w:rPr>
              <w:noBreakHyphen/>
              <w:t> 1,07)</w:t>
            </w:r>
            <w:r w:rsidRPr="0063119B">
              <w:rPr>
                <w:sz w:val="22"/>
                <w:szCs w:val="22"/>
                <w:lang w:val="pt-PT"/>
              </w:rPr>
              <w:br/>
              <w:t>0,221</w:t>
            </w:r>
          </w:p>
        </w:tc>
      </w:tr>
      <w:tr w:rsidR="00337111" w:rsidRPr="0063119B" w14:paraId="14D0F028" w14:textId="77777777" w:rsidTr="0044301C">
        <w:trPr>
          <w:cantSplit/>
        </w:trPr>
        <w:tc>
          <w:tcPr>
            <w:tcW w:w="1985" w:type="dxa"/>
            <w:vAlign w:val="center"/>
          </w:tcPr>
          <w:p w14:paraId="063F2BED" w14:textId="77777777" w:rsidR="00337111" w:rsidRPr="0063119B" w:rsidRDefault="00337111" w:rsidP="0044301C">
            <w:pPr>
              <w:pStyle w:val="BayerTableRowHeadings"/>
              <w:ind w:left="176"/>
              <w:rPr>
                <w:szCs w:val="22"/>
                <w:lang w:val="pt-PT"/>
              </w:rPr>
            </w:pPr>
            <w:r w:rsidRPr="0063119B">
              <w:rPr>
                <w:szCs w:val="22"/>
                <w:lang w:val="pt-PT"/>
              </w:rPr>
              <w:t>Embolismo sistémico que não do SNC</w:t>
            </w:r>
          </w:p>
        </w:tc>
        <w:tc>
          <w:tcPr>
            <w:tcW w:w="2268" w:type="dxa"/>
          </w:tcPr>
          <w:p w14:paraId="4084D201" w14:textId="77777777" w:rsidR="00337111" w:rsidRPr="0063119B" w:rsidRDefault="00337111" w:rsidP="0044301C">
            <w:pPr>
              <w:pStyle w:val="BayerBodyTextFull"/>
              <w:spacing w:before="0" w:after="0"/>
              <w:jc w:val="center"/>
              <w:rPr>
                <w:sz w:val="22"/>
                <w:szCs w:val="22"/>
                <w:lang w:val="pt-PT"/>
              </w:rPr>
            </w:pPr>
          </w:p>
          <w:p w14:paraId="42793EF7"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 xml:space="preserve">20 </w:t>
            </w:r>
            <w:r w:rsidRPr="0063119B">
              <w:rPr>
                <w:sz w:val="22"/>
                <w:szCs w:val="22"/>
                <w:lang w:val="pt-PT"/>
              </w:rPr>
              <w:br/>
              <w:t>(0,16)</w:t>
            </w:r>
          </w:p>
        </w:tc>
        <w:tc>
          <w:tcPr>
            <w:tcW w:w="2268" w:type="dxa"/>
          </w:tcPr>
          <w:p w14:paraId="407151F6" w14:textId="77777777" w:rsidR="00337111" w:rsidRPr="0063119B" w:rsidRDefault="00337111" w:rsidP="0044301C">
            <w:pPr>
              <w:pStyle w:val="BayerBodyTextFull"/>
              <w:spacing w:before="0" w:after="0"/>
              <w:jc w:val="center"/>
              <w:rPr>
                <w:sz w:val="22"/>
                <w:szCs w:val="22"/>
                <w:lang w:val="pt-PT"/>
              </w:rPr>
            </w:pPr>
          </w:p>
          <w:p w14:paraId="5662281A"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27</w:t>
            </w:r>
          </w:p>
          <w:p w14:paraId="0EA95034"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(0,21)</w:t>
            </w:r>
          </w:p>
        </w:tc>
        <w:tc>
          <w:tcPr>
            <w:tcW w:w="2835" w:type="dxa"/>
          </w:tcPr>
          <w:p w14:paraId="10769DCE" w14:textId="77777777" w:rsidR="00337111" w:rsidRPr="0063119B" w:rsidRDefault="00337111" w:rsidP="0044301C">
            <w:pPr>
              <w:pStyle w:val="BayerBodyTextFull"/>
              <w:spacing w:before="0" w:after="0"/>
              <w:jc w:val="center"/>
              <w:rPr>
                <w:sz w:val="22"/>
                <w:szCs w:val="22"/>
                <w:lang w:val="pt-PT"/>
              </w:rPr>
            </w:pPr>
          </w:p>
          <w:p w14:paraId="3190A32E"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 xml:space="preserve">0,74 </w:t>
            </w:r>
            <w:r w:rsidRPr="0063119B">
              <w:rPr>
                <w:sz w:val="22"/>
                <w:szCs w:val="22"/>
                <w:lang w:val="pt-PT"/>
              </w:rPr>
              <w:br/>
              <w:t xml:space="preserve">(0,42 </w:t>
            </w:r>
            <w:r w:rsidRPr="0063119B">
              <w:rPr>
                <w:sz w:val="22"/>
                <w:szCs w:val="22"/>
                <w:lang w:val="pt-PT"/>
              </w:rPr>
              <w:noBreakHyphen/>
              <w:t> 1,32)</w:t>
            </w:r>
            <w:r w:rsidRPr="0063119B">
              <w:rPr>
                <w:sz w:val="22"/>
                <w:szCs w:val="22"/>
                <w:lang w:val="pt-PT"/>
              </w:rPr>
              <w:br/>
              <w:t>0,308</w:t>
            </w:r>
          </w:p>
        </w:tc>
      </w:tr>
      <w:tr w:rsidR="00337111" w:rsidRPr="0063119B" w14:paraId="53002081" w14:textId="77777777" w:rsidTr="0044301C">
        <w:trPr>
          <w:cantSplit/>
        </w:trPr>
        <w:tc>
          <w:tcPr>
            <w:tcW w:w="1985" w:type="dxa"/>
            <w:vAlign w:val="center"/>
          </w:tcPr>
          <w:p w14:paraId="2E99FD35" w14:textId="77777777" w:rsidR="00337111" w:rsidRPr="0063119B" w:rsidRDefault="00337111" w:rsidP="0044301C">
            <w:pPr>
              <w:pStyle w:val="BayerTableRowHeadings"/>
              <w:rPr>
                <w:szCs w:val="22"/>
                <w:lang w:val="pt-PT"/>
              </w:rPr>
            </w:pPr>
            <w:r w:rsidRPr="0063119B">
              <w:rPr>
                <w:szCs w:val="22"/>
                <w:lang w:val="pt-PT"/>
              </w:rPr>
              <w:t>Enfarte do miocárdio</w:t>
            </w:r>
          </w:p>
        </w:tc>
        <w:tc>
          <w:tcPr>
            <w:tcW w:w="2268" w:type="dxa"/>
          </w:tcPr>
          <w:p w14:paraId="6493A974" w14:textId="77777777" w:rsidR="00337111" w:rsidRPr="0063119B" w:rsidRDefault="00337111" w:rsidP="0044301C">
            <w:pPr>
              <w:pStyle w:val="BayerBodyTextFull"/>
              <w:spacing w:before="0" w:after="0"/>
              <w:jc w:val="center"/>
              <w:rPr>
                <w:sz w:val="22"/>
                <w:szCs w:val="22"/>
                <w:lang w:val="pt-PT"/>
              </w:rPr>
            </w:pPr>
          </w:p>
          <w:p w14:paraId="0FD8A0C2"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130</w:t>
            </w:r>
          </w:p>
          <w:p w14:paraId="049BEF3F"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(1,02)</w:t>
            </w:r>
          </w:p>
        </w:tc>
        <w:tc>
          <w:tcPr>
            <w:tcW w:w="2268" w:type="dxa"/>
          </w:tcPr>
          <w:p w14:paraId="6D360346" w14:textId="77777777" w:rsidR="00337111" w:rsidRPr="0063119B" w:rsidRDefault="00337111" w:rsidP="0044301C">
            <w:pPr>
              <w:pStyle w:val="BayerBodyTextFull"/>
              <w:spacing w:before="0" w:after="0"/>
              <w:jc w:val="center"/>
              <w:rPr>
                <w:sz w:val="22"/>
                <w:szCs w:val="22"/>
                <w:lang w:val="pt-PT"/>
              </w:rPr>
            </w:pPr>
          </w:p>
          <w:p w14:paraId="4C2887E5"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142</w:t>
            </w:r>
          </w:p>
          <w:p w14:paraId="49F23295"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(1,11)</w:t>
            </w:r>
          </w:p>
        </w:tc>
        <w:tc>
          <w:tcPr>
            <w:tcW w:w="2835" w:type="dxa"/>
          </w:tcPr>
          <w:p w14:paraId="6B8B6886" w14:textId="77777777" w:rsidR="00337111" w:rsidRPr="0063119B" w:rsidRDefault="00337111" w:rsidP="0044301C">
            <w:pPr>
              <w:pStyle w:val="BayerBodyTextFull"/>
              <w:spacing w:before="0" w:after="0"/>
              <w:jc w:val="center"/>
              <w:rPr>
                <w:sz w:val="22"/>
                <w:szCs w:val="22"/>
                <w:lang w:val="pt-PT"/>
              </w:rPr>
            </w:pPr>
          </w:p>
          <w:p w14:paraId="5E35DA2F" w14:textId="77777777" w:rsidR="00337111" w:rsidRPr="0063119B" w:rsidRDefault="00337111" w:rsidP="0044301C">
            <w:pPr>
              <w:pStyle w:val="BayerBodyTextFull"/>
              <w:spacing w:before="0" w:after="0"/>
              <w:jc w:val="center"/>
              <w:rPr>
                <w:sz w:val="22"/>
                <w:szCs w:val="22"/>
                <w:lang w:val="pt-PT"/>
              </w:rPr>
            </w:pPr>
            <w:r w:rsidRPr="0063119B">
              <w:rPr>
                <w:sz w:val="22"/>
                <w:szCs w:val="22"/>
                <w:lang w:val="pt-PT"/>
              </w:rPr>
              <w:t xml:space="preserve">0,91 </w:t>
            </w:r>
            <w:r w:rsidRPr="0063119B">
              <w:rPr>
                <w:sz w:val="22"/>
                <w:szCs w:val="22"/>
                <w:lang w:val="pt-PT"/>
              </w:rPr>
              <w:br/>
              <w:t xml:space="preserve">(0,72 </w:t>
            </w:r>
            <w:r w:rsidRPr="0063119B">
              <w:rPr>
                <w:sz w:val="22"/>
                <w:szCs w:val="22"/>
                <w:lang w:val="pt-PT"/>
              </w:rPr>
              <w:noBreakHyphen/>
              <w:t xml:space="preserve"> 1,16) </w:t>
            </w:r>
            <w:r w:rsidRPr="0063119B">
              <w:rPr>
                <w:sz w:val="22"/>
                <w:szCs w:val="22"/>
                <w:lang w:val="pt-PT"/>
              </w:rPr>
              <w:br/>
              <w:t>0,464</w:t>
            </w:r>
          </w:p>
        </w:tc>
      </w:tr>
    </w:tbl>
    <w:p w14:paraId="46EBD020" w14:textId="77777777" w:rsidR="00337111" w:rsidRPr="0063119B" w:rsidRDefault="00337111" w:rsidP="00337111">
      <w:pPr>
        <w:rPr>
          <w:szCs w:val="22"/>
        </w:rPr>
      </w:pPr>
    </w:p>
    <w:p w14:paraId="5F9C3E9B" w14:textId="77777777" w:rsidR="00337111" w:rsidRPr="0063119B" w:rsidRDefault="00337111" w:rsidP="00A9161F">
      <w:pPr>
        <w:keepNext/>
        <w:keepLines/>
        <w:rPr>
          <w:rFonts w:eastAsia="PMingLiU"/>
          <w:b/>
          <w:szCs w:val="22"/>
        </w:rPr>
      </w:pPr>
      <w:r w:rsidRPr="0063119B">
        <w:rPr>
          <w:rFonts w:eastAsia="PMingLiU"/>
          <w:b/>
          <w:szCs w:val="22"/>
        </w:rPr>
        <w:lastRenderedPageBreak/>
        <w:t>Quadro </w:t>
      </w:r>
      <w:r w:rsidR="008E7EA4" w:rsidRPr="0063119B">
        <w:rPr>
          <w:rFonts w:eastAsia="PMingLiU"/>
          <w:b/>
          <w:szCs w:val="22"/>
        </w:rPr>
        <w:t>5</w:t>
      </w:r>
      <w:r w:rsidRPr="0063119B">
        <w:rPr>
          <w:rFonts w:eastAsia="PMingLiU"/>
          <w:b/>
          <w:szCs w:val="22"/>
        </w:rPr>
        <w:t>: Resultados de segurança do estudo de fase III ROCKET AF</w:t>
      </w:r>
    </w:p>
    <w:tbl>
      <w:tblPr>
        <w:tblW w:w="95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
        <w:gridCol w:w="2640"/>
        <w:gridCol w:w="2460"/>
        <w:gridCol w:w="2460"/>
        <w:gridCol w:w="1493"/>
        <w:gridCol w:w="377"/>
      </w:tblGrid>
      <w:tr w:rsidR="00337111" w:rsidRPr="0063119B" w14:paraId="757277A9" w14:textId="77777777" w:rsidTr="006A13A4">
        <w:trPr>
          <w:gridBefore w:val="1"/>
          <w:wBefore w:w="147" w:type="dxa"/>
        </w:trPr>
        <w:tc>
          <w:tcPr>
            <w:tcW w:w="2640" w:type="dxa"/>
          </w:tcPr>
          <w:p w14:paraId="081A9821" w14:textId="77777777" w:rsidR="00337111" w:rsidRPr="0063119B" w:rsidRDefault="00337111" w:rsidP="0044301C">
            <w:pPr>
              <w:pStyle w:val="BayerTableColumnHeadings"/>
              <w:keepNext/>
              <w:jc w:val="left"/>
              <w:rPr>
                <w:bCs/>
                <w:szCs w:val="22"/>
                <w:lang w:val="pt-PT"/>
              </w:rPr>
            </w:pPr>
            <w:r w:rsidRPr="0063119B">
              <w:rPr>
                <w:bCs/>
                <w:szCs w:val="22"/>
                <w:lang w:val="pt-PT"/>
              </w:rPr>
              <w:t>População do estudo</w:t>
            </w:r>
          </w:p>
        </w:tc>
        <w:tc>
          <w:tcPr>
            <w:tcW w:w="6790" w:type="dxa"/>
            <w:gridSpan w:val="4"/>
          </w:tcPr>
          <w:p w14:paraId="7F4AD8F7" w14:textId="77777777" w:rsidR="00337111" w:rsidRPr="0063119B" w:rsidRDefault="00337111" w:rsidP="0044301C">
            <w:pPr>
              <w:pStyle w:val="BayerTableColumnHeadings"/>
              <w:keepNext/>
              <w:jc w:val="left"/>
              <w:rPr>
                <w:bCs/>
                <w:szCs w:val="22"/>
                <w:vertAlign w:val="superscript"/>
                <w:lang w:val="pt-PT"/>
              </w:rPr>
            </w:pPr>
            <w:r w:rsidRPr="0063119B">
              <w:rPr>
                <w:bCs/>
                <w:szCs w:val="22"/>
                <w:lang w:val="pt-PT"/>
              </w:rPr>
              <w:t>Doentes com fibrilhação auricular não-valvular</w:t>
            </w:r>
            <w:r w:rsidRPr="0063119B">
              <w:rPr>
                <w:bCs/>
                <w:szCs w:val="22"/>
                <w:vertAlign w:val="superscript"/>
                <w:lang w:val="pt-PT"/>
              </w:rPr>
              <w:t>a</w:t>
            </w:r>
            <w:r w:rsidR="00DE4D38" w:rsidRPr="0063119B">
              <w:rPr>
                <w:bCs/>
                <w:szCs w:val="22"/>
                <w:vertAlign w:val="superscript"/>
                <w:lang w:val="pt-PT"/>
              </w:rPr>
              <w:t>)</w:t>
            </w:r>
          </w:p>
        </w:tc>
      </w:tr>
      <w:tr w:rsidR="00337111" w:rsidRPr="0063119B" w14:paraId="17255B9D" w14:textId="77777777" w:rsidTr="006A13A4">
        <w:trPr>
          <w:gridBefore w:val="1"/>
          <w:wBefore w:w="147" w:type="dxa"/>
        </w:trPr>
        <w:tc>
          <w:tcPr>
            <w:tcW w:w="2640" w:type="dxa"/>
            <w:vAlign w:val="center"/>
          </w:tcPr>
          <w:p w14:paraId="43657905" w14:textId="77777777" w:rsidR="00337111" w:rsidRPr="0063119B" w:rsidRDefault="00337111" w:rsidP="0044301C">
            <w:pPr>
              <w:pStyle w:val="BayerTableRowHeadings"/>
              <w:widowControl/>
              <w:spacing w:before="120" w:line="260" w:lineRule="exact"/>
              <w:rPr>
                <w:b/>
                <w:bCs/>
                <w:szCs w:val="22"/>
                <w:lang w:val="pt-PT"/>
              </w:rPr>
            </w:pPr>
            <w:r w:rsidRPr="0063119B">
              <w:rPr>
                <w:b/>
                <w:bCs/>
                <w:szCs w:val="22"/>
                <w:lang w:val="pt-PT"/>
              </w:rPr>
              <w:t>Doses do tratamento</w:t>
            </w:r>
          </w:p>
        </w:tc>
        <w:tc>
          <w:tcPr>
            <w:tcW w:w="2460" w:type="dxa"/>
          </w:tcPr>
          <w:p w14:paraId="26E07A94" w14:textId="77777777" w:rsidR="00337111" w:rsidRPr="0063119B" w:rsidRDefault="00DB6C0E" w:rsidP="0044301C">
            <w:pPr>
              <w:pStyle w:val="BayerBodyTextFull"/>
              <w:keepNext/>
              <w:spacing w:line="260" w:lineRule="exact"/>
              <w:ind w:left="12"/>
              <w:rPr>
                <w:b/>
                <w:bCs/>
                <w:sz w:val="22"/>
                <w:szCs w:val="22"/>
                <w:lang w:val="pt-PT"/>
              </w:rPr>
            </w:pPr>
            <w:r w:rsidRPr="0063119B">
              <w:rPr>
                <w:b/>
                <w:bCs/>
                <w:sz w:val="22"/>
                <w:szCs w:val="22"/>
                <w:lang w:val="pt-PT"/>
              </w:rPr>
              <w:t>Rivaroxabano</w:t>
            </w:r>
            <w:r w:rsidR="00BE519A">
              <w:rPr>
                <w:b/>
                <w:bCs/>
                <w:sz w:val="22"/>
                <w:szCs w:val="22"/>
                <w:lang w:val="pt-PT"/>
              </w:rPr>
              <w:t xml:space="preserve"> </w:t>
            </w:r>
            <w:r w:rsidR="00337111" w:rsidRPr="0063119B">
              <w:rPr>
                <w:b/>
                <w:bCs/>
                <w:sz w:val="22"/>
                <w:szCs w:val="22"/>
                <w:lang w:val="pt-PT"/>
              </w:rPr>
              <w:t>20 mg uma vez por dia (15 mg uma vez por dia em doentes com compromisso renal moderado)</w:t>
            </w:r>
          </w:p>
          <w:p w14:paraId="0CCB375E" w14:textId="77777777" w:rsidR="00337111" w:rsidRPr="0063119B" w:rsidRDefault="00337111" w:rsidP="0044301C">
            <w:pPr>
              <w:pStyle w:val="BayerBodyTextFull"/>
              <w:keepNext/>
              <w:spacing w:line="260" w:lineRule="exact"/>
              <w:ind w:left="12"/>
              <w:rPr>
                <w:b/>
                <w:bCs/>
                <w:sz w:val="22"/>
                <w:szCs w:val="22"/>
                <w:lang w:val="pt-PT"/>
              </w:rPr>
            </w:pPr>
            <w:r w:rsidRPr="0063119B">
              <w:rPr>
                <w:b/>
                <w:bCs/>
                <w:sz w:val="22"/>
                <w:szCs w:val="22"/>
                <w:lang w:val="pt-PT"/>
              </w:rPr>
              <w:t>Taxa de acontecimentos (100 dts</w:t>
            </w:r>
            <w:r w:rsidRPr="0063119B">
              <w:rPr>
                <w:b/>
                <w:bCs/>
                <w:sz w:val="22"/>
                <w:szCs w:val="22"/>
                <w:lang w:val="pt-PT"/>
              </w:rPr>
              <w:noBreakHyphen/>
              <w:t>ano)</w:t>
            </w:r>
          </w:p>
        </w:tc>
        <w:tc>
          <w:tcPr>
            <w:tcW w:w="2460" w:type="dxa"/>
          </w:tcPr>
          <w:p w14:paraId="6B17BC14" w14:textId="77777777" w:rsidR="00337111" w:rsidRPr="0063119B" w:rsidRDefault="00337111" w:rsidP="0044301C">
            <w:pPr>
              <w:pStyle w:val="BayerBodyTextFull"/>
              <w:keepNext/>
              <w:spacing w:line="260" w:lineRule="exact"/>
              <w:ind w:left="12"/>
              <w:rPr>
                <w:b/>
                <w:bCs/>
                <w:sz w:val="22"/>
                <w:szCs w:val="22"/>
                <w:lang w:val="pt-PT"/>
              </w:rPr>
            </w:pPr>
            <w:r w:rsidRPr="0063119B">
              <w:rPr>
                <w:b/>
                <w:bCs/>
                <w:sz w:val="22"/>
                <w:szCs w:val="22"/>
                <w:lang w:val="pt-PT"/>
              </w:rPr>
              <w:t>Varfarina</w:t>
            </w:r>
            <w:r w:rsidR="00BE519A">
              <w:rPr>
                <w:b/>
                <w:bCs/>
                <w:sz w:val="22"/>
                <w:szCs w:val="22"/>
                <w:lang w:val="pt-PT"/>
              </w:rPr>
              <w:t xml:space="preserve"> </w:t>
            </w:r>
            <w:r w:rsidRPr="0063119B">
              <w:rPr>
                <w:b/>
                <w:bCs/>
                <w:sz w:val="22"/>
                <w:szCs w:val="22"/>
                <w:lang w:val="pt-PT"/>
              </w:rPr>
              <w:t>titulada até um INR alvo de 2,5 (intervalo terapêutico de 2,0 a 3,0)</w:t>
            </w:r>
          </w:p>
          <w:p w14:paraId="08974E8B" w14:textId="77777777" w:rsidR="00337111" w:rsidRPr="0063119B" w:rsidRDefault="00337111" w:rsidP="0044301C">
            <w:pPr>
              <w:pStyle w:val="BayerBodyTextFull"/>
              <w:keepNext/>
              <w:spacing w:line="260" w:lineRule="exact"/>
              <w:ind w:left="12"/>
              <w:rPr>
                <w:b/>
                <w:bCs/>
                <w:sz w:val="22"/>
                <w:szCs w:val="22"/>
                <w:lang w:val="pt-PT"/>
              </w:rPr>
            </w:pPr>
            <w:r w:rsidRPr="0063119B">
              <w:rPr>
                <w:b/>
                <w:bCs/>
                <w:sz w:val="22"/>
                <w:szCs w:val="22"/>
                <w:lang w:val="pt-PT"/>
              </w:rPr>
              <w:t>Taxa de acontecimentos (100 dts</w:t>
            </w:r>
            <w:r w:rsidRPr="0063119B">
              <w:rPr>
                <w:b/>
                <w:bCs/>
                <w:sz w:val="22"/>
                <w:szCs w:val="22"/>
                <w:lang w:val="pt-PT"/>
              </w:rPr>
              <w:noBreakHyphen/>
              <w:t>ano)</w:t>
            </w:r>
          </w:p>
        </w:tc>
        <w:tc>
          <w:tcPr>
            <w:tcW w:w="1870" w:type="dxa"/>
            <w:gridSpan w:val="2"/>
            <w:vAlign w:val="center"/>
          </w:tcPr>
          <w:p w14:paraId="2FACE6F7" w14:textId="77777777" w:rsidR="00337111" w:rsidRPr="0063119B" w:rsidRDefault="00337111" w:rsidP="00F104BA">
            <w:pPr>
              <w:pStyle w:val="BayerBodyTextFull"/>
              <w:keepNext/>
              <w:spacing w:line="260" w:lineRule="exact"/>
              <w:ind w:left="12"/>
              <w:rPr>
                <w:b/>
                <w:bCs/>
                <w:sz w:val="22"/>
                <w:szCs w:val="22"/>
                <w:lang w:val="pt-PT"/>
              </w:rPr>
            </w:pPr>
            <w:r w:rsidRPr="0063119B">
              <w:rPr>
                <w:b/>
                <w:bCs/>
                <w:sz w:val="22"/>
                <w:szCs w:val="22"/>
                <w:lang w:val="pt-PT"/>
              </w:rPr>
              <w:t>R</w:t>
            </w:r>
            <w:r w:rsidR="00AA4546" w:rsidRPr="0063119B">
              <w:rPr>
                <w:b/>
                <w:bCs/>
                <w:sz w:val="22"/>
                <w:szCs w:val="22"/>
                <w:lang w:val="pt-PT"/>
              </w:rPr>
              <w:t>R</w:t>
            </w:r>
            <w:r w:rsidRPr="0063119B">
              <w:rPr>
                <w:b/>
                <w:bCs/>
                <w:sz w:val="22"/>
                <w:szCs w:val="22"/>
                <w:lang w:val="pt-PT"/>
              </w:rPr>
              <w:t xml:space="preserve"> (IC 95%)</w:t>
            </w:r>
            <w:r w:rsidR="00DC44A1">
              <w:rPr>
                <w:b/>
                <w:bCs/>
                <w:sz w:val="22"/>
                <w:szCs w:val="22"/>
                <w:lang w:val="pt-PT"/>
              </w:rPr>
              <w:t xml:space="preserve"> </w:t>
            </w:r>
            <w:r w:rsidRPr="0063119B">
              <w:rPr>
                <w:b/>
                <w:bCs/>
                <w:sz w:val="22"/>
                <w:szCs w:val="22"/>
                <w:lang w:val="pt-PT"/>
              </w:rPr>
              <w:t>valor-p</w:t>
            </w:r>
          </w:p>
        </w:tc>
      </w:tr>
      <w:tr w:rsidR="00337111" w:rsidRPr="0063119B" w14:paraId="16BDB2A6" w14:textId="77777777" w:rsidTr="006A13A4">
        <w:trPr>
          <w:gridBefore w:val="1"/>
          <w:wBefore w:w="147" w:type="dxa"/>
        </w:trPr>
        <w:tc>
          <w:tcPr>
            <w:tcW w:w="2640" w:type="dxa"/>
          </w:tcPr>
          <w:p w14:paraId="0F384D43" w14:textId="77777777" w:rsidR="00337111" w:rsidRPr="0063119B" w:rsidRDefault="00337111" w:rsidP="0044301C">
            <w:pPr>
              <w:pStyle w:val="BayerTableRowHeadings"/>
              <w:spacing w:before="120" w:line="260" w:lineRule="exact"/>
              <w:rPr>
                <w:szCs w:val="22"/>
                <w:lang w:val="pt-PT"/>
              </w:rPr>
            </w:pPr>
            <w:r w:rsidRPr="0063119B">
              <w:rPr>
                <w:szCs w:val="22"/>
                <w:lang w:val="pt-PT"/>
              </w:rPr>
              <w:t>Acontecimentos hemorrágicos principais e não principais clinicamente relevantes</w:t>
            </w:r>
          </w:p>
          <w:p w14:paraId="7DF8B1CB" w14:textId="77777777" w:rsidR="00337111" w:rsidRPr="0063119B" w:rsidRDefault="00337111" w:rsidP="0044301C">
            <w:pPr>
              <w:pStyle w:val="BayerTableRowHeadings"/>
              <w:spacing w:before="120" w:line="260" w:lineRule="exact"/>
              <w:rPr>
                <w:szCs w:val="22"/>
                <w:lang w:val="pt-PT"/>
              </w:rPr>
            </w:pPr>
          </w:p>
        </w:tc>
        <w:tc>
          <w:tcPr>
            <w:tcW w:w="2460" w:type="dxa"/>
          </w:tcPr>
          <w:p w14:paraId="48C9AA43"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1.475</w:t>
            </w:r>
            <w:r w:rsidRPr="0063119B">
              <w:rPr>
                <w:sz w:val="22"/>
                <w:szCs w:val="22"/>
                <w:lang w:val="pt-PT"/>
              </w:rPr>
              <w:br/>
              <w:t>(14,91)</w:t>
            </w:r>
          </w:p>
        </w:tc>
        <w:tc>
          <w:tcPr>
            <w:tcW w:w="2460" w:type="dxa"/>
          </w:tcPr>
          <w:p w14:paraId="7B95AD5E"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1.449</w:t>
            </w:r>
            <w:r w:rsidRPr="0063119B">
              <w:rPr>
                <w:sz w:val="22"/>
                <w:szCs w:val="22"/>
                <w:lang w:val="pt-PT"/>
              </w:rPr>
              <w:br/>
              <w:t>(14,52)</w:t>
            </w:r>
          </w:p>
        </w:tc>
        <w:tc>
          <w:tcPr>
            <w:tcW w:w="1870" w:type="dxa"/>
            <w:gridSpan w:val="2"/>
          </w:tcPr>
          <w:p w14:paraId="3828F7F8"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1,03 (0,96 </w:t>
            </w:r>
            <w:r w:rsidRPr="0063119B">
              <w:rPr>
                <w:sz w:val="22"/>
                <w:szCs w:val="22"/>
                <w:lang w:val="pt-PT"/>
              </w:rPr>
              <w:noBreakHyphen/>
              <w:t> 1,11)</w:t>
            </w:r>
            <w:r w:rsidRPr="0063119B">
              <w:rPr>
                <w:sz w:val="22"/>
                <w:szCs w:val="22"/>
                <w:lang w:val="pt-PT"/>
              </w:rPr>
              <w:br/>
              <w:t>0,442</w:t>
            </w:r>
          </w:p>
        </w:tc>
      </w:tr>
      <w:tr w:rsidR="00337111" w:rsidRPr="0063119B" w14:paraId="572C5FAF" w14:textId="77777777" w:rsidTr="006A13A4">
        <w:trPr>
          <w:gridBefore w:val="1"/>
          <w:wBefore w:w="147" w:type="dxa"/>
        </w:trPr>
        <w:tc>
          <w:tcPr>
            <w:tcW w:w="2640" w:type="dxa"/>
          </w:tcPr>
          <w:p w14:paraId="067B3DB6" w14:textId="77777777" w:rsidR="00337111" w:rsidRPr="0063119B" w:rsidRDefault="00337111" w:rsidP="0044301C">
            <w:pPr>
              <w:pStyle w:val="BayerTableRowHeadings"/>
              <w:spacing w:before="120" w:line="260" w:lineRule="exact"/>
              <w:ind w:left="318"/>
              <w:rPr>
                <w:szCs w:val="22"/>
                <w:lang w:val="pt-PT"/>
              </w:rPr>
            </w:pPr>
            <w:r w:rsidRPr="0063119B">
              <w:rPr>
                <w:szCs w:val="22"/>
                <w:lang w:val="pt-PT"/>
              </w:rPr>
              <w:t>Acontecimentos hemorrágicos principais</w:t>
            </w:r>
          </w:p>
        </w:tc>
        <w:tc>
          <w:tcPr>
            <w:tcW w:w="2460" w:type="dxa"/>
          </w:tcPr>
          <w:p w14:paraId="40FB1375"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395</w:t>
            </w:r>
            <w:r w:rsidRPr="0063119B">
              <w:rPr>
                <w:sz w:val="22"/>
                <w:szCs w:val="22"/>
                <w:lang w:val="pt-PT"/>
              </w:rPr>
              <w:br/>
              <w:t>(3,60)</w:t>
            </w:r>
          </w:p>
        </w:tc>
        <w:tc>
          <w:tcPr>
            <w:tcW w:w="2460" w:type="dxa"/>
          </w:tcPr>
          <w:p w14:paraId="7B264D03"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386</w:t>
            </w:r>
            <w:r w:rsidRPr="0063119B">
              <w:rPr>
                <w:sz w:val="22"/>
                <w:szCs w:val="22"/>
                <w:lang w:val="pt-PT"/>
              </w:rPr>
              <w:br/>
              <w:t>(3,45)</w:t>
            </w:r>
          </w:p>
        </w:tc>
        <w:tc>
          <w:tcPr>
            <w:tcW w:w="1870" w:type="dxa"/>
            <w:gridSpan w:val="2"/>
          </w:tcPr>
          <w:p w14:paraId="0765604F"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1,04 (0,90 </w:t>
            </w:r>
            <w:r w:rsidRPr="0063119B">
              <w:rPr>
                <w:sz w:val="22"/>
                <w:szCs w:val="22"/>
                <w:lang w:val="pt-PT"/>
              </w:rPr>
              <w:noBreakHyphen/>
              <w:t> 1,20)</w:t>
            </w:r>
            <w:r w:rsidRPr="0063119B">
              <w:rPr>
                <w:sz w:val="22"/>
                <w:szCs w:val="22"/>
                <w:lang w:val="pt-PT"/>
              </w:rPr>
              <w:br/>
              <w:t>0,576</w:t>
            </w:r>
          </w:p>
        </w:tc>
      </w:tr>
      <w:tr w:rsidR="00337111" w:rsidRPr="0063119B" w14:paraId="2F1CB5C4" w14:textId="77777777" w:rsidTr="006A13A4">
        <w:trPr>
          <w:gridBefore w:val="1"/>
          <w:wBefore w:w="147" w:type="dxa"/>
        </w:trPr>
        <w:tc>
          <w:tcPr>
            <w:tcW w:w="2640" w:type="dxa"/>
          </w:tcPr>
          <w:p w14:paraId="5C5FA420" w14:textId="77777777" w:rsidR="00337111" w:rsidRPr="0063119B" w:rsidRDefault="00337111" w:rsidP="0044301C">
            <w:pPr>
              <w:pStyle w:val="NormalWeb"/>
              <w:spacing w:before="120" w:after="120" w:line="260" w:lineRule="exact"/>
              <w:ind w:left="318"/>
              <w:jc w:val="left"/>
              <w:rPr>
                <w:sz w:val="22"/>
                <w:szCs w:val="22"/>
                <w:lang w:val="pt-PT"/>
              </w:rPr>
            </w:pPr>
            <w:r w:rsidRPr="0063119B">
              <w:rPr>
                <w:sz w:val="22"/>
                <w:szCs w:val="22"/>
                <w:lang w:val="pt-PT"/>
              </w:rPr>
              <w:t>Morte causada por hemorragia*</w:t>
            </w:r>
          </w:p>
        </w:tc>
        <w:tc>
          <w:tcPr>
            <w:tcW w:w="2460" w:type="dxa"/>
          </w:tcPr>
          <w:p w14:paraId="5C283A83"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27</w:t>
            </w:r>
            <w:r w:rsidRPr="0063119B">
              <w:rPr>
                <w:sz w:val="22"/>
                <w:szCs w:val="22"/>
                <w:lang w:val="pt-PT"/>
              </w:rPr>
              <w:br/>
              <w:t>(0,24)</w:t>
            </w:r>
          </w:p>
        </w:tc>
        <w:tc>
          <w:tcPr>
            <w:tcW w:w="2460" w:type="dxa"/>
          </w:tcPr>
          <w:p w14:paraId="0E599A18"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55</w:t>
            </w:r>
            <w:r w:rsidRPr="0063119B">
              <w:rPr>
                <w:sz w:val="22"/>
                <w:szCs w:val="22"/>
                <w:lang w:val="pt-PT"/>
              </w:rPr>
              <w:br/>
              <w:t>(0,48)</w:t>
            </w:r>
          </w:p>
        </w:tc>
        <w:tc>
          <w:tcPr>
            <w:tcW w:w="1870" w:type="dxa"/>
            <w:gridSpan w:val="2"/>
          </w:tcPr>
          <w:p w14:paraId="1E7950C7"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0,50 (0,31 </w:t>
            </w:r>
            <w:r w:rsidRPr="0063119B">
              <w:rPr>
                <w:sz w:val="22"/>
                <w:szCs w:val="22"/>
                <w:lang w:val="pt-PT"/>
              </w:rPr>
              <w:noBreakHyphen/>
              <w:t> 0,79)</w:t>
            </w:r>
            <w:r w:rsidRPr="0063119B">
              <w:rPr>
                <w:sz w:val="22"/>
                <w:szCs w:val="22"/>
                <w:lang w:val="pt-PT"/>
              </w:rPr>
              <w:br/>
              <w:t>0,003</w:t>
            </w:r>
          </w:p>
        </w:tc>
      </w:tr>
      <w:tr w:rsidR="00337111" w:rsidRPr="0063119B" w14:paraId="0C49C14F" w14:textId="77777777" w:rsidTr="006A13A4">
        <w:trPr>
          <w:gridBefore w:val="1"/>
          <w:wBefore w:w="147" w:type="dxa"/>
        </w:trPr>
        <w:tc>
          <w:tcPr>
            <w:tcW w:w="2640" w:type="dxa"/>
          </w:tcPr>
          <w:p w14:paraId="7B75E103" w14:textId="77777777" w:rsidR="00337111" w:rsidRPr="0063119B" w:rsidRDefault="00337111" w:rsidP="0044301C">
            <w:pPr>
              <w:pStyle w:val="BayerTableRowHeadings"/>
              <w:spacing w:before="120" w:line="260" w:lineRule="exact"/>
              <w:ind w:left="318" w:hanging="176"/>
              <w:rPr>
                <w:szCs w:val="22"/>
                <w:lang w:val="pt-PT"/>
              </w:rPr>
            </w:pPr>
            <w:r w:rsidRPr="0063119B">
              <w:rPr>
                <w:szCs w:val="22"/>
                <w:lang w:val="pt-PT"/>
              </w:rPr>
              <w:t xml:space="preserve">   Hemorragia de um órgão crítico*</w:t>
            </w:r>
          </w:p>
        </w:tc>
        <w:tc>
          <w:tcPr>
            <w:tcW w:w="2460" w:type="dxa"/>
          </w:tcPr>
          <w:p w14:paraId="744634DC"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91</w:t>
            </w:r>
            <w:r w:rsidRPr="0063119B">
              <w:rPr>
                <w:sz w:val="22"/>
                <w:szCs w:val="22"/>
                <w:lang w:val="pt-PT"/>
              </w:rPr>
              <w:br/>
              <w:t>(0,82)</w:t>
            </w:r>
          </w:p>
        </w:tc>
        <w:tc>
          <w:tcPr>
            <w:tcW w:w="2460" w:type="dxa"/>
          </w:tcPr>
          <w:p w14:paraId="4466D707"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133</w:t>
            </w:r>
            <w:r w:rsidRPr="0063119B">
              <w:rPr>
                <w:sz w:val="22"/>
                <w:szCs w:val="22"/>
                <w:lang w:val="pt-PT"/>
              </w:rPr>
              <w:br/>
              <w:t>(1,18)</w:t>
            </w:r>
          </w:p>
        </w:tc>
        <w:tc>
          <w:tcPr>
            <w:tcW w:w="1870" w:type="dxa"/>
            <w:gridSpan w:val="2"/>
          </w:tcPr>
          <w:p w14:paraId="3854122B"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0,69 (0,53 </w:t>
            </w:r>
            <w:r w:rsidRPr="0063119B">
              <w:rPr>
                <w:sz w:val="22"/>
                <w:szCs w:val="22"/>
                <w:lang w:val="pt-PT"/>
              </w:rPr>
              <w:noBreakHyphen/>
              <w:t> 0,91)</w:t>
            </w:r>
            <w:r w:rsidRPr="0063119B">
              <w:rPr>
                <w:sz w:val="22"/>
                <w:szCs w:val="22"/>
                <w:lang w:val="pt-PT"/>
              </w:rPr>
              <w:br/>
              <w:t>0,007</w:t>
            </w:r>
          </w:p>
        </w:tc>
      </w:tr>
      <w:tr w:rsidR="00337111" w:rsidRPr="0063119B" w14:paraId="6F38ED69" w14:textId="77777777" w:rsidTr="006A13A4">
        <w:trPr>
          <w:gridBefore w:val="1"/>
          <w:wBefore w:w="147" w:type="dxa"/>
        </w:trPr>
        <w:tc>
          <w:tcPr>
            <w:tcW w:w="2640" w:type="dxa"/>
          </w:tcPr>
          <w:p w14:paraId="0489A455" w14:textId="77777777" w:rsidR="00337111" w:rsidRPr="0063119B" w:rsidRDefault="00337111" w:rsidP="0044301C">
            <w:pPr>
              <w:pStyle w:val="NormalWeb"/>
              <w:keepNext/>
              <w:tabs>
                <w:tab w:val="left" w:pos="252"/>
              </w:tabs>
              <w:spacing w:before="120" w:after="120" w:line="260" w:lineRule="exact"/>
              <w:ind w:left="252"/>
              <w:jc w:val="left"/>
              <w:rPr>
                <w:sz w:val="22"/>
                <w:szCs w:val="22"/>
                <w:lang w:val="pt-PT"/>
              </w:rPr>
            </w:pPr>
            <w:r w:rsidRPr="0063119B">
              <w:rPr>
                <w:sz w:val="22"/>
                <w:szCs w:val="22"/>
                <w:lang w:val="pt-PT"/>
              </w:rPr>
              <w:t>Hemorragia intracraniana*</w:t>
            </w:r>
          </w:p>
        </w:tc>
        <w:tc>
          <w:tcPr>
            <w:tcW w:w="2460" w:type="dxa"/>
          </w:tcPr>
          <w:p w14:paraId="2F71FFEF"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 xml:space="preserve">55 </w:t>
            </w:r>
            <w:r w:rsidRPr="0063119B">
              <w:rPr>
                <w:sz w:val="22"/>
                <w:szCs w:val="22"/>
                <w:lang w:val="pt-PT"/>
              </w:rPr>
              <w:br/>
              <w:t>(0,49)</w:t>
            </w:r>
          </w:p>
        </w:tc>
        <w:tc>
          <w:tcPr>
            <w:tcW w:w="2460" w:type="dxa"/>
          </w:tcPr>
          <w:p w14:paraId="4374505C"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84</w:t>
            </w:r>
            <w:r w:rsidRPr="0063119B">
              <w:rPr>
                <w:sz w:val="22"/>
                <w:szCs w:val="22"/>
                <w:lang w:val="pt-PT"/>
              </w:rPr>
              <w:br/>
              <w:t>(0,74)</w:t>
            </w:r>
          </w:p>
        </w:tc>
        <w:tc>
          <w:tcPr>
            <w:tcW w:w="1870" w:type="dxa"/>
            <w:gridSpan w:val="2"/>
          </w:tcPr>
          <w:p w14:paraId="603BBFC6"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0,67 (0,47 </w:t>
            </w:r>
            <w:r w:rsidRPr="0063119B">
              <w:rPr>
                <w:sz w:val="22"/>
                <w:szCs w:val="22"/>
                <w:lang w:val="pt-PT"/>
              </w:rPr>
              <w:noBreakHyphen/>
              <w:t> 0,93)</w:t>
            </w:r>
            <w:r w:rsidRPr="0063119B">
              <w:rPr>
                <w:sz w:val="22"/>
                <w:szCs w:val="22"/>
                <w:lang w:val="pt-PT"/>
              </w:rPr>
              <w:br/>
              <w:t>0,019</w:t>
            </w:r>
          </w:p>
        </w:tc>
      </w:tr>
      <w:tr w:rsidR="00337111" w:rsidRPr="0063119B" w14:paraId="51ECBD79" w14:textId="77777777" w:rsidTr="006A13A4">
        <w:trPr>
          <w:gridBefore w:val="1"/>
          <w:wBefore w:w="147" w:type="dxa"/>
        </w:trPr>
        <w:tc>
          <w:tcPr>
            <w:tcW w:w="2640" w:type="dxa"/>
          </w:tcPr>
          <w:p w14:paraId="75F8D738" w14:textId="77777777" w:rsidR="00337111" w:rsidRPr="0063119B" w:rsidRDefault="00337111" w:rsidP="0044301C">
            <w:pPr>
              <w:pStyle w:val="NormalWeb"/>
              <w:spacing w:before="120" w:after="120" w:line="260" w:lineRule="exact"/>
              <w:ind w:left="252"/>
              <w:jc w:val="left"/>
              <w:rPr>
                <w:sz w:val="22"/>
                <w:szCs w:val="22"/>
                <w:lang w:val="pt-PT"/>
              </w:rPr>
            </w:pPr>
            <w:r w:rsidRPr="0063119B">
              <w:rPr>
                <w:sz w:val="22"/>
                <w:szCs w:val="22"/>
                <w:lang w:val="pt-PT"/>
              </w:rPr>
              <w:t>Diminuição da hemoglobina*</w:t>
            </w:r>
          </w:p>
        </w:tc>
        <w:tc>
          <w:tcPr>
            <w:tcW w:w="2460" w:type="dxa"/>
          </w:tcPr>
          <w:p w14:paraId="666565C5"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305</w:t>
            </w:r>
            <w:r w:rsidRPr="0063119B">
              <w:rPr>
                <w:sz w:val="22"/>
                <w:szCs w:val="22"/>
                <w:lang w:val="pt-PT"/>
              </w:rPr>
              <w:br/>
              <w:t>(2,77)</w:t>
            </w:r>
          </w:p>
        </w:tc>
        <w:tc>
          <w:tcPr>
            <w:tcW w:w="2460" w:type="dxa"/>
          </w:tcPr>
          <w:p w14:paraId="5AFE1C18"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254</w:t>
            </w:r>
            <w:r w:rsidRPr="0063119B">
              <w:rPr>
                <w:sz w:val="22"/>
                <w:szCs w:val="22"/>
                <w:lang w:val="pt-PT"/>
              </w:rPr>
              <w:br/>
              <w:t>(2,26)</w:t>
            </w:r>
          </w:p>
        </w:tc>
        <w:tc>
          <w:tcPr>
            <w:tcW w:w="1870" w:type="dxa"/>
            <w:gridSpan w:val="2"/>
          </w:tcPr>
          <w:p w14:paraId="6188A347"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1,22 (1,03 </w:t>
            </w:r>
            <w:r w:rsidRPr="0063119B">
              <w:rPr>
                <w:sz w:val="22"/>
                <w:szCs w:val="22"/>
                <w:lang w:val="pt-PT"/>
              </w:rPr>
              <w:noBreakHyphen/>
              <w:t> 1,44)</w:t>
            </w:r>
            <w:r w:rsidRPr="0063119B">
              <w:rPr>
                <w:sz w:val="22"/>
                <w:szCs w:val="22"/>
                <w:lang w:val="pt-PT"/>
              </w:rPr>
              <w:br/>
              <w:t>0,019</w:t>
            </w:r>
          </w:p>
        </w:tc>
      </w:tr>
      <w:tr w:rsidR="00337111" w:rsidRPr="0063119B" w14:paraId="54D7763D" w14:textId="77777777" w:rsidTr="006A13A4">
        <w:trPr>
          <w:gridBefore w:val="1"/>
          <w:wBefore w:w="147" w:type="dxa"/>
        </w:trPr>
        <w:tc>
          <w:tcPr>
            <w:tcW w:w="2640" w:type="dxa"/>
          </w:tcPr>
          <w:p w14:paraId="022DAD44" w14:textId="77777777" w:rsidR="00337111" w:rsidRPr="0063119B" w:rsidRDefault="00337111" w:rsidP="0044301C">
            <w:pPr>
              <w:pStyle w:val="NormalWeb"/>
              <w:tabs>
                <w:tab w:val="left" w:pos="252"/>
              </w:tabs>
              <w:spacing w:before="120" w:after="120" w:line="260" w:lineRule="exact"/>
              <w:ind w:left="252"/>
              <w:jc w:val="left"/>
              <w:rPr>
                <w:sz w:val="22"/>
                <w:szCs w:val="22"/>
                <w:lang w:val="pt-PT"/>
              </w:rPr>
            </w:pPr>
            <w:r w:rsidRPr="0063119B">
              <w:rPr>
                <w:sz w:val="22"/>
                <w:szCs w:val="22"/>
                <w:lang w:val="pt-PT"/>
              </w:rPr>
              <w:t>Transfusão de 2 ou mais unidades de concentrado de eritrócitos ou de sangue completo*</w:t>
            </w:r>
          </w:p>
        </w:tc>
        <w:tc>
          <w:tcPr>
            <w:tcW w:w="2460" w:type="dxa"/>
          </w:tcPr>
          <w:p w14:paraId="2D5CC92B"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183</w:t>
            </w:r>
            <w:r w:rsidRPr="0063119B">
              <w:rPr>
                <w:sz w:val="22"/>
                <w:szCs w:val="22"/>
                <w:lang w:val="pt-PT"/>
              </w:rPr>
              <w:br/>
              <w:t>(1,65)</w:t>
            </w:r>
          </w:p>
        </w:tc>
        <w:tc>
          <w:tcPr>
            <w:tcW w:w="2460" w:type="dxa"/>
          </w:tcPr>
          <w:p w14:paraId="5B9E4AB1"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149</w:t>
            </w:r>
            <w:r w:rsidRPr="0063119B">
              <w:rPr>
                <w:sz w:val="22"/>
                <w:szCs w:val="22"/>
                <w:lang w:val="pt-PT"/>
              </w:rPr>
              <w:br/>
              <w:t>(1,32)</w:t>
            </w:r>
          </w:p>
        </w:tc>
        <w:tc>
          <w:tcPr>
            <w:tcW w:w="1870" w:type="dxa"/>
            <w:gridSpan w:val="2"/>
          </w:tcPr>
          <w:p w14:paraId="62A45180"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1,25 (1,01 </w:t>
            </w:r>
            <w:r w:rsidRPr="0063119B">
              <w:rPr>
                <w:sz w:val="22"/>
                <w:szCs w:val="22"/>
                <w:lang w:val="pt-PT"/>
              </w:rPr>
              <w:noBreakHyphen/>
              <w:t> 1,55)</w:t>
            </w:r>
            <w:r w:rsidRPr="0063119B">
              <w:rPr>
                <w:sz w:val="22"/>
                <w:szCs w:val="22"/>
                <w:lang w:val="pt-PT"/>
              </w:rPr>
              <w:br/>
              <w:t>0,044</w:t>
            </w:r>
          </w:p>
        </w:tc>
      </w:tr>
      <w:tr w:rsidR="00337111" w:rsidRPr="0063119B" w14:paraId="5FEC9D6C" w14:textId="77777777" w:rsidTr="006A13A4">
        <w:trPr>
          <w:gridBefore w:val="1"/>
          <w:wBefore w:w="147" w:type="dxa"/>
        </w:trPr>
        <w:tc>
          <w:tcPr>
            <w:tcW w:w="2640" w:type="dxa"/>
          </w:tcPr>
          <w:p w14:paraId="68DFDAB9" w14:textId="77777777" w:rsidR="00337111" w:rsidRPr="0063119B" w:rsidRDefault="00337111" w:rsidP="0044301C">
            <w:pPr>
              <w:pStyle w:val="BayerTableRowHeadings"/>
              <w:spacing w:before="120" w:line="260" w:lineRule="exact"/>
              <w:rPr>
                <w:szCs w:val="22"/>
                <w:lang w:val="pt-PT"/>
              </w:rPr>
            </w:pPr>
            <w:r w:rsidRPr="0063119B">
              <w:rPr>
                <w:szCs w:val="22"/>
                <w:lang w:val="pt-PT"/>
              </w:rPr>
              <w:t xml:space="preserve">Acontecimentos hemorrágicos não principais clinicamente relevantes </w:t>
            </w:r>
          </w:p>
        </w:tc>
        <w:tc>
          <w:tcPr>
            <w:tcW w:w="2460" w:type="dxa"/>
          </w:tcPr>
          <w:p w14:paraId="6ED6DFDE" w14:textId="77777777" w:rsidR="00337111" w:rsidRPr="0063119B" w:rsidRDefault="00337111" w:rsidP="0044301C">
            <w:pPr>
              <w:pStyle w:val="BayerBodyTextFull"/>
              <w:spacing w:line="260" w:lineRule="exact"/>
              <w:ind w:left="11"/>
              <w:rPr>
                <w:sz w:val="22"/>
                <w:szCs w:val="22"/>
                <w:lang w:val="pt-PT"/>
              </w:rPr>
            </w:pPr>
            <w:r w:rsidRPr="0063119B">
              <w:rPr>
                <w:sz w:val="22"/>
                <w:szCs w:val="22"/>
                <w:lang w:val="pt-PT"/>
              </w:rPr>
              <w:t>1.185</w:t>
            </w:r>
            <w:r w:rsidRPr="0063119B">
              <w:rPr>
                <w:sz w:val="22"/>
                <w:szCs w:val="22"/>
                <w:lang w:val="pt-PT"/>
              </w:rPr>
              <w:br/>
              <w:t>(11,80)</w:t>
            </w:r>
          </w:p>
        </w:tc>
        <w:tc>
          <w:tcPr>
            <w:tcW w:w="2460" w:type="dxa"/>
          </w:tcPr>
          <w:p w14:paraId="445740BC"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1.151</w:t>
            </w:r>
            <w:r w:rsidRPr="0063119B">
              <w:rPr>
                <w:sz w:val="22"/>
                <w:szCs w:val="22"/>
                <w:lang w:val="pt-PT"/>
              </w:rPr>
              <w:br/>
              <w:t>(11,37)</w:t>
            </w:r>
          </w:p>
        </w:tc>
        <w:tc>
          <w:tcPr>
            <w:tcW w:w="1870" w:type="dxa"/>
            <w:gridSpan w:val="2"/>
          </w:tcPr>
          <w:p w14:paraId="625B3427"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1,04 (0,96 </w:t>
            </w:r>
            <w:r w:rsidRPr="0063119B">
              <w:rPr>
                <w:sz w:val="22"/>
                <w:szCs w:val="22"/>
                <w:lang w:val="pt-PT"/>
              </w:rPr>
              <w:noBreakHyphen/>
              <w:t> 1,13)</w:t>
            </w:r>
            <w:r w:rsidRPr="0063119B">
              <w:rPr>
                <w:sz w:val="22"/>
                <w:szCs w:val="22"/>
                <w:lang w:val="pt-PT"/>
              </w:rPr>
              <w:br/>
              <w:t>0,345</w:t>
            </w:r>
          </w:p>
        </w:tc>
      </w:tr>
      <w:tr w:rsidR="00337111" w:rsidRPr="0063119B" w14:paraId="60770C76" w14:textId="77777777" w:rsidTr="006A13A4">
        <w:trPr>
          <w:gridBefore w:val="1"/>
          <w:wBefore w:w="147" w:type="dxa"/>
        </w:trPr>
        <w:tc>
          <w:tcPr>
            <w:tcW w:w="2640" w:type="dxa"/>
          </w:tcPr>
          <w:p w14:paraId="13602F99" w14:textId="77777777" w:rsidR="00337111" w:rsidRPr="0063119B" w:rsidRDefault="00337111" w:rsidP="0044301C">
            <w:pPr>
              <w:pStyle w:val="BayerTableRowHeadings"/>
              <w:spacing w:before="120" w:line="260" w:lineRule="exact"/>
              <w:rPr>
                <w:szCs w:val="22"/>
                <w:lang w:val="pt-PT"/>
              </w:rPr>
            </w:pPr>
            <w:r w:rsidRPr="0063119B">
              <w:rPr>
                <w:szCs w:val="22"/>
                <w:lang w:val="pt-PT"/>
              </w:rPr>
              <w:t>Mortalidade por todas as causas</w:t>
            </w:r>
          </w:p>
        </w:tc>
        <w:tc>
          <w:tcPr>
            <w:tcW w:w="2460" w:type="dxa"/>
          </w:tcPr>
          <w:p w14:paraId="6C0EC19E" w14:textId="77777777" w:rsidR="00337111" w:rsidRPr="0063119B" w:rsidRDefault="00337111" w:rsidP="0044301C">
            <w:pPr>
              <w:pStyle w:val="BayerBodyTextFull"/>
              <w:ind w:left="11"/>
              <w:rPr>
                <w:sz w:val="22"/>
                <w:szCs w:val="22"/>
                <w:lang w:val="pt-PT"/>
              </w:rPr>
            </w:pPr>
            <w:r w:rsidRPr="0063119B">
              <w:rPr>
                <w:sz w:val="22"/>
                <w:szCs w:val="22"/>
                <w:lang w:val="pt-PT"/>
              </w:rPr>
              <w:t>208</w:t>
            </w:r>
            <w:r w:rsidRPr="0063119B">
              <w:rPr>
                <w:sz w:val="22"/>
                <w:szCs w:val="22"/>
                <w:lang w:val="pt-PT"/>
              </w:rPr>
              <w:br/>
              <w:t>(1,87)</w:t>
            </w:r>
          </w:p>
        </w:tc>
        <w:tc>
          <w:tcPr>
            <w:tcW w:w="2460" w:type="dxa"/>
          </w:tcPr>
          <w:p w14:paraId="0D26BDB7"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250</w:t>
            </w:r>
            <w:r w:rsidRPr="0063119B">
              <w:rPr>
                <w:sz w:val="22"/>
                <w:szCs w:val="22"/>
                <w:lang w:val="pt-PT"/>
              </w:rPr>
              <w:br/>
              <w:t>(2,21)</w:t>
            </w:r>
          </w:p>
        </w:tc>
        <w:tc>
          <w:tcPr>
            <w:tcW w:w="1870" w:type="dxa"/>
            <w:gridSpan w:val="2"/>
          </w:tcPr>
          <w:p w14:paraId="2248DDF0" w14:textId="77777777" w:rsidR="00337111" w:rsidRPr="0063119B" w:rsidRDefault="00337111" w:rsidP="0044301C">
            <w:pPr>
              <w:pStyle w:val="BayerBodyTextFull"/>
              <w:spacing w:line="260" w:lineRule="exact"/>
              <w:ind w:left="12"/>
              <w:rPr>
                <w:sz w:val="22"/>
                <w:szCs w:val="22"/>
                <w:lang w:val="pt-PT"/>
              </w:rPr>
            </w:pPr>
            <w:r w:rsidRPr="0063119B">
              <w:rPr>
                <w:sz w:val="22"/>
                <w:szCs w:val="22"/>
                <w:lang w:val="pt-PT"/>
              </w:rPr>
              <w:t>0,85 (0,70 </w:t>
            </w:r>
            <w:r w:rsidRPr="0063119B">
              <w:rPr>
                <w:sz w:val="22"/>
                <w:szCs w:val="22"/>
                <w:lang w:val="pt-PT"/>
              </w:rPr>
              <w:noBreakHyphen/>
              <w:t> 1,02)</w:t>
            </w:r>
            <w:r w:rsidRPr="0063119B">
              <w:rPr>
                <w:sz w:val="22"/>
                <w:szCs w:val="22"/>
                <w:lang w:val="pt-PT"/>
              </w:rPr>
              <w:br/>
              <w:t>0,073</w:t>
            </w:r>
          </w:p>
        </w:tc>
      </w:tr>
      <w:tr w:rsidR="00337111" w:rsidRPr="0063119B" w14:paraId="709166F8" w14:textId="77777777" w:rsidTr="006A13A4">
        <w:trPr>
          <w:gridAfter w:val="1"/>
          <w:wAfter w:w="377" w:type="dxa"/>
        </w:trPr>
        <w:tc>
          <w:tcPr>
            <w:tcW w:w="9200" w:type="dxa"/>
            <w:gridSpan w:val="5"/>
            <w:tcBorders>
              <w:top w:val="nil"/>
              <w:left w:val="nil"/>
              <w:bottom w:val="nil"/>
              <w:right w:val="nil"/>
            </w:tcBorders>
          </w:tcPr>
          <w:p w14:paraId="5226079F" w14:textId="18B313E4" w:rsidR="00337111" w:rsidRPr="0063119B" w:rsidRDefault="00337111" w:rsidP="0044301C">
            <w:pPr>
              <w:rPr>
                <w:szCs w:val="22"/>
              </w:rPr>
            </w:pPr>
            <w:r w:rsidRPr="0063119B">
              <w:rPr>
                <w:szCs w:val="22"/>
              </w:rPr>
              <w:t>a)</w:t>
            </w:r>
            <w:r w:rsidR="00365E1A">
              <w:rPr>
                <w:szCs w:val="22"/>
              </w:rPr>
              <w:t xml:space="preserve"> </w:t>
            </w:r>
            <w:r w:rsidRPr="0063119B">
              <w:rPr>
                <w:szCs w:val="22"/>
              </w:rPr>
              <w:t>População de segurança, em tratamento</w:t>
            </w:r>
          </w:p>
          <w:p w14:paraId="17FF492A" w14:textId="290ED5CA" w:rsidR="00337111" w:rsidRPr="0063119B" w:rsidRDefault="00337111" w:rsidP="0044301C">
            <w:pPr>
              <w:rPr>
                <w:szCs w:val="22"/>
              </w:rPr>
            </w:pPr>
            <w:r w:rsidRPr="0063119B">
              <w:rPr>
                <w:szCs w:val="22"/>
              </w:rPr>
              <w:t>*</w:t>
            </w:r>
            <w:r w:rsidR="00365E1A">
              <w:rPr>
                <w:szCs w:val="22"/>
              </w:rPr>
              <w:t xml:space="preserve"> </w:t>
            </w:r>
            <w:r w:rsidRPr="0063119B">
              <w:rPr>
                <w:szCs w:val="22"/>
              </w:rPr>
              <w:t>Nominalmente significativa</w:t>
            </w:r>
          </w:p>
          <w:p w14:paraId="37A68109" w14:textId="77777777" w:rsidR="00FB7430" w:rsidRPr="0063119B" w:rsidRDefault="00FB7430" w:rsidP="0044301C">
            <w:pPr>
              <w:rPr>
                <w:szCs w:val="22"/>
              </w:rPr>
            </w:pPr>
          </w:p>
          <w:p w14:paraId="09B119A1" w14:textId="4A7AF2BB" w:rsidR="00FB7430" w:rsidRPr="0063119B" w:rsidRDefault="00FB7430" w:rsidP="00FB7430">
            <w:pPr>
              <w:rPr>
                <w:szCs w:val="22"/>
              </w:rPr>
            </w:pPr>
            <w:r w:rsidRPr="0063119B">
              <w:rPr>
                <w:szCs w:val="22"/>
              </w:rPr>
              <w:t xml:space="preserve">Adicionalmente ao estudo de fase III ROCKET AF foi realizado um estudo </w:t>
            </w:r>
            <w:r w:rsidR="00CE0FD2" w:rsidRPr="0063119B">
              <w:rPr>
                <w:szCs w:val="22"/>
              </w:rPr>
              <w:t xml:space="preserve">de coorte </w:t>
            </w:r>
            <w:r w:rsidRPr="0063119B">
              <w:rPr>
                <w:szCs w:val="22"/>
              </w:rPr>
              <w:t xml:space="preserve">pós-autorização prospectivo, não intervencional, de braço único, aberto (XANTUS) com adjudicação central do resultado incluindo eventos tromboembólicos e acontecimentos hemorrágicos </w:t>
            </w:r>
            <w:r w:rsidR="00417496" w:rsidRPr="0063119B">
              <w:rPr>
                <w:szCs w:val="22"/>
              </w:rPr>
              <w:t>principais</w:t>
            </w:r>
            <w:r w:rsidRPr="0063119B">
              <w:rPr>
                <w:szCs w:val="22"/>
              </w:rPr>
              <w:t>. Foram incluídos 6.7</w:t>
            </w:r>
            <w:r w:rsidR="00A964A4">
              <w:rPr>
                <w:szCs w:val="22"/>
              </w:rPr>
              <w:t>04</w:t>
            </w:r>
            <w:r w:rsidRPr="0063119B">
              <w:rPr>
                <w:szCs w:val="22"/>
              </w:rPr>
              <w:t xml:space="preserve"> doentes com fibrilhação auricular  não valvular para prevenção de acidente vascular </w:t>
            </w:r>
            <w:r w:rsidRPr="0063119B">
              <w:rPr>
                <w:szCs w:val="22"/>
              </w:rPr>
              <w:lastRenderedPageBreak/>
              <w:t>cerebral e embolismo sistémico fora do sistema nervoso central (SNC) na prática clínica. Os valores médios de CHADS</w:t>
            </w:r>
            <w:r w:rsidRPr="0063119B">
              <w:rPr>
                <w:szCs w:val="22"/>
                <w:vertAlign w:val="subscript"/>
              </w:rPr>
              <w:t>2</w:t>
            </w:r>
            <w:r w:rsidRPr="0063119B">
              <w:rPr>
                <w:szCs w:val="22"/>
              </w:rPr>
              <w:t xml:space="preserve"> </w:t>
            </w:r>
            <w:r w:rsidR="00365E1A">
              <w:t xml:space="preserve">foi de 1,9 </w:t>
            </w:r>
            <w:r w:rsidRPr="0063119B">
              <w:rPr>
                <w:szCs w:val="22"/>
              </w:rPr>
              <w:t>e</w:t>
            </w:r>
            <w:r w:rsidR="00365E1A">
              <w:rPr>
                <w:szCs w:val="22"/>
              </w:rPr>
              <w:t xml:space="preserve"> o valor de</w:t>
            </w:r>
            <w:r w:rsidRPr="0063119B">
              <w:rPr>
                <w:szCs w:val="22"/>
              </w:rPr>
              <w:t xml:space="preserve"> HAS-BLED </w:t>
            </w:r>
            <w:r w:rsidR="00365E1A">
              <w:t xml:space="preserve">foi </w:t>
            </w:r>
            <w:r w:rsidRPr="0063119B">
              <w:rPr>
                <w:szCs w:val="22"/>
              </w:rPr>
              <w:t>de 2,0 no XANTUS, em comparação com um valor médio de CHADS</w:t>
            </w:r>
            <w:r w:rsidRPr="0063119B">
              <w:rPr>
                <w:szCs w:val="22"/>
                <w:vertAlign w:val="subscript"/>
              </w:rPr>
              <w:t>2</w:t>
            </w:r>
            <w:r w:rsidRPr="0063119B">
              <w:rPr>
                <w:szCs w:val="22"/>
              </w:rPr>
              <w:t xml:space="preserve"> e HAS-BLED de 3,5 e 2,8 no ROCKET AF, respectivamente. Ocorreram acontecimentos hemorrágicos </w:t>
            </w:r>
            <w:r w:rsidR="00417496" w:rsidRPr="0063119B">
              <w:rPr>
                <w:szCs w:val="22"/>
              </w:rPr>
              <w:t>principais</w:t>
            </w:r>
            <w:r w:rsidRPr="0063119B">
              <w:rPr>
                <w:szCs w:val="22"/>
              </w:rPr>
              <w:t xml:space="preserve"> em 2,1 por 100 </w:t>
            </w:r>
            <w:r w:rsidR="00CE0FD2" w:rsidRPr="0063119B">
              <w:rPr>
                <w:szCs w:val="22"/>
              </w:rPr>
              <w:t xml:space="preserve">doentes </w:t>
            </w:r>
            <w:r w:rsidRPr="0063119B">
              <w:rPr>
                <w:szCs w:val="22"/>
              </w:rPr>
              <w:t xml:space="preserve">ano. Foram notificadas hemorragias </w:t>
            </w:r>
            <w:r w:rsidR="00CE0FD2" w:rsidRPr="0063119B">
              <w:rPr>
                <w:szCs w:val="22"/>
              </w:rPr>
              <w:t>fatais em 0,2 por 100 doentes-</w:t>
            </w:r>
            <w:r w:rsidRPr="0063119B">
              <w:rPr>
                <w:szCs w:val="22"/>
              </w:rPr>
              <w:t>ano e hemorragia intracr</w:t>
            </w:r>
            <w:r w:rsidR="00CE0FD2" w:rsidRPr="0063119B">
              <w:rPr>
                <w:szCs w:val="22"/>
              </w:rPr>
              <w:t>aniana em 0,4 por 100 doentes-</w:t>
            </w:r>
            <w:r w:rsidRPr="0063119B">
              <w:rPr>
                <w:szCs w:val="22"/>
              </w:rPr>
              <w:t xml:space="preserve">ano. Foram registados acidente vascular cerebral ou embolismo sistémico fora </w:t>
            </w:r>
            <w:r w:rsidR="00CE0FD2" w:rsidRPr="0063119B">
              <w:rPr>
                <w:szCs w:val="22"/>
              </w:rPr>
              <w:t>do SNC em 0,8 por 100 doentes-</w:t>
            </w:r>
            <w:r w:rsidRPr="0063119B">
              <w:rPr>
                <w:szCs w:val="22"/>
              </w:rPr>
              <w:t>ano.</w:t>
            </w:r>
          </w:p>
          <w:p w14:paraId="6A30E36B" w14:textId="77777777" w:rsidR="00FB7430" w:rsidRPr="0063119B" w:rsidRDefault="00FB7430" w:rsidP="00292674">
            <w:pPr>
              <w:rPr>
                <w:vanish/>
                <w:szCs w:val="22"/>
              </w:rPr>
            </w:pPr>
            <w:r w:rsidRPr="0063119B">
              <w:rPr>
                <w:szCs w:val="22"/>
              </w:rPr>
              <w:t>Estas observações na prática clínica são consistentes com o perfil de segurança estabelecido nesta indicação.</w:t>
            </w:r>
          </w:p>
        </w:tc>
      </w:tr>
    </w:tbl>
    <w:p w14:paraId="152835E7" w14:textId="21FF97E0" w:rsidR="00337111" w:rsidRDefault="00337111" w:rsidP="00337111">
      <w:pPr>
        <w:rPr>
          <w:rFonts w:eastAsia="SimSun"/>
          <w:szCs w:val="22"/>
          <w:lang w:eastAsia="ja-JP"/>
        </w:rPr>
      </w:pPr>
    </w:p>
    <w:p w14:paraId="65721F19" w14:textId="163C5014" w:rsidR="00365E1A" w:rsidRDefault="00365E1A" w:rsidP="00337111">
      <w:r>
        <w:t>Num estudo pós-autorização, não intervencional em mais de 162.000 doentes oriundos de quatro países, o rivaroxabano foi prescrito para a prevenção do acidente vascular cerebral e embolismo sistémico em doentes com fibrilhação auricular não valvular. A taxa de acontecimento de acidente vascular cerebral isquémico foi de 0,70 (IC 95% 0,44 - 1,13) por 100 doentes-ano. As hemorragias resultando em hospitalização ocorreram em taxas de acontecimentos por 100 doentes-ano de 0,43 (IC 95% 0,31 - 0,59) para a hemorragia intracraniana, 1,04 (IC 95% 0,65 - 1,66) para a hemorragia gastrointestinal, 0,41 (IC 95% 0,31 - 0,53) para a hemorragia urogenital e 0,40 (IC 95% 0,25 - 0,65) para outras hemorragias.</w:t>
      </w:r>
    </w:p>
    <w:p w14:paraId="22D8D015" w14:textId="77777777" w:rsidR="00365E1A" w:rsidRPr="0063119B" w:rsidRDefault="00365E1A" w:rsidP="00337111">
      <w:pPr>
        <w:rPr>
          <w:rFonts w:eastAsia="SimSun"/>
          <w:szCs w:val="22"/>
          <w:lang w:eastAsia="ja-JP"/>
        </w:rPr>
      </w:pPr>
    </w:p>
    <w:p w14:paraId="42A8917F" w14:textId="77777777" w:rsidR="002E3481" w:rsidRPr="0063119B" w:rsidRDefault="002E3481" w:rsidP="00337111">
      <w:pPr>
        <w:rPr>
          <w:szCs w:val="22"/>
          <w:u w:val="single"/>
        </w:rPr>
      </w:pPr>
      <w:r w:rsidRPr="0063119B">
        <w:rPr>
          <w:szCs w:val="22"/>
          <w:u w:val="single"/>
        </w:rPr>
        <w:t>Doentes submetidos a cardioversão</w:t>
      </w:r>
    </w:p>
    <w:p w14:paraId="57E27FEA" w14:textId="77777777" w:rsidR="00CD587B" w:rsidRPr="0063119B" w:rsidRDefault="00CD587B" w:rsidP="00FD4AC4">
      <w:pPr>
        <w:rPr>
          <w:szCs w:val="22"/>
        </w:rPr>
      </w:pPr>
    </w:p>
    <w:p w14:paraId="2752187D" w14:textId="77777777" w:rsidR="00FD4AC4" w:rsidRPr="0063119B" w:rsidRDefault="004C484B" w:rsidP="00FD4AC4">
      <w:pPr>
        <w:rPr>
          <w:szCs w:val="22"/>
        </w:rPr>
      </w:pPr>
      <w:r w:rsidRPr="0063119B">
        <w:rPr>
          <w:szCs w:val="22"/>
        </w:rPr>
        <w:t>Foi realizado em 1504</w:t>
      </w:r>
      <w:r w:rsidR="00CD587B" w:rsidRPr="0063119B">
        <w:rPr>
          <w:szCs w:val="22"/>
        </w:rPr>
        <w:t> </w:t>
      </w:r>
      <w:r w:rsidRPr="0063119B">
        <w:rPr>
          <w:szCs w:val="22"/>
        </w:rPr>
        <w:t xml:space="preserve">doentes </w:t>
      </w:r>
      <w:r w:rsidR="00AE78F9" w:rsidRPr="0063119B">
        <w:rPr>
          <w:szCs w:val="22"/>
        </w:rPr>
        <w:t>(sem tratamento prévio</w:t>
      </w:r>
      <w:r w:rsidR="00FD4AC4" w:rsidRPr="0063119B">
        <w:rPr>
          <w:szCs w:val="22"/>
        </w:rPr>
        <w:t xml:space="preserve"> ou pré-tratados com anticoagulante oral</w:t>
      </w:r>
      <w:r w:rsidRPr="0063119B">
        <w:rPr>
          <w:szCs w:val="22"/>
        </w:rPr>
        <w:t xml:space="preserve">) com fibrilhação auricular não-valvular </w:t>
      </w:r>
      <w:r w:rsidR="00AE78F9" w:rsidRPr="0063119B">
        <w:rPr>
          <w:szCs w:val="22"/>
        </w:rPr>
        <w:t>programados</w:t>
      </w:r>
      <w:r w:rsidRPr="0063119B">
        <w:rPr>
          <w:szCs w:val="22"/>
        </w:rPr>
        <w:t xml:space="preserve"> para cardioversão, u</w:t>
      </w:r>
      <w:r w:rsidR="002E3481" w:rsidRPr="0063119B">
        <w:rPr>
          <w:szCs w:val="22"/>
        </w:rPr>
        <w:t>m estudo pro</w:t>
      </w:r>
      <w:r w:rsidR="00FB35DA" w:rsidRPr="0063119B">
        <w:rPr>
          <w:szCs w:val="22"/>
        </w:rPr>
        <w:t>s</w:t>
      </w:r>
      <w:r w:rsidR="002E3481" w:rsidRPr="0063119B">
        <w:rPr>
          <w:szCs w:val="22"/>
        </w:rPr>
        <w:t>pe</w:t>
      </w:r>
      <w:r w:rsidR="00FB35DA" w:rsidRPr="0063119B">
        <w:rPr>
          <w:szCs w:val="22"/>
        </w:rPr>
        <w:t>t</w:t>
      </w:r>
      <w:r w:rsidR="002E3481" w:rsidRPr="0063119B">
        <w:rPr>
          <w:szCs w:val="22"/>
        </w:rPr>
        <w:t>ivo, alea</w:t>
      </w:r>
      <w:r w:rsidR="00FB35DA" w:rsidRPr="0063119B">
        <w:rPr>
          <w:szCs w:val="22"/>
        </w:rPr>
        <w:t xml:space="preserve">torizado, aberto, multicêntrico, exploratório  com avaliação </w:t>
      </w:r>
      <w:r w:rsidRPr="0063119B">
        <w:rPr>
          <w:szCs w:val="22"/>
        </w:rPr>
        <w:t xml:space="preserve">oculta </w:t>
      </w:r>
      <w:r w:rsidR="00FB35DA" w:rsidRPr="0063119B">
        <w:rPr>
          <w:szCs w:val="22"/>
        </w:rPr>
        <w:t xml:space="preserve">do </w:t>
      </w:r>
      <w:r w:rsidR="00FB35DA" w:rsidRPr="0063119B">
        <w:rPr>
          <w:i/>
          <w:szCs w:val="22"/>
        </w:rPr>
        <w:t>end</w:t>
      </w:r>
      <w:r w:rsidR="007268E3" w:rsidRPr="0063119B">
        <w:rPr>
          <w:i/>
          <w:szCs w:val="22"/>
        </w:rPr>
        <w:t xml:space="preserve">point </w:t>
      </w:r>
      <w:r w:rsidR="007268E3" w:rsidRPr="0063119B">
        <w:rPr>
          <w:szCs w:val="22"/>
        </w:rPr>
        <w:t xml:space="preserve"> (X-</w:t>
      </w:r>
      <w:r w:rsidR="00FB35DA" w:rsidRPr="0063119B">
        <w:rPr>
          <w:szCs w:val="22"/>
        </w:rPr>
        <w:t xml:space="preserve">VERT) </w:t>
      </w:r>
      <w:r w:rsidRPr="0063119B">
        <w:rPr>
          <w:szCs w:val="22"/>
        </w:rPr>
        <w:t xml:space="preserve"> para comparar o rivaroxabano com AVK com </w:t>
      </w:r>
      <w:r w:rsidR="00AE78F9" w:rsidRPr="0063119B">
        <w:rPr>
          <w:szCs w:val="22"/>
        </w:rPr>
        <w:t>dose ajustada</w:t>
      </w:r>
      <w:r w:rsidRPr="0063119B">
        <w:rPr>
          <w:szCs w:val="22"/>
        </w:rPr>
        <w:t xml:space="preserve"> (aleatorizado 2:1), para a prevenção de acontecimentos cardiovasculares. </w:t>
      </w:r>
      <w:r w:rsidR="00D4213D" w:rsidRPr="0063119B">
        <w:rPr>
          <w:szCs w:val="22"/>
        </w:rPr>
        <w:t xml:space="preserve">Foram aplicadas estratégicas na </w:t>
      </w:r>
      <w:r w:rsidRPr="0063119B">
        <w:rPr>
          <w:szCs w:val="22"/>
        </w:rPr>
        <w:t xml:space="preserve">cardioversão </w:t>
      </w:r>
      <w:r w:rsidR="00D4213D" w:rsidRPr="0063119B">
        <w:rPr>
          <w:szCs w:val="22"/>
        </w:rPr>
        <w:t>orientada por ETE (</w:t>
      </w:r>
      <w:r w:rsidRPr="0063119B">
        <w:rPr>
          <w:szCs w:val="22"/>
        </w:rPr>
        <w:t xml:space="preserve">1 </w:t>
      </w:r>
      <w:r w:rsidR="00377739" w:rsidRPr="0063119B">
        <w:rPr>
          <w:szCs w:val="22"/>
        </w:rPr>
        <w:t>-</w:t>
      </w:r>
      <w:r w:rsidRPr="0063119B">
        <w:rPr>
          <w:szCs w:val="22"/>
        </w:rPr>
        <w:t xml:space="preserve"> 5 dias de pré-tratamento) ou cardiovers</w:t>
      </w:r>
      <w:r w:rsidR="00D4213D" w:rsidRPr="0063119B">
        <w:rPr>
          <w:szCs w:val="22"/>
        </w:rPr>
        <w:t>ão convencional (</w:t>
      </w:r>
      <w:r w:rsidRPr="0063119B">
        <w:rPr>
          <w:szCs w:val="22"/>
        </w:rPr>
        <w:t>pelo menos três semanas de pré-tratamento)</w:t>
      </w:r>
      <w:r w:rsidR="00D4213D" w:rsidRPr="0063119B">
        <w:rPr>
          <w:szCs w:val="22"/>
        </w:rPr>
        <w:t xml:space="preserve">. O resultado de eficácia primário </w:t>
      </w:r>
      <w:r w:rsidR="00AE78F9" w:rsidRPr="0063119B">
        <w:rPr>
          <w:szCs w:val="22"/>
        </w:rPr>
        <w:t>(</w:t>
      </w:r>
      <w:r w:rsidR="00D4213D" w:rsidRPr="0063119B">
        <w:rPr>
          <w:szCs w:val="22"/>
        </w:rPr>
        <w:t xml:space="preserve">todos os acidentes vasculares cerebrais, acidente isquémico transitório, embolismo sistémico que não do SNC, </w:t>
      </w:r>
      <w:r w:rsidR="00F104BA" w:rsidRPr="0063119B">
        <w:rPr>
          <w:szCs w:val="22"/>
        </w:rPr>
        <w:t>enfarte do miocárdio (</w:t>
      </w:r>
      <w:r w:rsidR="00D4213D" w:rsidRPr="0063119B">
        <w:rPr>
          <w:szCs w:val="22"/>
        </w:rPr>
        <w:t>EM</w:t>
      </w:r>
      <w:r w:rsidR="00F104BA" w:rsidRPr="0063119B">
        <w:rPr>
          <w:szCs w:val="22"/>
        </w:rPr>
        <w:t>)</w:t>
      </w:r>
      <w:r w:rsidR="00D4213D" w:rsidRPr="0063119B">
        <w:rPr>
          <w:szCs w:val="22"/>
        </w:rPr>
        <w:t xml:space="preserve"> e morte cardiovascular</w:t>
      </w:r>
      <w:r w:rsidR="00B50054" w:rsidRPr="0063119B">
        <w:rPr>
          <w:szCs w:val="22"/>
        </w:rPr>
        <w:t>) ocorreu</w:t>
      </w:r>
      <w:r w:rsidR="007E2C53" w:rsidRPr="0063119B">
        <w:rPr>
          <w:szCs w:val="22"/>
        </w:rPr>
        <w:t xml:space="preserve"> em 5 (0,5%) dos doe</w:t>
      </w:r>
      <w:r w:rsidR="00FD4AC4" w:rsidRPr="0063119B">
        <w:rPr>
          <w:szCs w:val="22"/>
        </w:rPr>
        <w:t>ntes no grupo do rivaroxabano (</w:t>
      </w:r>
      <w:r w:rsidR="007E2C53" w:rsidRPr="0063119B">
        <w:rPr>
          <w:szCs w:val="22"/>
        </w:rPr>
        <w:t>n</w:t>
      </w:r>
      <w:r w:rsidR="00522B00" w:rsidRPr="0063119B">
        <w:rPr>
          <w:szCs w:val="22"/>
        </w:rPr>
        <w:t xml:space="preserve"> </w:t>
      </w:r>
      <w:r w:rsidR="007E2C53" w:rsidRPr="0063119B">
        <w:rPr>
          <w:szCs w:val="22"/>
        </w:rPr>
        <w:t>=</w:t>
      </w:r>
      <w:r w:rsidR="00522B00" w:rsidRPr="0063119B">
        <w:rPr>
          <w:szCs w:val="22"/>
        </w:rPr>
        <w:t xml:space="preserve"> </w:t>
      </w:r>
      <w:r w:rsidR="007E2C53" w:rsidRPr="0063119B">
        <w:rPr>
          <w:szCs w:val="22"/>
        </w:rPr>
        <w:t>978) e 5 (</w:t>
      </w:r>
      <w:r w:rsidR="00522B00" w:rsidRPr="0063119B">
        <w:rPr>
          <w:szCs w:val="22"/>
        </w:rPr>
        <w:t>1,0%) doentes do grupo do AVK (</w:t>
      </w:r>
      <w:r w:rsidR="007E2C53" w:rsidRPr="0063119B">
        <w:rPr>
          <w:szCs w:val="22"/>
        </w:rPr>
        <w:t>n</w:t>
      </w:r>
      <w:r w:rsidR="00522B00" w:rsidRPr="0063119B">
        <w:rPr>
          <w:szCs w:val="22"/>
        </w:rPr>
        <w:t xml:space="preserve"> </w:t>
      </w:r>
      <w:r w:rsidR="007E2C53" w:rsidRPr="0063119B">
        <w:rPr>
          <w:szCs w:val="22"/>
        </w:rPr>
        <w:t>=</w:t>
      </w:r>
      <w:r w:rsidR="00522B00" w:rsidRPr="0063119B">
        <w:rPr>
          <w:szCs w:val="22"/>
        </w:rPr>
        <w:t xml:space="preserve"> </w:t>
      </w:r>
      <w:r w:rsidR="00706D47" w:rsidRPr="0063119B">
        <w:rPr>
          <w:szCs w:val="22"/>
        </w:rPr>
        <w:t xml:space="preserve">492; RR 0,50; IC </w:t>
      </w:r>
      <w:r w:rsidR="007E2C53" w:rsidRPr="0063119B">
        <w:rPr>
          <w:szCs w:val="22"/>
        </w:rPr>
        <w:t>95%, 0,15%-1,73; população ITT modificada)</w:t>
      </w:r>
      <w:r w:rsidR="00FD4AC4" w:rsidRPr="0063119B">
        <w:rPr>
          <w:szCs w:val="22"/>
        </w:rPr>
        <w:t>. O resultado de segurança principal (grande hemorragia) ocorreu em 6 (0,6%) e 4 (0,8%) dos doentes do grup</w:t>
      </w:r>
      <w:r w:rsidR="00AE78F9" w:rsidRPr="0063119B">
        <w:rPr>
          <w:szCs w:val="22"/>
        </w:rPr>
        <w:t>o</w:t>
      </w:r>
      <w:r w:rsidR="00FD4AC4" w:rsidRPr="0063119B">
        <w:rPr>
          <w:szCs w:val="22"/>
        </w:rPr>
        <w:t xml:space="preserve"> do rivaroxabano (n</w:t>
      </w:r>
      <w:r w:rsidR="00522B00" w:rsidRPr="0063119B">
        <w:rPr>
          <w:szCs w:val="22"/>
        </w:rPr>
        <w:t xml:space="preserve"> </w:t>
      </w:r>
      <w:r w:rsidR="00FD4AC4" w:rsidRPr="0063119B">
        <w:rPr>
          <w:szCs w:val="22"/>
        </w:rPr>
        <w:t>=</w:t>
      </w:r>
      <w:r w:rsidR="00522B00" w:rsidRPr="0063119B">
        <w:rPr>
          <w:szCs w:val="22"/>
        </w:rPr>
        <w:t xml:space="preserve"> </w:t>
      </w:r>
      <w:r w:rsidR="00FD4AC4" w:rsidRPr="0063119B">
        <w:rPr>
          <w:szCs w:val="22"/>
        </w:rPr>
        <w:t>988) e AVK n</w:t>
      </w:r>
      <w:r w:rsidR="00706D47" w:rsidRPr="0063119B">
        <w:rPr>
          <w:szCs w:val="22"/>
        </w:rPr>
        <w:t xml:space="preserve"> </w:t>
      </w:r>
      <w:r w:rsidR="00FD4AC4" w:rsidRPr="0063119B">
        <w:rPr>
          <w:szCs w:val="22"/>
        </w:rPr>
        <w:t>=</w:t>
      </w:r>
      <w:r w:rsidR="00706D47" w:rsidRPr="0063119B">
        <w:rPr>
          <w:szCs w:val="22"/>
        </w:rPr>
        <w:t xml:space="preserve"> </w:t>
      </w:r>
      <w:r w:rsidR="00FD4AC4" w:rsidRPr="0063119B">
        <w:rPr>
          <w:szCs w:val="22"/>
        </w:rPr>
        <w:t>499), respetivamente (RR</w:t>
      </w:r>
      <w:r w:rsidR="00AE78F9" w:rsidRPr="0063119B">
        <w:rPr>
          <w:szCs w:val="22"/>
        </w:rPr>
        <w:t xml:space="preserve"> </w:t>
      </w:r>
      <w:r w:rsidR="00FD4AC4" w:rsidRPr="0063119B">
        <w:rPr>
          <w:szCs w:val="22"/>
        </w:rPr>
        <w:t>0,76%; IC</w:t>
      </w:r>
      <w:r w:rsidR="00AE78F9" w:rsidRPr="0063119B">
        <w:rPr>
          <w:szCs w:val="22"/>
        </w:rPr>
        <w:t xml:space="preserve"> </w:t>
      </w:r>
      <w:r w:rsidR="00FD4AC4" w:rsidRPr="0063119B">
        <w:rPr>
          <w:szCs w:val="22"/>
        </w:rPr>
        <w:t xml:space="preserve">95%, 0,21-2,67; população de segurança). Este estudo exploratório mostrou segurança e eficácia </w:t>
      </w:r>
      <w:r w:rsidR="00AE78F9" w:rsidRPr="0063119B">
        <w:rPr>
          <w:szCs w:val="22"/>
        </w:rPr>
        <w:t>comparáveis</w:t>
      </w:r>
      <w:r w:rsidR="00FD4AC4" w:rsidRPr="0063119B">
        <w:rPr>
          <w:szCs w:val="22"/>
        </w:rPr>
        <w:t xml:space="preserve"> entre os grupos de tratamento de rivaroxabano e AVK num cenário de cardioversão. </w:t>
      </w:r>
    </w:p>
    <w:p w14:paraId="13823D25" w14:textId="77777777" w:rsidR="002C0A7B" w:rsidRPr="0063119B" w:rsidRDefault="002C0A7B" w:rsidP="00FD4AC4">
      <w:pPr>
        <w:rPr>
          <w:szCs w:val="22"/>
        </w:rPr>
      </w:pPr>
    </w:p>
    <w:p w14:paraId="06705DBB" w14:textId="77777777" w:rsidR="00FB35DA" w:rsidRPr="0063119B" w:rsidRDefault="002C0A7B" w:rsidP="00337111">
      <w:pPr>
        <w:rPr>
          <w:szCs w:val="22"/>
        </w:rPr>
      </w:pPr>
      <w:r w:rsidRPr="0063119B">
        <w:rPr>
          <w:szCs w:val="22"/>
          <w:u w:val="single"/>
        </w:rPr>
        <w:t xml:space="preserve">Doentes com fibrilhação auricular não-valvular submetidos a ICP com colocação de </w:t>
      </w:r>
      <w:r w:rsidRPr="0063119B">
        <w:rPr>
          <w:i/>
          <w:szCs w:val="22"/>
          <w:u w:val="single"/>
        </w:rPr>
        <w:t>stent</w:t>
      </w:r>
    </w:p>
    <w:p w14:paraId="1FC885A2" w14:textId="77777777" w:rsidR="00CD587B" w:rsidRPr="0063119B" w:rsidRDefault="00CD587B" w:rsidP="002C0A7B">
      <w:pPr>
        <w:autoSpaceDE w:val="0"/>
        <w:autoSpaceDN w:val="0"/>
        <w:adjustRightInd w:val="0"/>
        <w:jc w:val="both"/>
        <w:rPr>
          <w:szCs w:val="22"/>
        </w:rPr>
      </w:pPr>
    </w:p>
    <w:p w14:paraId="6ABB6241" w14:textId="77777777" w:rsidR="002C0A7B" w:rsidRPr="0063119B" w:rsidRDefault="002C0A7B" w:rsidP="002C0A7B">
      <w:pPr>
        <w:autoSpaceDE w:val="0"/>
        <w:autoSpaceDN w:val="0"/>
        <w:adjustRightInd w:val="0"/>
        <w:jc w:val="both"/>
        <w:rPr>
          <w:szCs w:val="22"/>
        </w:rPr>
      </w:pPr>
      <w:r w:rsidRPr="0063119B">
        <w:rPr>
          <w:szCs w:val="22"/>
        </w:rPr>
        <w:t>Um estudo aleatorizado, aberto e multicêntrico (PIONEER AF-PCI) foi conduzido em 2</w:t>
      </w:r>
      <w:r w:rsidR="00497F22" w:rsidRPr="0063119B">
        <w:rPr>
          <w:szCs w:val="22"/>
        </w:rPr>
        <w:t>.</w:t>
      </w:r>
      <w:r w:rsidRPr="0063119B">
        <w:rPr>
          <w:szCs w:val="22"/>
        </w:rPr>
        <w:t xml:space="preserve">124 doentes com fibrilhação auricular não-valvular submetidos a uma ICP com colocação de </w:t>
      </w:r>
      <w:r w:rsidRPr="0063119B">
        <w:rPr>
          <w:i/>
          <w:szCs w:val="22"/>
        </w:rPr>
        <w:t>stent</w:t>
      </w:r>
      <w:r w:rsidRPr="0063119B">
        <w:rPr>
          <w:szCs w:val="22"/>
        </w:rPr>
        <w:t xml:space="preserve"> devido a doença primária aterosclerótica para comparar a segurança de dois regimes de rivaroxabano e um regime de AVK. Os doentes foram atribuídos aleatoriamente de forma 1:1:1 durante um total de 12 meses de tratamento. Doentes com antececedentes de acidente vascular cerebral ou AIT foram excluídos.</w:t>
      </w:r>
    </w:p>
    <w:p w14:paraId="31B53F9D" w14:textId="77777777" w:rsidR="002C0A7B" w:rsidRPr="0063119B" w:rsidRDefault="002C0A7B" w:rsidP="002C0A7B">
      <w:pPr>
        <w:autoSpaceDE w:val="0"/>
        <w:autoSpaceDN w:val="0"/>
        <w:adjustRightInd w:val="0"/>
        <w:jc w:val="both"/>
        <w:rPr>
          <w:szCs w:val="22"/>
        </w:rPr>
      </w:pPr>
      <w:r w:rsidRPr="0063119B">
        <w:rPr>
          <w:szCs w:val="22"/>
        </w:rPr>
        <w:t xml:space="preserve">O grupo 1 recebeu 15 mg de rivaroxabano uma vez por dia (10 mg uma vez por dia em doentes com a taxa de depuração da creatinina 30 </w:t>
      </w:r>
      <w:r w:rsidR="000E46B1" w:rsidRPr="0063119B">
        <w:rPr>
          <w:szCs w:val="22"/>
        </w:rPr>
        <w:t>-</w:t>
      </w:r>
      <w:r w:rsidRPr="0063119B">
        <w:rPr>
          <w:szCs w:val="22"/>
        </w:rPr>
        <w:t xml:space="preserve"> 49 ml/min) mais um inibidor P2Y12. O grupo 2 recebeu 2,5 mg de rivaroxabano duas vezes por dia mais TAPD (terapêutica antiplaquetária dupla i.e. clopidogrel </w:t>
      </w:r>
      <w:r w:rsidR="002F743B" w:rsidRPr="0063119B">
        <w:rPr>
          <w:szCs w:val="22"/>
        </w:rPr>
        <w:t>75 </w:t>
      </w:r>
      <w:r w:rsidRPr="0063119B">
        <w:rPr>
          <w:szCs w:val="22"/>
        </w:rPr>
        <w:t xml:space="preserve">mg [ou um inibidor P2Y12 alternativo] mais uma dose baixa de ácido acetilsalicílico [AAS]) durante 1, 6 ou 12 meses seguido de 15 mg de rivaroxabano (ou 10 mg em indivíduos com a taxa de depuração da creatinina 30 </w:t>
      </w:r>
      <w:r w:rsidR="000E46B1" w:rsidRPr="0063119B">
        <w:rPr>
          <w:szCs w:val="22"/>
        </w:rPr>
        <w:t>-</w:t>
      </w:r>
      <w:r w:rsidRPr="0063119B">
        <w:rPr>
          <w:szCs w:val="22"/>
        </w:rPr>
        <w:t xml:space="preserve"> 49 ml/min) uma vez por dia mais uma dose baixa de AAS. O grupo 3 recebeu um AVK com ajuste de dose mais TAPD durante 1, 6 ou 12 meses seguido de um AVK com ajuste de dose </w:t>
      </w:r>
      <w:r w:rsidR="002F743B" w:rsidRPr="0063119B">
        <w:rPr>
          <w:szCs w:val="22"/>
        </w:rPr>
        <w:t>mais uma dose baixa de A</w:t>
      </w:r>
      <w:r w:rsidRPr="0063119B">
        <w:rPr>
          <w:szCs w:val="22"/>
        </w:rPr>
        <w:t>A</w:t>
      </w:r>
      <w:r w:rsidR="001B7D02" w:rsidRPr="0063119B">
        <w:rPr>
          <w:szCs w:val="22"/>
        </w:rPr>
        <w:t>S</w:t>
      </w:r>
      <w:r w:rsidRPr="0063119B">
        <w:rPr>
          <w:szCs w:val="22"/>
        </w:rPr>
        <w:t>.</w:t>
      </w:r>
    </w:p>
    <w:p w14:paraId="11564860" w14:textId="77777777" w:rsidR="002C0A7B" w:rsidRPr="0063119B" w:rsidRDefault="002C0A7B" w:rsidP="002C0A7B">
      <w:pPr>
        <w:autoSpaceDE w:val="0"/>
        <w:autoSpaceDN w:val="0"/>
        <w:adjustRightInd w:val="0"/>
        <w:jc w:val="both"/>
        <w:rPr>
          <w:szCs w:val="22"/>
        </w:rPr>
      </w:pPr>
      <w:r w:rsidRPr="0063119B">
        <w:rPr>
          <w:szCs w:val="22"/>
        </w:rPr>
        <w:t xml:space="preserve">O </w:t>
      </w:r>
      <w:r w:rsidRPr="0063119B">
        <w:rPr>
          <w:i/>
          <w:szCs w:val="22"/>
        </w:rPr>
        <w:t>endpoint</w:t>
      </w:r>
      <w:r w:rsidR="007E43D4" w:rsidRPr="0063119B">
        <w:rPr>
          <w:szCs w:val="22"/>
        </w:rPr>
        <w:t xml:space="preserve"> de segurança primário, acontecimentos</w:t>
      </w:r>
      <w:r w:rsidRPr="0063119B">
        <w:rPr>
          <w:szCs w:val="22"/>
        </w:rPr>
        <w:t xml:space="preserve"> hemorrágicos </w:t>
      </w:r>
      <w:r w:rsidR="007E43D4" w:rsidRPr="0063119B">
        <w:rPr>
          <w:szCs w:val="22"/>
        </w:rPr>
        <w:t>clinicamente relevantes, ocorre</w:t>
      </w:r>
      <w:r w:rsidR="00EF01B1" w:rsidRPr="0063119B">
        <w:rPr>
          <w:szCs w:val="22"/>
        </w:rPr>
        <w:t>u</w:t>
      </w:r>
      <w:r w:rsidRPr="0063119B">
        <w:rPr>
          <w:szCs w:val="22"/>
        </w:rPr>
        <w:t xml:space="preserve"> em 109 (15,7%), 117 (16,6%) e 167 (24,0%) indivíduos do grupo 1, grupo 2 e grupo 3, respetivamente (RR 0,59; IC 95% 0,47-0,76; p˂0,001, e RR 0,63; IC 95% 0,50-0,80; p˂0,001, </w:t>
      </w:r>
      <w:r w:rsidR="00415880" w:rsidRPr="0063119B">
        <w:rPr>
          <w:szCs w:val="22"/>
        </w:rPr>
        <w:t>respectivamente)</w:t>
      </w:r>
      <w:r w:rsidRPr="0063119B">
        <w:rPr>
          <w:szCs w:val="22"/>
        </w:rPr>
        <w:t xml:space="preserve">. O </w:t>
      </w:r>
      <w:r w:rsidRPr="0063119B">
        <w:rPr>
          <w:i/>
          <w:szCs w:val="22"/>
        </w:rPr>
        <w:t>endpoint</w:t>
      </w:r>
      <w:r w:rsidRPr="0063119B">
        <w:rPr>
          <w:szCs w:val="22"/>
        </w:rPr>
        <w:t xml:space="preserve"> secundário (compos</w:t>
      </w:r>
      <w:r w:rsidR="007E43D4" w:rsidRPr="0063119B">
        <w:rPr>
          <w:szCs w:val="22"/>
        </w:rPr>
        <w:t>to pelos acontecimentos</w:t>
      </w:r>
      <w:r w:rsidRPr="0063119B">
        <w:rPr>
          <w:szCs w:val="22"/>
        </w:rPr>
        <w:t xml:space="preserve"> cardiovasculares morte CV, EM ou acidente vascular cerebral) ocorreu em 41 (5,9%), 36 (5,1%) e 36 (5,2%) indivíduos no grupo 1, grupo 2 e grupo 3, respetivamente. Cada um dos regimes de rivaroxabano revelou uma r</w:t>
      </w:r>
      <w:r w:rsidR="003A100F" w:rsidRPr="0063119B">
        <w:rPr>
          <w:szCs w:val="22"/>
        </w:rPr>
        <w:t xml:space="preserve">edução significativa nos </w:t>
      </w:r>
      <w:r w:rsidR="003A100F" w:rsidRPr="0063119B">
        <w:rPr>
          <w:szCs w:val="22"/>
        </w:rPr>
        <w:lastRenderedPageBreak/>
        <w:t>acontecimentos</w:t>
      </w:r>
      <w:r w:rsidRPr="0063119B">
        <w:rPr>
          <w:szCs w:val="22"/>
        </w:rPr>
        <w:t xml:space="preserve"> hemorrágicos clinicamente relevantes em comparação com o regime de AVK em doentes com fibrilhação auricular não-valvular submetidos a ICP com colocação de </w:t>
      </w:r>
      <w:r w:rsidRPr="0063119B">
        <w:rPr>
          <w:i/>
          <w:szCs w:val="22"/>
        </w:rPr>
        <w:t>stent</w:t>
      </w:r>
      <w:r w:rsidRPr="0063119B">
        <w:rPr>
          <w:szCs w:val="22"/>
        </w:rPr>
        <w:t>.</w:t>
      </w:r>
    </w:p>
    <w:p w14:paraId="3623324A" w14:textId="77777777" w:rsidR="00FE7982" w:rsidRPr="0063119B" w:rsidRDefault="00C0156E" w:rsidP="00FE7982">
      <w:pPr>
        <w:rPr>
          <w:szCs w:val="22"/>
        </w:rPr>
      </w:pPr>
      <w:r w:rsidRPr="0063119B">
        <w:rPr>
          <w:szCs w:val="22"/>
        </w:rPr>
        <w:t>O obje</w:t>
      </w:r>
      <w:r w:rsidR="00FE7982" w:rsidRPr="0063119B">
        <w:rPr>
          <w:szCs w:val="22"/>
        </w:rPr>
        <w:t>tivo primário do PIONEER AF-PCI foi avaliar a segurança. Dados sobre eficácia (incluindo acontecimentos tromboembólicos) nesta população são limitados.</w:t>
      </w:r>
    </w:p>
    <w:p w14:paraId="7F4D092F" w14:textId="77777777" w:rsidR="00FE7982" w:rsidRPr="0063119B" w:rsidRDefault="00FE7982" w:rsidP="002C0A7B">
      <w:pPr>
        <w:autoSpaceDE w:val="0"/>
        <w:autoSpaceDN w:val="0"/>
        <w:adjustRightInd w:val="0"/>
        <w:jc w:val="both"/>
        <w:rPr>
          <w:szCs w:val="22"/>
        </w:rPr>
      </w:pPr>
    </w:p>
    <w:p w14:paraId="49665B24" w14:textId="77777777" w:rsidR="00337111" w:rsidRPr="0063119B" w:rsidRDefault="00337111" w:rsidP="00337111">
      <w:pPr>
        <w:rPr>
          <w:rFonts w:eastAsia="SimSun"/>
          <w:i/>
          <w:szCs w:val="22"/>
          <w:lang w:eastAsia="ja-JP"/>
        </w:rPr>
      </w:pPr>
      <w:r w:rsidRPr="0063119B">
        <w:rPr>
          <w:i/>
          <w:szCs w:val="22"/>
        </w:rPr>
        <w:t>Tratamento da TVP, EP e prevenção da TVP recorrente e EP</w:t>
      </w:r>
    </w:p>
    <w:p w14:paraId="76C352B6" w14:textId="77777777" w:rsidR="00337111" w:rsidRPr="0063119B" w:rsidRDefault="00337111" w:rsidP="00337111">
      <w:pPr>
        <w:rPr>
          <w:rFonts w:eastAsia="SimSun"/>
          <w:szCs w:val="22"/>
          <w:lang w:eastAsia="ja-JP"/>
        </w:rPr>
      </w:pPr>
      <w:r w:rsidRPr="0063119B">
        <w:rPr>
          <w:rFonts w:eastAsia="SimSun"/>
          <w:szCs w:val="22"/>
          <w:lang w:eastAsia="ja-JP"/>
        </w:rPr>
        <w:t xml:space="preserve">O programa clínico de </w:t>
      </w:r>
      <w:r w:rsidR="00DB6C0E" w:rsidRPr="0063119B">
        <w:rPr>
          <w:szCs w:val="22"/>
        </w:rPr>
        <w:t>rivaroxabano</w:t>
      </w:r>
      <w:r w:rsidRPr="0063119B">
        <w:rPr>
          <w:rFonts w:eastAsia="SimSun"/>
          <w:szCs w:val="22"/>
          <w:lang w:eastAsia="ja-JP"/>
        </w:rPr>
        <w:t xml:space="preserve"> foi concebido para demonstrar a eficácia de </w:t>
      </w:r>
      <w:r w:rsidR="00DB6C0E" w:rsidRPr="0063119B">
        <w:rPr>
          <w:szCs w:val="22"/>
        </w:rPr>
        <w:t>rivaroxabano</w:t>
      </w:r>
      <w:r w:rsidRPr="0063119B">
        <w:rPr>
          <w:rFonts w:eastAsia="SimSun"/>
          <w:szCs w:val="22"/>
          <w:lang w:eastAsia="ja-JP"/>
        </w:rPr>
        <w:t xml:space="preserve"> no início e continuação do tratamento da TVP aguda e EP e da prevenção da recorrência.</w:t>
      </w:r>
    </w:p>
    <w:p w14:paraId="3E48F9C4" w14:textId="77777777" w:rsidR="00337111" w:rsidRPr="0063119B" w:rsidRDefault="00337111" w:rsidP="00337111">
      <w:pPr>
        <w:rPr>
          <w:rFonts w:eastAsia="SimSun"/>
          <w:szCs w:val="22"/>
          <w:lang w:eastAsia="ja-JP"/>
        </w:rPr>
      </w:pPr>
      <w:r w:rsidRPr="0063119B">
        <w:rPr>
          <w:rFonts w:eastAsia="SimSun"/>
          <w:szCs w:val="22"/>
          <w:lang w:eastAsia="ja-JP"/>
        </w:rPr>
        <w:t xml:space="preserve">Foram estudados mais de </w:t>
      </w:r>
      <w:r w:rsidR="008E7EA4" w:rsidRPr="0063119B">
        <w:rPr>
          <w:rFonts w:eastAsia="SimSun"/>
          <w:szCs w:val="22"/>
          <w:lang w:eastAsia="ja-JP"/>
        </w:rPr>
        <w:t>12.8</w:t>
      </w:r>
      <w:r w:rsidRPr="0063119B">
        <w:rPr>
          <w:rFonts w:eastAsia="SimSun"/>
          <w:szCs w:val="22"/>
          <w:lang w:eastAsia="ja-JP"/>
        </w:rPr>
        <w:t xml:space="preserve">00 doentes em </w:t>
      </w:r>
      <w:r w:rsidR="008E7EA4" w:rsidRPr="0063119B">
        <w:rPr>
          <w:rFonts w:eastAsia="SimSun"/>
          <w:szCs w:val="22"/>
          <w:lang w:eastAsia="ja-JP"/>
        </w:rPr>
        <w:t xml:space="preserve">quatro </w:t>
      </w:r>
      <w:r w:rsidRPr="0063119B">
        <w:rPr>
          <w:rFonts w:eastAsia="SimSun"/>
          <w:szCs w:val="22"/>
          <w:lang w:eastAsia="ja-JP"/>
        </w:rPr>
        <w:t>estudos clínicos controlados aleatorizados de fase III (Einstein DVT, Einstein PE</w:t>
      </w:r>
      <w:r w:rsidR="008E7EA4" w:rsidRPr="0063119B">
        <w:rPr>
          <w:rFonts w:eastAsia="SimSun"/>
          <w:szCs w:val="22"/>
          <w:lang w:eastAsia="ja-JP"/>
        </w:rPr>
        <w:t>,</w:t>
      </w:r>
      <w:r w:rsidRPr="0063119B">
        <w:rPr>
          <w:rFonts w:eastAsia="SimSun"/>
          <w:szCs w:val="22"/>
          <w:lang w:eastAsia="ja-JP"/>
        </w:rPr>
        <w:t xml:space="preserve"> Einstein Extension</w:t>
      </w:r>
      <w:r w:rsidR="008E7EA4" w:rsidRPr="0063119B">
        <w:rPr>
          <w:rFonts w:eastAsia="SimSun"/>
          <w:szCs w:val="22"/>
          <w:lang w:eastAsia="ja-JP"/>
        </w:rPr>
        <w:t xml:space="preserve"> e Einstein Choice</w:t>
      </w:r>
      <w:r w:rsidRPr="0063119B">
        <w:rPr>
          <w:rFonts w:eastAsia="SimSun"/>
          <w:szCs w:val="22"/>
          <w:lang w:eastAsia="ja-JP"/>
        </w:rPr>
        <w:t>) e adicionalmente, foi realizada uma análise agrupada pré-definida dos estudos Einstein DVT e Einstein PE. A duração de tratamento total combinada de todos os estudos atingiu um máximo de 21 meses.</w:t>
      </w:r>
    </w:p>
    <w:p w14:paraId="10A2B28B" w14:textId="77777777" w:rsidR="00337111" w:rsidRPr="0063119B" w:rsidRDefault="00337111" w:rsidP="00337111">
      <w:pPr>
        <w:rPr>
          <w:rFonts w:eastAsia="SimSun"/>
          <w:szCs w:val="22"/>
          <w:lang w:eastAsia="ja-JP"/>
        </w:rPr>
      </w:pPr>
    </w:p>
    <w:p w14:paraId="4CA825E8" w14:textId="77777777" w:rsidR="00337111" w:rsidRPr="0063119B" w:rsidRDefault="00337111" w:rsidP="00337111">
      <w:pPr>
        <w:rPr>
          <w:rFonts w:eastAsia="SimSun"/>
          <w:szCs w:val="22"/>
          <w:lang w:eastAsia="ja-JP"/>
        </w:rPr>
      </w:pPr>
      <w:r w:rsidRPr="0063119B">
        <w:rPr>
          <w:rFonts w:eastAsia="SimSun"/>
          <w:szCs w:val="22"/>
          <w:lang w:eastAsia="ja-JP"/>
        </w:rPr>
        <w:t>No estudo Einstein DVT, 3.449 doentes com TVP foram estudados no tratamento da TVP e da prevenção da TVP recorrente e EP (doentes que se apresentaram com EP sintomático foram excluídos deste estudo). A duração do tratamento foi de 3, 6 ou 12 meses dependendo do critério clínico do investigador.</w:t>
      </w:r>
    </w:p>
    <w:p w14:paraId="69C323F3" w14:textId="77777777" w:rsidR="00337111" w:rsidRPr="0063119B" w:rsidRDefault="00337111" w:rsidP="00337111">
      <w:pPr>
        <w:rPr>
          <w:rFonts w:eastAsia="SimSun"/>
          <w:szCs w:val="22"/>
          <w:lang w:eastAsia="ja-JP"/>
        </w:rPr>
      </w:pPr>
      <w:r w:rsidRPr="0063119B">
        <w:rPr>
          <w:rFonts w:eastAsia="SimSun"/>
          <w:szCs w:val="22"/>
          <w:lang w:eastAsia="ja-JP"/>
        </w:rPr>
        <w:t>No tratamento inicial de 3 semanas da TVP aguda foram administrados 15 mg de rivaroxabano duas vezes por dia. Esta dose foi seguida de 20 mg de rivaroxabano uma vez por dia.</w:t>
      </w:r>
    </w:p>
    <w:p w14:paraId="7E4705FA" w14:textId="77777777" w:rsidR="00337111" w:rsidRPr="0063119B" w:rsidRDefault="00337111" w:rsidP="00337111">
      <w:pPr>
        <w:rPr>
          <w:rFonts w:eastAsia="SimSun"/>
          <w:szCs w:val="22"/>
          <w:lang w:eastAsia="ja-JP"/>
        </w:rPr>
      </w:pPr>
    </w:p>
    <w:p w14:paraId="05BD4CD2" w14:textId="77777777" w:rsidR="00337111" w:rsidRPr="0063119B" w:rsidRDefault="00337111" w:rsidP="00337111">
      <w:pPr>
        <w:rPr>
          <w:rFonts w:eastAsia="SimSun"/>
          <w:szCs w:val="22"/>
          <w:lang w:eastAsia="ja-JP"/>
        </w:rPr>
      </w:pPr>
      <w:r w:rsidRPr="0063119B">
        <w:rPr>
          <w:rFonts w:eastAsia="SimSun"/>
          <w:szCs w:val="22"/>
          <w:lang w:eastAsia="ja-JP"/>
        </w:rPr>
        <w:t>No Einstein PE, 4.832 doentes com EP agudo foram estudados no tratamento do EP e na prevenção da TVP recorrente e EP. A duração do tratamento foi de 3, 6 ou 12 meses dependendo do critério clínico do investigador.</w:t>
      </w:r>
    </w:p>
    <w:p w14:paraId="4A38D7A6" w14:textId="77777777" w:rsidR="00337111" w:rsidRPr="0063119B" w:rsidRDefault="00337111" w:rsidP="00337111">
      <w:pPr>
        <w:rPr>
          <w:rFonts w:eastAsia="SimSun"/>
          <w:szCs w:val="22"/>
          <w:lang w:eastAsia="ja-JP"/>
        </w:rPr>
      </w:pPr>
      <w:r w:rsidRPr="0063119B">
        <w:rPr>
          <w:rFonts w:eastAsia="SimSun"/>
          <w:szCs w:val="22"/>
          <w:lang w:eastAsia="ja-JP"/>
        </w:rPr>
        <w:t>No tratamento inicial do EP agudo foram administrados 15</w:t>
      </w:r>
      <w:r w:rsidR="00DB6C0E" w:rsidRPr="0063119B">
        <w:rPr>
          <w:rFonts w:eastAsia="SimSun"/>
          <w:szCs w:val="22"/>
          <w:lang w:eastAsia="ja-JP"/>
        </w:rPr>
        <w:t> </w:t>
      </w:r>
      <w:r w:rsidRPr="0063119B">
        <w:rPr>
          <w:rFonts w:eastAsia="SimSun"/>
          <w:szCs w:val="22"/>
          <w:lang w:eastAsia="ja-JP"/>
        </w:rPr>
        <w:t>mg de rivaroxabano duas vezes por dia durante três semanas. Esta dose foi seguida de 20</w:t>
      </w:r>
      <w:r w:rsidR="00DB6C0E" w:rsidRPr="0063119B">
        <w:rPr>
          <w:rFonts w:eastAsia="SimSun"/>
          <w:szCs w:val="22"/>
          <w:lang w:eastAsia="ja-JP"/>
        </w:rPr>
        <w:t> </w:t>
      </w:r>
      <w:r w:rsidRPr="0063119B">
        <w:rPr>
          <w:rFonts w:eastAsia="SimSun"/>
          <w:szCs w:val="22"/>
          <w:lang w:eastAsia="ja-JP"/>
        </w:rPr>
        <w:t>mg de rivaroxabano uma vez por dia.</w:t>
      </w:r>
    </w:p>
    <w:p w14:paraId="01B5E076" w14:textId="77777777" w:rsidR="00337111" w:rsidRPr="0063119B" w:rsidRDefault="00337111" w:rsidP="00337111">
      <w:pPr>
        <w:rPr>
          <w:rFonts w:eastAsia="SimSun"/>
          <w:szCs w:val="22"/>
          <w:lang w:eastAsia="ja-JP"/>
        </w:rPr>
      </w:pPr>
    </w:p>
    <w:p w14:paraId="3970CA96" w14:textId="77777777" w:rsidR="00337111" w:rsidRPr="0063119B" w:rsidRDefault="00337111" w:rsidP="00337111">
      <w:pPr>
        <w:rPr>
          <w:rFonts w:eastAsia="SimSun"/>
          <w:szCs w:val="22"/>
          <w:lang w:eastAsia="ja-JP"/>
        </w:rPr>
      </w:pPr>
      <w:r w:rsidRPr="0063119B">
        <w:rPr>
          <w:rFonts w:eastAsia="SimSun"/>
          <w:szCs w:val="22"/>
          <w:lang w:eastAsia="ja-JP"/>
        </w:rPr>
        <w:t>Em ambos os estudos, Einstein DVT e Einstein PE, o regime de tratamento comparador foi constituído por enoxaparina administrada durante pelo menos 5 dias em associação com um tratamento com um antagonista da vitamina K até que TP/INR estivesse no intervalo terapêutico (</w:t>
      </w:r>
      <w:r w:rsidRPr="0063119B">
        <w:rPr>
          <w:rFonts w:eastAsia="SimSun"/>
          <w:szCs w:val="22"/>
          <w:lang w:eastAsia="ja-JP"/>
        </w:rPr>
        <w:sym w:font="Symbol" w:char="F0B3"/>
      </w:r>
      <w:r w:rsidRPr="0063119B">
        <w:rPr>
          <w:rFonts w:eastAsia="SimSun"/>
          <w:szCs w:val="22"/>
          <w:lang w:eastAsia="ja-JP"/>
        </w:rPr>
        <w:t> 2,0). O tratamento continuou com a dose do antagonista da vitamina K ajustada para manter os valores de TP/INR no intervalo terapêutico de 2,0 a 3,0.</w:t>
      </w:r>
    </w:p>
    <w:p w14:paraId="3718AD6B" w14:textId="77777777" w:rsidR="00337111" w:rsidRPr="0063119B" w:rsidRDefault="00337111" w:rsidP="00337111">
      <w:pPr>
        <w:rPr>
          <w:rFonts w:eastAsia="SimSun"/>
          <w:szCs w:val="22"/>
          <w:lang w:eastAsia="ja-JP"/>
        </w:rPr>
      </w:pPr>
    </w:p>
    <w:p w14:paraId="48C1B2F1" w14:textId="77777777" w:rsidR="00337111" w:rsidRPr="0063119B" w:rsidRDefault="00337111" w:rsidP="00337111">
      <w:pPr>
        <w:autoSpaceDE w:val="0"/>
        <w:autoSpaceDN w:val="0"/>
        <w:adjustRightInd w:val="0"/>
        <w:rPr>
          <w:rFonts w:eastAsia="SimSun"/>
          <w:szCs w:val="22"/>
          <w:lang w:eastAsia="ja-JP"/>
        </w:rPr>
      </w:pPr>
      <w:r w:rsidRPr="0063119B">
        <w:rPr>
          <w:rFonts w:eastAsia="SimSun"/>
          <w:szCs w:val="22"/>
          <w:lang w:eastAsia="ja-JP"/>
        </w:rPr>
        <w:t xml:space="preserve">No estudo Einstein Extension, 1.197 doentes com TVP ou EP foram estudados na prevenção da TVP recorrente e EP. A duração do tratamento foi de 6 ou 12 meses adicionais nos doentes que completaram 6 a 12 meses de tratamento para o tromboembolismo venoso dependendo do critério clínico do investigador. </w:t>
      </w:r>
      <w:r w:rsidR="00DB6C0E" w:rsidRPr="0063119B">
        <w:rPr>
          <w:rFonts w:eastAsia="SimSun"/>
          <w:szCs w:val="22"/>
          <w:lang w:eastAsia="ja-JP"/>
        </w:rPr>
        <w:t xml:space="preserve">O </w:t>
      </w:r>
      <w:r w:rsidR="00DB6C0E" w:rsidRPr="0063119B">
        <w:rPr>
          <w:szCs w:val="22"/>
        </w:rPr>
        <w:t>rivaroxabano</w:t>
      </w:r>
      <w:r w:rsidR="00DB6C0E" w:rsidRPr="0063119B">
        <w:rPr>
          <w:rFonts w:eastAsia="SimSun"/>
          <w:szCs w:val="22"/>
          <w:lang w:eastAsia="ja-JP"/>
        </w:rPr>
        <w:t xml:space="preserve"> </w:t>
      </w:r>
      <w:r w:rsidRPr="0063119B">
        <w:rPr>
          <w:rFonts w:eastAsia="SimSun"/>
          <w:szCs w:val="22"/>
          <w:lang w:eastAsia="ja-JP"/>
        </w:rPr>
        <w:t>na dose de 20 mg uma vez por dia foi comparado com um placebo.</w:t>
      </w:r>
    </w:p>
    <w:p w14:paraId="49FAB5EB" w14:textId="77777777" w:rsidR="008E7EA4" w:rsidRPr="0063119B" w:rsidRDefault="008E7EA4" w:rsidP="00337111">
      <w:pPr>
        <w:rPr>
          <w:rFonts w:eastAsia="SimSun"/>
          <w:szCs w:val="22"/>
          <w:lang w:eastAsia="ja-JP"/>
        </w:rPr>
      </w:pPr>
    </w:p>
    <w:p w14:paraId="3221E791" w14:textId="77777777" w:rsidR="00337111" w:rsidRPr="0063119B" w:rsidRDefault="008E7EA4" w:rsidP="00337111">
      <w:pPr>
        <w:rPr>
          <w:rFonts w:eastAsia="SimSun"/>
          <w:szCs w:val="22"/>
          <w:lang w:eastAsia="ja-JP"/>
        </w:rPr>
      </w:pPr>
      <w:r w:rsidRPr="0063119B">
        <w:rPr>
          <w:rFonts w:eastAsia="SimSun"/>
          <w:szCs w:val="22"/>
          <w:lang w:eastAsia="ja-JP"/>
        </w:rPr>
        <w:t>O</w:t>
      </w:r>
      <w:r w:rsidR="00337111" w:rsidRPr="0063119B">
        <w:rPr>
          <w:rFonts w:eastAsia="SimSun"/>
          <w:szCs w:val="22"/>
          <w:lang w:eastAsia="ja-JP"/>
        </w:rPr>
        <w:t xml:space="preserve">s estudos </w:t>
      </w:r>
      <w:r w:rsidRPr="0063119B">
        <w:rPr>
          <w:rFonts w:eastAsia="SimSun"/>
          <w:szCs w:val="22"/>
          <w:lang w:eastAsia="ja-JP"/>
        </w:rPr>
        <w:t>Einstein DVT, PE e Extension</w:t>
      </w:r>
      <w:r w:rsidR="00337111" w:rsidRPr="0063119B">
        <w:rPr>
          <w:rFonts w:eastAsia="SimSun"/>
          <w:szCs w:val="22"/>
          <w:lang w:eastAsia="ja-JP"/>
        </w:rPr>
        <w:t xml:space="preserve"> utilizaram os mesmos objetivos primários e secundários de avaliação da eficácia pré</w:t>
      </w:r>
      <w:r w:rsidR="00337111" w:rsidRPr="0063119B">
        <w:rPr>
          <w:rFonts w:eastAsia="SimSun"/>
          <w:szCs w:val="22"/>
          <w:lang w:eastAsia="ja-JP"/>
        </w:rPr>
        <w:noBreakHyphen/>
        <w:t>definidos. O objetivo primário da eficácia consistiu no TEV sintomático recorrente, definido como composto da TVP recorrente ou do EP fatal ou não</w:t>
      </w:r>
      <w:r w:rsidR="005C7155" w:rsidRPr="0063119B">
        <w:rPr>
          <w:rFonts w:eastAsia="SimSun"/>
          <w:szCs w:val="22"/>
          <w:lang w:eastAsia="ja-JP"/>
        </w:rPr>
        <w:t>-</w:t>
      </w:r>
      <w:r w:rsidR="00337111" w:rsidRPr="0063119B">
        <w:rPr>
          <w:rFonts w:eastAsia="SimSun"/>
          <w:szCs w:val="22"/>
          <w:lang w:eastAsia="ja-JP"/>
        </w:rPr>
        <w:t>fatal. O objetivo secundário da eficácia foi definido como composto da TVP recorrente, EP não</w:t>
      </w:r>
      <w:r w:rsidR="005C7155" w:rsidRPr="0063119B">
        <w:rPr>
          <w:rFonts w:eastAsia="SimSun"/>
          <w:szCs w:val="22"/>
          <w:lang w:eastAsia="ja-JP"/>
        </w:rPr>
        <w:t>-</w:t>
      </w:r>
      <w:r w:rsidR="00337111" w:rsidRPr="0063119B">
        <w:rPr>
          <w:rFonts w:eastAsia="SimSun"/>
          <w:szCs w:val="22"/>
          <w:lang w:eastAsia="ja-JP"/>
        </w:rPr>
        <w:t>fatal e mortalidade por todas as causas.</w:t>
      </w:r>
    </w:p>
    <w:p w14:paraId="59BD6E6E" w14:textId="77777777" w:rsidR="00337111" w:rsidRPr="0063119B" w:rsidRDefault="00337111" w:rsidP="00337111">
      <w:pPr>
        <w:autoSpaceDE w:val="0"/>
        <w:autoSpaceDN w:val="0"/>
        <w:adjustRightInd w:val="0"/>
        <w:rPr>
          <w:szCs w:val="22"/>
        </w:rPr>
      </w:pPr>
    </w:p>
    <w:p w14:paraId="53425A1C" w14:textId="77777777" w:rsidR="008E7EA4" w:rsidRPr="0063119B" w:rsidRDefault="008E7EA4" w:rsidP="008E7EA4">
      <w:pPr>
        <w:pStyle w:val="Default"/>
        <w:rPr>
          <w:color w:val="auto"/>
          <w:sz w:val="22"/>
          <w:szCs w:val="22"/>
          <w:lang w:val="pt-PT"/>
        </w:rPr>
      </w:pPr>
      <w:r w:rsidRPr="0063119B">
        <w:rPr>
          <w:color w:val="auto"/>
          <w:sz w:val="22"/>
          <w:szCs w:val="22"/>
          <w:lang w:val="pt-PT"/>
        </w:rPr>
        <w:t>No estudo Einstein Choice, foram estudados 3.396 doentes com TVP e/ou EP sintomático, confirmado, que completaram 6-12 meses de tratamento anticoagulante para a prevenção do EP fatal ou EP ou TVP não fatal, sintomático, recorrente. Os doentes com indicação para anticoagulação com do</w:t>
      </w:r>
      <w:r w:rsidR="00AF2A9F" w:rsidRPr="0063119B">
        <w:rPr>
          <w:color w:val="auto"/>
          <w:sz w:val="22"/>
          <w:szCs w:val="22"/>
          <w:lang w:val="pt-PT"/>
        </w:rPr>
        <w:t>se</w:t>
      </w:r>
      <w:r w:rsidRPr="0063119B">
        <w:rPr>
          <w:color w:val="auto"/>
          <w:sz w:val="22"/>
          <w:szCs w:val="22"/>
          <w:lang w:val="pt-PT"/>
        </w:rPr>
        <w:t xml:space="preserve"> terapêutica </w:t>
      </w:r>
      <w:r w:rsidR="002D49F5" w:rsidRPr="0063119B">
        <w:rPr>
          <w:color w:val="auto"/>
          <w:sz w:val="22"/>
          <w:szCs w:val="22"/>
          <w:lang w:val="pt-PT"/>
        </w:rPr>
        <w:t xml:space="preserve">continuada </w:t>
      </w:r>
      <w:r w:rsidRPr="0063119B">
        <w:rPr>
          <w:color w:val="auto"/>
          <w:sz w:val="22"/>
          <w:szCs w:val="22"/>
          <w:lang w:val="pt-PT"/>
        </w:rPr>
        <w:t xml:space="preserve">foram excluídos do estudo. A duração do tratamento foi de até 12 meses conforme a data individual de aleatorização (mediana: 351 dias). Comparou-se </w:t>
      </w:r>
      <w:r w:rsidR="00DB6C0E" w:rsidRPr="0063119B">
        <w:rPr>
          <w:color w:val="auto"/>
          <w:sz w:val="22"/>
          <w:szCs w:val="22"/>
          <w:lang w:val="pt-PT"/>
        </w:rPr>
        <w:t xml:space="preserve">o </w:t>
      </w:r>
      <w:r w:rsidR="00DB6C0E" w:rsidRPr="0063119B">
        <w:rPr>
          <w:sz w:val="22"/>
          <w:szCs w:val="22"/>
          <w:lang w:val="pt-PT"/>
        </w:rPr>
        <w:t>rivaroxabano na dose de</w:t>
      </w:r>
      <w:r w:rsidR="00DB6C0E" w:rsidRPr="0063119B">
        <w:rPr>
          <w:color w:val="auto"/>
          <w:sz w:val="22"/>
          <w:szCs w:val="22"/>
          <w:lang w:val="pt-PT"/>
        </w:rPr>
        <w:t xml:space="preserve"> </w:t>
      </w:r>
      <w:r w:rsidRPr="0063119B">
        <w:rPr>
          <w:color w:val="auto"/>
          <w:sz w:val="22"/>
          <w:szCs w:val="22"/>
          <w:lang w:val="pt-PT"/>
        </w:rPr>
        <w:t xml:space="preserve">20 mg uma vez por dia e </w:t>
      </w:r>
      <w:r w:rsidR="00DB6C0E" w:rsidRPr="0063119B">
        <w:rPr>
          <w:color w:val="auto"/>
          <w:sz w:val="22"/>
          <w:szCs w:val="22"/>
          <w:lang w:val="pt-PT"/>
        </w:rPr>
        <w:t xml:space="preserve">o </w:t>
      </w:r>
      <w:r w:rsidR="00DB6C0E" w:rsidRPr="0063119B">
        <w:rPr>
          <w:sz w:val="22"/>
          <w:szCs w:val="22"/>
          <w:lang w:val="pt-PT"/>
        </w:rPr>
        <w:t>rivaroxabano na dose de</w:t>
      </w:r>
      <w:r w:rsidR="00DB6C0E" w:rsidRPr="0063119B">
        <w:rPr>
          <w:color w:val="auto"/>
          <w:sz w:val="22"/>
          <w:szCs w:val="22"/>
          <w:lang w:val="pt-PT"/>
        </w:rPr>
        <w:t xml:space="preserve"> </w:t>
      </w:r>
      <w:r w:rsidRPr="0063119B">
        <w:rPr>
          <w:color w:val="auto"/>
          <w:sz w:val="22"/>
          <w:szCs w:val="22"/>
          <w:lang w:val="pt-PT"/>
        </w:rPr>
        <w:t xml:space="preserve">10 mg </w:t>
      </w:r>
      <w:r w:rsidR="00240206" w:rsidRPr="0063119B">
        <w:rPr>
          <w:color w:val="auto"/>
          <w:sz w:val="22"/>
          <w:szCs w:val="22"/>
          <w:lang w:val="pt-PT"/>
        </w:rPr>
        <w:t xml:space="preserve">uma vez por dia </w:t>
      </w:r>
      <w:r w:rsidRPr="0063119B">
        <w:rPr>
          <w:color w:val="auto"/>
          <w:sz w:val="22"/>
          <w:szCs w:val="22"/>
          <w:lang w:val="pt-PT"/>
        </w:rPr>
        <w:t>com 100 mg de ácido acetilsalicílico uma vez por dia.</w:t>
      </w:r>
    </w:p>
    <w:p w14:paraId="3387D072" w14:textId="77777777" w:rsidR="008E7EA4" w:rsidRPr="0063119B" w:rsidRDefault="008E7EA4" w:rsidP="008E7EA4">
      <w:pPr>
        <w:pStyle w:val="Default"/>
        <w:rPr>
          <w:color w:val="auto"/>
          <w:sz w:val="22"/>
          <w:szCs w:val="22"/>
          <w:lang w:val="pt-PT"/>
        </w:rPr>
      </w:pPr>
    </w:p>
    <w:p w14:paraId="7C546AF2" w14:textId="77777777" w:rsidR="008E7EA4" w:rsidRPr="0063119B" w:rsidRDefault="008E7EA4" w:rsidP="008E7EA4">
      <w:pPr>
        <w:autoSpaceDE w:val="0"/>
        <w:autoSpaceDN w:val="0"/>
        <w:adjustRightInd w:val="0"/>
        <w:rPr>
          <w:rFonts w:eastAsia="SimSun"/>
          <w:szCs w:val="22"/>
          <w:lang w:eastAsia="ja-JP"/>
        </w:rPr>
      </w:pPr>
      <w:r w:rsidRPr="0063119B">
        <w:rPr>
          <w:rFonts w:eastAsia="SimSun"/>
          <w:szCs w:val="22"/>
          <w:lang w:eastAsia="ja-JP"/>
        </w:rPr>
        <w:t xml:space="preserve">O objetivo primário da eficácia foi </w:t>
      </w:r>
      <w:r w:rsidR="00AF2A9F" w:rsidRPr="0063119B">
        <w:rPr>
          <w:rFonts w:eastAsia="SimSun"/>
          <w:szCs w:val="22"/>
          <w:lang w:eastAsia="ja-JP"/>
        </w:rPr>
        <w:t>o</w:t>
      </w:r>
      <w:r w:rsidRPr="0063119B">
        <w:rPr>
          <w:rFonts w:eastAsia="SimSun"/>
          <w:szCs w:val="22"/>
          <w:lang w:eastAsia="ja-JP"/>
        </w:rPr>
        <w:t xml:space="preserve"> TEV recorrente, sintomátic</w:t>
      </w:r>
      <w:r w:rsidR="00AF2A9F" w:rsidRPr="0063119B">
        <w:rPr>
          <w:rFonts w:eastAsia="SimSun"/>
          <w:szCs w:val="22"/>
          <w:lang w:eastAsia="ja-JP"/>
        </w:rPr>
        <w:t>o</w:t>
      </w:r>
      <w:r w:rsidRPr="0063119B">
        <w:rPr>
          <w:rFonts w:eastAsia="SimSun"/>
          <w:szCs w:val="22"/>
          <w:lang w:eastAsia="ja-JP"/>
        </w:rPr>
        <w:t>, definido como composto da TVP recorrente, EP fatal ou não fatal.</w:t>
      </w:r>
    </w:p>
    <w:p w14:paraId="4D97B555" w14:textId="77777777" w:rsidR="008E7EA4" w:rsidRPr="0063119B" w:rsidRDefault="008E7EA4" w:rsidP="008E7EA4">
      <w:pPr>
        <w:autoSpaceDE w:val="0"/>
        <w:autoSpaceDN w:val="0"/>
        <w:adjustRightInd w:val="0"/>
        <w:rPr>
          <w:szCs w:val="22"/>
        </w:rPr>
      </w:pPr>
    </w:p>
    <w:p w14:paraId="50145B9D" w14:textId="77777777" w:rsidR="00337111" w:rsidRPr="0063119B" w:rsidRDefault="00337111" w:rsidP="00337111">
      <w:pPr>
        <w:autoSpaceDE w:val="0"/>
        <w:autoSpaceDN w:val="0"/>
        <w:adjustRightInd w:val="0"/>
        <w:rPr>
          <w:rFonts w:eastAsia="MS Mincho"/>
          <w:bCs/>
          <w:szCs w:val="22"/>
          <w:lang w:eastAsia="ja-JP"/>
        </w:rPr>
      </w:pPr>
      <w:r w:rsidRPr="0063119B">
        <w:rPr>
          <w:szCs w:val="22"/>
        </w:rPr>
        <w:t>No estudo Einstein DVT (ver Quadro </w:t>
      </w:r>
      <w:r w:rsidR="008E7EA4" w:rsidRPr="0063119B">
        <w:rPr>
          <w:szCs w:val="22"/>
        </w:rPr>
        <w:t>6</w:t>
      </w:r>
      <w:r w:rsidRPr="0063119B">
        <w:rPr>
          <w:szCs w:val="22"/>
        </w:rPr>
        <w:t>), o rivaroxabano demonstrou ser não inferior à enoxaparina/AVK em relação ao objetivo primário da eficácia (p &lt; 0,0001 (teste de não</w:t>
      </w:r>
      <w:r w:rsidRPr="0063119B">
        <w:rPr>
          <w:szCs w:val="22"/>
        </w:rPr>
        <w:noBreakHyphen/>
        <w:t xml:space="preserve">inferioridade); </w:t>
      </w:r>
      <w:r w:rsidR="007D373C" w:rsidRPr="0063119B">
        <w:rPr>
          <w:szCs w:val="22"/>
        </w:rPr>
        <w:lastRenderedPageBreak/>
        <w:t>RR</w:t>
      </w:r>
      <w:r w:rsidRPr="0063119B">
        <w:rPr>
          <w:szCs w:val="22"/>
        </w:rPr>
        <w:t xml:space="preserve">: </w:t>
      </w:r>
      <w:r w:rsidRPr="0063119B">
        <w:rPr>
          <w:iCs/>
          <w:szCs w:val="22"/>
        </w:rPr>
        <w:t>0,680 (0,443 </w:t>
      </w:r>
      <w:r w:rsidRPr="0063119B">
        <w:rPr>
          <w:iCs/>
          <w:szCs w:val="22"/>
        </w:rPr>
        <w:noBreakHyphen/>
        <w:t> 1,042), p = 0,076 (teste de superioridade)).</w:t>
      </w:r>
      <w:r w:rsidRPr="0063119B">
        <w:rPr>
          <w:rFonts w:eastAsia="MS Mincho"/>
          <w:bCs/>
          <w:szCs w:val="22"/>
          <w:lang w:eastAsia="ja-JP"/>
        </w:rPr>
        <w:t xml:space="preserve"> O benefício clínico efetivo pré</w:t>
      </w:r>
      <w:r w:rsidRPr="0063119B">
        <w:rPr>
          <w:rFonts w:eastAsia="MS Mincho"/>
          <w:bCs/>
          <w:szCs w:val="22"/>
          <w:lang w:eastAsia="ja-JP"/>
        </w:rPr>
        <w:noBreakHyphen/>
        <w:t xml:space="preserve">especificado (objetivo primário da eficácia mais acontecimentos hemorrágicos principais) foi notificado com uma </w:t>
      </w:r>
      <w:r w:rsidR="007D373C" w:rsidRPr="0063119B">
        <w:rPr>
          <w:rFonts w:eastAsia="MS Mincho"/>
          <w:bCs/>
          <w:szCs w:val="22"/>
          <w:lang w:eastAsia="ja-JP"/>
        </w:rPr>
        <w:t>RR</w:t>
      </w:r>
      <w:r w:rsidRPr="0063119B">
        <w:rPr>
          <w:rFonts w:eastAsia="MS Mincho"/>
          <w:bCs/>
          <w:szCs w:val="22"/>
          <w:lang w:eastAsia="ja-JP"/>
        </w:rPr>
        <w:t xml:space="preserve"> de 0,67 ((IC 95%: 0,47 </w:t>
      </w:r>
      <w:r w:rsidRPr="0063119B">
        <w:rPr>
          <w:rFonts w:eastAsia="MS Mincho"/>
          <w:bCs/>
          <w:szCs w:val="22"/>
          <w:lang w:eastAsia="ja-JP"/>
        </w:rPr>
        <w:noBreakHyphen/>
        <w:t xml:space="preserve"> 0,95), valor-p nominal com p=0,027) a favor do rivaroxabano. Os valores de INR foram no intervalo terapêutico uma média de 60,3% do tempo para uma duração média de tratamento de 189 dias, e 55,4%, 60,1% e 62,8% do tempo nos grupos de duração de tratamento previsto de 3, 6 e 12 meses, respetivamente. No grupo enoxaparina/AVK, não existe uma relação clara entre o nível do centro TTR médio (Tempo no Intervalo do INR Alvo de 2,0 a </w:t>
      </w:r>
      <w:r w:rsidR="007D373C" w:rsidRPr="0063119B">
        <w:rPr>
          <w:rFonts w:eastAsia="MS Mincho"/>
          <w:bCs/>
          <w:szCs w:val="22"/>
          <w:lang w:eastAsia="ja-JP"/>
        </w:rPr>
        <w:t xml:space="preserve"> </w:t>
      </w:r>
      <w:r w:rsidRPr="0063119B">
        <w:rPr>
          <w:rFonts w:eastAsia="MS Mincho"/>
          <w:bCs/>
          <w:szCs w:val="22"/>
          <w:lang w:eastAsia="ja-JP"/>
        </w:rPr>
        <w:t xml:space="preserve">3,0) em tercis de igual tamanho e a incidência de TEV recorrente (P=0,932 para interação). No maior tercil de acordo com o centro, a </w:t>
      </w:r>
      <w:r w:rsidR="007D373C" w:rsidRPr="0063119B">
        <w:rPr>
          <w:rFonts w:eastAsia="MS Mincho"/>
          <w:bCs/>
          <w:szCs w:val="22"/>
          <w:lang w:eastAsia="ja-JP"/>
        </w:rPr>
        <w:t>RR</w:t>
      </w:r>
      <w:r w:rsidRPr="0063119B">
        <w:rPr>
          <w:rFonts w:eastAsia="MS Mincho"/>
          <w:bCs/>
          <w:szCs w:val="22"/>
          <w:lang w:eastAsia="ja-JP"/>
        </w:rPr>
        <w:t xml:space="preserve"> com rivaroxabano versus varfarina foi de 0,69 (IC 95%: 0,35 </w:t>
      </w:r>
      <w:r w:rsidR="000E46B1" w:rsidRPr="0063119B">
        <w:rPr>
          <w:rFonts w:eastAsia="MS Mincho"/>
          <w:bCs/>
          <w:szCs w:val="22"/>
          <w:lang w:eastAsia="ja-JP"/>
        </w:rPr>
        <w:t>-</w:t>
      </w:r>
      <w:r w:rsidRPr="0063119B">
        <w:rPr>
          <w:rFonts w:eastAsia="MS Mincho"/>
          <w:bCs/>
          <w:szCs w:val="22"/>
          <w:lang w:eastAsia="ja-JP"/>
        </w:rPr>
        <w:t xml:space="preserve"> </w:t>
      </w:r>
      <w:r w:rsidR="007D373C" w:rsidRPr="0063119B">
        <w:rPr>
          <w:rFonts w:eastAsia="MS Mincho"/>
          <w:bCs/>
          <w:szCs w:val="22"/>
          <w:lang w:eastAsia="ja-JP"/>
        </w:rPr>
        <w:t xml:space="preserve"> </w:t>
      </w:r>
      <w:r w:rsidRPr="0063119B">
        <w:rPr>
          <w:rFonts w:eastAsia="MS Mincho"/>
          <w:bCs/>
          <w:szCs w:val="22"/>
          <w:lang w:eastAsia="ja-JP"/>
        </w:rPr>
        <w:t>1,35).</w:t>
      </w:r>
    </w:p>
    <w:p w14:paraId="380B78CB" w14:textId="77777777" w:rsidR="00337111" w:rsidRPr="0063119B" w:rsidRDefault="00337111" w:rsidP="00337111">
      <w:pPr>
        <w:autoSpaceDE w:val="0"/>
        <w:autoSpaceDN w:val="0"/>
        <w:adjustRightInd w:val="0"/>
        <w:rPr>
          <w:rFonts w:eastAsia="MS Mincho"/>
          <w:bCs/>
          <w:szCs w:val="22"/>
          <w:lang w:eastAsia="ja-JP"/>
        </w:rPr>
      </w:pPr>
    </w:p>
    <w:p w14:paraId="2B25C6A9" w14:textId="77777777" w:rsidR="00337111" w:rsidRPr="0063119B" w:rsidRDefault="00337111" w:rsidP="00337111">
      <w:pPr>
        <w:rPr>
          <w:szCs w:val="22"/>
        </w:rPr>
      </w:pPr>
      <w:r w:rsidRPr="0063119B">
        <w:rPr>
          <w:szCs w:val="22"/>
        </w:rPr>
        <w:t>As taxas de incidência do objetivo primário de segurança (acontecimentos hemorrágicos principais e não principais clinicamente relevantes) assim como do objetivo secundário de segurança (acontecimentos hemorrágicos principais) foram semelhantes nos dois grupos de tratamento.</w:t>
      </w:r>
    </w:p>
    <w:p w14:paraId="6342FCBC" w14:textId="77777777" w:rsidR="00337111" w:rsidRPr="0063119B" w:rsidRDefault="00337111" w:rsidP="00337111">
      <w:pPr>
        <w:pStyle w:val="Default"/>
        <w:rPr>
          <w:color w:val="auto"/>
          <w:sz w:val="22"/>
          <w:szCs w:val="22"/>
          <w:lang w:val="pt-PT"/>
        </w:rPr>
      </w:pPr>
    </w:p>
    <w:p w14:paraId="1BE6B31B" w14:textId="77777777" w:rsidR="00337111" w:rsidRPr="0063119B" w:rsidRDefault="00337111" w:rsidP="00337111">
      <w:pPr>
        <w:pStyle w:val="Default"/>
        <w:rPr>
          <w:b/>
          <w:color w:val="auto"/>
          <w:sz w:val="22"/>
          <w:szCs w:val="22"/>
          <w:lang w:val="pt-PT"/>
        </w:rPr>
      </w:pPr>
      <w:r w:rsidRPr="0063119B">
        <w:rPr>
          <w:b/>
          <w:color w:val="auto"/>
          <w:sz w:val="22"/>
          <w:szCs w:val="22"/>
          <w:lang w:val="pt-PT"/>
        </w:rPr>
        <w:t>Quadro </w:t>
      </w:r>
      <w:r w:rsidR="00E67357" w:rsidRPr="0063119B">
        <w:rPr>
          <w:b/>
          <w:color w:val="auto"/>
          <w:sz w:val="22"/>
          <w:szCs w:val="22"/>
          <w:lang w:val="pt-PT"/>
        </w:rPr>
        <w:t>6</w:t>
      </w:r>
      <w:r w:rsidRPr="0063119B">
        <w:rPr>
          <w:b/>
          <w:color w:val="auto"/>
          <w:sz w:val="22"/>
          <w:szCs w:val="22"/>
          <w:lang w:val="pt-PT"/>
        </w:rPr>
        <w:t>: Resultados de eficácia e segurança do estudo de fase III Einstein DVT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20"/>
        <w:gridCol w:w="230"/>
      </w:tblGrid>
      <w:tr w:rsidR="00337111" w:rsidRPr="0063119B" w14:paraId="45DC4793" w14:textId="77777777" w:rsidTr="0044301C">
        <w:tc>
          <w:tcPr>
            <w:tcW w:w="3360" w:type="dxa"/>
          </w:tcPr>
          <w:p w14:paraId="7C71E17B" w14:textId="77777777" w:rsidR="00337111" w:rsidRPr="0063119B" w:rsidRDefault="00337111" w:rsidP="0044301C">
            <w:pPr>
              <w:rPr>
                <w:b/>
                <w:bCs/>
                <w:szCs w:val="22"/>
              </w:rPr>
            </w:pPr>
            <w:r w:rsidRPr="0063119B">
              <w:rPr>
                <w:b/>
                <w:bCs/>
                <w:szCs w:val="22"/>
              </w:rPr>
              <w:t>População do estudo</w:t>
            </w:r>
          </w:p>
        </w:tc>
        <w:tc>
          <w:tcPr>
            <w:tcW w:w="6000" w:type="dxa"/>
            <w:gridSpan w:val="3"/>
          </w:tcPr>
          <w:p w14:paraId="37E4213F" w14:textId="77777777" w:rsidR="00337111" w:rsidRPr="0063119B" w:rsidRDefault="00337111" w:rsidP="0044301C">
            <w:pPr>
              <w:rPr>
                <w:b/>
                <w:bCs/>
                <w:szCs w:val="22"/>
              </w:rPr>
            </w:pPr>
            <w:r w:rsidRPr="0063119B">
              <w:rPr>
                <w:b/>
                <w:bCs/>
                <w:szCs w:val="22"/>
              </w:rPr>
              <w:t>3.449 doentes com trombose venosa profunda sintomática aguda</w:t>
            </w:r>
          </w:p>
        </w:tc>
      </w:tr>
      <w:tr w:rsidR="00337111" w:rsidRPr="0063119B" w14:paraId="00C0D119" w14:textId="77777777" w:rsidTr="0044301C">
        <w:tc>
          <w:tcPr>
            <w:tcW w:w="3360" w:type="dxa"/>
            <w:vAlign w:val="center"/>
          </w:tcPr>
          <w:p w14:paraId="2EB2BC81" w14:textId="77777777" w:rsidR="00337111" w:rsidRPr="0063119B" w:rsidRDefault="00337111" w:rsidP="0044301C">
            <w:pPr>
              <w:spacing w:line="260" w:lineRule="exact"/>
              <w:rPr>
                <w:b/>
                <w:bCs/>
                <w:szCs w:val="22"/>
              </w:rPr>
            </w:pPr>
            <w:r w:rsidRPr="0063119B">
              <w:rPr>
                <w:b/>
                <w:bCs/>
                <w:szCs w:val="22"/>
              </w:rPr>
              <w:t>Doses e duração do tratamento</w:t>
            </w:r>
          </w:p>
        </w:tc>
        <w:tc>
          <w:tcPr>
            <w:tcW w:w="3120" w:type="dxa"/>
          </w:tcPr>
          <w:p w14:paraId="19F65C22" w14:textId="77777777" w:rsidR="00337111" w:rsidRPr="0063119B" w:rsidRDefault="00DB6C0E" w:rsidP="0044301C">
            <w:pPr>
              <w:spacing w:line="260" w:lineRule="exact"/>
              <w:rPr>
                <w:b/>
                <w:bCs/>
                <w:szCs w:val="22"/>
                <w:vertAlign w:val="superscript"/>
              </w:rPr>
            </w:pPr>
            <w:r w:rsidRPr="0063119B">
              <w:rPr>
                <w:b/>
                <w:bCs/>
                <w:szCs w:val="22"/>
              </w:rPr>
              <w:t>Rivaroxabano</w:t>
            </w:r>
            <w:r w:rsidR="00337111" w:rsidRPr="0063119B">
              <w:rPr>
                <w:b/>
                <w:bCs/>
                <w:szCs w:val="22"/>
                <w:vertAlign w:val="superscript"/>
              </w:rPr>
              <w:t>a</w:t>
            </w:r>
            <w:r w:rsidR="00EA6A39" w:rsidRPr="0063119B">
              <w:rPr>
                <w:b/>
                <w:bCs/>
                <w:szCs w:val="22"/>
                <w:vertAlign w:val="superscript"/>
              </w:rPr>
              <w:t>)</w:t>
            </w:r>
          </w:p>
          <w:p w14:paraId="1B3951D4" w14:textId="77777777" w:rsidR="00337111" w:rsidRPr="0063119B" w:rsidRDefault="00337111" w:rsidP="0044301C">
            <w:pPr>
              <w:spacing w:line="260" w:lineRule="exact"/>
              <w:rPr>
                <w:b/>
                <w:bCs/>
                <w:szCs w:val="22"/>
              </w:rPr>
            </w:pPr>
            <w:r w:rsidRPr="0063119B">
              <w:rPr>
                <w:b/>
                <w:bCs/>
                <w:szCs w:val="22"/>
              </w:rPr>
              <w:t>3, 6 ou 12 meses</w:t>
            </w:r>
          </w:p>
          <w:p w14:paraId="010504D1" w14:textId="77777777" w:rsidR="00337111" w:rsidRPr="0063119B" w:rsidRDefault="00337111" w:rsidP="0044301C">
            <w:pPr>
              <w:spacing w:line="260" w:lineRule="exact"/>
              <w:rPr>
                <w:b/>
                <w:bCs/>
                <w:szCs w:val="22"/>
              </w:rPr>
            </w:pPr>
            <w:r w:rsidRPr="0063119B">
              <w:rPr>
                <w:b/>
                <w:bCs/>
                <w:szCs w:val="22"/>
              </w:rPr>
              <w:t>N=1.731</w:t>
            </w:r>
          </w:p>
        </w:tc>
        <w:tc>
          <w:tcPr>
            <w:tcW w:w="2880" w:type="dxa"/>
            <w:gridSpan w:val="2"/>
          </w:tcPr>
          <w:p w14:paraId="38966E63" w14:textId="77777777" w:rsidR="00337111" w:rsidRPr="0063119B" w:rsidRDefault="00337111" w:rsidP="0044301C">
            <w:pPr>
              <w:spacing w:line="260" w:lineRule="exact"/>
              <w:rPr>
                <w:b/>
                <w:bCs/>
                <w:szCs w:val="22"/>
              </w:rPr>
            </w:pPr>
            <w:r w:rsidRPr="0063119B">
              <w:rPr>
                <w:b/>
                <w:bCs/>
                <w:szCs w:val="22"/>
              </w:rPr>
              <w:t>Enoxaparina/AVK</w:t>
            </w:r>
            <w:r w:rsidRPr="0063119B">
              <w:rPr>
                <w:b/>
                <w:bCs/>
                <w:szCs w:val="22"/>
                <w:vertAlign w:val="superscript"/>
              </w:rPr>
              <w:t>b</w:t>
            </w:r>
            <w:r w:rsidR="00EA6A39" w:rsidRPr="0063119B">
              <w:rPr>
                <w:b/>
                <w:bCs/>
                <w:szCs w:val="22"/>
                <w:vertAlign w:val="superscript"/>
              </w:rPr>
              <w:t>)</w:t>
            </w:r>
          </w:p>
          <w:p w14:paraId="7E15A919" w14:textId="77777777" w:rsidR="00337111" w:rsidRPr="0063119B" w:rsidRDefault="00337111" w:rsidP="0044301C">
            <w:pPr>
              <w:spacing w:line="260" w:lineRule="exact"/>
              <w:rPr>
                <w:b/>
                <w:bCs/>
                <w:szCs w:val="22"/>
              </w:rPr>
            </w:pPr>
            <w:r w:rsidRPr="0063119B">
              <w:rPr>
                <w:b/>
                <w:bCs/>
                <w:szCs w:val="22"/>
              </w:rPr>
              <w:t>3, 6 ou 12 meses</w:t>
            </w:r>
          </w:p>
          <w:p w14:paraId="20052749" w14:textId="77777777" w:rsidR="00337111" w:rsidRPr="0063119B" w:rsidRDefault="00337111" w:rsidP="0044301C">
            <w:pPr>
              <w:spacing w:line="260" w:lineRule="exact"/>
              <w:rPr>
                <w:b/>
                <w:bCs/>
                <w:szCs w:val="22"/>
              </w:rPr>
            </w:pPr>
            <w:r w:rsidRPr="0063119B">
              <w:rPr>
                <w:b/>
                <w:bCs/>
                <w:szCs w:val="22"/>
              </w:rPr>
              <w:t>N=1.718</w:t>
            </w:r>
          </w:p>
        </w:tc>
      </w:tr>
      <w:tr w:rsidR="00337111" w:rsidRPr="0063119B" w14:paraId="53B69C3E" w14:textId="77777777" w:rsidTr="0044301C">
        <w:tc>
          <w:tcPr>
            <w:tcW w:w="3360" w:type="dxa"/>
          </w:tcPr>
          <w:p w14:paraId="00225AB1" w14:textId="77777777" w:rsidR="00337111" w:rsidRPr="0063119B" w:rsidRDefault="00337111" w:rsidP="0044301C">
            <w:pPr>
              <w:spacing w:line="260" w:lineRule="exact"/>
              <w:rPr>
                <w:szCs w:val="22"/>
              </w:rPr>
            </w:pPr>
            <w:r w:rsidRPr="0063119B">
              <w:rPr>
                <w:szCs w:val="22"/>
              </w:rPr>
              <w:t>TEV sintomático recorrente*</w:t>
            </w:r>
          </w:p>
        </w:tc>
        <w:tc>
          <w:tcPr>
            <w:tcW w:w="3120" w:type="dxa"/>
          </w:tcPr>
          <w:p w14:paraId="40FDEB07" w14:textId="77777777" w:rsidR="00337111" w:rsidRPr="0063119B" w:rsidRDefault="00337111" w:rsidP="0044301C">
            <w:pPr>
              <w:spacing w:line="260" w:lineRule="exact"/>
              <w:rPr>
                <w:szCs w:val="22"/>
              </w:rPr>
            </w:pPr>
            <w:r w:rsidRPr="0063119B">
              <w:rPr>
                <w:szCs w:val="22"/>
              </w:rPr>
              <w:t>36</w:t>
            </w:r>
            <w:r w:rsidRPr="0063119B">
              <w:rPr>
                <w:szCs w:val="22"/>
              </w:rPr>
              <w:br/>
              <w:t>(2,1%)</w:t>
            </w:r>
          </w:p>
        </w:tc>
        <w:tc>
          <w:tcPr>
            <w:tcW w:w="2880" w:type="dxa"/>
            <w:gridSpan w:val="2"/>
          </w:tcPr>
          <w:p w14:paraId="682E4FC1" w14:textId="77777777" w:rsidR="00337111" w:rsidRPr="0063119B" w:rsidRDefault="00337111" w:rsidP="0044301C">
            <w:pPr>
              <w:spacing w:line="260" w:lineRule="exact"/>
              <w:rPr>
                <w:szCs w:val="22"/>
              </w:rPr>
            </w:pPr>
            <w:r w:rsidRPr="0063119B">
              <w:rPr>
                <w:szCs w:val="22"/>
              </w:rPr>
              <w:t>51</w:t>
            </w:r>
            <w:r w:rsidRPr="0063119B">
              <w:rPr>
                <w:szCs w:val="22"/>
              </w:rPr>
              <w:br/>
              <w:t>(3,0%)</w:t>
            </w:r>
          </w:p>
        </w:tc>
      </w:tr>
      <w:tr w:rsidR="00337111" w:rsidRPr="0063119B" w14:paraId="0D6378B4" w14:textId="77777777" w:rsidTr="0044301C">
        <w:tc>
          <w:tcPr>
            <w:tcW w:w="3360" w:type="dxa"/>
          </w:tcPr>
          <w:p w14:paraId="1F94DD67" w14:textId="77777777" w:rsidR="00337111" w:rsidRPr="0063119B" w:rsidRDefault="00337111" w:rsidP="0044301C">
            <w:pPr>
              <w:spacing w:line="260" w:lineRule="exact"/>
              <w:rPr>
                <w:szCs w:val="22"/>
              </w:rPr>
            </w:pPr>
            <w:r w:rsidRPr="0063119B">
              <w:rPr>
                <w:szCs w:val="22"/>
              </w:rPr>
              <w:t xml:space="preserve">      EP sintomático recorrente</w:t>
            </w:r>
          </w:p>
        </w:tc>
        <w:tc>
          <w:tcPr>
            <w:tcW w:w="3120" w:type="dxa"/>
          </w:tcPr>
          <w:p w14:paraId="2CFE7AF5" w14:textId="77777777" w:rsidR="00337111" w:rsidRPr="0063119B" w:rsidRDefault="00337111" w:rsidP="0044301C">
            <w:pPr>
              <w:spacing w:line="260" w:lineRule="exact"/>
              <w:rPr>
                <w:szCs w:val="22"/>
              </w:rPr>
            </w:pPr>
            <w:r w:rsidRPr="0063119B">
              <w:rPr>
                <w:szCs w:val="22"/>
              </w:rPr>
              <w:t>20</w:t>
            </w:r>
            <w:r w:rsidRPr="0063119B">
              <w:rPr>
                <w:szCs w:val="22"/>
              </w:rPr>
              <w:br/>
              <w:t>(1,2%)</w:t>
            </w:r>
          </w:p>
        </w:tc>
        <w:tc>
          <w:tcPr>
            <w:tcW w:w="2880" w:type="dxa"/>
            <w:gridSpan w:val="2"/>
          </w:tcPr>
          <w:p w14:paraId="39BFC7DF" w14:textId="77777777" w:rsidR="00337111" w:rsidRPr="0063119B" w:rsidRDefault="00337111" w:rsidP="0044301C">
            <w:pPr>
              <w:spacing w:line="260" w:lineRule="exact"/>
              <w:rPr>
                <w:szCs w:val="22"/>
              </w:rPr>
            </w:pPr>
            <w:r w:rsidRPr="0063119B">
              <w:rPr>
                <w:szCs w:val="22"/>
              </w:rPr>
              <w:t>18</w:t>
            </w:r>
            <w:r w:rsidRPr="0063119B">
              <w:rPr>
                <w:szCs w:val="22"/>
              </w:rPr>
              <w:br/>
              <w:t>(1,0%)</w:t>
            </w:r>
          </w:p>
        </w:tc>
      </w:tr>
      <w:tr w:rsidR="00337111" w:rsidRPr="0063119B" w14:paraId="759980A7" w14:textId="77777777" w:rsidTr="0044301C">
        <w:tc>
          <w:tcPr>
            <w:tcW w:w="3360" w:type="dxa"/>
          </w:tcPr>
          <w:p w14:paraId="3C1A37D4" w14:textId="77777777" w:rsidR="00337111" w:rsidRPr="0063119B" w:rsidRDefault="00337111" w:rsidP="0044301C">
            <w:pPr>
              <w:spacing w:line="260" w:lineRule="exact"/>
              <w:rPr>
                <w:szCs w:val="22"/>
              </w:rPr>
            </w:pPr>
            <w:r w:rsidRPr="0063119B">
              <w:rPr>
                <w:szCs w:val="22"/>
              </w:rPr>
              <w:t xml:space="preserve">     TVP sintomática recorrente</w:t>
            </w:r>
          </w:p>
        </w:tc>
        <w:tc>
          <w:tcPr>
            <w:tcW w:w="3120" w:type="dxa"/>
          </w:tcPr>
          <w:p w14:paraId="54DCA0D2" w14:textId="77777777" w:rsidR="00337111" w:rsidRPr="0063119B" w:rsidRDefault="00337111" w:rsidP="0044301C">
            <w:pPr>
              <w:spacing w:line="260" w:lineRule="exact"/>
              <w:rPr>
                <w:szCs w:val="22"/>
              </w:rPr>
            </w:pPr>
            <w:r w:rsidRPr="0063119B">
              <w:rPr>
                <w:szCs w:val="22"/>
              </w:rPr>
              <w:t>14</w:t>
            </w:r>
            <w:r w:rsidRPr="0063119B">
              <w:rPr>
                <w:szCs w:val="22"/>
              </w:rPr>
              <w:br/>
              <w:t>(0,8%)</w:t>
            </w:r>
          </w:p>
        </w:tc>
        <w:tc>
          <w:tcPr>
            <w:tcW w:w="2880" w:type="dxa"/>
            <w:gridSpan w:val="2"/>
          </w:tcPr>
          <w:p w14:paraId="2F128C34" w14:textId="77777777" w:rsidR="00337111" w:rsidRPr="0063119B" w:rsidRDefault="00337111" w:rsidP="0044301C">
            <w:pPr>
              <w:spacing w:line="260" w:lineRule="exact"/>
              <w:rPr>
                <w:szCs w:val="22"/>
              </w:rPr>
            </w:pPr>
            <w:r w:rsidRPr="0063119B">
              <w:rPr>
                <w:szCs w:val="22"/>
              </w:rPr>
              <w:t>28</w:t>
            </w:r>
            <w:r w:rsidRPr="0063119B">
              <w:rPr>
                <w:szCs w:val="22"/>
              </w:rPr>
              <w:br/>
              <w:t>(1,6%)</w:t>
            </w:r>
          </w:p>
        </w:tc>
      </w:tr>
      <w:tr w:rsidR="00337111" w:rsidRPr="0063119B" w14:paraId="2C01836C" w14:textId="77777777" w:rsidTr="0044301C">
        <w:tc>
          <w:tcPr>
            <w:tcW w:w="3360" w:type="dxa"/>
          </w:tcPr>
          <w:p w14:paraId="1CE977BD" w14:textId="77777777" w:rsidR="00337111" w:rsidRPr="0063119B" w:rsidRDefault="00337111" w:rsidP="0044301C">
            <w:pPr>
              <w:spacing w:line="260" w:lineRule="exact"/>
              <w:rPr>
                <w:szCs w:val="22"/>
              </w:rPr>
            </w:pPr>
            <w:r w:rsidRPr="0063119B">
              <w:rPr>
                <w:szCs w:val="22"/>
              </w:rPr>
              <w:t xml:space="preserve">     EP e TVP sintomáticos</w:t>
            </w:r>
          </w:p>
        </w:tc>
        <w:tc>
          <w:tcPr>
            <w:tcW w:w="3120" w:type="dxa"/>
          </w:tcPr>
          <w:p w14:paraId="43A344E2" w14:textId="77777777" w:rsidR="00337111" w:rsidRPr="0063119B" w:rsidRDefault="00337111" w:rsidP="0044301C">
            <w:pPr>
              <w:spacing w:line="260" w:lineRule="exact"/>
              <w:rPr>
                <w:szCs w:val="22"/>
              </w:rPr>
            </w:pPr>
            <w:r w:rsidRPr="0063119B">
              <w:rPr>
                <w:szCs w:val="22"/>
              </w:rPr>
              <w:t>1</w:t>
            </w:r>
          </w:p>
          <w:p w14:paraId="699666EB" w14:textId="77777777" w:rsidR="00337111" w:rsidRPr="0063119B" w:rsidRDefault="00337111" w:rsidP="0044301C">
            <w:pPr>
              <w:spacing w:line="260" w:lineRule="exact"/>
              <w:rPr>
                <w:szCs w:val="22"/>
              </w:rPr>
            </w:pPr>
            <w:r w:rsidRPr="0063119B">
              <w:rPr>
                <w:szCs w:val="22"/>
              </w:rPr>
              <w:t>(0,1%)</w:t>
            </w:r>
          </w:p>
        </w:tc>
        <w:tc>
          <w:tcPr>
            <w:tcW w:w="2880" w:type="dxa"/>
            <w:gridSpan w:val="2"/>
          </w:tcPr>
          <w:p w14:paraId="49F736E3" w14:textId="77777777" w:rsidR="00337111" w:rsidRPr="0063119B" w:rsidRDefault="00337111" w:rsidP="0044301C">
            <w:pPr>
              <w:spacing w:line="260" w:lineRule="exact"/>
              <w:rPr>
                <w:szCs w:val="22"/>
              </w:rPr>
            </w:pPr>
            <w:r w:rsidRPr="0063119B">
              <w:rPr>
                <w:szCs w:val="22"/>
              </w:rPr>
              <w:t>0</w:t>
            </w:r>
          </w:p>
        </w:tc>
      </w:tr>
      <w:tr w:rsidR="00337111" w:rsidRPr="0063119B" w14:paraId="1CFE186F" w14:textId="77777777" w:rsidTr="0044301C">
        <w:tc>
          <w:tcPr>
            <w:tcW w:w="3360" w:type="dxa"/>
          </w:tcPr>
          <w:p w14:paraId="511BA1B9" w14:textId="77777777" w:rsidR="00337111" w:rsidRPr="0063119B" w:rsidRDefault="00337111" w:rsidP="0044301C">
            <w:pPr>
              <w:spacing w:line="260" w:lineRule="exact"/>
              <w:ind w:left="284" w:hanging="34"/>
              <w:rPr>
                <w:szCs w:val="22"/>
              </w:rPr>
            </w:pPr>
            <w:r w:rsidRPr="0063119B">
              <w:rPr>
                <w:szCs w:val="22"/>
              </w:rPr>
              <w:t>EP fatal/</w:t>
            </w:r>
            <w:r w:rsidR="007D373C" w:rsidRPr="0063119B">
              <w:rPr>
                <w:szCs w:val="22"/>
              </w:rPr>
              <w:t>m</w:t>
            </w:r>
            <w:r w:rsidRPr="0063119B">
              <w:rPr>
                <w:szCs w:val="22"/>
              </w:rPr>
              <w:t>orte na qual não se pode excluir EP</w:t>
            </w:r>
          </w:p>
        </w:tc>
        <w:tc>
          <w:tcPr>
            <w:tcW w:w="3120" w:type="dxa"/>
          </w:tcPr>
          <w:p w14:paraId="2C1807BB" w14:textId="77777777" w:rsidR="00337111" w:rsidRPr="0063119B" w:rsidRDefault="00337111" w:rsidP="0044301C">
            <w:pPr>
              <w:spacing w:line="260" w:lineRule="exact"/>
              <w:rPr>
                <w:szCs w:val="22"/>
              </w:rPr>
            </w:pPr>
            <w:r w:rsidRPr="0063119B">
              <w:rPr>
                <w:szCs w:val="22"/>
              </w:rPr>
              <w:t>4</w:t>
            </w:r>
            <w:r w:rsidRPr="0063119B">
              <w:rPr>
                <w:szCs w:val="22"/>
              </w:rPr>
              <w:br/>
              <w:t>(0,2%)</w:t>
            </w:r>
          </w:p>
        </w:tc>
        <w:tc>
          <w:tcPr>
            <w:tcW w:w="2880" w:type="dxa"/>
            <w:gridSpan w:val="2"/>
          </w:tcPr>
          <w:p w14:paraId="30ED5C63" w14:textId="77777777" w:rsidR="00337111" w:rsidRPr="0063119B" w:rsidRDefault="00337111" w:rsidP="0044301C">
            <w:pPr>
              <w:spacing w:line="260" w:lineRule="exact"/>
              <w:rPr>
                <w:szCs w:val="22"/>
              </w:rPr>
            </w:pPr>
            <w:r w:rsidRPr="0063119B">
              <w:rPr>
                <w:szCs w:val="22"/>
              </w:rPr>
              <w:t>6</w:t>
            </w:r>
            <w:r w:rsidRPr="0063119B">
              <w:rPr>
                <w:szCs w:val="22"/>
              </w:rPr>
              <w:br/>
              <w:t>(0,3%)</w:t>
            </w:r>
          </w:p>
        </w:tc>
      </w:tr>
      <w:tr w:rsidR="00337111" w:rsidRPr="0063119B" w14:paraId="0F730847" w14:textId="77777777" w:rsidTr="0044301C">
        <w:tc>
          <w:tcPr>
            <w:tcW w:w="3360" w:type="dxa"/>
          </w:tcPr>
          <w:p w14:paraId="5AFC2553" w14:textId="77777777" w:rsidR="00337111" w:rsidRPr="0063119B" w:rsidRDefault="00337111" w:rsidP="0044301C">
            <w:pPr>
              <w:spacing w:line="260" w:lineRule="exact"/>
              <w:rPr>
                <w:szCs w:val="22"/>
              </w:rPr>
            </w:pPr>
            <w:r w:rsidRPr="0063119B">
              <w:rPr>
                <w:szCs w:val="22"/>
              </w:rPr>
              <w:t>Hemorragia principal ou não principal clinicamente relevante</w:t>
            </w:r>
          </w:p>
        </w:tc>
        <w:tc>
          <w:tcPr>
            <w:tcW w:w="3120" w:type="dxa"/>
          </w:tcPr>
          <w:p w14:paraId="1630DA8A" w14:textId="77777777" w:rsidR="00337111" w:rsidRPr="0063119B" w:rsidRDefault="00337111" w:rsidP="0044301C">
            <w:pPr>
              <w:spacing w:line="260" w:lineRule="exact"/>
              <w:rPr>
                <w:szCs w:val="22"/>
              </w:rPr>
            </w:pPr>
            <w:r w:rsidRPr="0063119B">
              <w:rPr>
                <w:szCs w:val="22"/>
              </w:rPr>
              <w:t>139</w:t>
            </w:r>
            <w:r w:rsidRPr="0063119B">
              <w:rPr>
                <w:szCs w:val="22"/>
              </w:rPr>
              <w:br/>
              <w:t>(8,1%)</w:t>
            </w:r>
          </w:p>
        </w:tc>
        <w:tc>
          <w:tcPr>
            <w:tcW w:w="2880" w:type="dxa"/>
            <w:gridSpan w:val="2"/>
          </w:tcPr>
          <w:p w14:paraId="6B3C9D7F" w14:textId="77777777" w:rsidR="00337111" w:rsidRPr="0063119B" w:rsidRDefault="00337111" w:rsidP="0044301C">
            <w:pPr>
              <w:spacing w:line="260" w:lineRule="exact"/>
              <w:rPr>
                <w:szCs w:val="22"/>
              </w:rPr>
            </w:pPr>
            <w:r w:rsidRPr="0063119B">
              <w:rPr>
                <w:szCs w:val="22"/>
              </w:rPr>
              <w:t>138</w:t>
            </w:r>
            <w:r w:rsidRPr="0063119B">
              <w:rPr>
                <w:szCs w:val="22"/>
              </w:rPr>
              <w:br/>
              <w:t>(8,1%)</w:t>
            </w:r>
          </w:p>
        </w:tc>
      </w:tr>
      <w:tr w:rsidR="00337111" w:rsidRPr="0063119B" w14:paraId="6C324C8E" w14:textId="77777777" w:rsidTr="0044301C">
        <w:tc>
          <w:tcPr>
            <w:tcW w:w="3360" w:type="dxa"/>
          </w:tcPr>
          <w:p w14:paraId="4B113813" w14:textId="77777777" w:rsidR="00337111" w:rsidRPr="0063119B" w:rsidRDefault="00337111" w:rsidP="0044301C">
            <w:pPr>
              <w:spacing w:line="260" w:lineRule="exact"/>
              <w:rPr>
                <w:szCs w:val="22"/>
              </w:rPr>
            </w:pPr>
            <w:r w:rsidRPr="0063119B">
              <w:rPr>
                <w:szCs w:val="22"/>
              </w:rPr>
              <w:t>Acontecimentos hemorrágicos principais</w:t>
            </w:r>
          </w:p>
        </w:tc>
        <w:tc>
          <w:tcPr>
            <w:tcW w:w="3120" w:type="dxa"/>
          </w:tcPr>
          <w:p w14:paraId="6EA11827" w14:textId="77777777" w:rsidR="00337111" w:rsidRPr="0063119B" w:rsidRDefault="00337111" w:rsidP="0044301C">
            <w:pPr>
              <w:spacing w:line="260" w:lineRule="exact"/>
              <w:rPr>
                <w:szCs w:val="22"/>
              </w:rPr>
            </w:pPr>
            <w:r w:rsidRPr="0063119B">
              <w:rPr>
                <w:szCs w:val="22"/>
              </w:rPr>
              <w:t>14</w:t>
            </w:r>
            <w:r w:rsidRPr="0063119B">
              <w:rPr>
                <w:szCs w:val="22"/>
              </w:rPr>
              <w:br/>
              <w:t>(0,8%)</w:t>
            </w:r>
          </w:p>
        </w:tc>
        <w:tc>
          <w:tcPr>
            <w:tcW w:w="2880" w:type="dxa"/>
            <w:gridSpan w:val="2"/>
          </w:tcPr>
          <w:p w14:paraId="3528758C" w14:textId="77777777" w:rsidR="00337111" w:rsidRPr="0063119B" w:rsidRDefault="00337111" w:rsidP="0044301C">
            <w:pPr>
              <w:spacing w:line="260" w:lineRule="exact"/>
              <w:rPr>
                <w:szCs w:val="22"/>
              </w:rPr>
            </w:pPr>
            <w:r w:rsidRPr="0063119B">
              <w:rPr>
                <w:szCs w:val="22"/>
              </w:rPr>
              <w:t>20</w:t>
            </w:r>
            <w:r w:rsidRPr="0063119B">
              <w:rPr>
                <w:szCs w:val="22"/>
              </w:rPr>
              <w:br/>
              <w:t>(1,2%)</w:t>
            </w:r>
          </w:p>
        </w:tc>
      </w:tr>
      <w:tr w:rsidR="00337111" w:rsidRPr="0063119B" w14:paraId="6520A7D1" w14:textId="77777777" w:rsidTr="0044301C">
        <w:trPr>
          <w:gridAfter w:val="1"/>
          <w:wAfter w:w="230" w:type="dxa"/>
        </w:trPr>
        <w:tc>
          <w:tcPr>
            <w:tcW w:w="9200" w:type="dxa"/>
            <w:gridSpan w:val="3"/>
            <w:tcBorders>
              <w:top w:val="nil"/>
              <w:left w:val="nil"/>
              <w:bottom w:val="nil"/>
              <w:right w:val="nil"/>
            </w:tcBorders>
          </w:tcPr>
          <w:p w14:paraId="60AFD57A" w14:textId="77777777" w:rsidR="00337111" w:rsidRPr="0063119B" w:rsidRDefault="00337111" w:rsidP="0044301C">
            <w:pPr>
              <w:tabs>
                <w:tab w:val="left" w:pos="567"/>
              </w:tabs>
              <w:rPr>
                <w:szCs w:val="22"/>
              </w:rPr>
            </w:pPr>
            <w:r w:rsidRPr="0063119B">
              <w:rPr>
                <w:szCs w:val="22"/>
              </w:rPr>
              <w:t>a)</w:t>
            </w:r>
            <w:r w:rsidRPr="0063119B">
              <w:rPr>
                <w:szCs w:val="22"/>
              </w:rPr>
              <w:tab/>
              <w:t>Rivaroxabano 15 mg duas vezes por dia durante 3 semanas seguido de 20 mg uma vez por dia</w:t>
            </w:r>
          </w:p>
          <w:p w14:paraId="549D86C1" w14:textId="77777777" w:rsidR="00337111" w:rsidRPr="0063119B" w:rsidRDefault="00337111" w:rsidP="0044301C">
            <w:pPr>
              <w:tabs>
                <w:tab w:val="left" w:pos="567"/>
              </w:tabs>
              <w:ind w:left="567" w:hanging="567"/>
              <w:rPr>
                <w:szCs w:val="22"/>
              </w:rPr>
            </w:pPr>
            <w:r w:rsidRPr="0063119B">
              <w:rPr>
                <w:szCs w:val="22"/>
              </w:rPr>
              <w:t>b)</w:t>
            </w:r>
            <w:r w:rsidRPr="0063119B">
              <w:rPr>
                <w:szCs w:val="22"/>
              </w:rPr>
              <w:tab/>
              <w:t>Enoxaparina durante pelo menos 5 dias, sobreposta com e seguida de AVK</w:t>
            </w:r>
          </w:p>
          <w:p w14:paraId="3A47875C" w14:textId="77777777" w:rsidR="00337111" w:rsidRPr="0063119B" w:rsidRDefault="00337111" w:rsidP="007D373C">
            <w:pPr>
              <w:tabs>
                <w:tab w:val="left" w:pos="567"/>
              </w:tabs>
              <w:ind w:left="567" w:hanging="567"/>
              <w:rPr>
                <w:vanish/>
                <w:szCs w:val="22"/>
              </w:rPr>
            </w:pPr>
            <w:r w:rsidRPr="0063119B">
              <w:rPr>
                <w:b/>
                <w:szCs w:val="22"/>
              </w:rPr>
              <w:t>*</w:t>
            </w:r>
            <w:r w:rsidRPr="0063119B">
              <w:rPr>
                <w:szCs w:val="22"/>
              </w:rPr>
              <w:tab/>
              <w:t xml:space="preserve">p &lt; 0,0001 (não inferioridade para uma </w:t>
            </w:r>
            <w:r w:rsidR="007D373C" w:rsidRPr="0063119B">
              <w:rPr>
                <w:szCs w:val="22"/>
              </w:rPr>
              <w:t>RR</w:t>
            </w:r>
            <w:r w:rsidRPr="0063119B">
              <w:rPr>
                <w:szCs w:val="22"/>
              </w:rPr>
              <w:t xml:space="preserve"> pré-especificada de 2,0); </w:t>
            </w:r>
            <w:r w:rsidR="007D373C" w:rsidRPr="0063119B">
              <w:rPr>
                <w:szCs w:val="22"/>
              </w:rPr>
              <w:t>RR</w:t>
            </w:r>
            <w:r w:rsidRPr="0063119B">
              <w:rPr>
                <w:szCs w:val="22"/>
              </w:rPr>
              <w:t>: 0,680 (0,443 </w:t>
            </w:r>
            <w:r w:rsidRPr="0063119B">
              <w:rPr>
                <w:szCs w:val="22"/>
              </w:rPr>
              <w:noBreakHyphen/>
              <w:t> 1,042), p = 0,076 (superioridade)</w:t>
            </w:r>
          </w:p>
        </w:tc>
      </w:tr>
    </w:tbl>
    <w:p w14:paraId="30D2DD23" w14:textId="77777777" w:rsidR="00337111" w:rsidRPr="0063119B" w:rsidRDefault="00337111" w:rsidP="00337111">
      <w:pPr>
        <w:autoSpaceDE w:val="0"/>
        <w:autoSpaceDN w:val="0"/>
        <w:adjustRightInd w:val="0"/>
        <w:rPr>
          <w:szCs w:val="22"/>
        </w:rPr>
      </w:pPr>
    </w:p>
    <w:p w14:paraId="247A43E2" w14:textId="77777777" w:rsidR="00337111" w:rsidRPr="0063119B" w:rsidRDefault="00337111" w:rsidP="00337111">
      <w:pPr>
        <w:autoSpaceDE w:val="0"/>
        <w:autoSpaceDN w:val="0"/>
        <w:adjustRightInd w:val="0"/>
        <w:rPr>
          <w:rFonts w:eastAsia="MS Mincho"/>
          <w:bCs/>
          <w:szCs w:val="22"/>
          <w:lang w:eastAsia="ja-JP"/>
        </w:rPr>
      </w:pPr>
      <w:r w:rsidRPr="0063119B">
        <w:rPr>
          <w:szCs w:val="22"/>
        </w:rPr>
        <w:t>No estudo Einstein PE (ver Quadro</w:t>
      </w:r>
      <w:r w:rsidR="00E67357" w:rsidRPr="0063119B">
        <w:rPr>
          <w:szCs w:val="22"/>
        </w:rPr>
        <w:t> 7</w:t>
      </w:r>
      <w:r w:rsidRPr="0063119B">
        <w:rPr>
          <w:szCs w:val="22"/>
        </w:rPr>
        <w:t>) o rivaroxabano demonstrou ser não inferior à enoxaparina/AVK em relação ao objetivo primário da eficácia (p=0,0026 (teste de não</w:t>
      </w:r>
      <w:r w:rsidRPr="0063119B">
        <w:rPr>
          <w:szCs w:val="22"/>
        </w:rPr>
        <w:noBreakHyphen/>
        <w:t xml:space="preserve">inferioridade); </w:t>
      </w:r>
      <w:r w:rsidR="007D373C" w:rsidRPr="0063119B">
        <w:rPr>
          <w:szCs w:val="22"/>
        </w:rPr>
        <w:t>RR</w:t>
      </w:r>
      <w:r w:rsidRPr="0063119B">
        <w:rPr>
          <w:szCs w:val="22"/>
        </w:rPr>
        <w:t xml:space="preserve">: </w:t>
      </w:r>
      <w:r w:rsidRPr="0063119B">
        <w:rPr>
          <w:iCs/>
          <w:szCs w:val="22"/>
        </w:rPr>
        <w:t>1,123 (0,749 </w:t>
      </w:r>
      <w:r w:rsidRPr="0063119B">
        <w:rPr>
          <w:iCs/>
          <w:szCs w:val="22"/>
        </w:rPr>
        <w:noBreakHyphen/>
        <w:t> 1,684)).</w:t>
      </w:r>
      <w:r w:rsidRPr="0063119B">
        <w:rPr>
          <w:rFonts w:eastAsia="MS Mincho"/>
          <w:bCs/>
          <w:szCs w:val="22"/>
          <w:lang w:eastAsia="ja-JP"/>
        </w:rPr>
        <w:t xml:space="preserve"> O benefício clínico efetivo pré</w:t>
      </w:r>
      <w:r w:rsidRPr="0063119B">
        <w:rPr>
          <w:rFonts w:eastAsia="MS Mincho"/>
          <w:bCs/>
          <w:szCs w:val="22"/>
          <w:lang w:eastAsia="ja-JP"/>
        </w:rPr>
        <w:noBreakHyphen/>
        <w:t xml:space="preserve">especificado (objetivo primário da eficácia mais acontecimentos hemorrágicos principais) foi notificado com uma </w:t>
      </w:r>
      <w:r w:rsidR="007D373C" w:rsidRPr="0063119B">
        <w:rPr>
          <w:rFonts w:eastAsia="MS Mincho"/>
          <w:bCs/>
          <w:szCs w:val="22"/>
          <w:lang w:eastAsia="ja-JP"/>
        </w:rPr>
        <w:t>RR</w:t>
      </w:r>
      <w:r w:rsidRPr="0063119B">
        <w:rPr>
          <w:rFonts w:eastAsia="MS Mincho"/>
          <w:bCs/>
          <w:szCs w:val="22"/>
          <w:lang w:eastAsia="ja-JP"/>
        </w:rPr>
        <w:t xml:space="preserve"> de 0,849 ((IC 95%: 0,633 </w:t>
      </w:r>
      <w:r w:rsidRPr="0063119B">
        <w:rPr>
          <w:rFonts w:eastAsia="MS Mincho"/>
          <w:bCs/>
          <w:szCs w:val="22"/>
          <w:lang w:eastAsia="ja-JP"/>
        </w:rPr>
        <w:noBreakHyphen/>
        <w:t xml:space="preserve"> 1,139), valor-p nominal com p=0,275). Os valores de INR foram no intervalo terapêutico uma média de 63% do tempo para uma duração média de tratamento de 215</w:t>
      </w:r>
      <w:r w:rsidR="00DB6C0E" w:rsidRPr="0063119B">
        <w:rPr>
          <w:rFonts w:eastAsia="MS Mincho"/>
          <w:bCs/>
          <w:szCs w:val="22"/>
          <w:lang w:eastAsia="ja-JP"/>
        </w:rPr>
        <w:t> </w:t>
      </w:r>
      <w:r w:rsidRPr="0063119B">
        <w:rPr>
          <w:rFonts w:eastAsia="MS Mincho"/>
          <w:bCs/>
          <w:szCs w:val="22"/>
          <w:lang w:eastAsia="ja-JP"/>
        </w:rPr>
        <w:t>dias, e 57%, 62% e 65% do tempo nos grupos de duração de tratamento previsto de 3, 6 e 12</w:t>
      </w:r>
      <w:r w:rsidR="00DB6C0E" w:rsidRPr="0063119B">
        <w:rPr>
          <w:rFonts w:eastAsia="MS Mincho"/>
          <w:bCs/>
          <w:szCs w:val="22"/>
          <w:lang w:eastAsia="ja-JP"/>
        </w:rPr>
        <w:t> </w:t>
      </w:r>
      <w:r w:rsidRPr="0063119B">
        <w:rPr>
          <w:rFonts w:eastAsia="MS Mincho"/>
          <w:bCs/>
          <w:szCs w:val="22"/>
          <w:lang w:eastAsia="ja-JP"/>
        </w:rPr>
        <w:t xml:space="preserve">meses, respetivamente. No grupo enoxaparina/AVK, não existe uma relação clara entre o nível do centro TTR médio (Tempo no Intervalo do INR Alvo de 2,0 a 3,0) em tercis de igual tamanho e a incidência de TEV recorrente (p=0,082 para interação). No maior tercil de acordo com o centro, a </w:t>
      </w:r>
      <w:r w:rsidR="007D373C" w:rsidRPr="0063119B">
        <w:rPr>
          <w:rFonts w:eastAsia="MS Mincho"/>
          <w:bCs/>
          <w:szCs w:val="22"/>
          <w:lang w:eastAsia="ja-JP"/>
        </w:rPr>
        <w:t>RR</w:t>
      </w:r>
      <w:r w:rsidRPr="0063119B">
        <w:rPr>
          <w:rFonts w:eastAsia="MS Mincho"/>
          <w:bCs/>
          <w:szCs w:val="22"/>
          <w:lang w:eastAsia="ja-JP"/>
        </w:rPr>
        <w:t xml:space="preserve"> com rivaroxabano versus varfarina foi de 0,642 (IC 95%: 0,277 </w:t>
      </w:r>
      <w:r w:rsidR="000E46B1" w:rsidRPr="0063119B">
        <w:rPr>
          <w:rFonts w:eastAsia="MS Mincho"/>
          <w:bCs/>
          <w:szCs w:val="22"/>
          <w:lang w:eastAsia="ja-JP"/>
        </w:rPr>
        <w:t>-</w:t>
      </w:r>
      <w:r w:rsidRPr="0063119B">
        <w:rPr>
          <w:rFonts w:eastAsia="MS Mincho"/>
          <w:bCs/>
          <w:szCs w:val="22"/>
          <w:lang w:eastAsia="ja-JP"/>
        </w:rPr>
        <w:t xml:space="preserve"> 1,484).</w:t>
      </w:r>
    </w:p>
    <w:p w14:paraId="018B097A" w14:textId="77777777" w:rsidR="00337111" w:rsidRPr="0063119B" w:rsidRDefault="00337111" w:rsidP="00337111">
      <w:pPr>
        <w:autoSpaceDE w:val="0"/>
        <w:autoSpaceDN w:val="0"/>
        <w:adjustRightInd w:val="0"/>
        <w:rPr>
          <w:rFonts w:eastAsia="MS Mincho"/>
          <w:bCs/>
          <w:szCs w:val="22"/>
          <w:lang w:eastAsia="ja-JP"/>
        </w:rPr>
      </w:pPr>
    </w:p>
    <w:p w14:paraId="4DF72EAA" w14:textId="77777777" w:rsidR="00337111" w:rsidRPr="0063119B" w:rsidRDefault="00337111" w:rsidP="00337111">
      <w:pPr>
        <w:rPr>
          <w:szCs w:val="22"/>
        </w:rPr>
      </w:pPr>
      <w:r w:rsidRPr="0063119B">
        <w:rPr>
          <w:szCs w:val="22"/>
        </w:rPr>
        <w:t xml:space="preserve">As taxas de incidência do objetivo primário de segurança (acontecimentos hemorrágicos principais e não principais clinicamente relevantes) foram ligeiramente inferiores no grupo de tratamento do rivaroxabano (10,3% (249/2412)) do que no grupo de tratamento enoxaparina/AVK (11,4% (274/2405)). A incidência do objetivo secundário de segurança (acontecimentos hemorrágicos </w:t>
      </w:r>
      <w:r w:rsidRPr="0063119B">
        <w:rPr>
          <w:szCs w:val="22"/>
        </w:rPr>
        <w:lastRenderedPageBreak/>
        <w:t xml:space="preserve">principais) foi inferior no grupo do rivaroxabano (1,1% (26/2412)) do que no grupo de tratamento enoxaparina/AVK (2,2% (52/2405)) com uma </w:t>
      </w:r>
      <w:r w:rsidR="007D373C" w:rsidRPr="0063119B">
        <w:rPr>
          <w:szCs w:val="22"/>
        </w:rPr>
        <w:t>RR</w:t>
      </w:r>
      <w:r w:rsidRPr="0063119B">
        <w:rPr>
          <w:szCs w:val="22"/>
        </w:rPr>
        <w:t xml:space="preserve"> de 0,493 </w:t>
      </w:r>
      <w:r w:rsidRPr="0063119B">
        <w:rPr>
          <w:rFonts w:eastAsia="MS Mincho"/>
          <w:bCs/>
          <w:szCs w:val="22"/>
          <w:lang w:eastAsia="ja-JP"/>
        </w:rPr>
        <w:t xml:space="preserve">(IC 95%: 0,308 </w:t>
      </w:r>
      <w:r w:rsidR="000E46B1" w:rsidRPr="0063119B">
        <w:rPr>
          <w:rFonts w:eastAsia="MS Mincho"/>
          <w:bCs/>
          <w:szCs w:val="22"/>
          <w:lang w:eastAsia="ja-JP"/>
        </w:rPr>
        <w:t>-</w:t>
      </w:r>
      <w:r w:rsidRPr="0063119B">
        <w:rPr>
          <w:rFonts w:eastAsia="MS Mincho"/>
          <w:bCs/>
          <w:szCs w:val="22"/>
          <w:lang w:eastAsia="ja-JP"/>
        </w:rPr>
        <w:t xml:space="preserve"> 0,789).</w:t>
      </w:r>
    </w:p>
    <w:p w14:paraId="1EC60315" w14:textId="77777777" w:rsidR="00337111" w:rsidRPr="0063119B" w:rsidRDefault="00337111" w:rsidP="00337111">
      <w:pPr>
        <w:pStyle w:val="Default"/>
        <w:rPr>
          <w:color w:val="auto"/>
          <w:sz w:val="22"/>
          <w:szCs w:val="22"/>
          <w:lang w:val="pt-PT"/>
        </w:rPr>
      </w:pPr>
    </w:p>
    <w:p w14:paraId="2D70FAF9" w14:textId="77777777" w:rsidR="00337111" w:rsidRPr="0063119B" w:rsidRDefault="00337111" w:rsidP="00DA6697">
      <w:pPr>
        <w:pStyle w:val="Default"/>
        <w:keepNext/>
        <w:keepLines/>
        <w:widowControl/>
        <w:rPr>
          <w:b/>
          <w:color w:val="auto"/>
          <w:sz w:val="22"/>
          <w:szCs w:val="22"/>
          <w:lang w:val="pt-PT"/>
        </w:rPr>
      </w:pPr>
      <w:r w:rsidRPr="0063119B">
        <w:rPr>
          <w:b/>
          <w:color w:val="auto"/>
          <w:sz w:val="22"/>
          <w:szCs w:val="22"/>
          <w:lang w:val="pt-PT"/>
        </w:rPr>
        <w:t>Quadro </w:t>
      </w:r>
      <w:r w:rsidR="00E67357" w:rsidRPr="0063119B">
        <w:rPr>
          <w:b/>
          <w:color w:val="auto"/>
          <w:sz w:val="22"/>
          <w:szCs w:val="22"/>
          <w:lang w:val="pt-PT"/>
        </w:rPr>
        <w:t>7</w:t>
      </w:r>
      <w:r w:rsidRPr="0063119B">
        <w:rPr>
          <w:b/>
          <w:color w:val="auto"/>
          <w:sz w:val="22"/>
          <w:szCs w:val="22"/>
          <w:lang w:val="pt-PT"/>
        </w:rPr>
        <w:t>: Resultados de eficácia e segurança do estudo de fase III Einstein PE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20"/>
        <w:gridCol w:w="230"/>
      </w:tblGrid>
      <w:tr w:rsidR="00337111" w:rsidRPr="0063119B" w14:paraId="7D717186" w14:textId="77777777" w:rsidTr="0044301C">
        <w:tc>
          <w:tcPr>
            <w:tcW w:w="3360" w:type="dxa"/>
          </w:tcPr>
          <w:p w14:paraId="6258DABA" w14:textId="77777777" w:rsidR="00337111" w:rsidRPr="0063119B" w:rsidRDefault="00337111" w:rsidP="00DA6697">
            <w:pPr>
              <w:keepNext/>
              <w:keepLines/>
              <w:rPr>
                <w:b/>
                <w:bCs/>
                <w:szCs w:val="22"/>
              </w:rPr>
            </w:pPr>
            <w:r w:rsidRPr="0063119B">
              <w:rPr>
                <w:b/>
                <w:bCs/>
                <w:szCs w:val="22"/>
              </w:rPr>
              <w:t>População do estudo</w:t>
            </w:r>
          </w:p>
        </w:tc>
        <w:tc>
          <w:tcPr>
            <w:tcW w:w="6000" w:type="dxa"/>
            <w:gridSpan w:val="3"/>
          </w:tcPr>
          <w:p w14:paraId="05CBFB39" w14:textId="77777777" w:rsidR="00337111" w:rsidRPr="0063119B" w:rsidRDefault="00337111" w:rsidP="00DA6697">
            <w:pPr>
              <w:keepNext/>
              <w:keepLines/>
              <w:rPr>
                <w:b/>
                <w:bCs/>
                <w:szCs w:val="22"/>
              </w:rPr>
            </w:pPr>
            <w:r w:rsidRPr="0063119B">
              <w:rPr>
                <w:b/>
                <w:bCs/>
                <w:szCs w:val="22"/>
              </w:rPr>
              <w:t>4.832 doentes com EP sintomático agudo</w:t>
            </w:r>
          </w:p>
        </w:tc>
      </w:tr>
      <w:tr w:rsidR="00337111" w:rsidRPr="0063119B" w14:paraId="3F24D5FF" w14:textId="77777777" w:rsidTr="0044301C">
        <w:tc>
          <w:tcPr>
            <w:tcW w:w="3360" w:type="dxa"/>
            <w:vAlign w:val="center"/>
          </w:tcPr>
          <w:p w14:paraId="041D2E40" w14:textId="77777777" w:rsidR="00337111" w:rsidRPr="0063119B" w:rsidRDefault="00337111" w:rsidP="00DA6697">
            <w:pPr>
              <w:keepNext/>
              <w:keepLines/>
              <w:spacing w:line="260" w:lineRule="exact"/>
              <w:rPr>
                <w:b/>
                <w:bCs/>
                <w:szCs w:val="22"/>
              </w:rPr>
            </w:pPr>
            <w:r w:rsidRPr="0063119B">
              <w:rPr>
                <w:b/>
                <w:bCs/>
                <w:szCs w:val="22"/>
              </w:rPr>
              <w:t>Doses e duração do tratamento</w:t>
            </w:r>
          </w:p>
        </w:tc>
        <w:tc>
          <w:tcPr>
            <w:tcW w:w="3120" w:type="dxa"/>
          </w:tcPr>
          <w:p w14:paraId="6E83F76F" w14:textId="77777777" w:rsidR="00337111" w:rsidRPr="0063119B" w:rsidRDefault="00DB6C0E" w:rsidP="00DA6697">
            <w:pPr>
              <w:keepNext/>
              <w:keepLines/>
              <w:spacing w:line="260" w:lineRule="exact"/>
              <w:rPr>
                <w:b/>
                <w:bCs/>
                <w:szCs w:val="22"/>
                <w:vertAlign w:val="superscript"/>
              </w:rPr>
            </w:pPr>
            <w:r w:rsidRPr="0063119B">
              <w:rPr>
                <w:b/>
                <w:bCs/>
                <w:szCs w:val="22"/>
              </w:rPr>
              <w:t>Rivaroxabano</w:t>
            </w:r>
            <w:r w:rsidR="00337111" w:rsidRPr="0063119B">
              <w:rPr>
                <w:b/>
                <w:bCs/>
                <w:szCs w:val="22"/>
                <w:vertAlign w:val="superscript"/>
              </w:rPr>
              <w:t>a</w:t>
            </w:r>
            <w:r w:rsidR="00EA6A39" w:rsidRPr="0063119B">
              <w:rPr>
                <w:b/>
                <w:bCs/>
                <w:szCs w:val="22"/>
                <w:vertAlign w:val="superscript"/>
              </w:rPr>
              <w:t>)</w:t>
            </w:r>
          </w:p>
          <w:p w14:paraId="57B84147" w14:textId="77777777" w:rsidR="00337111" w:rsidRPr="0063119B" w:rsidRDefault="00337111" w:rsidP="00DA6697">
            <w:pPr>
              <w:keepNext/>
              <w:keepLines/>
              <w:spacing w:line="260" w:lineRule="exact"/>
              <w:rPr>
                <w:b/>
                <w:bCs/>
                <w:szCs w:val="22"/>
              </w:rPr>
            </w:pPr>
            <w:r w:rsidRPr="0063119B">
              <w:rPr>
                <w:b/>
                <w:bCs/>
                <w:szCs w:val="22"/>
              </w:rPr>
              <w:t>3, 6 ou 12 meses</w:t>
            </w:r>
          </w:p>
          <w:p w14:paraId="52AD269F" w14:textId="77777777" w:rsidR="00337111" w:rsidRPr="0063119B" w:rsidRDefault="00337111" w:rsidP="00DA6697">
            <w:pPr>
              <w:keepNext/>
              <w:keepLines/>
              <w:spacing w:line="260" w:lineRule="exact"/>
              <w:rPr>
                <w:b/>
                <w:bCs/>
                <w:szCs w:val="22"/>
              </w:rPr>
            </w:pPr>
            <w:r w:rsidRPr="0063119B">
              <w:rPr>
                <w:b/>
                <w:bCs/>
                <w:szCs w:val="22"/>
              </w:rPr>
              <w:t>N=2.419</w:t>
            </w:r>
          </w:p>
        </w:tc>
        <w:tc>
          <w:tcPr>
            <w:tcW w:w="2880" w:type="dxa"/>
            <w:gridSpan w:val="2"/>
          </w:tcPr>
          <w:p w14:paraId="57AF75D5" w14:textId="77777777" w:rsidR="00337111" w:rsidRPr="0063119B" w:rsidRDefault="00337111" w:rsidP="00DA6697">
            <w:pPr>
              <w:keepNext/>
              <w:keepLines/>
              <w:spacing w:line="260" w:lineRule="exact"/>
              <w:rPr>
                <w:b/>
                <w:bCs/>
                <w:szCs w:val="22"/>
              </w:rPr>
            </w:pPr>
            <w:r w:rsidRPr="0063119B">
              <w:rPr>
                <w:b/>
                <w:bCs/>
                <w:szCs w:val="22"/>
              </w:rPr>
              <w:t>Enoxaparina/AVK</w:t>
            </w:r>
            <w:r w:rsidRPr="0063119B">
              <w:rPr>
                <w:b/>
                <w:bCs/>
                <w:szCs w:val="22"/>
                <w:vertAlign w:val="superscript"/>
              </w:rPr>
              <w:t>b</w:t>
            </w:r>
            <w:r w:rsidR="00EA6A39" w:rsidRPr="0063119B">
              <w:rPr>
                <w:b/>
                <w:bCs/>
                <w:szCs w:val="22"/>
                <w:vertAlign w:val="superscript"/>
              </w:rPr>
              <w:t>)</w:t>
            </w:r>
          </w:p>
          <w:p w14:paraId="01483E94" w14:textId="77777777" w:rsidR="00337111" w:rsidRPr="0063119B" w:rsidRDefault="00337111" w:rsidP="00DA6697">
            <w:pPr>
              <w:keepNext/>
              <w:keepLines/>
              <w:spacing w:line="260" w:lineRule="exact"/>
              <w:rPr>
                <w:b/>
                <w:bCs/>
                <w:szCs w:val="22"/>
              </w:rPr>
            </w:pPr>
            <w:r w:rsidRPr="0063119B">
              <w:rPr>
                <w:b/>
                <w:bCs/>
                <w:szCs w:val="22"/>
              </w:rPr>
              <w:t>3, 6 ou 12 meses</w:t>
            </w:r>
          </w:p>
          <w:p w14:paraId="4B957135" w14:textId="77777777" w:rsidR="00337111" w:rsidRPr="0063119B" w:rsidRDefault="00337111" w:rsidP="00DA6697">
            <w:pPr>
              <w:keepNext/>
              <w:keepLines/>
              <w:spacing w:line="260" w:lineRule="exact"/>
              <w:rPr>
                <w:b/>
                <w:bCs/>
                <w:szCs w:val="22"/>
              </w:rPr>
            </w:pPr>
            <w:r w:rsidRPr="0063119B">
              <w:rPr>
                <w:b/>
                <w:bCs/>
                <w:szCs w:val="22"/>
              </w:rPr>
              <w:t>N=2.413</w:t>
            </w:r>
          </w:p>
        </w:tc>
      </w:tr>
      <w:tr w:rsidR="00337111" w:rsidRPr="0063119B" w14:paraId="0E5ED9FD" w14:textId="77777777" w:rsidTr="0044301C">
        <w:tc>
          <w:tcPr>
            <w:tcW w:w="3360" w:type="dxa"/>
          </w:tcPr>
          <w:p w14:paraId="0332717B" w14:textId="77777777" w:rsidR="00337111" w:rsidRPr="0063119B" w:rsidRDefault="00337111" w:rsidP="00DA6697">
            <w:pPr>
              <w:keepNext/>
              <w:spacing w:line="260" w:lineRule="exact"/>
              <w:rPr>
                <w:szCs w:val="22"/>
              </w:rPr>
            </w:pPr>
            <w:r w:rsidRPr="0063119B">
              <w:rPr>
                <w:szCs w:val="22"/>
              </w:rPr>
              <w:t>TEV sintomático recorrente*</w:t>
            </w:r>
          </w:p>
        </w:tc>
        <w:tc>
          <w:tcPr>
            <w:tcW w:w="3120" w:type="dxa"/>
          </w:tcPr>
          <w:p w14:paraId="413826FE" w14:textId="77777777" w:rsidR="00337111" w:rsidRPr="0063119B" w:rsidRDefault="00337111" w:rsidP="00DA6697">
            <w:pPr>
              <w:keepNext/>
              <w:spacing w:line="260" w:lineRule="exact"/>
              <w:rPr>
                <w:szCs w:val="22"/>
              </w:rPr>
            </w:pPr>
            <w:r w:rsidRPr="0063119B">
              <w:rPr>
                <w:szCs w:val="22"/>
              </w:rPr>
              <w:t>50</w:t>
            </w:r>
            <w:r w:rsidRPr="0063119B">
              <w:rPr>
                <w:szCs w:val="22"/>
              </w:rPr>
              <w:br/>
              <w:t>(2,1%)</w:t>
            </w:r>
          </w:p>
        </w:tc>
        <w:tc>
          <w:tcPr>
            <w:tcW w:w="2880" w:type="dxa"/>
            <w:gridSpan w:val="2"/>
          </w:tcPr>
          <w:p w14:paraId="223CB7AB" w14:textId="77777777" w:rsidR="00337111" w:rsidRPr="0063119B" w:rsidRDefault="00337111" w:rsidP="00DA6697">
            <w:pPr>
              <w:keepNext/>
              <w:spacing w:line="260" w:lineRule="exact"/>
              <w:rPr>
                <w:szCs w:val="22"/>
              </w:rPr>
            </w:pPr>
            <w:r w:rsidRPr="0063119B">
              <w:rPr>
                <w:szCs w:val="22"/>
              </w:rPr>
              <w:t>44</w:t>
            </w:r>
            <w:r w:rsidRPr="0063119B">
              <w:rPr>
                <w:szCs w:val="22"/>
              </w:rPr>
              <w:br/>
              <w:t>(1,8%)</w:t>
            </w:r>
          </w:p>
        </w:tc>
      </w:tr>
      <w:tr w:rsidR="00337111" w:rsidRPr="0063119B" w14:paraId="67FA68B1" w14:textId="77777777" w:rsidTr="0044301C">
        <w:tc>
          <w:tcPr>
            <w:tcW w:w="3360" w:type="dxa"/>
          </w:tcPr>
          <w:p w14:paraId="67DD8198" w14:textId="77777777" w:rsidR="00337111" w:rsidRPr="0063119B" w:rsidRDefault="00337111" w:rsidP="00DA6697">
            <w:pPr>
              <w:keepNext/>
              <w:spacing w:line="260" w:lineRule="exact"/>
              <w:rPr>
                <w:szCs w:val="22"/>
              </w:rPr>
            </w:pPr>
            <w:r w:rsidRPr="0063119B">
              <w:rPr>
                <w:szCs w:val="22"/>
              </w:rPr>
              <w:t xml:space="preserve">    EP sintomático recorrente</w:t>
            </w:r>
          </w:p>
        </w:tc>
        <w:tc>
          <w:tcPr>
            <w:tcW w:w="3120" w:type="dxa"/>
          </w:tcPr>
          <w:p w14:paraId="37C19762" w14:textId="77777777" w:rsidR="00337111" w:rsidRPr="0063119B" w:rsidRDefault="00337111" w:rsidP="00DA6697">
            <w:pPr>
              <w:keepNext/>
              <w:spacing w:line="260" w:lineRule="exact"/>
              <w:rPr>
                <w:szCs w:val="22"/>
              </w:rPr>
            </w:pPr>
            <w:r w:rsidRPr="0063119B">
              <w:rPr>
                <w:szCs w:val="22"/>
              </w:rPr>
              <w:t>23</w:t>
            </w:r>
            <w:r w:rsidRPr="0063119B">
              <w:rPr>
                <w:szCs w:val="22"/>
              </w:rPr>
              <w:br/>
              <w:t>(1,0%)</w:t>
            </w:r>
          </w:p>
        </w:tc>
        <w:tc>
          <w:tcPr>
            <w:tcW w:w="2880" w:type="dxa"/>
            <w:gridSpan w:val="2"/>
          </w:tcPr>
          <w:p w14:paraId="18D96B69" w14:textId="77777777" w:rsidR="00337111" w:rsidRPr="0063119B" w:rsidRDefault="00337111" w:rsidP="00DA6697">
            <w:pPr>
              <w:keepNext/>
              <w:spacing w:line="260" w:lineRule="exact"/>
              <w:rPr>
                <w:szCs w:val="22"/>
              </w:rPr>
            </w:pPr>
            <w:r w:rsidRPr="0063119B">
              <w:rPr>
                <w:szCs w:val="22"/>
              </w:rPr>
              <w:t>20</w:t>
            </w:r>
            <w:r w:rsidRPr="0063119B">
              <w:rPr>
                <w:szCs w:val="22"/>
              </w:rPr>
              <w:br/>
              <w:t>(0,8%)</w:t>
            </w:r>
          </w:p>
        </w:tc>
      </w:tr>
      <w:tr w:rsidR="00337111" w:rsidRPr="0063119B" w14:paraId="47553BEB" w14:textId="77777777" w:rsidTr="0044301C">
        <w:tc>
          <w:tcPr>
            <w:tcW w:w="3360" w:type="dxa"/>
          </w:tcPr>
          <w:p w14:paraId="0C8F4E6E" w14:textId="77777777" w:rsidR="00337111" w:rsidRPr="0063119B" w:rsidRDefault="00337111" w:rsidP="00DA6697">
            <w:pPr>
              <w:keepNext/>
              <w:spacing w:line="260" w:lineRule="exact"/>
              <w:rPr>
                <w:szCs w:val="22"/>
              </w:rPr>
            </w:pPr>
            <w:r w:rsidRPr="0063119B">
              <w:rPr>
                <w:szCs w:val="22"/>
              </w:rPr>
              <w:t xml:space="preserve">    TVP sintomática recorrente</w:t>
            </w:r>
          </w:p>
        </w:tc>
        <w:tc>
          <w:tcPr>
            <w:tcW w:w="3120" w:type="dxa"/>
          </w:tcPr>
          <w:p w14:paraId="70C09CA9" w14:textId="77777777" w:rsidR="00337111" w:rsidRPr="0063119B" w:rsidRDefault="00337111" w:rsidP="00DA6697">
            <w:pPr>
              <w:keepNext/>
              <w:spacing w:line="260" w:lineRule="exact"/>
              <w:rPr>
                <w:szCs w:val="22"/>
              </w:rPr>
            </w:pPr>
            <w:r w:rsidRPr="0063119B">
              <w:rPr>
                <w:szCs w:val="22"/>
              </w:rPr>
              <w:t>18</w:t>
            </w:r>
            <w:r w:rsidRPr="0063119B">
              <w:rPr>
                <w:szCs w:val="22"/>
              </w:rPr>
              <w:br/>
              <w:t>(0,7%)</w:t>
            </w:r>
          </w:p>
        </w:tc>
        <w:tc>
          <w:tcPr>
            <w:tcW w:w="2880" w:type="dxa"/>
            <w:gridSpan w:val="2"/>
          </w:tcPr>
          <w:p w14:paraId="28470345" w14:textId="77777777" w:rsidR="00337111" w:rsidRPr="0063119B" w:rsidRDefault="00337111" w:rsidP="00DA6697">
            <w:pPr>
              <w:keepNext/>
              <w:spacing w:line="260" w:lineRule="exact"/>
              <w:rPr>
                <w:szCs w:val="22"/>
              </w:rPr>
            </w:pPr>
            <w:r w:rsidRPr="0063119B">
              <w:rPr>
                <w:szCs w:val="22"/>
              </w:rPr>
              <w:t>17</w:t>
            </w:r>
            <w:r w:rsidRPr="0063119B">
              <w:rPr>
                <w:szCs w:val="22"/>
              </w:rPr>
              <w:br/>
              <w:t>(0,7%)</w:t>
            </w:r>
          </w:p>
        </w:tc>
      </w:tr>
      <w:tr w:rsidR="00337111" w:rsidRPr="0063119B" w14:paraId="3C26550F" w14:textId="77777777" w:rsidTr="0044301C">
        <w:tc>
          <w:tcPr>
            <w:tcW w:w="3360" w:type="dxa"/>
          </w:tcPr>
          <w:p w14:paraId="2BE875A6" w14:textId="77777777" w:rsidR="00337111" w:rsidRPr="0063119B" w:rsidRDefault="00337111" w:rsidP="00DA6697">
            <w:pPr>
              <w:keepNext/>
              <w:spacing w:line="260" w:lineRule="exact"/>
              <w:rPr>
                <w:szCs w:val="22"/>
              </w:rPr>
            </w:pPr>
            <w:r w:rsidRPr="0063119B">
              <w:rPr>
                <w:szCs w:val="22"/>
              </w:rPr>
              <w:t xml:space="preserve">    EP e TVP sintomáticos</w:t>
            </w:r>
          </w:p>
        </w:tc>
        <w:tc>
          <w:tcPr>
            <w:tcW w:w="3120" w:type="dxa"/>
          </w:tcPr>
          <w:p w14:paraId="0FF61B87" w14:textId="77777777" w:rsidR="00337111" w:rsidRPr="0063119B" w:rsidRDefault="00337111" w:rsidP="00DA6697">
            <w:pPr>
              <w:keepNext/>
              <w:spacing w:line="260" w:lineRule="exact"/>
              <w:rPr>
                <w:szCs w:val="22"/>
              </w:rPr>
            </w:pPr>
            <w:r w:rsidRPr="0063119B">
              <w:rPr>
                <w:szCs w:val="22"/>
              </w:rPr>
              <w:t>0</w:t>
            </w:r>
          </w:p>
          <w:p w14:paraId="6F8AC2B0" w14:textId="77777777" w:rsidR="00337111" w:rsidRPr="0063119B" w:rsidRDefault="00337111" w:rsidP="00DA6697">
            <w:pPr>
              <w:keepNext/>
              <w:spacing w:line="260" w:lineRule="exact"/>
              <w:rPr>
                <w:szCs w:val="22"/>
              </w:rPr>
            </w:pPr>
          </w:p>
        </w:tc>
        <w:tc>
          <w:tcPr>
            <w:tcW w:w="2880" w:type="dxa"/>
            <w:gridSpan w:val="2"/>
          </w:tcPr>
          <w:p w14:paraId="395BC011" w14:textId="77777777" w:rsidR="00337111" w:rsidRPr="0063119B" w:rsidRDefault="00337111" w:rsidP="00DA6697">
            <w:pPr>
              <w:keepNext/>
              <w:spacing w:line="260" w:lineRule="exact"/>
              <w:rPr>
                <w:szCs w:val="22"/>
              </w:rPr>
            </w:pPr>
            <w:r w:rsidRPr="0063119B">
              <w:rPr>
                <w:szCs w:val="22"/>
              </w:rPr>
              <w:t>2</w:t>
            </w:r>
          </w:p>
          <w:p w14:paraId="0FE415D5" w14:textId="77777777" w:rsidR="00337111" w:rsidRPr="0063119B" w:rsidRDefault="00337111" w:rsidP="00DA6697">
            <w:pPr>
              <w:keepNext/>
              <w:spacing w:line="260" w:lineRule="exact"/>
              <w:rPr>
                <w:szCs w:val="22"/>
              </w:rPr>
            </w:pPr>
            <w:r w:rsidRPr="0063119B">
              <w:rPr>
                <w:szCs w:val="22"/>
              </w:rPr>
              <w:t>(&lt;0,1%)</w:t>
            </w:r>
          </w:p>
        </w:tc>
      </w:tr>
      <w:tr w:rsidR="00337111" w:rsidRPr="0063119B" w14:paraId="63EDA2EA" w14:textId="77777777" w:rsidTr="0044301C">
        <w:tc>
          <w:tcPr>
            <w:tcW w:w="3360" w:type="dxa"/>
          </w:tcPr>
          <w:p w14:paraId="259A01A2" w14:textId="77777777" w:rsidR="00337111" w:rsidRPr="0063119B" w:rsidRDefault="00337111" w:rsidP="0044301C">
            <w:pPr>
              <w:spacing w:line="260" w:lineRule="exact"/>
              <w:ind w:left="284" w:hanging="34"/>
              <w:rPr>
                <w:szCs w:val="22"/>
              </w:rPr>
            </w:pPr>
            <w:r w:rsidRPr="0063119B">
              <w:rPr>
                <w:szCs w:val="22"/>
              </w:rPr>
              <w:t>EP fatal/</w:t>
            </w:r>
            <w:r w:rsidR="004D7C05" w:rsidRPr="0063119B">
              <w:rPr>
                <w:szCs w:val="22"/>
              </w:rPr>
              <w:t>m</w:t>
            </w:r>
            <w:r w:rsidRPr="0063119B">
              <w:rPr>
                <w:szCs w:val="22"/>
              </w:rPr>
              <w:t>orte na qual não se pode excluir EP</w:t>
            </w:r>
          </w:p>
        </w:tc>
        <w:tc>
          <w:tcPr>
            <w:tcW w:w="3120" w:type="dxa"/>
          </w:tcPr>
          <w:p w14:paraId="203D6DE2" w14:textId="77777777" w:rsidR="00337111" w:rsidRPr="0063119B" w:rsidRDefault="00337111" w:rsidP="0044301C">
            <w:pPr>
              <w:spacing w:line="260" w:lineRule="exact"/>
              <w:rPr>
                <w:szCs w:val="22"/>
              </w:rPr>
            </w:pPr>
            <w:r w:rsidRPr="0063119B">
              <w:rPr>
                <w:szCs w:val="22"/>
              </w:rPr>
              <w:t>11</w:t>
            </w:r>
            <w:r w:rsidRPr="0063119B">
              <w:rPr>
                <w:szCs w:val="22"/>
              </w:rPr>
              <w:br/>
              <w:t>(0,5%)</w:t>
            </w:r>
          </w:p>
        </w:tc>
        <w:tc>
          <w:tcPr>
            <w:tcW w:w="2880" w:type="dxa"/>
            <w:gridSpan w:val="2"/>
          </w:tcPr>
          <w:p w14:paraId="6FAD3C42" w14:textId="77777777" w:rsidR="00337111" w:rsidRPr="0063119B" w:rsidRDefault="00337111" w:rsidP="0044301C">
            <w:pPr>
              <w:spacing w:line="260" w:lineRule="exact"/>
              <w:rPr>
                <w:szCs w:val="22"/>
              </w:rPr>
            </w:pPr>
            <w:r w:rsidRPr="0063119B">
              <w:rPr>
                <w:szCs w:val="22"/>
              </w:rPr>
              <w:t>7</w:t>
            </w:r>
            <w:r w:rsidRPr="0063119B">
              <w:rPr>
                <w:szCs w:val="22"/>
              </w:rPr>
              <w:br/>
              <w:t>(0,3%)</w:t>
            </w:r>
          </w:p>
        </w:tc>
      </w:tr>
      <w:tr w:rsidR="00337111" w:rsidRPr="0063119B" w14:paraId="35675E59" w14:textId="77777777" w:rsidTr="0044301C">
        <w:tc>
          <w:tcPr>
            <w:tcW w:w="3360" w:type="dxa"/>
          </w:tcPr>
          <w:p w14:paraId="2E8FDD6D" w14:textId="77777777" w:rsidR="00337111" w:rsidRPr="0063119B" w:rsidRDefault="00337111" w:rsidP="0044301C">
            <w:pPr>
              <w:spacing w:line="260" w:lineRule="exact"/>
              <w:rPr>
                <w:szCs w:val="22"/>
              </w:rPr>
            </w:pPr>
            <w:r w:rsidRPr="0063119B">
              <w:rPr>
                <w:szCs w:val="22"/>
              </w:rPr>
              <w:t>Hemorragia principal ou não principal clinicamente relevante</w:t>
            </w:r>
          </w:p>
        </w:tc>
        <w:tc>
          <w:tcPr>
            <w:tcW w:w="3120" w:type="dxa"/>
          </w:tcPr>
          <w:p w14:paraId="602E6015" w14:textId="77777777" w:rsidR="00337111" w:rsidRPr="0063119B" w:rsidRDefault="00337111" w:rsidP="0044301C">
            <w:pPr>
              <w:spacing w:line="260" w:lineRule="exact"/>
              <w:rPr>
                <w:szCs w:val="22"/>
              </w:rPr>
            </w:pPr>
            <w:r w:rsidRPr="0063119B">
              <w:rPr>
                <w:szCs w:val="22"/>
              </w:rPr>
              <w:t>249</w:t>
            </w:r>
            <w:r w:rsidRPr="0063119B">
              <w:rPr>
                <w:szCs w:val="22"/>
              </w:rPr>
              <w:br/>
              <w:t>(10,3%)</w:t>
            </w:r>
          </w:p>
        </w:tc>
        <w:tc>
          <w:tcPr>
            <w:tcW w:w="2880" w:type="dxa"/>
            <w:gridSpan w:val="2"/>
          </w:tcPr>
          <w:p w14:paraId="6E28FC63" w14:textId="77777777" w:rsidR="00337111" w:rsidRPr="0063119B" w:rsidRDefault="00337111" w:rsidP="0044301C">
            <w:pPr>
              <w:spacing w:line="260" w:lineRule="exact"/>
              <w:rPr>
                <w:szCs w:val="22"/>
              </w:rPr>
            </w:pPr>
            <w:r w:rsidRPr="0063119B">
              <w:rPr>
                <w:szCs w:val="22"/>
              </w:rPr>
              <w:t>274</w:t>
            </w:r>
            <w:r w:rsidRPr="0063119B">
              <w:rPr>
                <w:szCs w:val="22"/>
              </w:rPr>
              <w:br/>
              <w:t>(11,4%)</w:t>
            </w:r>
          </w:p>
        </w:tc>
      </w:tr>
      <w:tr w:rsidR="00337111" w:rsidRPr="0063119B" w14:paraId="630FD8FC" w14:textId="77777777" w:rsidTr="0044301C">
        <w:tc>
          <w:tcPr>
            <w:tcW w:w="3360" w:type="dxa"/>
          </w:tcPr>
          <w:p w14:paraId="599B43E3" w14:textId="77777777" w:rsidR="00337111" w:rsidRPr="0063119B" w:rsidRDefault="00337111" w:rsidP="0044301C">
            <w:pPr>
              <w:spacing w:line="260" w:lineRule="exact"/>
              <w:rPr>
                <w:szCs w:val="22"/>
              </w:rPr>
            </w:pPr>
            <w:r w:rsidRPr="0063119B">
              <w:rPr>
                <w:szCs w:val="22"/>
              </w:rPr>
              <w:t>Acontecimentos hemorrágicos principais</w:t>
            </w:r>
          </w:p>
        </w:tc>
        <w:tc>
          <w:tcPr>
            <w:tcW w:w="3120" w:type="dxa"/>
          </w:tcPr>
          <w:p w14:paraId="34884736" w14:textId="77777777" w:rsidR="00337111" w:rsidRPr="0063119B" w:rsidRDefault="00337111" w:rsidP="0044301C">
            <w:pPr>
              <w:spacing w:line="260" w:lineRule="exact"/>
              <w:rPr>
                <w:szCs w:val="22"/>
              </w:rPr>
            </w:pPr>
            <w:r w:rsidRPr="0063119B">
              <w:rPr>
                <w:szCs w:val="22"/>
              </w:rPr>
              <w:t>26</w:t>
            </w:r>
            <w:r w:rsidRPr="0063119B">
              <w:rPr>
                <w:szCs w:val="22"/>
              </w:rPr>
              <w:br/>
              <w:t>(1,1%)</w:t>
            </w:r>
          </w:p>
        </w:tc>
        <w:tc>
          <w:tcPr>
            <w:tcW w:w="2880" w:type="dxa"/>
            <w:gridSpan w:val="2"/>
          </w:tcPr>
          <w:p w14:paraId="6B20C419" w14:textId="77777777" w:rsidR="00337111" w:rsidRPr="0063119B" w:rsidRDefault="00337111" w:rsidP="0044301C">
            <w:pPr>
              <w:spacing w:line="260" w:lineRule="exact"/>
              <w:rPr>
                <w:szCs w:val="22"/>
              </w:rPr>
            </w:pPr>
            <w:r w:rsidRPr="0063119B">
              <w:rPr>
                <w:szCs w:val="22"/>
              </w:rPr>
              <w:t>52</w:t>
            </w:r>
            <w:r w:rsidRPr="0063119B">
              <w:rPr>
                <w:szCs w:val="22"/>
              </w:rPr>
              <w:br/>
              <w:t>(2,2%)</w:t>
            </w:r>
          </w:p>
        </w:tc>
      </w:tr>
      <w:tr w:rsidR="00337111" w:rsidRPr="0063119B" w14:paraId="3A5AC185" w14:textId="77777777" w:rsidTr="0044301C">
        <w:trPr>
          <w:gridAfter w:val="1"/>
          <w:wAfter w:w="230" w:type="dxa"/>
        </w:trPr>
        <w:tc>
          <w:tcPr>
            <w:tcW w:w="9200" w:type="dxa"/>
            <w:gridSpan w:val="3"/>
            <w:tcBorders>
              <w:top w:val="nil"/>
              <w:left w:val="nil"/>
              <w:bottom w:val="nil"/>
              <w:right w:val="nil"/>
            </w:tcBorders>
          </w:tcPr>
          <w:p w14:paraId="72041695" w14:textId="77777777" w:rsidR="00337111" w:rsidRPr="0063119B" w:rsidRDefault="00337111" w:rsidP="0044301C">
            <w:pPr>
              <w:tabs>
                <w:tab w:val="left" w:pos="567"/>
              </w:tabs>
              <w:rPr>
                <w:szCs w:val="22"/>
              </w:rPr>
            </w:pPr>
            <w:r w:rsidRPr="0063119B">
              <w:rPr>
                <w:szCs w:val="22"/>
              </w:rPr>
              <w:t>a)</w:t>
            </w:r>
            <w:r w:rsidRPr="0063119B">
              <w:rPr>
                <w:szCs w:val="22"/>
              </w:rPr>
              <w:tab/>
              <w:t>Rivaroxabano 15 mg duas vezes por dia durante 3 semanas seguido de 20 mg uma vez por dia</w:t>
            </w:r>
          </w:p>
          <w:p w14:paraId="21E34692" w14:textId="77777777" w:rsidR="00337111" w:rsidRPr="0063119B" w:rsidRDefault="00337111" w:rsidP="0044301C">
            <w:pPr>
              <w:tabs>
                <w:tab w:val="left" w:pos="567"/>
              </w:tabs>
              <w:ind w:left="567" w:hanging="567"/>
              <w:rPr>
                <w:szCs w:val="22"/>
              </w:rPr>
            </w:pPr>
            <w:r w:rsidRPr="0063119B">
              <w:rPr>
                <w:szCs w:val="22"/>
              </w:rPr>
              <w:t>b)</w:t>
            </w:r>
            <w:r w:rsidRPr="0063119B">
              <w:rPr>
                <w:szCs w:val="22"/>
              </w:rPr>
              <w:tab/>
              <w:t>Enoxaparina durante pelo menos 5 dias, sobreposta com e seguida de AVK</w:t>
            </w:r>
          </w:p>
          <w:p w14:paraId="27170D02" w14:textId="77777777" w:rsidR="00337111" w:rsidRPr="0063119B" w:rsidRDefault="00337111" w:rsidP="004D7C05">
            <w:pPr>
              <w:tabs>
                <w:tab w:val="left" w:pos="567"/>
              </w:tabs>
              <w:ind w:left="567" w:hanging="567"/>
              <w:rPr>
                <w:vanish/>
                <w:szCs w:val="22"/>
              </w:rPr>
            </w:pPr>
            <w:r w:rsidRPr="0063119B">
              <w:rPr>
                <w:b/>
                <w:szCs w:val="22"/>
              </w:rPr>
              <w:t>*</w:t>
            </w:r>
            <w:r w:rsidRPr="0063119B">
              <w:rPr>
                <w:szCs w:val="22"/>
              </w:rPr>
              <w:tab/>
              <w:t xml:space="preserve">p &lt; 0,0026 (não inferioridade para uma </w:t>
            </w:r>
            <w:r w:rsidR="004D7C05" w:rsidRPr="0063119B">
              <w:rPr>
                <w:szCs w:val="22"/>
              </w:rPr>
              <w:t>RR</w:t>
            </w:r>
            <w:r w:rsidRPr="0063119B">
              <w:rPr>
                <w:szCs w:val="22"/>
              </w:rPr>
              <w:t xml:space="preserve"> pré-especificada de 2,0); </w:t>
            </w:r>
            <w:r w:rsidR="004D7C05" w:rsidRPr="0063119B">
              <w:rPr>
                <w:szCs w:val="22"/>
              </w:rPr>
              <w:t>RR</w:t>
            </w:r>
            <w:r w:rsidRPr="0063119B">
              <w:rPr>
                <w:szCs w:val="22"/>
              </w:rPr>
              <w:t>: 1,123 (0,749 </w:t>
            </w:r>
            <w:r w:rsidRPr="0063119B">
              <w:rPr>
                <w:szCs w:val="22"/>
              </w:rPr>
              <w:noBreakHyphen/>
              <w:t> 1,624)</w:t>
            </w:r>
          </w:p>
        </w:tc>
      </w:tr>
    </w:tbl>
    <w:p w14:paraId="46BEE335" w14:textId="77777777" w:rsidR="00337111" w:rsidRPr="0063119B" w:rsidRDefault="00337111" w:rsidP="00337111">
      <w:pPr>
        <w:pStyle w:val="Default"/>
        <w:rPr>
          <w:color w:val="auto"/>
          <w:sz w:val="22"/>
          <w:szCs w:val="22"/>
          <w:lang w:val="pt-PT"/>
        </w:rPr>
      </w:pPr>
    </w:p>
    <w:p w14:paraId="241F4491" w14:textId="77777777" w:rsidR="00337111" w:rsidRPr="0063119B" w:rsidRDefault="00337111" w:rsidP="001F10F8">
      <w:pPr>
        <w:pStyle w:val="Default"/>
        <w:keepNext/>
        <w:keepLines/>
        <w:rPr>
          <w:color w:val="auto"/>
          <w:sz w:val="22"/>
          <w:szCs w:val="22"/>
          <w:lang w:val="pt-PT"/>
        </w:rPr>
      </w:pPr>
      <w:r w:rsidRPr="0063119B">
        <w:rPr>
          <w:color w:val="auto"/>
          <w:sz w:val="22"/>
          <w:szCs w:val="22"/>
          <w:lang w:val="pt-PT"/>
        </w:rPr>
        <w:t>Foi realizada uma análise agrupada pré-especificada do resultado dos estudos Einstein DVT e PE (ver Quadro</w:t>
      </w:r>
      <w:r w:rsidR="00E67357" w:rsidRPr="0063119B">
        <w:rPr>
          <w:color w:val="auto"/>
          <w:sz w:val="22"/>
          <w:szCs w:val="22"/>
          <w:lang w:val="pt-PT"/>
        </w:rPr>
        <w:t> 8</w:t>
      </w:r>
      <w:r w:rsidRPr="0063119B">
        <w:rPr>
          <w:color w:val="auto"/>
          <w:sz w:val="22"/>
          <w:szCs w:val="22"/>
          <w:lang w:val="pt-PT"/>
        </w:rPr>
        <w:t>).</w:t>
      </w:r>
    </w:p>
    <w:p w14:paraId="5E96401F" w14:textId="77777777" w:rsidR="00337111" w:rsidRPr="0063119B" w:rsidRDefault="00337111" w:rsidP="001F10F8">
      <w:pPr>
        <w:pStyle w:val="Default"/>
        <w:keepNext/>
        <w:keepLines/>
        <w:rPr>
          <w:color w:val="auto"/>
          <w:sz w:val="22"/>
          <w:szCs w:val="22"/>
          <w:lang w:val="pt-PT"/>
        </w:rPr>
      </w:pPr>
    </w:p>
    <w:p w14:paraId="4526D01C" w14:textId="77777777" w:rsidR="00337111" w:rsidRPr="0063119B" w:rsidRDefault="00337111" w:rsidP="001F10F8">
      <w:pPr>
        <w:pStyle w:val="Default"/>
        <w:keepNext/>
        <w:keepLines/>
        <w:rPr>
          <w:b/>
          <w:color w:val="auto"/>
          <w:sz w:val="22"/>
          <w:szCs w:val="22"/>
          <w:lang w:val="pt-PT"/>
        </w:rPr>
      </w:pPr>
      <w:r w:rsidRPr="0063119B">
        <w:rPr>
          <w:b/>
          <w:color w:val="auto"/>
          <w:sz w:val="22"/>
          <w:szCs w:val="22"/>
          <w:lang w:val="pt-PT"/>
        </w:rPr>
        <w:t>Quadro </w:t>
      </w:r>
      <w:r w:rsidR="00E67357" w:rsidRPr="0063119B">
        <w:rPr>
          <w:b/>
          <w:color w:val="auto"/>
          <w:sz w:val="22"/>
          <w:szCs w:val="22"/>
          <w:lang w:val="pt-PT"/>
        </w:rPr>
        <w:t>8</w:t>
      </w:r>
      <w:r w:rsidRPr="0063119B">
        <w:rPr>
          <w:b/>
          <w:color w:val="auto"/>
          <w:sz w:val="22"/>
          <w:szCs w:val="22"/>
          <w:lang w:val="pt-PT"/>
        </w:rPr>
        <w:t>: Resultados de eficácia e segurança da análise agrupada do estudos de fase III Einstein DVT e Einstein PE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20"/>
        <w:gridCol w:w="230"/>
      </w:tblGrid>
      <w:tr w:rsidR="00337111" w:rsidRPr="0063119B" w14:paraId="1C546523" w14:textId="77777777" w:rsidTr="0044301C">
        <w:tc>
          <w:tcPr>
            <w:tcW w:w="3360" w:type="dxa"/>
          </w:tcPr>
          <w:p w14:paraId="7D0A9CC2" w14:textId="77777777" w:rsidR="00337111" w:rsidRPr="0063119B" w:rsidRDefault="00337111" w:rsidP="001F10F8">
            <w:pPr>
              <w:keepNext/>
              <w:keepLines/>
              <w:rPr>
                <w:b/>
                <w:bCs/>
                <w:szCs w:val="22"/>
              </w:rPr>
            </w:pPr>
            <w:r w:rsidRPr="0063119B">
              <w:rPr>
                <w:b/>
                <w:bCs/>
                <w:szCs w:val="22"/>
              </w:rPr>
              <w:t>População do estudo</w:t>
            </w:r>
          </w:p>
        </w:tc>
        <w:tc>
          <w:tcPr>
            <w:tcW w:w="6000" w:type="dxa"/>
            <w:gridSpan w:val="3"/>
          </w:tcPr>
          <w:p w14:paraId="1B2CAF79" w14:textId="77777777" w:rsidR="00337111" w:rsidRPr="0063119B" w:rsidRDefault="00337111" w:rsidP="001F10F8">
            <w:pPr>
              <w:keepNext/>
              <w:keepLines/>
              <w:rPr>
                <w:b/>
                <w:bCs/>
                <w:szCs w:val="22"/>
              </w:rPr>
            </w:pPr>
            <w:r w:rsidRPr="0063119B">
              <w:rPr>
                <w:b/>
                <w:bCs/>
                <w:szCs w:val="22"/>
              </w:rPr>
              <w:t>8.281 doentes com TVP sintomática aguda ou EP</w:t>
            </w:r>
          </w:p>
        </w:tc>
      </w:tr>
      <w:tr w:rsidR="00337111" w:rsidRPr="0063119B" w14:paraId="4F43DE09" w14:textId="77777777" w:rsidTr="0044301C">
        <w:tc>
          <w:tcPr>
            <w:tcW w:w="3360" w:type="dxa"/>
            <w:vAlign w:val="center"/>
          </w:tcPr>
          <w:p w14:paraId="6CB8C1AF" w14:textId="77777777" w:rsidR="00337111" w:rsidRPr="0063119B" w:rsidRDefault="00337111" w:rsidP="001F10F8">
            <w:pPr>
              <w:keepNext/>
              <w:keepLines/>
              <w:spacing w:line="260" w:lineRule="exact"/>
              <w:rPr>
                <w:b/>
                <w:bCs/>
                <w:szCs w:val="22"/>
              </w:rPr>
            </w:pPr>
            <w:r w:rsidRPr="0063119B">
              <w:rPr>
                <w:b/>
                <w:bCs/>
                <w:szCs w:val="22"/>
              </w:rPr>
              <w:t>Doses e duração do tratamento</w:t>
            </w:r>
          </w:p>
        </w:tc>
        <w:tc>
          <w:tcPr>
            <w:tcW w:w="3120" w:type="dxa"/>
          </w:tcPr>
          <w:p w14:paraId="06EB4BD7" w14:textId="77777777" w:rsidR="00337111" w:rsidRPr="0063119B" w:rsidRDefault="00DB6C0E" w:rsidP="001F10F8">
            <w:pPr>
              <w:keepNext/>
              <w:keepLines/>
              <w:spacing w:line="260" w:lineRule="exact"/>
              <w:rPr>
                <w:b/>
                <w:bCs/>
                <w:szCs w:val="22"/>
                <w:vertAlign w:val="superscript"/>
              </w:rPr>
            </w:pPr>
            <w:r w:rsidRPr="0063119B">
              <w:rPr>
                <w:b/>
                <w:bCs/>
                <w:szCs w:val="22"/>
              </w:rPr>
              <w:t>Rivaroxabano</w:t>
            </w:r>
            <w:r w:rsidR="00337111" w:rsidRPr="0063119B">
              <w:rPr>
                <w:b/>
                <w:bCs/>
                <w:szCs w:val="22"/>
                <w:vertAlign w:val="superscript"/>
              </w:rPr>
              <w:t>a</w:t>
            </w:r>
            <w:r w:rsidR="003C7BD6" w:rsidRPr="0063119B">
              <w:rPr>
                <w:b/>
                <w:bCs/>
                <w:szCs w:val="22"/>
                <w:vertAlign w:val="superscript"/>
              </w:rPr>
              <w:t>)</w:t>
            </w:r>
          </w:p>
          <w:p w14:paraId="0BC934ED" w14:textId="77777777" w:rsidR="00337111" w:rsidRPr="0063119B" w:rsidRDefault="00337111" w:rsidP="001F10F8">
            <w:pPr>
              <w:keepNext/>
              <w:keepLines/>
              <w:spacing w:line="260" w:lineRule="exact"/>
              <w:rPr>
                <w:b/>
                <w:bCs/>
                <w:szCs w:val="22"/>
              </w:rPr>
            </w:pPr>
            <w:r w:rsidRPr="0063119B">
              <w:rPr>
                <w:b/>
                <w:bCs/>
                <w:szCs w:val="22"/>
              </w:rPr>
              <w:t>3, 6 ou 12 meses</w:t>
            </w:r>
          </w:p>
          <w:p w14:paraId="410015F4" w14:textId="77777777" w:rsidR="00337111" w:rsidRPr="0063119B" w:rsidRDefault="00337111" w:rsidP="001F10F8">
            <w:pPr>
              <w:keepNext/>
              <w:keepLines/>
              <w:spacing w:line="260" w:lineRule="exact"/>
              <w:rPr>
                <w:b/>
                <w:bCs/>
                <w:szCs w:val="22"/>
              </w:rPr>
            </w:pPr>
            <w:r w:rsidRPr="0063119B">
              <w:rPr>
                <w:b/>
                <w:bCs/>
                <w:szCs w:val="22"/>
              </w:rPr>
              <w:t>N=4.150</w:t>
            </w:r>
          </w:p>
        </w:tc>
        <w:tc>
          <w:tcPr>
            <w:tcW w:w="2880" w:type="dxa"/>
            <w:gridSpan w:val="2"/>
          </w:tcPr>
          <w:p w14:paraId="3B5711C6" w14:textId="77777777" w:rsidR="00337111" w:rsidRPr="0063119B" w:rsidRDefault="00337111" w:rsidP="001F10F8">
            <w:pPr>
              <w:keepNext/>
              <w:keepLines/>
              <w:spacing w:line="260" w:lineRule="exact"/>
              <w:rPr>
                <w:b/>
                <w:bCs/>
                <w:szCs w:val="22"/>
              </w:rPr>
            </w:pPr>
            <w:r w:rsidRPr="0063119B">
              <w:rPr>
                <w:b/>
                <w:bCs/>
                <w:szCs w:val="22"/>
              </w:rPr>
              <w:t>Enoxaparina/AVK</w:t>
            </w:r>
            <w:r w:rsidRPr="0063119B">
              <w:rPr>
                <w:b/>
                <w:bCs/>
                <w:szCs w:val="22"/>
                <w:vertAlign w:val="superscript"/>
              </w:rPr>
              <w:t>b</w:t>
            </w:r>
            <w:r w:rsidR="003C7BD6" w:rsidRPr="0063119B">
              <w:rPr>
                <w:b/>
                <w:bCs/>
                <w:szCs w:val="22"/>
                <w:vertAlign w:val="superscript"/>
              </w:rPr>
              <w:t>)</w:t>
            </w:r>
          </w:p>
          <w:p w14:paraId="1651B47F" w14:textId="77777777" w:rsidR="00337111" w:rsidRPr="0063119B" w:rsidRDefault="00337111" w:rsidP="001F10F8">
            <w:pPr>
              <w:keepNext/>
              <w:keepLines/>
              <w:spacing w:line="260" w:lineRule="exact"/>
              <w:rPr>
                <w:b/>
                <w:bCs/>
                <w:szCs w:val="22"/>
              </w:rPr>
            </w:pPr>
            <w:r w:rsidRPr="0063119B">
              <w:rPr>
                <w:b/>
                <w:bCs/>
                <w:szCs w:val="22"/>
              </w:rPr>
              <w:t>3, 6 ou 12 meses</w:t>
            </w:r>
          </w:p>
          <w:p w14:paraId="57861E43" w14:textId="77777777" w:rsidR="00337111" w:rsidRPr="0063119B" w:rsidRDefault="00337111" w:rsidP="001F10F8">
            <w:pPr>
              <w:keepNext/>
              <w:keepLines/>
              <w:spacing w:line="260" w:lineRule="exact"/>
              <w:rPr>
                <w:b/>
                <w:bCs/>
                <w:szCs w:val="22"/>
              </w:rPr>
            </w:pPr>
            <w:r w:rsidRPr="0063119B">
              <w:rPr>
                <w:b/>
                <w:bCs/>
                <w:szCs w:val="22"/>
              </w:rPr>
              <w:t>N=4.131</w:t>
            </w:r>
          </w:p>
        </w:tc>
      </w:tr>
      <w:tr w:rsidR="00337111" w:rsidRPr="0063119B" w14:paraId="264990C8" w14:textId="77777777" w:rsidTr="0044301C">
        <w:tc>
          <w:tcPr>
            <w:tcW w:w="3360" w:type="dxa"/>
          </w:tcPr>
          <w:p w14:paraId="79A9D61C" w14:textId="77777777" w:rsidR="00337111" w:rsidRPr="0063119B" w:rsidRDefault="00337111" w:rsidP="001F10F8">
            <w:pPr>
              <w:keepNext/>
              <w:keepLines/>
              <w:spacing w:line="260" w:lineRule="exact"/>
              <w:rPr>
                <w:szCs w:val="22"/>
              </w:rPr>
            </w:pPr>
            <w:r w:rsidRPr="0063119B">
              <w:rPr>
                <w:szCs w:val="22"/>
              </w:rPr>
              <w:t>TEV sintomático recorrente*</w:t>
            </w:r>
          </w:p>
        </w:tc>
        <w:tc>
          <w:tcPr>
            <w:tcW w:w="3120" w:type="dxa"/>
          </w:tcPr>
          <w:p w14:paraId="0387DE05" w14:textId="77777777" w:rsidR="00337111" w:rsidRPr="0063119B" w:rsidRDefault="00337111" w:rsidP="001F10F8">
            <w:pPr>
              <w:keepNext/>
              <w:keepLines/>
              <w:spacing w:line="260" w:lineRule="exact"/>
              <w:rPr>
                <w:szCs w:val="22"/>
              </w:rPr>
            </w:pPr>
            <w:r w:rsidRPr="0063119B">
              <w:rPr>
                <w:szCs w:val="22"/>
              </w:rPr>
              <w:t>86</w:t>
            </w:r>
            <w:r w:rsidRPr="0063119B">
              <w:rPr>
                <w:szCs w:val="22"/>
              </w:rPr>
              <w:br/>
              <w:t>(2,1%)</w:t>
            </w:r>
          </w:p>
        </w:tc>
        <w:tc>
          <w:tcPr>
            <w:tcW w:w="2880" w:type="dxa"/>
            <w:gridSpan w:val="2"/>
          </w:tcPr>
          <w:p w14:paraId="0E5D2463" w14:textId="77777777" w:rsidR="00337111" w:rsidRPr="0063119B" w:rsidRDefault="00337111" w:rsidP="001F10F8">
            <w:pPr>
              <w:keepNext/>
              <w:keepLines/>
              <w:spacing w:line="260" w:lineRule="exact"/>
              <w:rPr>
                <w:szCs w:val="22"/>
              </w:rPr>
            </w:pPr>
            <w:r w:rsidRPr="0063119B">
              <w:rPr>
                <w:szCs w:val="22"/>
              </w:rPr>
              <w:t>95</w:t>
            </w:r>
            <w:r w:rsidRPr="0063119B">
              <w:rPr>
                <w:szCs w:val="22"/>
              </w:rPr>
              <w:br/>
              <w:t>(2,3%)</w:t>
            </w:r>
          </w:p>
        </w:tc>
      </w:tr>
      <w:tr w:rsidR="00337111" w:rsidRPr="0063119B" w14:paraId="1F382198" w14:textId="77777777" w:rsidTr="0044301C">
        <w:tc>
          <w:tcPr>
            <w:tcW w:w="3360" w:type="dxa"/>
          </w:tcPr>
          <w:p w14:paraId="6F43FF93" w14:textId="77777777" w:rsidR="00337111" w:rsidRPr="0063119B" w:rsidRDefault="00337111" w:rsidP="001F10F8">
            <w:pPr>
              <w:keepNext/>
              <w:keepLines/>
              <w:spacing w:line="260" w:lineRule="exact"/>
              <w:rPr>
                <w:szCs w:val="22"/>
              </w:rPr>
            </w:pPr>
            <w:r w:rsidRPr="0063119B">
              <w:rPr>
                <w:szCs w:val="22"/>
              </w:rPr>
              <w:t xml:space="preserve">     EP sintomático recorrente</w:t>
            </w:r>
          </w:p>
        </w:tc>
        <w:tc>
          <w:tcPr>
            <w:tcW w:w="3120" w:type="dxa"/>
          </w:tcPr>
          <w:p w14:paraId="1EB0B014" w14:textId="77777777" w:rsidR="00337111" w:rsidRPr="0063119B" w:rsidRDefault="00337111" w:rsidP="001F10F8">
            <w:pPr>
              <w:keepNext/>
              <w:keepLines/>
              <w:spacing w:line="260" w:lineRule="exact"/>
              <w:rPr>
                <w:szCs w:val="22"/>
              </w:rPr>
            </w:pPr>
            <w:r w:rsidRPr="0063119B">
              <w:rPr>
                <w:szCs w:val="22"/>
              </w:rPr>
              <w:t>43</w:t>
            </w:r>
            <w:r w:rsidRPr="0063119B">
              <w:rPr>
                <w:szCs w:val="22"/>
              </w:rPr>
              <w:br/>
              <w:t>(1,0%)</w:t>
            </w:r>
          </w:p>
        </w:tc>
        <w:tc>
          <w:tcPr>
            <w:tcW w:w="2880" w:type="dxa"/>
            <w:gridSpan w:val="2"/>
          </w:tcPr>
          <w:p w14:paraId="7B5FA489" w14:textId="77777777" w:rsidR="00337111" w:rsidRPr="0063119B" w:rsidRDefault="00337111" w:rsidP="001F10F8">
            <w:pPr>
              <w:keepNext/>
              <w:keepLines/>
              <w:spacing w:line="260" w:lineRule="exact"/>
              <w:rPr>
                <w:szCs w:val="22"/>
              </w:rPr>
            </w:pPr>
            <w:r w:rsidRPr="0063119B">
              <w:rPr>
                <w:szCs w:val="22"/>
              </w:rPr>
              <w:t>38</w:t>
            </w:r>
            <w:r w:rsidRPr="0063119B">
              <w:rPr>
                <w:szCs w:val="22"/>
              </w:rPr>
              <w:br/>
              <w:t>(0,9%)</w:t>
            </w:r>
          </w:p>
        </w:tc>
      </w:tr>
      <w:tr w:rsidR="00337111" w:rsidRPr="0063119B" w14:paraId="7BBC0D0F" w14:textId="77777777" w:rsidTr="0044301C">
        <w:tc>
          <w:tcPr>
            <w:tcW w:w="3360" w:type="dxa"/>
          </w:tcPr>
          <w:p w14:paraId="476D8794" w14:textId="77777777" w:rsidR="00337111" w:rsidRPr="0063119B" w:rsidRDefault="00337111" w:rsidP="001F10F8">
            <w:pPr>
              <w:keepNext/>
              <w:keepLines/>
              <w:spacing w:line="260" w:lineRule="exact"/>
              <w:rPr>
                <w:szCs w:val="22"/>
              </w:rPr>
            </w:pPr>
            <w:r w:rsidRPr="0063119B">
              <w:rPr>
                <w:szCs w:val="22"/>
              </w:rPr>
              <w:t xml:space="preserve">     TVP sintomática recorrente</w:t>
            </w:r>
          </w:p>
        </w:tc>
        <w:tc>
          <w:tcPr>
            <w:tcW w:w="3120" w:type="dxa"/>
          </w:tcPr>
          <w:p w14:paraId="4FF71DEB" w14:textId="77777777" w:rsidR="00337111" w:rsidRPr="0063119B" w:rsidRDefault="00337111" w:rsidP="001F10F8">
            <w:pPr>
              <w:keepNext/>
              <w:keepLines/>
              <w:spacing w:line="260" w:lineRule="exact"/>
              <w:rPr>
                <w:szCs w:val="22"/>
              </w:rPr>
            </w:pPr>
            <w:r w:rsidRPr="0063119B">
              <w:rPr>
                <w:szCs w:val="22"/>
              </w:rPr>
              <w:t>32</w:t>
            </w:r>
            <w:r w:rsidRPr="0063119B">
              <w:rPr>
                <w:szCs w:val="22"/>
              </w:rPr>
              <w:br/>
              <w:t>(0,8%)</w:t>
            </w:r>
          </w:p>
        </w:tc>
        <w:tc>
          <w:tcPr>
            <w:tcW w:w="2880" w:type="dxa"/>
            <w:gridSpan w:val="2"/>
          </w:tcPr>
          <w:p w14:paraId="5643A274" w14:textId="77777777" w:rsidR="00337111" w:rsidRPr="0063119B" w:rsidRDefault="00337111" w:rsidP="001F10F8">
            <w:pPr>
              <w:keepNext/>
              <w:keepLines/>
              <w:spacing w:line="260" w:lineRule="exact"/>
              <w:rPr>
                <w:szCs w:val="22"/>
              </w:rPr>
            </w:pPr>
            <w:r w:rsidRPr="0063119B">
              <w:rPr>
                <w:szCs w:val="22"/>
              </w:rPr>
              <w:t>45</w:t>
            </w:r>
            <w:r w:rsidRPr="0063119B">
              <w:rPr>
                <w:szCs w:val="22"/>
              </w:rPr>
              <w:br/>
              <w:t>(1,1%)</w:t>
            </w:r>
          </w:p>
        </w:tc>
      </w:tr>
      <w:tr w:rsidR="00337111" w:rsidRPr="0063119B" w14:paraId="55BBF306" w14:textId="77777777" w:rsidTr="0044301C">
        <w:tc>
          <w:tcPr>
            <w:tcW w:w="3360" w:type="dxa"/>
          </w:tcPr>
          <w:p w14:paraId="784DFF3E" w14:textId="77777777" w:rsidR="00337111" w:rsidRPr="0063119B" w:rsidRDefault="00337111" w:rsidP="001F10F8">
            <w:pPr>
              <w:keepNext/>
              <w:keepLines/>
              <w:spacing w:line="260" w:lineRule="exact"/>
              <w:rPr>
                <w:szCs w:val="22"/>
              </w:rPr>
            </w:pPr>
            <w:r w:rsidRPr="0063119B">
              <w:rPr>
                <w:szCs w:val="22"/>
              </w:rPr>
              <w:t xml:space="preserve">     EP e TVP sintomáticos</w:t>
            </w:r>
          </w:p>
        </w:tc>
        <w:tc>
          <w:tcPr>
            <w:tcW w:w="3120" w:type="dxa"/>
          </w:tcPr>
          <w:p w14:paraId="6345E508" w14:textId="77777777" w:rsidR="00337111" w:rsidRPr="0063119B" w:rsidRDefault="00337111" w:rsidP="001F10F8">
            <w:pPr>
              <w:keepNext/>
              <w:keepLines/>
              <w:spacing w:line="260" w:lineRule="exact"/>
              <w:rPr>
                <w:szCs w:val="22"/>
              </w:rPr>
            </w:pPr>
            <w:r w:rsidRPr="0063119B">
              <w:rPr>
                <w:szCs w:val="22"/>
              </w:rPr>
              <w:t>1</w:t>
            </w:r>
          </w:p>
          <w:p w14:paraId="0B705953" w14:textId="77777777" w:rsidR="00337111" w:rsidRPr="0063119B" w:rsidRDefault="00337111" w:rsidP="001F10F8">
            <w:pPr>
              <w:keepNext/>
              <w:keepLines/>
              <w:spacing w:line="260" w:lineRule="exact"/>
              <w:rPr>
                <w:szCs w:val="22"/>
              </w:rPr>
            </w:pPr>
            <w:r w:rsidRPr="0063119B">
              <w:rPr>
                <w:szCs w:val="22"/>
              </w:rPr>
              <w:t>(&lt;0,1%)</w:t>
            </w:r>
          </w:p>
        </w:tc>
        <w:tc>
          <w:tcPr>
            <w:tcW w:w="2880" w:type="dxa"/>
            <w:gridSpan w:val="2"/>
          </w:tcPr>
          <w:p w14:paraId="701F6A77" w14:textId="77777777" w:rsidR="00337111" w:rsidRPr="0063119B" w:rsidRDefault="00337111" w:rsidP="001F10F8">
            <w:pPr>
              <w:keepNext/>
              <w:keepLines/>
              <w:spacing w:line="260" w:lineRule="exact"/>
              <w:rPr>
                <w:szCs w:val="22"/>
              </w:rPr>
            </w:pPr>
            <w:r w:rsidRPr="0063119B">
              <w:rPr>
                <w:szCs w:val="22"/>
              </w:rPr>
              <w:t>2</w:t>
            </w:r>
          </w:p>
          <w:p w14:paraId="0044429B" w14:textId="77777777" w:rsidR="00337111" w:rsidRPr="0063119B" w:rsidRDefault="00337111" w:rsidP="001F10F8">
            <w:pPr>
              <w:keepNext/>
              <w:keepLines/>
              <w:spacing w:line="260" w:lineRule="exact"/>
              <w:rPr>
                <w:szCs w:val="22"/>
              </w:rPr>
            </w:pPr>
            <w:r w:rsidRPr="0063119B">
              <w:rPr>
                <w:szCs w:val="22"/>
              </w:rPr>
              <w:t>(&lt;0,1%)</w:t>
            </w:r>
          </w:p>
        </w:tc>
      </w:tr>
      <w:tr w:rsidR="00337111" w:rsidRPr="0063119B" w14:paraId="05AC0528" w14:textId="77777777" w:rsidTr="0044301C">
        <w:tc>
          <w:tcPr>
            <w:tcW w:w="3360" w:type="dxa"/>
          </w:tcPr>
          <w:p w14:paraId="2667084C" w14:textId="77777777" w:rsidR="00337111" w:rsidRPr="0063119B" w:rsidRDefault="00337111" w:rsidP="001F10F8">
            <w:pPr>
              <w:keepNext/>
              <w:keepLines/>
              <w:spacing w:line="260" w:lineRule="exact"/>
              <w:ind w:left="284" w:hanging="34"/>
              <w:rPr>
                <w:szCs w:val="22"/>
              </w:rPr>
            </w:pPr>
            <w:r w:rsidRPr="0063119B">
              <w:rPr>
                <w:szCs w:val="22"/>
              </w:rPr>
              <w:t>EP fatal/</w:t>
            </w:r>
            <w:r w:rsidR="004D7C05" w:rsidRPr="0063119B">
              <w:rPr>
                <w:szCs w:val="22"/>
              </w:rPr>
              <w:t>m</w:t>
            </w:r>
            <w:r w:rsidRPr="0063119B">
              <w:rPr>
                <w:szCs w:val="22"/>
              </w:rPr>
              <w:t>orte na qual não se pode excluir EP</w:t>
            </w:r>
          </w:p>
        </w:tc>
        <w:tc>
          <w:tcPr>
            <w:tcW w:w="3120" w:type="dxa"/>
          </w:tcPr>
          <w:p w14:paraId="59B608AD" w14:textId="77777777" w:rsidR="00337111" w:rsidRPr="0063119B" w:rsidRDefault="00337111" w:rsidP="001F10F8">
            <w:pPr>
              <w:keepNext/>
              <w:keepLines/>
              <w:spacing w:line="260" w:lineRule="exact"/>
              <w:rPr>
                <w:szCs w:val="22"/>
              </w:rPr>
            </w:pPr>
            <w:r w:rsidRPr="0063119B">
              <w:rPr>
                <w:szCs w:val="22"/>
              </w:rPr>
              <w:t>15</w:t>
            </w:r>
            <w:r w:rsidRPr="0063119B">
              <w:rPr>
                <w:szCs w:val="22"/>
              </w:rPr>
              <w:br/>
              <w:t>(0,4%)</w:t>
            </w:r>
          </w:p>
        </w:tc>
        <w:tc>
          <w:tcPr>
            <w:tcW w:w="2880" w:type="dxa"/>
            <w:gridSpan w:val="2"/>
          </w:tcPr>
          <w:p w14:paraId="3777B01C" w14:textId="77777777" w:rsidR="00337111" w:rsidRPr="0063119B" w:rsidRDefault="00337111" w:rsidP="001F10F8">
            <w:pPr>
              <w:keepNext/>
              <w:keepLines/>
              <w:spacing w:line="260" w:lineRule="exact"/>
              <w:rPr>
                <w:szCs w:val="22"/>
              </w:rPr>
            </w:pPr>
            <w:r w:rsidRPr="0063119B">
              <w:rPr>
                <w:szCs w:val="22"/>
              </w:rPr>
              <w:t>13</w:t>
            </w:r>
            <w:r w:rsidRPr="0063119B">
              <w:rPr>
                <w:szCs w:val="22"/>
              </w:rPr>
              <w:br/>
              <w:t>(0,3%)</w:t>
            </w:r>
          </w:p>
        </w:tc>
      </w:tr>
      <w:tr w:rsidR="00337111" w:rsidRPr="0063119B" w14:paraId="66A8E52A" w14:textId="77777777" w:rsidTr="0044301C">
        <w:tc>
          <w:tcPr>
            <w:tcW w:w="3360" w:type="dxa"/>
          </w:tcPr>
          <w:p w14:paraId="334E80FC" w14:textId="77777777" w:rsidR="00337111" w:rsidRPr="0063119B" w:rsidRDefault="00337111" w:rsidP="001F10F8">
            <w:pPr>
              <w:keepNext/>
              <w:keepLines/>
              <w:spacing w:line="260" w:lineRule="exact"/>
              <w:rPr>
                <w:szCs w:val="22"/>
              </w:rPr>
            </w:pPr>
            <w:r w:rsidRPr="0063119B">
              <w:rPr>
                <w:szCs w:val="22"/>
              </w:rPr>
              <w:t>Hemorragia principal ou não principal clinicamente relevante</w:t>
            </w:r>
          </w:p>
        </w:tc>
        <w:tc>
          <w:tcPr>
            <w:tcW w:w="3120" w:type="dxa"/>
          </w:tcPr>
          <w:p w14:paraId="65B718E3" w14:textId="77777777" w:rsidR="00337111" w:rsidRPr="0063119B" w:rsidRDefault="00337111" w:rsidP="001F10F8">
            <w:pPr>
              <w:keepNext/>
              <w:keepLines/>
              <w:spacing w:line="260" w:lineRule="exact"/>
              <w:rPr>
                <w:szCs w:val="22"/>
              </w:rPr>
            </w:pPr>
            <w:r w:rsidRPr="0063119B">
              <w:rPr>
                <w:szCs w:val="22"/>
              </w:rPr>
              <w:t>388</w:t>
            </w:r>
            <w:r w:rsidRPr="0063119B">
              <w:rPr>
                <w:szCs w:val="22"/>
              </w:rPr>
              <w:br/>
              <w:t>(9,4%)</w:t>
            </w:r>
          </w:p>
        </w:tc>
        <w:tc>
          <w:tcPr>
            <w:tcW w:w="2880" w:type="dxa"/>
            <w:gridSpan w:val="2"/>
          </w:tcPr>
          <w:p w14:paraId="3C42B866" w14:textId="77777777" w:rsidR="00337111" w:rsidRPr="0063119B" w:rsidRDefault="00337111" w:rsidP="001F10F8">
            <w:pPr>
              <w:keepNext/>
              <w:keepLines/>
              <w:spacing w:line="260" w:lineRule="exact"/>
              <w:rPr>
                <w:szCs w:val="22"/>
              </w:rPr>
            </w:pPr>
            <w:r w:rsidRPr="0063119B">
              <w:rPr>
                <w:szCs w:val="22"/>
              </w:rPr>
              <w:t>412</w:t>
            </w:r>
            <w:r w:rsidRPr="0063119B">
              <w:rPr>
                <w:szCs w:val="22"/>
              </w:rPr>
              <w:br/>
              <w:t>(10,0%)</w:t>
            </w:r>
          </w:p>
        </w:tc>
      </w:tr>
      <w:tr w:rsidR="00337111" w:rsidRPr="0063119B" w14:paraId="322A2D98" w14:textId="77777777" w:rsidTr="0044301C">
        <w:tc>
          <w:tcPr>
            <w:tcW w:w="3360" w:type="dxa"/>
          </w:tcPr>
          <w:p w14:paraId="786C5A5D" w14:textId="77777777" w:rsidR="00337111" w:rsidRPr="0063119B" w:rsidRDefault="00337111" w:rsidP="0044301C">
            <w:pPr>
              <w:spacing w:line="260" w:lineRule="exact"/>
              <w:rPr>
                <w:szCs w:val="22"/>
              </w:rPr>
            </w:pPr>
            <w:r w:rsidRPr="0063119B">
              <w:rPr>
                <w:szCs w:val="22"/>
              </w:rPr>
              <w:t>Acontecimentos hemorrágicos principais</w:t>
            </w:r>
          </w:p>
        </w:tc>
        <w:tc>
          <w:tcPr>
            <w:tcW w:w="3120" w:type="dxa"/>
          </w:tcPr>
          <w:p w14:paraId="6FD3A761" w14:textId="77777777" w:rsidR="00337111" w:rsidRPr="0063119B" w:rsidRDefault="00337111" w:rsidP="0044301C">
            <w:pPr>
              <w:spacing w:line="260" w:lineRule="exact"/>
              <w:rPr>
                <w:szCs w:val="22"/>
              </w:rPr>
            </w:pPr>
            <w:r w:rsidRPr="0063119B">
              <w:rPr>
                <w:szCs w:val="22"/>
              </w:rPr>
              <w:t>40</w:t>
            </w:r>
            <w:r w:rsidRPr="0063119B">
              <w:rPr>
                <w:szCs w:val="22"/>
              </w:rPr>
              <w:br/>
              <w:t>(1,0%)</w:t>
            </w:r>
          </w:p>
        </w:tc>
        <w:tc>
          <w:tcPr>
            <w:tcW w:w="2880" w:type="dxa"/>
            <w:gridSpan w:val="2"/>
          </w:tcPr>
          <w:p w14:paraId="25C92F59" w14:textId="77777777" w:rsidR="00337111" w:rsidRPr="0063119B" w:rsidRDefault="00337111" w:rsidP="0044301C">
            <w:pPr>
              <w:spacing w:line="260" w:lineRule="exact"/>
              <w:rPr>
                <w:szCs w:val="22"/>
              </w:rPr>
            </w:pPr>
            <w:r w:rsidRPr="0063119B">
              <w:rPr>
                <w:szCs w:val="22"/>
              </w:rPr>
              <w:t>72</w:t>
            </w:r>
            <w:r w:rsidRPr="0063119B">
              <w:rPr>
                <w:szCs w:val="22"/>
              </w:rPr>
              <w:br/>
              <w:t>(1,7%)</w:t>
            </w:r>
          </w:p>
        </w:tc>
      </w:tr>
      <w:tr w:rsidR="00337111" w:rsidRPr="0063119B" w14:paraId="3C698F59" w14:textId="77777777" w:rsidTr="0044301C">
        <w:trPr>
          <w:gridAfter w:val="1"/>
          <w:wAfter w:w="230" w:type="dxa"/>
        </w:trPr>
        <w:tc>
          <w:tcPr>
            <w:tcW w:w="9200" w:type="dxa"/>
            <w:gridSpan w:val="3"/>
            <w:tcBorders>
              <w:top w:val="nil"/>
              <w:left w:val="nil"/>
              <w:bottom w:val="nil"/>
              <w:right w:val="nil"/>
            </w:tcBorders>
          </w:tcPr>
          <w:p w14:paraId="1723E5E8" w14:textId="77777777" w:rsidR="00337111" w:rsidRPr="0063119B" w:rsidRDefault="00337111" w:rsidP="0044301C">
            <w:pPr>
              <w:tabs>
                <w:tab w:val="left" w:pos="567"/>
              </w:tabs>
              <w:rPr>
                <w:szCs w:val="22"/>
              </w:rPr>
            </w:pPr>
            <w:r w:rsidRPr="0063119B">
              <w:rPr>
                <w:szCs w:val="22"/>
              </w:rPr>
              <w:t>a)</w:t>
            </w:r>
            <w:r w:rsidRPr="0063119B">
              <w:rPr>
                <w:szCs w:val="22"/>
              </w:rPr>
              <w:tab/>
              <w:t>Rivaroxabano 15 mg duas vezes por dia durante 3 semanas seguido de 20 mg uma vez por dia</w:t>
            </w:r>
          </w:p>
          <w:p w14:paraId="5737A5E9" w14:textId="77777777" w:rsidR="00337111" w:rsidRPr="0063119B" w:rsidRDefault="00337111" w:rsidP="0044301C">
            <w:pPr>
              <w:tabs>
                <w:tab w:val="left" w:pos="567"/>
              </w:tabs>
              <w:ind w:left="567" w:hanging="567"/>
              <w:rPr>
                <w:szCs w:val="22"/>
              </w:rPr>
            </w:pPr>
            <w:r w:rsidRPr="0063119B">
              <w:rPr>
                <w:szCs w:val="22"/>
              </w:rPr>
              <w:t>b)</w:t>
            </w:r>
            <w:r w:rsidRPr="0063119B">
              <w:rPr>
                <w:szCs w:val="22"/>
              </w:rPr>
              <w:tab/>
              <w:t>Enoxaparina durante pelo menos 5 dias, sobreposta com e seguida de AVK</w:t>
            </w:r>
          </w:p>
          <w:p w14:paraId="0CE4B111" w14:textId="77777777" w:rsidR="00337111" w:rsidRPr="0063119B" w:rsidRDefault="00337111" w:rsidP="004D7C05">
            <w:pPr>
              <w:tabs>
                <w:tab w:val="left" w:pos="567"/>
              </w:tabs>
              <w:ind w:left="567" w:hanging="567"/>
              <w:rPr>
                <w:vanish/>
                <w:szCs w:val="22"/>
              </w:rPr>
            </w:pPr>
            <w:r w:rsidRPr="0063119B">
              <w:rPr>
                <w:b/>
                <w:szCs w:val="22"/>
              </w:rPr>
              <w:t>*</w:t>
            </w:r>
            <w:r w:rsidRPr="0063119B">
              <w:rPr>
                <w:szCs w:val="22"/>
              </w:rPr>
              <w:tab/>
              <w:t xml:space="preserve">p &lt; 0,0001 (não inferioridade para uma </w:t>
            </w:r>
            <w:r w:rsidR="004D7C05" w:rsidRPr="0063119B">
              <w:rPr>
                <w:szCs w:val="22"/>
              </w:rPr>
              <w:t>RR</w:t>
            </w:r>
            <w:r w:rsidRPr="0063119B">
              <w:rPr>
                <w:szCs w:val="22"/>
              </w:rPr>
              <w:t xml:space="preserve"> pré-especificada de 1,75); </w:t>
            </w:r>
            <w:r w:rsidR="004D7C05" w:rsidRPr="0063119B">
              <w:rPr>
                <w:szCs w:val="22"/>
              </w:rPr>
              <w:t>RR</w:t>
            </w:r>
            <w:r w:rsidRPr="0063119B">
              <w:rPr>
                <w:szCs w:val="22"/>
              </w:rPr>
              <w:t>: 0,886 (0,661 </w:t>
            </w:r>
            <w:r w:rsidRPr="0063119B">
              <w:rPr>
                <w:szCs w:val="22"/>
              </w:rPr>
              <w:noBreakHyphen/>
              <w:t> 1,186)</w:t>
            </w:r>
          </w:p>
        </w:tc>
      </w:tr>
    </w:tbl>
    <w:p w14:paraId="38AD2FAF" w14:textId="77777777" w:rsidR="00337111" w:rsidRPr="0063119B" w:rsidRDefault="00337111" w:rsidP="00337111">
      <w:pPr>
        <w:pStyle w:val="Default"/>
        <w:rPr>
          <w:color w:val="auto"/>
          <w:sz w:val="22"/>
          <w:szCs w:val="22"/>
          <w:lang w:val="pt-PT"/>
        </w:rPr>
      </w:pPr>
    </w:p>
    <w:p w14:paraId="670B2B0F" w14:textId="77777777" w:rsidR="00337111" w:rsidRPr="0063119B" w:rsidRDefault="00337111" w:rsidP="00337111">
      <w:pPr>
        <w:pStyle w:val="Default"/>
        <w:rPr>
          <w:color w:val="auto"/>
          <w:sz w:val="22"/>
          <w:szCs w:val="22"/>
          <w:lang w:val="pt-PT"/>
        </w:rPr>
      </w:pPr>
      <w:r w:rsidRPr="0063119B">
        <w:rPr>
          <w:color w:val="auto"/>
          <w:sz w:val="22"/>
          <w:szCs w:val="22"/>
          <w:lang w:val="pt-PT"/>
        </w:rPr>
        <w:t>O benefício clínico efetivo pré</w:t>
      </w:r>
      <w:r w:rsidRPr="0063119B">
        <w:rPr>
          <w:color w:val="auto"/>
          <w:sz w:val="22"/>
          <w:szCs w:val="22"/>
          <w:lang w:val="pt-PT"/>
        </w:rPr>
        <w:noBreakHyphen/>
        <w:t xml:space="preserve">especificado (objetivo primário da eficácia mais acontecimentos </w:t>
      </w:r>
      <w:r w:rsidRPr="0063119B">
        <w:rPr>
          <w:color w:val="auto"/>
          <w:sz w:val="22"/>
          <w:szCs w:val="22"/>
          <w:lang w:val="pt-PT"/>
        </w:rPr>
        <w:lastRenderedPageBreak/>
        <w:t xml:space="preserve">hemorrágicos principais) de uma análise agrupada foi notificado com uma </w:t>
      </w:r>
      <w:r w:rsidR="004D7C05" w:rsidRPr="0063119B">
        <w:rPr>
          <w:color w:val="auto"/>
          <w:sz w:val="22"/>
          <w:szCs w:val="22"/>
          <w:lang w:val="pt-PT"/>
        </w:rPr>
        <w:t>RR</w:t>
      </w:r>
      <w:r w:rsidRPr="0063119B">
        <w:rPr>
          <w:color w:val="auto"/>
          <w:sz w:val="22"/>
          <w:szCs w:val="22"/>
          <w:lang w:val="pt-PT"/>
        </w:rPr>
        <w:t xml:space="preserve"> de 0,771 ((IC 95%: 0,614 </w:t>
      </w:r>
      <w:r w:rsidRPr="0063119B">
        <w:rPr>
          <w:color w:val="auto"/>
          <w:sz w:val="22"/>
          <w:szCs w:val="22"/>
          <w:lang w:val="pt-PT"/>
        </w:rPr>
        <w:noBreakHyphen/>
        <w:t xml:space="preserve"> 0,967), valor-p nominal com p=0,0244).</w:t>
      </w:r>
    </w:p>
    <w:p w14:paraId="327FBA2A" w14:textId="77777777" w:rsidR="00337111" w:rsidRPr="0063119B" w:rsidRDefault="00337111" w:rsidP="00337111">
      <w:pPr>
        <w:pStyle w:val="Default"/>
        <w:rPr>
          <w:color w:val="auto"/>
          <w:sz w:val="22"/>
          <w:szCs w:val="22"/>
          <w:lang w:val="pt-PT"/>
        </w:rPr>
      </w:pPr>
    </w:p>
    <w:p w14:paraId="69159D52" w14:textId="77777777" w:rsidR="00337111" w:rsidRPr="0063119B" w:rsidRDefault="00337111" w:rsidP="00337111">
      <w:pPr>
        <w:pStyle w:val="Default"/>
        <w:rPr>
          <w:iCs/>
          <w:color w:val="auto"/>
          <w:sz w:val="22"/>
          <w:szCs w:val="22"/>
          <w:lang w:val="pt-PT"/>
        </w:rPr>
      </w:pPr>
      <w:r w:rsidRPr="0063119B">
        <w:rPr>
          <w:color w:val="auto"/>
          <w:sz w:val="22"/>
          <w:szCs w:val="22"/>
          <w:lang w:val="pt-PT"/>
        </w:rPr>
        <w:t>No estudo Einstein Extension (ver Quadro </w:t>
      </w:r>
      <w:r w:rsidR="00E67357" w:rsidRPr="0063119B">
        <w:rPr>
          <w:color w:val="auto"/>
          <w:sz w:val="22"/>
          <w:szCs w:val="22"/>
          <w:lang w:val="pt-PT"/>
        </w:rPr>
        <w:t>9</w:t>
      </w:r>
      <w:r w:rsidRPr="0063119B">
        <w:rPr>
          <w:color w:val="auto"/>
          <w:sz w:val="22"/>
          <w:szCs w:val="22"/>
          <w:lang w:val="pt-PT"/>
        </w:rPr>
        <w:t xml:space="preserve">) o rivaroxabano foi superior ao placebo no que respeita aos objetivos primários e secundários da eficácia. </w:t>
      </w:r>
      <w:r w:rsidRPr="0063119B">
        <w:rPr>
          <w:iCs/>
          <w:color w:val="auto"/>
          <w:sz w:val="22"/>
          <w:szCs w:val="22"/>
          <w:lang w:val="pt-PT"/>
        </w:rPr>
        <w:t>Em relação ao objetivo primário de segurança (acontecimentos hemorrágicos principais) verificou</w:t>
      </w:r>
      <w:r w:rsidRPr="0063119B">
        <w:rPr>
          <w:iCs/>
          <w:color w:val="auto"/>
          <w:sz w:val="22"/>
          <w:szCs w:val="22"/>
          <w:lang w:val="pt-PT"/>
        </w:rPr>
        <w:noBreakHyphen/>
        <w:t>se uma taxa de incidência numericamente mais elevada não significativa em doentes tratados com 20 mg de rivaroxabano uma vez por dia em comparação com o placebo. O objetivo secundário de segurança (acontecimentos hemorrágicos principais ou não principais clinicamente relevantes) apresentou taxas mais elevadas em doentes tratados com 20 mg de rivaroxabano uma vez por dia em comparação com o placebo.</w:t>
      </w:r>
    </w:p>
    <w:p w14:paraId="7D41383D" w14:textId="77777777" w:rsidR="00337111" w:rsidRPr="0063119B" w:rsidRDefault="00337111" w:rsidP="00337111">
      <w:pPr>
        <w:pStyle w:val="Default"/>
        <w:rPr>
          <w:color w:val="auto"/>
          <w:sz w:val="22"/>
          <w:szCs w:val="22"/>
          <w:lang w:val="pt-PT"/>
        </w:rPr>
      </w:pPr>
    </w:p>
    <w:p w14:paraId="4A177A1D" w14:textId="77777777" w:rsidR="00337111" w:rsidRPr="0063119B" w:rsidRDefault="00337111" w:rsidP="00337111">
      <w:pPr>
        <w:keepNext/>
        <w:rPr>
          <w:vanish/>
          <w:szCs w:val="22"/>
        </w:rPr>
      </w:pPr>
      <w:r w:rsidRPr="0063119B">
        <w:rPr>
          <w:b/>
          <w:szCs w:val="22"/>
        </w:rPr>
        <w:t>Quadro </w:t>
      </w:r>
      <w:r w:rsidR="00E67357" w:rsidRPr="0063119B">
        <w:rPr>
          <w:b/>
          <w:szCs w:val="22"/>
        </w:rPr>
        <w:t>9</w:t>
      </w:r>
      <w:r w:rsidRPr="0063119B">
        <w:rPr>
          <w:b/>
          <w:szCs w:val="22"/>
        </w:rPr>
        <w:t>: Resultados de eficácia e segurança do estudo de fase III Einstein Extension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842"/>
      </w:tblGrid>
      <w:tr w:rsidR="00337111" w:rsidRPr="0063119B" w14:paraId="09C7553B" w14:textId="77777777" w:rsidTr="00DA6697">
        <w:tc>
          <w:tcPr>
            <w:tcW w:w="3360" w:type="dxa"/>
          </w:tcPr>
          <w:p w14:paraId="01B4916A" w14:textId="77777777" w:rsidR="00337111" w:rsidRPr="0063119B" w:rsidRDefault="00337111" w:rsidP="0044301C">
            <w:pPr>
              <w:keepNext/>
              <w:spacing w:line="260" w:lineRule="exact"/>
              <w:rPr>
                <w:b/>
                <w:bCs/>
                <w:szCs w:val="22"/>
              </w:rPr>
            </w:pPr>
            <w:r w:rsidRPr="0063119B">
              <w:rPr>
                <w:b/>
                <w:bCs/>
                <w:szCs w:val="22"/>
              </w:rPr>
              <w:t>População do estudo</w:t>
            </w:r>
          </w:p>
        </w:tc>
        <w:tc>
          <w:tcPr>
            <w:tcW w:w="5962" w:type="dxa"/>
            <w:gridSpan w:val="2"/>
          </w:tcPr>
          <w:p w14:paraId="073B520C" w14:textId="77777777" w:rsidR="00337111" w:rsidRPr="0063119B" w:rsidRDefault="00337111" w:rsidP="0044301C">
            <w:pPr>
              <w:keepNext/>
              <w:spacing w:line="260" w:lineRule="exact"/>
              <w:rPr>
                <w:b/>
                <w:bCs/>
                <w:iCs/>
                <w:szCs w:val="22"/>
              </w:rPr>
            </w:pPr>
            <w:r w:rsidRPr="0063119B">
              <w:rPr>
                <w:b/>
                <w:bCs/>
                <w:szCs w:val="22"/>
              </w:rPr>
              <w:t xml:space="preserve">1.197 doentes submetidos a tratamento continuado e prevenção </w:t>
            </w:r>
            <w:r w:rsidRPr="0063119B">
              <w:rPr>
                <w:b/>
                <w:bCs/>
                <w:iCs/>
                <w:szCs w:val="22"/>
              </w:rPr>
              <w:t>do tromboembolismo venoso recorrente</w:t>
            </w:r>
          </w:p>
        </w:tc>
      </w:tr>
      <w:tr w:rsidR="00337111" w:rsidRPr="0063119B" w14:paraId="7EC6338F" w14:textId="77777777" w:rsidTr="00DA6697">
        <w:tc>
          <w:tcPr>
            <w:tcW w:w="3360" w:type="dxa"/>
            <w:vAlign w:val="center"/>
          </w:tcPr>
          <w:p w14:paraId="3F1D6BC0" w14:textId="77777777" w:rsidR="00337111" w:rsidRPr="0063119B" w:rsidRDefault="00337111" w:rsidP="0044301C">
            <w:pPr>
              <w:keepNext/>
              <w:spacing w:line="260" w:lineRule="exact"/>
              <w:rPr>
                <w:b/>
                <w:bCs/>
                <w:szCs w:val="22"/>
              </w:rPr>
            </w:pPr>
            <w:r w:rsidRPr="0063119B">
              <w:rPr>
                <w:b/>
                <w:bCs/>
                <w:szCs w:val="22"/>
              </w:rPr>
              <w:t>Doses e duração do tratamento</w:t>
            </w:r>
          </w:p>
        </w:tc>
        <w:tc>
          <w:tcPr>
            <w:tcW w:w="3120" w:type="dxa"/>
          </w:tcPr>
          <w:p w14:paraId="66BB7F97" w14:textId="77777777" w:rsidR="00337111" w:rsidRPr="0063119B" w:rsidRDefault="00DB6C0E" w:rsidP="0044301C">
            <w:pPr>
              <w:keepNext/>
              <w:spacing w:line="260" w:lineRule="exact"/>
              <w:rPr>
                <w:b/>
                <w:bCs/>
                <w:szCs w:val="22"/>
              </w:rPr>
            </w:pPr>
            <w:r w:rsidRPr="0063119B">
              <w:rPr>
                <w:b/>
                <w:bCs/>
                <w:szCs w:val="22"/>
              </w:rPr>
              <w:t>Rivaroxabano</w:t>
            </w:r>
            <w:r w:rsidR="00337111" w:rsidRPr="0063119B">
              <w:rPr>
                <w:b/>
                <w:bCs/>
                <w:szCs w:val="22"/>
                <w:vertAlign w:val="superscript"/>
              </w:rPr>
              <w:t>a</w:t>
            </w:r>
            <w:r w:rsidR="00897B9C" w:rsidRPr="0063119B">
              <w:rPr>
                <w:b/>
                <w:bCs/>
                <w:szCs w:val="22"/>
                <w:vertAlign w:val="superscript"/>
              </w:rPr>
              <w:t>)</w:t>
            </w:r>
            <w:r w:rsidR="00337111" w:rsidRPr="0063119B">
              <w:rPr>
                <w:b/>
                <w:bCs/>
                <w:szCs w:val="22"/>
              </w:rPr>
              <w:t xml:space="preserve"> </w:t>
            </w:r>
            <w:r w:rsidR="00337111" w:rsidRPr="0063119B">
              <w:rPr>
                <w:b/>
                <w:bCs/>
                <w:szCs w:val="22"/>
              </w:rPr>
              <w:br/>
              <w:t>6 ou 12 meses</w:t>
            </w:r>
          </w:p>
          <w:p w14:paraId="421AAACF" w14:textId="77777777" w:rsidR="00337111" w:rsidRPr="0063119B" w:rsidRDefault="00337111" w:rsidP="0044301C">
            <w:pPr>
              <w:keepNext/>
              <w:spacing w:line="260" w:lineRule="exact"/>
              <w:rPr>
                <w:b/>
                <w:bCs/>
                <w:szCs w:val="22"/>
              </w:rPr>
            </w:pPr>
            <w:r w:rsidRPr="0063119B">
              <w:rPr>
                <w:b/>
                <w:bCs/>
                <w:szCs w:val="22"/>
              </w:rPr>
              <w:t>N=602</w:t>
            </w:r>
          </w:p>
        </w:tc>
        <w:tc>
          <w:tcPr>
            <w:tcW w:w="2842" w:type="dxa"/>
          </w:tcPr>
          <w:p w14:paraId="141790B5" w14:textId="77777777" w:rsidR="00337111" w:rsidRPr="0063119B" w:rsidRDefault="00337111" w:rsidP="0044301C">
            <w:pPr>
              <w:keepNext/>
              <w:spacing w:line="260" w:lineRule="exact"/>
              <w:rPr>
                <w:b/>
                <w:bCs/>
                <w:szCs w:val="22"/>
              </w:rPr>
            </w:pPr>
            <w:r w:rsidRPr="0063119B">
              <w:rPr>
                <w:b/>
                <w:bCs/>
                <w:szCs w:val="22"/>
              </w:rPr>
              <w:t>Placebo</w:t>
            </w:r>
            <w:r w:rsidRPr="0063119B">
              <w:rPr>
                <w:b/>
                <w:bCs/>
                <w:szCs w:val="22"/>
              </w:rPr>
              <w:br/>
              <w:t>6 ou 12 meses</w:t>
            </w:r>
          </w:p>
          <w:p w14:paraId="67172A7F" w14:textId="77777777" w:rsidR="00337111" w:rsidRPr="0063119B" w:rsidRDefault="00337111" w:rsidP="0044301C">
            <w:pPr>
              <w:keepNext/>
              <w:spacing w:line="260" w:lineRule="exact"/>
              <w:rPr>
                <w:b/>
                <w:bCs/>
                <w:szCs w:val="22"/>
              </w:rPr>
            </w:pPr>
            <w:r w:rsidRPr="0063119B">
              <w:rPr>
                <w:b/>
                <w:bCs/>
                <w:szCs w:val="22"/>
              </w:rPr>
              <w:t>N=594</w:t>
            </w:r>
          </w:p>
        </w:tc>
      </w:tr>
      <w:tr w:rsidR="00337111" w:rsidRPr="0063119B" w14:paraId="040D147C" w14:textId="77777777" w:rsidTr="00DA6697">
        <w:tc>
          <w:tcPr>
            <w:tcW w:w="3360" w:type="dxa"/>
          </w:tcPr>
          <w:p w14:paraId="14B4E498" w14:textId="77777777" w:rsidR="00337111" w:rsidRPr="0063119B" w:rsidRDefault="00337111" w:rsidP="0044301C">
            <w:pPr>
              <w:keepNext/>
              <w:spacing w:line="260" w:lineRule="exact"/>
              <w:rPr>
                <w:szCs w:val="22"/>
              </w:rPr>
            </w:pPr>
            <w:r w:rsidRPr="0063119B">
              <w:rPr>
                <w:szCs w:val="22"/>
              </w:rPr>
              <w:t>TEV sintomático recorrente*</w:t>
            </w:r>
          </w:p>
        </w:tc>
        <w:tc>
          <w:tcPr>
            <w:tcW w:w="3120" w:type="dxa"/>
          </w:tcPr>
          <w:p w14:paraId="7AB26791" w14:textId="77777777" w:rsidR="00337111" w:rsidRPr="0063119B" w:rsidRDefault="00337111" w:rsidP="0044301C">
            <w:pPr>
              <w:keepNext/>
              <w:spacing w:line="260" w:lineRule="exact"/>
              <w:rPr>
                <w:szCs w:val="22"/>
              </w:rPr>
            </w:pPr>
            <w:r w:rsidRPr="0063119B">
              <w:rPr>
                <w:szCs w:val="22"/>
              </w:rPr>
              <w:t>8</w:t>
            </w:r>
            <w:r w:rsidRPr="0063119B">
              <w:rPr>
                <w:szCs w:val="22"/>
              </w:rPr>
              <w:br/>
              <w:t>(1,3%)</w:t>
            </w:r>
          </w:p>
        </w:tc>
        <w:tc>
          <w:tcPr>
            <w:tcW w:w="2842" w:type="dxa"/>
          </w:tcPr>
          <w:p w14:paraId="293C2967" w14:textId="77777777" w:rsidR="00337111" w:rsidRPr="0063119B" w:rsidRDefault="00337111" w:rsidP="0044301C">
            <w:pPr>
              <w:keepNext/>
              <w:spacing w:line="260" w:lineRule="exact"/>
              <w:rPr>
                <w:szCs w:val="22"/>
              </w:rPr>
            </w:pPr>
            <w:r w:rsidRPr="0063119B">
              <w:rPr>
                <w:szCs w:val="22"/>
              </w:rPr>
              <w:t>42</w:t>
            </w:r>
            <w:r w:rsidRPr="0063119B">
              <w:rPr>
                <w:szCs w:val="22"/>
              </w:rPr>
              <w:br/>
              <w:t>(7,1%)</w:t>
            </w:r>
          </w:p>
        </w:tc>
      </w:tr>
      <w:tr w:rsidR="00337111" w:rsidRPr="0063119B" w14:paraId="6DD239A5" w14:textId="77777777" w:rsidTr="00DA6697">
        <w:tc>
          <w:tcPr>
            <w:tcW w:w="3360" w:type="dxa"/>
          </w:tcPr>
          <w:p w14:paraId="04D79824" w14:textId="77777777" w:rsidR="00337111" w:rsidRPr="0063119B" w:rsidRDefault="00337111" w:rsidP="0044301C">
            <w:pPr>
              <w:keepNext/>
              <w:spacing w:line="260" w:lineRule="exact"/>
              <w:rPr>
                <w:szCs w:val="22"/>
              </w:rPr>
            </w:pPr>
            <w:r w:rsidRPr="0063119B">
              <w:rPr>
                <w:szCs w:val="22"/>
              </w:rPr>
              <w:t xml:space="preserve">      EP sintomático recorrente</w:t>
            </w:r>
          </w:p>
        </w:tc>
        <w:tc>
          <w:tcPr>
            <w:tcW w:w="3120" w:type="dxa"/>
          </w:tcPr>
          <w:p w14:paraId="5DF44E4E" w14:textId="77777777" w:rsidR="00337111" w:rsidRPr="0063119B" w:rsidRDefault="00337111" w:rsidP="0044301C">
            <w:pPr>
              <w:keepNext/>
              <w:spacing w:line="260" w:lineRule="exact"/>
              <w:rPr>
                <w:szCs w:val="22"/>
              </w:rPr>
            </w:pPr>
            <w:r w:rsidRPr="0063119B">
              <w:rPr>
                <w:szCs w:val="22"/>
              </w:rPr>
              <w:t>2</w:t>
            </w:r>
            <w:r w:rsidRPr="0063119B">
              <w:rPr>
                <w:szCs w:val="22"/>
              </w:rPr>
              <w:br/>
              <w:t>(0,3%)</w:t>
            </w:r>
          </w:p>
        </w:tc>
        <w:tc>
          <w:tcPr>
            <w:tcW w:w="2842" w:type="dxa"/>
          </w:tcPr>
          <w:p w14:paraId="006CED24" w14:textId="77777777" w:rsidR="00337111" w:rsidRPr="0063119B" w:rsidRDefault="00337111" w:rsidP="0044301C">
            <w:pPr>
              <w:keepNext/>
              <w:spacing w:line="260" w:lineRule="exact"/>
              <w:rPr>
                <w:szCs w:val="22"/>
              </w:rPr>
            </w:pPr>
            <w:r w:rsidRPr="0063119B">
              <w:rPr>
                <w:szCs w:val="22"/>
              </w:rPr>
              <w:t>13</w:t>
            </w:r>
            <w:r w:rsidRPr="0063119B">
              <w:rPr>
                <w:szCs w:val="22"/>
              </w:rPr>
              <w:br/>
              <w:t>(2,2%)</w:t>
            </w:r>
          </w:p>
        </w:tc>
      </w:tr>
      <w:tr w:rsidR="00337111" w:rsidRPr="0063119B" w14:paraId="45D574A5" w14:textId="77777777" w:rsidTr="00DA6697">
        <w:tc>
          <w:tcPr>
            <w:tcW w:w="3360" w:type="dxa"/>
          </w:tcPr>
          <w:p w14:paraId="34FA584B" w14:textId="77777777" w:rsidR="00337111" w:rsidRPr="0063119B" w:rsidRDefault="00337111" w:rsidP="0044301C">
            <w:pPr>
              <w:keepNext/>
              <w:spacing w:line="260" w:lineRule="exact"/>
              <w:rPr>
                <w:szCs w:val="22"/>
              </w:rPr>
            </w:pPr>
            <w:r w:rsidRPr="0063119B">
              <w:rPr>
                <w:szCs w:val="22"/>
              </w:rPr>
              <w:t xml:space="preserve">     TVP sintomática recorrente</w:t>
            </w:r>
          </w:p>
        </w:tc>
        <w:tc>
          <w:tcPr>
            <w:tcW w:w="3120" w:type="dxa"/>
          </w:tcPr>
          <w:p w14:paraId="031A031A" w14:textId="77777777" w:rsidR="00337111" w:rsidRPr="0063119B" w:rsidRDefault="00337111" w:rsidP="0044301C">
            <w:pPr>
              <w:keepNext/>
              <w:spacing w:line="260" w:lineRule="exact"/>
              <w:rPr>
                <w:szCs w:val="22"/>
              </w:rPr>
            </w:pPr>
            <w:r w:rsidRPr="0063119B">
              <w:rPr>
                <w:szCs w:val="22"/>
              </w:rPr>
              <w:t>5</w:t>
            </w:r>
            <w:r w:rsidRPr="0063119B">
              <w:rPr>
                <w:szCs w:val="22"/>
              </w:rPr>
              <w:br/>
              <w:t>(0,8%)</w:t>
            </w:r>
          </w:p>
        </w:tc>
        <w:tc>
          <w:tcPr>
            <w:tcW w:w="2842" w:type="dxa"/>
          </w:tcPr>
          <w:p w14:paraId="17F5A55C" w14:textId="77777777" w:rsidR="00337111" w:rsidRPr="0063119B" w:rsidRDefault="00337111" w:rsidP="0044301C">
            <w:pPr>
              <w:keepNext/>
              <w:spacing w:line="260" w:lineRule="exact"/>
              <w:rPr>
                <w:szCs w:val="22"/>
              </w:rPr>
            </w:pPr>
            <w:r w:rsidRPr="0063119B">
              <w:rPr>
                <w:szCs w:val="22"/>
              </w:rPr>
              <w:t>31</w:t>
            </w:r>
            <w:r w:rsidRPr="0063119B">
              <w:rPr>
                <w:szCs w:val="22"/>
              </w:rPr>
              <w:br/>
              <w:t>(5,2%)</w:t>
            </w:r>
          </w:p>
        </w:tc>
      </w:tr>
      <w:tr w:rsidR="00337111" w:rsidRPr="0063119B" w14:paraId="56F9E3F3" w14:textId="77777777" w:rsidTr="00DA6697">
        <w:tc>
          <w:tcPr>
            <w:tcW w:w="3360" w:type="dxa"/>
          </w:tcPr>
          <w:p w14:paraId="28E8AD98" w14:textId="77777777" w:rsidR="00337111" w:rsidRPr="0063119B" w:rsidRDefault="00337111" w:rsidP="0044301C">
            <w:pPr>
              <w:keepNext/>
              <w:spacing w:line="260" w:lineRule="exact"/>
              <w:ind w:left="252" w:hanging="252"/>
              <w:rPr>
                <w:szCs w:val="22"/>
              </w:rPr>
            </w:pPr>
            <w:r w:rsidRPr="0063119B">
              <w:rPr>
                <w:szCs w:val="22"/>
              </w:rPr>
              <w:t xml:space="preserve">      EP fatal/</w:t>
            </w:r>
            <w:r w:rsidR="004D7C05" w:rsidRPr="0063119B">
              <w:rPr>
                <w:szCs w:val="22"/>
              </w:rPr>
              <w:t xml:space="preserve">morte </w:t>
            </w:r>
            <w:r w:rsidRPr="0063119B">
              <w:rPr>
                <w:szCs w:val="22"/>
              </w:rPr>
              <w:t xml:space="preserve">na qual não se </w:t>
            </w:r>
          </w:p>
          <w:p w14:paraId="015856EC" w14:textId="77777777" w:rsidR="00337111" w:rsidRPr="0063119B" w:rsidRDefault="00337111" w:rsidP="0044301C">
            <w:pPr>
              <w:keepNext/>
              <w:spacing w:line="260" w:lineRule="exact"/>
              <w:ind w:left="284"/>
              <w:rPr>
                <w:szCs w:val="22"/>
              </w:rPr>
            </w:pPr>
            <w:r w:rsidRPr="0063119B">
              <w:rPr>
                <w:szCs w:val="22"/>
              </w:rPr>
              <w:t xml:space="preserve"> pode excluir EP</w:t>
            </w:r>
          </w:p>
        </w:tc>
        <w:tc>
          <w:tcPr>
            <w:tcW w:w="3120" w:type="dxa"/>
          </w:tcPr>
          <w:p w14:paraId="350B3FC7" w14:textId="77777777" w:rsidR="00337111" w:rsidRPr="0063119B" w:rsidRDefault="00337111" w:rsidP="0044301C">
            <w:pPr>
              <w:keepNext/>
              <w:spacing w:line="260" w:lineRule="exact"/>
              <w:rPr>
                <w:szCs w:val="22"/>
              </w:rPr>
            </w:pPr>
            <w:r w:rsidRPr="0063119B">
              <w:rPr>
                <w:szCs w:val="22"/>
              </w:rPr>
              <w:t>1</w:t>
            </w:r>
          </w:p>
          <w:p w14:paraId="0B9A76EF" w14:textId="77777777" w:rsidR="00337111" w:rsidRPr="0063119B" w:rsidRDefault="00337111" w:rsidP="0044301C">
            <w:pPr>
              <w:keepNext/>
              <w:spacing w:line="260" w:lineRule="exact"/>
              <w:rPr>
                <w:szCs w:val="22"/>
              </w:rPr>
            </w:pPr>
            <w:r w:rsidRPr="0063119B">
              <w:rPr>
                <w:szCs w:val="22"/>
              </w:rPr>
              <w:t>(0,2%)</w:t>
            </w:r>
          </w:p>
        </w:tc>
        <w:tc>
          <w:tcPr>
            <w:tcW w:w="2842" w:type="dxa"/>
          </w:tcPr>
          <w:p w14:paraId="3FD1724C" w14:textId="77777777" w:rsidR="00337111" w:rsidRPr="0063119B" w:rsidRDefault="00337111" w:rsidP="0044301C">
            <w:pPr>
              <w:keepNext/>
              <w:spacing w:line="260" w:lineRule="exact"/>
              <w:rPr>
                <w:szCs w:val="22"/>
              </w:rPr>
            </w:pPr>
            <w:r w:rsidRPr="0063119B">
              <w:rPr>
                <w:szCs w:val="22"/>
              </w:rPr>
              <w:t>1</w:t>
            </w:r>
          </w:p>
          <w:p w14:paraId="611AAA08" w14:textId="77777777" w:rsidR="00337111" w:rsidRPr="0063119B" w:rsidRDefault="00337111" w:rsidP="0044301C">
            <w:pPr>
              <w:keepNext/>
              <w:spacing w:line="260" w:lineRule="exact"/>
              <w:rPr>
                <w:szCs w:val="22"/>
              </w:rPr>
            </w:pPr>
            <w:r w:rsidRPr="0063119B">
              <w:rPr>
                <w:szCs w:val="22"/>
              </w:rPr>
              <w:t>(0,2%)</w:t>
            </w:r>
          </w:p>
        </w:tc>
      </w:tr>
      <w:tr w:rsidR="00337111" w:rsidRPr="0063119B" w14:paraId="17A30723" w14:textId="77777777" w:rsidTr="00DA6697">
        <w:tc>
          <w:tcPr>
            <w:tcW w:w="3360" w:type="dxa"/>
          </w:tcPr>
          <w:p w14:paraId="4BAAC275" w14:textId="77777777" w:rsidR="00337111" w:rsidRPr="0063119B" w:rsidRDefault="00337111" w:rsidP="0044301C">
            <w:pPr>
              <w:keepNext/>
              <w:spacing w:line="260" w:lineRule="exact"/>
              <w:rPr>
                <w:szCs w:val="22"/>
              </w:rPr>
            </w:pPr>
            <w:r w:rsidRPr="0063119B">
              <w:rPr>
                <w:szCs w:val="22"/>
              </w:rPr>
              <w:t>Acontecimentos hemorrágicos principais</w:t>
            </w:r>
          </w:p>
        </w:tc>
        <w:tc>
          <w:tcPr>
            <w:tcW w:w="3120" w:type="dxa"/>
          </w:tcPr>
          <w:p w14:paraId="70F2F2E5" w14:textId="77777777" w:rsidR="00337111" w:rsidRPr="0063119B" w:rsidRDefault="00337111" w:rsidP="0044301C">
            <w:pPr>
              <w:keepNext/>
              <w:spacing w:line="260" w:lineRule="exact"/>
              <w:rPr>
                <w:szCs w:val="22"/>
              </w:rPr>
            </w:pPr>
            <w:r w:rsidRPr="0063119B">
              <w:rPr>
                <w:szCs w:val="22"/>
              </w:rPr>
              <w:t>4</w:t>
            </w:r>
            <w:r w:rsidRPr="0063119B">
              <w:rPr>
                <w:szCs w:val="22"/>
              </w:rPr>
              <w:br/>
              <w:t>(0,7%)</w:t>
            </w:r>
          </w:p>
        </w:tc>
        <w:tc>
          <w:tcPr>
            <w:tcW w:w="2842" w:type="dxa"/>
          </w:tcPr>
          <w:p w14:paraId="335D26B7" w14:textId="77777777" w:rsidR="00337111" w:rsidRPr="0063119B" w:rsidRDefault="00337111" w:rsidP="0044301C">
            <w:pPr>
              <w:keepNext/>
              <w:spacing w:line="260" w:lineRule="exact"/>
              <w:rPr>
                <w:szCs w:val="22"/>
              </w:rPr>
            </w:pPr>
            <w:r w:rsidRPr="0063119B">
              <w:rPr>
                <w:szCs w:val="22"/>
              </w:rPr>
              <w:t>0</w:t>
            </w:r>
            <w:r w:rsidRPr="0063119B">
              <w:rPr>
                <w:szCs w:val="22"/>
              </w:rPr>
              <w:br/>
              <w:t>(0,0%)</w:t>
            </w:r>
          </w:p>
        </w:tc>
      </w:tr>
      <w:tr w:rsidR="00337111" w:rsidRPr="0063119B" w14:paraId="5E50D2B3" w14:textId="77777777" w:rsidTr="00DA6697">
        <w:tc>
          <w:tcPr>
            <w:tcW w:w="3360" w:type="dxa"/>
          </w:tcPr>
          <w:p w14:paraId="64557638" w14:textId="77777777" w:rsidR="00337111" w:rsidRPr="0063119B" w:rsidRDefault="00337111" w:rsidP="0044301C">
            <w:pPr>
              <w:keepNext/>
              <w:spacing w:line="260" w:lineRule="exact"/>
              <w:rPr>
                <w:szCs w:val="22"/>
              </w:rPr>
            </w:pPr>
            <w:r w:rsidRPr="0063119B">
              <w:rPr>
                <w:szCs w:val="22"/>
              </w:rPr>
              <w:t>Hemorragia principal ou não principal clinicamente relevante</w:t>
            </w:r>
          </w:p>
        </w:tc>
        <w:tc>
          <w:tcPr>
            <w:tcW w:w="3120" w:type="dxa"/>
          </w:tcPr>
          <w:p w14:paraId="3DA53E80" w14:textId="77777777" w:rsidR="00337111" w:rsidRPr="0063119B" w:rsidRDefault="00337111" w:rsidP="0044301C">
            <w:pPr>
              <w:keepNext/>
              <w:spacing w:line="260" w:lineRule="exact"/>
              <w:rPr>
                <w:szCs w:val="22"/>
              </w:rPr>
            </w:pPr>
            <w:r w:rsidRPr="0063119B">
              <w:rPr>
                <w:szCs w:val="22"/>
              </w:rPr>
              <w:t>32</w:t>
            </w:r>
            <w:r w:rsidRPr="0063119B">
              <w:rPr>
                <w:szCs w:val="22"/>
              </w:rPr>
              <w:br/>
              <w:t>(5,4%)</w:t>
            </w:r>
          </w:p>
        </w:tc>
        <w:tc>
          <w:tcPr>
            <w:tcW w:w="2842" w:type="dxa"/>
          </w:tcPr>
          <w:p w14:paraId="075B8D85" w14:textId="77777777" w:rsidR="00337111" w:rsidRPr="0063119B" w:rsidRDefault="00337111" w:rsidP="0044301C">
            <w:pPr>
              <w:keepNext/>
              <w:spacing w:line="260" w:lineRule="exact"/>
              <w:rPr>
                <w:szCs w:val="22"/>
              </w:rPr>
            </w:pPr>
            <w:r w:rsidRPr="0063119B">
              <w:rPr>
                <w:szCs w:val="22"/>
              </w:rPr>
              <w:t>7</w:t>
            </w:r>
            <w:r w:rsidRPr="0063119B">
              <w:rPr>
                <w:szCs w:val="22"/>
              </w:rPr>
              <w:br/>
              <w:t>(1,2%)</w:t>
            </w:r>
          </w:p>
        </w:tc>
      </w:tr>
      <w:tr w:rsidR="00337111" w:rsidRPr="0063119B" w14:paraId="44B95D0B" w14:textId="77777777" w:rsidTr="00DA6697">
        <w:tc>
          <w:tcPr>
            <w:tcW w:w="9322" w:type="dxa"/>
            <w:gridSpan w:val="3"/>
            <w:tcBorders>
              <w:top w:val="nil"/>
              <w:left w:val="nil"/>
              <w:bottom w:val="nil"/>
              <w:right w:val="nil"/>
            </w:tcBorders>
          </w:tcPr>
          <w:p w14:paraId="5DAFFD62" w14:textId="77777777" w:rsidR="00337111" w:rsidRPr="0063119B" w:rsidRDefault="00337111" w:rsidP="0044301C">
            <w:pPr>
              <w:keepNext/>
              <w:tabs>
                <w:tab w:val="left" w:pos="567"/>
              </w:tabs>
              <w:rPr>
                <w:szCs w:val="22"/>
              </w:rPr>
            </w:pPr>
            <w:r w:rsidRPr="0063119B">
              <w:rPr>
                <w:szCs w:val="22"/>
              </w:rPr>
              <w:t>a)</w:t>
            </w:r>
            <w:r w:rsidRPr="0063119B">
              <w:rPr>
                <w:szCs w:val="22"/>
              </w:rPr>
              <w:tab/>
              <w:t>Rivaroxabano 20 mg uma vez por dia</w:t>
            </w:r>
          </w:p>
          <w:p w14:paraId="43988912" w14:textId="77777777" w:rsidR="00337111" w:rsidRPr="0063119B" w:rsidRDefault="00337111" w:rsidP="0044301C">
            <w:pPr>
              <w:keepNext/>
              <w:tabs>
                <w:tab w:val="left" w:pos="567"/>
              </w:tabs>
              <w:rPr>
                <w:szCs w:val="22"/>
              </w:rPr>
            </w:pPr>
            <w:r w:rsidRPr="0063119B">
              <w:rPr>
                <w:b/>
                <w:szCs w:val="22"/>
              </w:rPr>
              <w:t>*</w:t>
            </w:r>
            <w:r w:rsidRPr="0063119B">
              <w:rPr>
                <w:szCs w:val="22"/>
              </w:rPr>
              <w:tab/>
              <w:t xml:space="preserve">p &lt; 0,0001 (superioridade); </w:t>
            </w:r>
            <w:r w:rsidR="004D7C05" w:rsidRPr="0063119B">
              <w:rPr>
                <w:szCs w:val="22"/>
              </w:rPr>
              <w:t>RR</w:t>
            </w:r>
            <w:r w:rsidRPr="0063119B">
              <w:rPr>
                <w:szCs w:val="22"/>
              </w:rPr>
              <w:t xml:space="preserve">: 0,185 (0,087 </w:t>
            </w:r>
            <w:r w:rsidRPr="0063119B">
              <w:rPr>
                <w:szCs w:val="22"/>
              </w:rPr>
              <w:noBreakHyphen/>
              <w:t> 0,393)</w:t>
            </w:r>
          </w:p>
          <w:p w14:paraId="4DCF43AA" w14:textId="77777777" w:rsidR="00FB7430" w:rsidRPr="0063119B" w:rsidRDefault="00FB7430" w:rsidP="0044301C">
            <w:pPr>
              <w:keepNext/>
              <w:tabs>
                <w:tab w:val="left" w:pos="567"/>
              </w:tabs>
              <w:rPr>
                <w:szCs w:val="22"/>
              </w:rPr>
            </w:pPr>
          </w:p>
          <w:p w14:paraId="2363BF94" w14:textId="77777777" w:rsidR="00FB7430" w:rsidRPr="0063119B" w:rsidRDefault="00E67357" w:rsidP="00DA6697">
            <w:pPr>
              <w:suppressAutoHyphens/>
              <w:rPr>
                <w:vanish/>
                <w:szCs w:val="22"/>
              </w:rPr>
            </w:pPr>
            <w:r w:rsidRPr="0063119B">
              <w:rPr>
                <w:rFonts w:eastAsia="PMingLiU"/>
                <w:szCs w:val="22"/>
                <w:lang w:eastAsia="zh-TW"/>
              </w:rPr>
              <w:t xml:space="preserve">No estudo Einstein Choice (ver Quadro 10), </w:t>
            </w:r>
            <w:r w:rsidR="00DB6C0E" w:rsidRPr="0063119B">
              <w:rPr>
                <w:rFonts w:eastAsia="PMingLiU"/>
                <w:szCs w:val="22"/>
                <w:lang w:eastAsia="zh-TW"/>
              </w:rPr>
              <w:t xml:space="preserve">as doses de </w:t>
            </w:r>
            <w:r w:rsidRPr="0063119B">
              <w:rPr>
                <w:rFonts w:eastAsia="PMingLiU"/>
                <w:szCs w:val="22"/>
                <w:lang w:eastAsia="zh-TW"/>
              </w:rPr>
              <w:t>20 mg e 10 mg</w:t>
            </w:r>
            <w:r w:rsidR="00DB6C0E" w:rsidRPr="0063119B">
              <w:rPr>
                <w:rFonts w:eastAsia="PMingLiU"/>
                <w:szCs w:val="22"/>
                <w:lang w:eastAsia="zh-TW"/>
              </w:rPr>
              <w:t xml:space="preserve"> de </w:t>
            </w:r>
            <w:r w:rsidR="00DB6C0E" w:rsidRPr="0063119B">
              <w:rPr>
                <w:szCs w:val="22"/>
              </w:rPr>
              <w:t>rivaroxabano</w:t>
            </w:r>
            <w:r w:rsidRPr="0063119B">
              <w:rPr>
                <w:rFonts w:eastAsia="PMingLiU"/>
                <w:szCs w:val="22"/>
                <w:lang w:eastAsia="zh-TW"/>
              </w:rPr>
              <w:t xml:space="preserve"> foram amb</w:t>
            </w:r>
            <w:r w:rsidR="00DB6C0E" w:rsidRPr="0063119B">
              <w:rPr>
                <w:rFonts w:eastAsia="PMingLiU"/>
                <w:szCs w:val="22"/>
                <w:lang w:eastAsia="zh-TW"/>
              </w:rPr>
              <w:t>a</w:t>
            </w:r>
            <w:r w:rsidRPr="0063119B">
              <w:rPr>
                <w:rFonts w:eastAsia="PMingLiU"/>
                <w:szCs w:val="22"/>
                <w:lang w:eastAsia="zh-TW"/>
              </w:rPr>
              <w:t>s superior</w:t>
            </w:r>
            <w:r w:rsidR="001D6BDF" w:rsidRPr="0063119B">
              <w:rPr>
                <w:rFonts w:eastAsia="PMingLiU"/>
                <w:szCs w:val="22"/>
                <w:lang w:eastAsia="zh-TW"/>
              </w:rPr>
              <w:t>es</w:t>
            </w:r>
            <w:r w:rsidRPr="0063119B">
              <w:rPr>
                <w:rFonts w:eastAsia="PMingLiU"/>
                <w:szCs w:val="22"/>
                <w:lang w:eastAsia="zh-TW"/>
              </w:rPr>
              <w:t xml:space="preserve"> aos 100 mg de ácido acetilsalicílico para o objetivo primário da eficácia. O objetivo principal da segurança (acontecimentos hemorrágicos </w:t>
            </w:r>
            <w:r w:rsidR="00417496" w:rsidRPr="0063119B">
              <w:rPr>
                <w:rFonts w:eastAsia="PMingLiU"/>
                <w:szCs w:val="22"/>
                <w:lang w:eastAsia="zh-TW"/>
              </w:rPr>
              <w:t>principais</w:t>
            </w:r>
            <w:r w:rsidRPr="0063119B">
              <w:rPr>
                <w:rFonts w:eastAsia="PMingLiU"/>
                <w:szCs w:val="22"/>
                <w:lang w:eastAsia="zh-TW"/>
              </w:rPr>
              <w:t xml:space="preserve">) foi semelhante para os doentes tratados com </w:t>
            </w:r>
            <w:r w:rsidR="00DB6C0E" w:rsidRPr="0063119B">
              <w:rPr>
                <w:szCs w:val="22"/>
              </w:rPr>
              <w:t>rivaroxabano</w:t>
            </w:r>
            <w:r w:rsidR="00DB6C0E" w:rsidRPr="0063119B">
              <w:rPr>
                <w:rFonts w:eastAsia="PMingLiU"/>
                <w:szCs w:val="22"/>
                <w:lang w:eastAsia="zh-TW"/>
              </w:rPr>
              <w:t xml:space="preserve"> nas doses de</w:t>
            </w:r>
            <w:r w:rsidRPr="0063119B">
              <w:rPr>
                <w:rFonts w:eastAsia="PMingLiU"/>
                <w:szCs w:val="22"/>
                <w:lang w:eastAsia="zh-TW"/>
              </w:rPr>
              <w:t xml:space="preserve"> 20 mg e 10 mg uma vez por dia, em comparação com 100 mg de ácido acetilsalicílico.</w:t>
            </w:r>
          </w:p>
        </w:tc>
      </w:tr>
    </w:tbl>
    <w:p w14:paraId="16334564" w14:textId="77777777" w:rsidR="00337111" w:rsidRPr="0063119B" w:rsidRDefault="00337111" w:rsidP="00337111">
      <w:pPr>
        <w:suppressAutoHyphens/>
        <w:rPr>
          <w:noProof/>
          <w:szCs w:val="22"/>
        </w:rPr>
      </w:pPr>
    </w:p>
    <w:tbl>
      <w:tblPr>
        <w:tblW w:w="9356" w:type="dxa"/>
        <w:tblInd w:w="-34" w:type="dxa"/>
        <w:tblLayout w:type="fixed"/>
        <w:tblLook w:val="01E0" w:firstRow="1" w:lastRow="1" w:firstColumn="1" w:lastColumn="1" w:noHBand="0" w:noVBand="0"/>
      </w:tblPr>
      <w:tblGrid>
        <w:gridCol w:w="2909"/>
        <w:gridCol w:w="2185"/>
        <w:gridCol w:w="2069"/>
        <w:gridCol w:w="2193"/>
      </w:tblGrid>
      <w:tr w:rsidR="00DA6697" w:rsidRPr="0063119B" w14:paraId="55E1B3ED" w14:textId="77777777" w:rsidTr="00DA6697">
        <w:tc>
          <w:tcPr>
            <w:tcW w:w="9356" w:type="dxa"/>
            <w:gridSpan w:val="4"/>
          </w:tcPr>
          <w:p w14:paraId="47F9D15D" w14:textId="77777777" w:rsidR="00DA6697" w:rsidRPr="0063119B" w:rsidRDefault="00DA6697" w:rsidP="00C7421C">
            <w:pPr>
              <w:pStyle w:val="Caption"/>
              <w:ind w:left="0"/>
              <w:jc w:val="both"/>
              <w:rPr>
                <w:szCs w:val="22"/>
                <w:lang w:val="pt-PT"/>
              </w:rPr>
            </w:pPr>
            <w:r w:rsidRPr="0063119B">
              <w:rPr>
                <w:szCs w:val="22"/>
                <w:lang w:val="pt-PT"/>
              </w:rPr>
              <w:lastRenderedPageBreak/>
              <w:t>Quadro 10: Resultados da eficácia e segurança do estudo de fase III Einstein Choice</w:t>
            </w:r>
          </w:p>
        </w:tc>
      </w:tr>
      <w:tr w:rsidR="00DA6697" w:rsidRPr="0063119B" w14:paraId="6967856C"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909" w:type="dxa"/>
            <w:vAlign w:val="center"/>
          </w:tcPr>
          <w:p w14:paraId="4EC06E74" w14:textId="77777777" w:rsidR="00DA6697" w:rsidRPr="0063119B" w:rsidRDefault="00DA6697" w:rsidP="00DA6697">
            <w:pPr>
              <w:pStyle w:val="BayerTableColumnHeadings"/>
              <w:keepNext/>
              <w:ind w:left="34"/>
              <w:jc w:val="left"/>
              <w:rPr>
                <w:bCs/>
                <w:szCs w:val="22"/>
              </w:rPr>
            </w:pPr>
            <w:proofErr w:type="spellStart"/>
            <w:r w:rsidRPr="0063119B">
              <w:rPr>
                <w:bCs/>
                <w:szCs w:val="22"/>
              </w:rPr>
              <w:t>População</w:t>
            </w:r>
            <w:proofErr w:type="spellEnd"/>
            <w:r w:rsidRPr="0063119B">
              <w:rPr>
                <w:bCs/>
                <w:szCs w:val="22"/>
              </w:rPr>
              <w:t xml:space="preserve"> do </w:t>
            </w:r>
            <w:proofErr w:type="spellStart"/>
            <w:r w:rsidRPr="0063119B">
              <w:rPr>
                <w:bCs/>
                <w:szCs w:val="22"/>
              </w:rPr>
              <w:t>estudo</w:t>
            </w:r>
            <w:proofErr w:type="spellEnd"/>
          </w:p>
        </w:tc>
        <w:tc>
          <w:tcPr>
            <w:tcW w:w="6447" w:type="dxa"/>
            <w:gridSpan w:val="3"/>
          </w:tcPr>
          <w:p w14:paraId="475A2C6F" w14:textId="77777777" w:rsidR="00DA6697" w:rsidRPr="0063119B" w:rsidRDefault="00DA6697" w:rsidP="00C7421C">
            <w:pPr>
              <w:pStyle w:val="BayerTableColumnHeadings"/>
              <w:jc w:val="left"/>
              <w:rPr>
                <w:bCs/>
                <w:szCs w:val="22"/>
                <w:lang w:val="pt-PT"/>
              </w:rPr>
            </w:pPr>
            <w:r w:rsidRPr="0063119B">
              <w:rPr>
                <w:bCs/>
                <w:szCs w:val="22"/>
                <w:lang w:val="pt-PT"/>
              </w:rPr>
              <w:t xml:space="preserve">3.396 doentes continuaram a fazer </w:t>
            </w:r>
            <w:r w:rsidRPr="0063119B">
              <w:rPr>
                <w:bCs/>
                <w:iCs/>
                <w:szCs w:val="22"/>
                <w:lang w:val="pt-PT"/>
              </w:rPr>
              <w:t>prevenção do tromboembolismo venoso recorrente</w:t>
            </w:r>
          </w:p>
        </w:tc>
      </w:tr>
      <w:tr w:rsidR="00DA6697" w:rsidRPr="0063119B" w14:paraId="289C12F2"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909" w:type="dxa"/>
            <w:vAlign w:val="center"/>
          </w:tcPr>
          <w:p w14:paraId="43767E0A" w14:textId="77777777" w:rsidR="00DA6697" w:rsidRPr="0063119B" w:rsidRDefault="00DA6697" w:rsidP="00C7421C">
            <w:pPr>
              <w:pStyle w:val="BayerTableRowHeadings"/>
              <w:spacing w:before="60" w:after="60"/>
              <w:ind w:left="34"/>
              <w:rPr>
                <w:b/>
                <w:bCs/>
                <w:szCs w:val="22"/>
              </w:rPr>
            </w:pPr>
            <w:r w:rsidRPr="0063119B">
              <w:rPr>
                <w:b/>
                <w:bCs/>
                <w:szCs w:val="22"/>
              </w:rPr>
              <w:t xml:space="preserve">Doses do </w:t>
            </w:r>
            <w:proofErr w:type="spellStart"/>
            <w:r w:rsidRPr="0063119B">
              <w:rPr>
                <w:b/>
                <w:bCs/>
                <w:szCs w:val="22"/>
              </w:rPr>
              <w:t>tratamento</w:t>
            </w:r>
            <w:proofErr w:type="spellEnd"/>
            <w:r w:rsidRPr="0063119B">
              <w:rPr>
                <w:b/>
                <w:bCs/>
                <w:szCs w:val="22"/>
              </w:rPr>
              <w:t xml:space="preserve"> </w:t>
            </w:r>
          </w:p>
        </w:tc>
        <w:tc>
          <w:tcPr>
            <w:tcW w:w="2185" w:type="dxa"/>
            <w:vAlign w:val="center"/>
          </w:tcPr>
          <w:p w14:paraId="33CE1E80" w14:textId="77777777" w:rsidR="00DA6697" w:rsidRPr="0063119B" w:rsidRDefault="00DB6C0E" w:rsidP="00C7421C">
            <w:pPr>
              <w:pStyle w:val="BayerBodyTextFull"/>
              <w:keepNext/>
              <w:spacing w:before="60" w:after="60"/>
              <w:ind w:left="12"/>
              <w:rPr>
                <w:b/>
                <w:bCs/>
                <w:sz w:val="22"/>
                <w:szCs w:val="22"/>
                <w:lang w:val="pt-PT"/>
              </w:rPr>
            </w:pPr>
            <w:r w:rsidRPr="0063119B">
              <w:rPr>
                <w:b/>
                <w:bCs/>
                <w:sz w:val="22"/>
                <w:szCs w:val="22"/>
                <w:lang w:val="pt-PT"/>
              </w:rPr>
              <w:t>Rivaroxabano</w:t>
            </w:r>
            <w:r w:rsidR="00DA6697" w:rsidRPr="0063119B">
              <w:rPr>
                <w:b/>
                <w:bCs/>
                <w:sz w:val="22"/>
                <w:szCs w:val="22"/>
                <w:lang w:val="pt-PT"/>
              </w:rPr>
              <w:t xml:space="preserve"> 20 mg uma vez por dia</w:t>
            </w:r>
          </w:p>
          <w:p w14:paraId="0574D850" w14:textId="77777777" w:rsidR="00DA6697" w:rsidRPr="0063119B" w:rsidRDefault="00DA6697" w:rsidP="00C7421C">
            <w:pPr>
              <w:pStyle w:val="BayerBodyTextFull"/>
              <w:keepNext/>
              <w:spacing w:before="60" w:after="60"/>
              <w:ind w:left="12"/>
              <w:rPr>
                <w:b/>
                <w:bCs/>
                <w:sz w:val="22"/>
                <w:szCs w:val="22"/>
              </w:rPr>
            </w:pPr>
            <w:r w:rsidRPr="0063119B">
              <w:rPr>
                <w:b/>
                <w:bCs/>
                <w:sz w:val="22"/>
                <w:szCs w:val="22"/>
              </w:rPr>
              <w:t>N=1.107</w:t>
            </w:r>
          </w:p>
        </w:tc>
        <w:tc>
          <w:tcPr>
            <w:tcW w:w="2069" w:type="dxa"/>
            <w:vAlign w:val="center"/>
          </w:tcPr>
          <w:p w14:paraId="6E9B374C" w14:textId="77777777" w:rsidR="00DA6697" w:rsidRPr="0063119B" w:rsidRDefault="00DB6C0E" w:rsidP="00C7421C">
            <w:pPr>
              <w:pStyle w:val="BayerBodyTextFull"/>
              <w:keepNext/>
              <w:spacing w:before="60" w:after="60"/>
              <w:ind w:left="12"/>
              <w:rPr>
                <w:b/>
                <w:bCs/>
                <w:sz w:val="22"/>
                <w:szCs w:val="22"/>
                <w:lang w:val="pt-PT"/>
              </w:rPr>
            </w:pPr>
            <w:r w:rsidRPr="0063119B">
              <w:rPr>
                <w:b/>
                <w:bCs/>
                <w:sz w:val="22"/>
                <w:szCs w:val="22"/>
                <w:lang w:val="pt-PT"/>
              </w:rPr>
              <w:t>Rivaroxabano</w:t>
            </w:r>
            <w:r w:rsidR="00DA6697" w:rsidRPr="0063119B">
              <w:rPr>
                <w:b/>
                <w:bCs/>
                <w:sz w:val="22"/>
                <w:szCs w:val="22"/>
                <w:lang w:val="pt-PT"/>
              </w:rPr>
              <w:t xml:space="preserve"> 10 mg uma vez por dia</w:t>
            </w:r>
          </w:p>
          <w:p w14:paraId="53A54E54" w14:textId="77777777" w:rsidR="00DA6697" w:rsidRPr="0063119B" w:rsidRDefault="00DA6697" w:rsidP="00C7421C">
            <w:pPr>
              <w:pStyle w:val="BayerBodyTextFull"/>
              <w:keepNext/>
              <w:spacing w:before="60" w:after="60"/>
              <w:ind w:left="12"/>
              <w:rPr>
                <w:b/>
                <w:bCs/>
                <w:sz w:val="22"/>
                <w:szCs w:val="22"/>
                <w:lang w:val="pt-PT"/>
              </w:rPr>
            </w:pPr>
            <w:r w:rsidRPr="0063119B">
              <w:rPr>
                <w:b/>
                <w:bCs/>
                <w:sz w:val="22"/>
                <w:szCs w:val="22"/>
                <w:lang w:val="pt-PT"/>
              </w:rPr>
              <w:t>N=1.127</w:t>
            </w:r>
          </w:p>
        </w:tc>
        <w:tc>
          <w:tcPr>
            <w:tcW w:w="2193" w:type="dxa"/>
            <w:vAlign w:val="center"/>
          </w:tcPr>
          <w:p w14:paraId="07BABFC4" w14:textId="77777777" w:rsidR="00DA6697" w:rsidRPr="0063119B" w:rsidRDefault="00DA6697" w:rsidP="00C7421C">
            <w:pPr>
              <w:pStyle w:val="BayerBodyTextFull"/>
              <w:keepNext/>
              <w:spacing w:before="60" w:after="60"/>
              <w:ind w:left="12"/>
              <w:rPr>
                <w:b/>
                <w:bCs/>
                <w:sz w:val="22"/>
                <w:szCs w:val="22"/>
                <w:lang w:val="pt-PT"/>
              </w:rPr>
            </w:pPr>
            <w:r w:rsidRPr="0063119B">
              <w:rPr>
                <w:b/>
                <w:bCs/>
                <w:sz w:val="22"/>
                <w:szCs w:val="22"/>
                <w:lang w:val="pt-PT"/>
              </w:rPr>
              <w:t>AAS 100 mg uma vez por dia</w:t>
            </w:r>
          </w:p>
          <w:p w14:paraId="225B6E1D" w14:textId="77777777" w:rsidR="00DA6697" w:rsidRPr="0063119B" w:rsidRDefault="00DA6697" w:rsidP="00C7421C">
            <w:pPr>
              <w:pStyle w:val="BayerBodyTextFull"/>
              <w:keepNext/>
              <w:spacing w:before="60" w:after="60"/>
              <w:ind w:left="12"/>
              <w:rPr>
                <w:b/>
                <w:bCs/>
                <w:sz w:val="22"/>
                <w:szCs w:val="22"/>
                <w:lang w:val="pt-PT"/>
              </w:rPr>
            </w:pPr>
            <w:r w:rsidRPr="0063119B">
              <w:rPr>
                <w:b/>
                <w:bCs/>
                <w:sz w:val="22"/>
                <w:szCs w:val="22"/>
                <w:lang w:val="pt-PT"/>
              </w:rPr>
              <w:t>N=1.131</w:t>
            </w:r>
          </w:p>
        </w:tc>
      </w:tr>
      <w:tr w:rsidR="00DA6697" w:rsidRPr="0063119B" w14:paraId="129516A4"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09" w:type="dxa"/>
            <w:vAlign w:val="center"/>
          </w:tcPr>
          <w:p w14:paraId="068FA18A" w14:textId="77777777" w:rsidR="00DA6697" w:rsidRPr="0063119B" w:rsidRDefault="00DA6697" w:rsidP="00C7421C">
            <w:pPr>
              <w:pStyle w:val="BayerTableRowHeadings"/>
              <w:spacing w:before="60" w:after="60"/>
              <w:ind w:left="34"/>
              <w:rPr>
                <w:szCs w:val="22"/>
                <w:lang w:val="pt-PT"/>
              </w:rPr>
            </w:pPr>
            <w:r w:rsidRPr="0063119B">
              <w:rPr>
                <w:szCs w:val="22"/>
                <w:lang w:val="pt-PT"/>
              </w:rPr>
              <w:t>Duração mediana do tratamento [intervalo interquartil]</w:t>
            </w:r>
          </w:p>
        </w:tc>
        <w:tc>
          <w:tcPr>
            <w:tcW w:w="2185" w:type="dxa"/>
            <w:vAlign w:val="center"/>
          </w:tcPr>
          <w:p w14:paraId="4F34D385" w14:textId="77777777" w:rsidR="00DA6697" w:rsidRPr="0063119B" w:rsidRDefault="00DA6697" w:rsidP="00C7421C">
            <w:pPr>
              <w:pStyle w:val="BayerBodyTextFull"/>
              <w:keepNext/>
              <w:spacing w:before="60" w:after="60"/>
              <w:ind w:left="12"/>
              <w:rPr>
                <w:sz w:val="22"/>
                <w:szCs w:val="22"/>
              </w:rPr>
            </w:pPr>
            <w:r w:rsidRPr="0063119B">
              <w:rPr>
                <w:sz w:val="22"/>
                <w:szCs w:val="22"/>
              </w:rPr>
              <w:t>349 [189-362] </w:t>
            </w:r>
            <w:proofErr w:type="spellStart"/>
            <w:r w:rsidRPr="0063119B">
              <w:rPr>
                <w:sz w:val="22"/>
                <w:szCs w:val="22"/>
              </w:rPr>
              <w:t>dias</w:t>
            </w:r>
            <w:proofErr w:type="spellEnd"/>
          </w:p>
        </w:tc>
        <w:tc>
          <w:tcPr>
            <w:tcW w:w="2069" w:type="dxa"/>
            <w:vAlign w:val="center"/>
          </w:tcPr>
          <w:p w14:paraId="38A36B7C" w14:textId="77777777" w:rsidR="00DA6697" w:rsidRPr="0063119B" w:rsidRDefault="00DA6697" w:rsidP="00C7421C">
            <w:pPr>
              <w:pStyle w:val="BayerBodyTextFull"/>
              <w:keepNext/>
              <w:spacing w:before="60" w:after="60"/>
              <w:ind w:left="12"/>
              <w:rPr>
                <w:sz w:val="22"/>
                <w:szCs w:val="22"/>
              </w:rPr>
            </w:pPr>
            <w:r w:rsidRPr="0063119B">
              <w:rPr>
                <w:sz w:val="22"/>
                <w:szCs w:val="22"/>
              </w:rPr>
              <w:t>353 [190-362] </w:t>
            </w:r>
            <w:proofErr w:type="spellStart"/>
            <w:r w:rsidRPr="0063119B">
              <w:rPr>
                <w:sz w:val="22"/>
                <w:szCs w:val="22"/>
              </w:rPr>
              <w:t>dias</w:t>
            </w:r>
            <w:proofErr w:type="spellEnd"/>
          </w:p>
        </w:tc>
        <w:tc>
          <w:tcPr>
            <w:tcW w:w="2193" w:type="dxa"/>
            <w:vAlign w:val="center"/>
          </w:tcPr>
          <w:p w14:paraId="705F498A" w14:textId="77777777" w:rsidR="00DA6697" w:rsidRPr="0063119B" w:rsidRDefault="00DA6697" w:rsidP="00C7421C">
            <w:pPr>
              <w:pStyle w:val="BayerBodyTextFull"/>
              <w:keepNext/>
              <w:spacing w:before="60" w:after="60"/>
              <w:ind w:left="12"/>
              <w:rPr>
                <w:sz w:val="22"/>
                <w:szCs w:val="22"/>
              </w:rPr>
            </w:pPr>
            <w:r w:rsidRPr="0063119B">
              <w:rPr>
                <w:sz w:val="22"/>
                <w:szCs w:val="22"/>
              </w:rPr>
              <w:t>350 [186-362] </w:t>
            </w:r>
            <w:proofErr w:type="spellStart"/>
            <w:r w:rsidRPr="0063119B">
              <w:rPr>
                <w:sz w:val="22"/>
                <w:szCs w:val="22"/>
              </w:rPr>
              <w:t>dias</w:t>
            </w:r>
            <w:proofErr w:type="spellEnd"/>
          </w:p>
        </w:tc>
      </w:tr>
      <w:tr w:rsidR="00DA6697" w:rsidRPr="0063119B" w14:paraId="69325E3C"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09" w:type="dxa"/>
            <w:vAlign w:val="center"/>
          </w:tcPr>
          <w:p w14:paraId="7C924D71" w14:textId="77777777" w:rsidR="00DA6697" w:rsidRPr="0063119B" w:rsidRDefault="00DA6697" w:rsidP="00C7421C">
            <w:pPr>
              <w:pStyle w:val="BayerTableRowHeadings"/>
              <w:spacing w:before="60" w:after="60"/>
              <w:ind w:left="34"/>
              <w:rPr>
                <w:szCs w:val="22"/>
              </w:rPr>
            </w:pPr>
            <w:r w:rsidRPr="0063119B">
              <w:rPr>
                <w:szCs w:val="22"/>
              </w:rPr>
              <w:t xml:space="preserve">TEV </w:t>
            </w:r>
            <w:proofErr w:type="spellStart"/>
            <w:r w:rsidRPr="0063119B">
              <w:rPr>
                <w:szCs w:val="22"/>
              </w:rPr>
              <w:t>sintomático</w:t>
            </w:r>
            <w:proofErr w:type="spellEnd"/>
            <w:r w:rsidRPr="0063119B">
              <w:rPr>
                <w:szCs w:val="22"/>
              </w:rPr>
              <w:t xml:space="preserve"> </w:t>
            </w:r>
            <w:proofErr w:type="spellStart"/>
            <w:r w:rsidRPr="0063119B">
              <w:rPr>
                <w:szCs w:val="22"/>
              </w:rPr>
              <w:t>recorrente</w:t>
            </w:r>
            <w:proofErr w:type="spellEnd"/>
          </w:p>
        </w:tc>
        <w:tc>
          <w:tcPr>
            <w:tcW w:w="2185" w:type="dxa"/>
            <w:vAlign w:val="center"/>
          </w:tcPr>
          <w:p w14:paraId="13B1ED47" w14:textId="77777777" w:rsidR="00DA6697" w:rsidRPr="0063119B" w:rsidRDefault="00DA6697" w:rsidP="00C7421C">
            <w:pPr>
              <w:pStyle w:val="BayerBodyTextFull"/>
              <w:keepNext/>
              <w:spacing w:before="60" w:after="60"/>
              <w:ind w:left="12"/>
              <w:rPr>
                <w:sz w:val="22"/>
                <w:szCs w:val="22"/>
              </w:rPr>
            </w:pPr>
            <w:r w:rsidRPr="0063119B">
              <w:rPr>
                <w:sz w:val="22"/>
                <w:szCs w:val="22"/>
              </w:rPr>
              <w:t>17</w:t>
            </w:r>
            <w:r w:rsidRPr="0063119B">
              <w:rPr>
                <w:sz w:val="22"/>
                <w:szCs w:val="22"/>
              </w:rPr>
              <w:br/>
              <w:t>(1,5</w:t>
            </w:r>
            <w:proofErr w:type="gramStart"/>
            <w:r w:rsidRPr="0063119B">
              <w:rPr>
                <w:sz w:val="22"/>
                <w:szCs w:val="22"/>
              </w:rPr>
              <w:t>%)*</w:t>
            </w:r>
            <w:proofErr w:type="gramEnd"/>
          </w:p>
        </w:tc>
        <w:tc>
          <w:tcPr>
            <w:tcW w:w="2069" w:type="dxa"/>
            <w:vAlign w:val="center"/>
          </w:tcPr>
          <w:p w14:paraId="2BE86EC6" w14:textId="77777777" w:rsidR="00DA6697" w:rsidRPr="0063119B" w:rsidRDefault="00DA6697" w:rsidP="00C7421C">
            <w:pPr>
              <w:pStyle w:val="BayerBodyTextFull"/>
              <w:keepNext/>
              <w:spacing w:before="60" w:after="60"/>
              <w:ind w:left="12"/>
              <w:rPr>
                <w:sz w:val="22"/>
                <w:szCs w:val="22"/>
              </w:rPr>
            </w:pPr>
            <w:r w:rsidRPr="0063119B">
              <w:rPr>
                <w:sz w:val="22"/>
                <w:szCs w:val="22"/>
              </w:rPr>
              <w:t>13</w:t>
            </w:r>
            <w:r w:rsidRPr="0063119B">
              <w:rPr>
                <w:sz w:val="22"/>
                <w:szCs w:val="22"/>
              </w:rPr>
              <w:br/>
              <w:t>(1,2</w:t>
            </w:r>
            <w:proofErr w:type="gramStart"/>
            <w:r w:rsidRPr="0063119B">
              <w:rPr>
                <w:sz w:val="22"/>
                <w:szCs w:val="22"/>
              </w:rPr>
              <w:t>%)*</w:t>
            </w:r>
            <w:proofErr w:type="gramEnd"/>
            <w:r w:rsidRPr="0063119B">
              <w:rPr>
                <w:sz w:val="22"/>
                <w:szCs w:val="22"/>
              </w:rPr>
              <w:t>*</w:t>
            </w:r>
          </w:p>
        </w:tc>
        <w:tc>
          <w:tcPr>
            <w:tcW w:w="2193" w:type="dxa"/>
            <w:vAlign w:val="center"/>
          </w:tcPr>
          <w:p w14:paraId="0EEE5B54" w14:textId="77777777" w:rsidR="00DA6697" w:rsidRPr="0063119B" w:rsidRDefault="00DA6697" w:rsidP="00C7421C">
            <w:pPr>
              <w:pStyle w:val="BayerBodyTextFull"/>
              <w:keepNext/>
              <w:spacing w:before="60" w:after="60"/>
              <w:ind w:left="12"/>
              <w:rPr>
                <w:sz w:val="22"/>
                <w:szCs w:val="22"/>
              </w:rPr>
            </w:pPr>
            <w:r w:rsidRPr="0063119B">
              <w:rPr>
                <w:sz w:val="22"/>
                <w:szCs w:val="22"/>
              </w:rPr>
              <w:t>50</w:t>
            </w:r>
            <w:r w:rsidRPr="0063119B">
              <w:rPr>
                <w:sz w:val="22"/>
                <w:szCs w:val="22"/>
              </w:rPr>
              <w:br/>
              <w:t>(4,4%)</w:t>
            </w:r>
          </w:p>
        </w:tc>
      </w:tr>
      <w:tr w:rsidR="00DA6697" w:rsidRPr="0063119B" w14:paraId="00ED2B9C"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09" w:type="dxa"/>
            <w:vAlign w:val="center"/>
          </w:tcPr>
          <w:p w14:paraId="4C5610E4" w14:textId="77777777" w:rsidR="00DA6697" w:rsidRPr="0063119B" w:rsidRDefault="00DA6697" w:rsidP="00C7421C">
            <w:pPr>
              <w:pStyle w:val="BayerTableRowHeadings"/>
              <w:tabs>
                <w:tab w:val="left" w:pos="372"/>
              </w:tabs>
              <w:spacing w:before="60" w:after="60"/>
              <w:ind w:left="318"/>
              <w:rPr>
                <w:szCs w:val="22"/>
              </w:rPr>
            </w:pPr>
            <w:r w:rsidRPr="0063119B">
              <w:rPr>
                <w:szCs w:val="22"/>
              </w:rPr>
              <w:t xml:space="preserve">EP </w:t>
            </w:r>
            <w:proofErr w:type="spellStart"/>
            <w:r w:rsidRPr="0063119B">
              <w:rPr>
                <w:szCs w:val="22"/>
              </w:rPr>
              <w:t>sintomático</w:t>
            </w:r>
            <w:proofErr w:type="spellEnd"/>
            <w:r w:rsidRPr="0063119B">
              <w:rPr>
                <w:szCs w:val="22"/>
              </w:rPr>
              <w:t xml:space="preserve"> </w:t>
            </w:r>
            <w:proofErr w:type="spellStart"/>
            <w:r w:rsidRPr="0063119B">
              <w:rPr>
                <w:szCs w:val="22"/>
              </w:rPr>
              <w:t>recorrente</w:t>
            </w:r>
            <w:proofErr w:type="spellEnd"/>
          </w:p>
        </w:tc>
        <w:tc>
          <w:tcPr>
            <w:tcW w:w="2185" w:type="dxa"/>
            <w:vAlign w:val="center"/>
          </w:tcPr>
          <w:p w14:paraId="1CD2E6A7" w14:textId="77777777" w:rsidR="00DA6697" w:rsidRPr="0063119B" w:rsidRDefault="00DA6697" w:rsidP="00C7421C">
            <w:pPr>
              <w:pStyle w:val="BayerBodyTextFull"/>
              <w:keepNext/>
              <w:spacing w:before="60" w:after="60"/>
              <w:ind w:left="12"/>
              <w:rPr>
                <w:sz w:val="22"/>
                <w:szCs w:val="22"/>
              </w:rPr>
            </w:pPr>
            <w:r w:rsidRPr="0063119B">
              <w:rPr>
                <w:sz w:val="22"/>
                <w:szCs w:val="22"/>
              </w:rPr>
              <w:t>6</w:t>
            </w:r>
            <w:r w:rsidRPr="0063119B">
              <w:rPr>
                <w:sz w:val="22"/>
                <w:szCs w:val="22"/>
              </w:rPr>
              <w:br/>
              <w:t>(0,5%)</w:t>
            </w:r>
          </w:p>
        </w:tc>
        <w:tc>
          <w:tcPr>
            <w:tcW w:w="2069" w:type="dxa"/>
            <w:vAlign w:val="center"/>
          </w:tcPr>
          <w:p w14:paraId="61E756C1" w14:textId="77777777" w:rsidR="00DA6697" w:rsidRPr="0063119B" w:rsidRDefault="00DA6697" w:rsidP="00C7421C">
            <w:pPr>
              <w:pStyle w:val="BayerBodyTextFull"/>
              <w:keepNext/>
              <w:spacing w:before="60" w:after="60"/>
              <w:ind w:left="12"/>
              <w:rPr>
                <w:sz w:val="22"/>
                <w:szCs w:val="22"/>
              </w:rPr>
            </w:pPr>
            <w:r w:rsidRPr="0063119B">
              <w:rPr>
                <w:sz w:val="22"/>
                <w:szCs w:val="22"/>
              </w:rPr>
              <w:t>6</w:t>
            </w:r>
            <w:r w:rsidRPr="0063119B">
              <w:rPr>
                <w:sz w:val="22"/>
                <w:szCs w:val="22"/>
              </w:rPr>
              <w:br/>
              <w:t>(0,5%)</w:t>
            </w:r>
          </w:p>
        </w:tc>
        <w:tc>
          <w:tcPr>
            <w:tcW w:w="2193" w:type="dxa"/>
            <w:vAlign w:val="center"/>
          </w:tcPr>
          <w:p w14:paraId="02F80BE6" w14:textId="77777777" w:rsidR="00DA6697" w:rsidRPr="0063119B" w:rsidRDefault="00DA6697" w:rsidP="00C7421C">
            <w:pPr>
              <w:pStyle w:val="BayerBodyTextFull"/>
              <w:keepNext/>
              <w:spacing w:before="60" w:after="60"/>
              <w:ind w:left="12"/>
              <w:rPr>
                <w:sz w:val="22"/>
                <w:szCs w:val="22"/>
              </w:rPr>
            </w:pPr>
            <w:r w:rsidRPr="0063119B">
              <w:rPr>
                <w:sz w:val="22"/>
                <w:szCs w:val="22"/>
              </w:rPr>
              <w:t>19</w:t>
            </w:r>
            <w:r w:rsidRPr="0063119B">
              <w:rPr>
                <w:sz w:val="22"/>
                <w:szCs w:val="22"/>
              </w:rPr>
              <w:br/>
              <w:t>(1,7%)</w:t>
            </w:r>
          </w:p>
        </w:tc>
      </w:tr>
      <w:tr w:rsidR="00DA6697" w:rsidRPr="0063119B" w14:paraId="460862B2"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09" w:type="dxa"/>
            <w:vAlign w:val="center"/>
          </w:tcPr>
          <w:p w14:paraId="25AEA3DE" w14:textId="77777777" w:rsidR="00DA6697" w:rsidRPr="0063119B" w:rsidRDefault="00DA6697" w:rsidP="00C7421C">
            <w:pPr>
              <w:pStyle w:val="BayerTableRowHeadings"/>
              <w:tabs>
                <w:tab w:val="left" w:pos="-108"/>
              </w:tabs>
              <w:spacing w:before="60" w:after="60"/>
              <w:ind w:left="318"/>
              <w:rPr>
                <w:szCs w:val="22"/>
              </w:rPr>
            </w:pPr>
            <w:r w:rsidRPr="0063119B">
              <w:rPr>
                <w:szCs w:val="22"/>
              </w:rPr>
              <w:t xml:space="preserve">TVP </w:t>
            </w:r>
            <w:proofErr w:type="spellStart"/>
            <w:r w:rsidRPr="0063119B">
              <w:rPr>
                <w:szCs w:val="22"/>
              </w:rPr>
              <w:t>sintomática</w:t>
            </w:r>
            <w:proofErr w:type="spellEnd"/>
            <w:r w:rsidRPr="0063119B">
              <w:rPr>
                <w:szCs w:val="22"/>
              </w:rPr>
              <w:t xml:space="preserve"> </w:t>
            </w:r>
            <w:proofErr w:type="spellStart"/>
            <w:r w:rsidRPr="0063119B">
              <w:rPr>
                <w:szCs w:val="22"/>
              </w:rPr>
              <w:t>recorrente</w:t>
            </w:r>
            <w:proofErr w:type="spellEnd"/>
          </w:p>
        </w:tc>
        <w:tc>
          <w:tcPr>
            <w:tcW w:w="2185" w:type="dxa"/>
            <w:vAlign w:val="center"/>
          </w:tcPr>
          <w:p w14:paraId="37D13BDB" w14:textId="77777777" w:rsidR="00DA6697" w:rsidRPr="0063119B" w:rsidRDefault="00DA6697" w:rsidP="00C7421C">
            <w:pPr>
              <w:pStyle w:val="BayerBodyTextFull"/>
              <w:keepNext/>
              <w:spacing w:before="60" w:after="60"/>
              <w:ind w:left="12"/>
              <w:rPr>
                <w:sz w:val="22"/>
                <w:szCs w:val="22"/>
              </w:rPr>
            </w:pPr>
            <w:r w:rsidRPr="0063119B">
              <w:rPr>
                <w:sz w:val="22"/>
                <w:szCs w:val="22"/>
              </w:rPr>
              <w:t>9</w:t>
            </w:r>
            <w:r w:rsidRPr="0063119B">
              <w:rPr>
                <w:sz w:val="22"/>
                <w:szCs w:val="22"/>
              </w:rPr>
              <w:br/>
              <w:t>(0,8%)</w:t>
            </w:r>
          </w:p>
        </w:tc>
        <w:tc>
          <w:tcPr>
            <w:tcW w:w="2069" w:type="dxa"/>
            <w:vAlign w:val="center"/>
          </w:tcPr>
          <w:p w14:paraId="70F220CD" w14:textId="77777777" w:rsidR="00DA6697" w:rsidRPr="0063119B" w:rsidRDefault="00DA6697" w:rsidP="00C7421C">
            <w:pPr>
              <w:pStyle w:val="BayerBodyTextFull"/>
              <w:keepNext/>
              <w:spacing w:before="60" w:after="60"/>
              <w:ind w:left="12"/>
              <w:rPr>
                <w:sz w:val="22"/>
                <w:szCs w:val="22"/>
              </w:rPr>
            </w:pPr>
            <w:r w:rsidRPr="0063119B">
              <w:rPr>
                <w:sz w:val="22"/>
                <w:szCs w:val="22"/>
              </w:rPr>
              <w:t>8</w:t>
            </w:r>
            <w:r w:rsidRPr="0063119B">
              <w:rPr>
                <w:sz w:val="22"/>
                <w:szCs w:val="22"/>
              </w:rPr>
              <w:br/>
              <w:t>(0,7%)</w:t>
            </w:r>
          </w:p>
        </w:tc>
        <w:tc>
          <w:tcPr>
            <w:tcW w:w="2193" w:type="dxa"/>
            <w:vAlign w:val="center"/>
          </w:tcPr>
          <w:p w14:paraId="13E151B6" w14:textId="77777777" w:rsidR="00DA6697" w:rsidRPr="0063119B" w:rsidRDefault="00DA6697" w:rsidP="00C7421C">
            <w:pPr>
              <w:pStyle w:val="BayerBodyTextFull"/>
              <w:keepNext/>
              <w:spacing w:before="60" w:after="60"/>
              <w:ind w:left="12"/>
              <w:rPr>
                <w:sz w:val="22"/>
                <w:szCs w:val="22"/>
              </w:rPr>
            </w:pPr>
            <w:r w:rsidRPr="0063119B">
              <w:rPr>
                <w:sz w:val="22"/>
                <w:szCs w:val="22"/>
              </w:rPr>
              <w:t>30</w:t>
            </w:r>
            <w:r w:rsidRPr="0063119B">
              <w:rPr>
                <w:sz w:val="22"/>
                <w:szCs w:val="22"/>
              </w:rPr>
              <w:br/>
              <w:t>(2,7%)</w:t>
            </w:r>
          </w:p>
        </w:tc>
      </w:tr>
      <w:tr w:rsidR="00DA6697" w:rsidRPr="0063119B" w14:paraId="7D04F896"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09" w:type="dxa"/>
            <w:vAlign w:val="center"/>
          </w:tcPr>
          <w:p w14:paraId="4ABF2D9D" w14:textId="77777777" w:rsidR="00DA6697" w:rsidRPr="0063119B" w:rsidRDefault="00DA6697" w:rsidP="00C7421C">
            <w:pPr>
              <w:pStyle w:val="BayerTableRowHeadings"/>
              <w:tabs>
                <w:tab w:val="left" w:pos="-1242"/>
              </w:tabs>
              <w:spacing w:before="60" w:after="60"/>
              <w:ind w:left="318"/>
              <w:rPr>
                <w:szCs w:val="22"/>
                <w:lang w:val="pt-PT"/>
              </w:rPr>
            </w:pPr>
            <w:r w:rsidRPr="0063119B">
              <w:rPr>
                <w:szCs w:val="22"/>
                <w:lang w:val="pt-PT"/>
              </w:rPr>
              <w:t>EP fatal/morte na qual não se pode excluir EP</w:t>
            </w:r>
          </w:p>
        </w:tc>
        <w:tc>
          <w:tcPr>
            <w:tcW w:w="2185" w:type="dxa"/>
            <w:vAlign w:val="center"/>
          </w:tcPr>
          <w:p w14:paraId="2345CFE8" w14:textId="77777777" w:rsidR="00DA6697" w:rsidRPr="0063119B" w:rsidRDefault="00DA6697" w:rsidP="00C7421C">
            <w:pPr>
              <w:pStyle w:val="BayerBodyTextFull"/>
              <w:keepNext/>
              <w:spacing w:before="60" w:after="60"/>
              <w:ind w:left="12"/>
              <w:rPr>
                <w:sz w:val="22"/>
                <w:szCs w:val="22"/>
              </w:rPr>
            </w:pPr>
            <w:r w:rsidRPr="0063119B">
              <w:rPr>
                <w:sz w:val="22"/>
                <w:szCs w:val="22"/>
              </w:rPr>
              <w:t>2</w:t>
            </w:r>
            <w:r w:rsidRPr="0063119B">
              <w:rPr>
                <w:sz w:val="22"/>
                <w:szCs w:val="22"/>
              </w:rPr>
              <w:br/>
              <w:t>(0,2%)</w:t>
            </w:r>
          </w:p>
        </w:tc>
        <w:tc>
          <w:tcPr>
            <w:tcW w:w="2069" w:type="dxa"/>
            <w:vAlign w:val="center"/>
          </w:tcPr>
          <w:p w14:paraId="4845B206" w14:textId="77777777" w:rsidR="00DA6697" w:rsidRPr="0063119B" w:rsidRDefault="00DA6697" w:rsidP="00C7421C">
            <w:pPr>
              <w:pStyle w:val="BayerBodyTextFull"/>
              <w:keepNext/>
              <w:spacing w:before="60" w:after="60"/>
              <w:ind w:left="12"/>
              <w:rPr>
                <w:sz w:val="22"/>
                <w:szCs w:val="22"/>
              </w:rPr>
            </w:pPr>
            <w:r w:rsidRPr="0063119B">
              <w:rPr>
                <w:sz w:val="22"/>
                <w:szCs w:val="22"/>
              </w:rPr>
              <w:t>0</w:t>
            </w:r>
            <w:r w:rsidRPr="0063119B">
              <w:rPr>
                <w:sz w:val="22"/>
                <w:szCs w:val="22"/>
              </w:rPr>
              <w:br/>
            </w:r>
          </w:p>
        </w:tc>
        <w:tc>
          <w:tcPr>
            <w:tcW w:w="2193" w:type="dxa"/>
            <w:vAlign w:val="center"/>
          </w:tcPr>
          <w:p w14:paraId="34CB799B" w14:textId="77777777" w:rsidR="00DA6697" w:rsidRPr="0063119B" w:rsidRDefault="00DA6697" w:rsidP="00C7421C">
            <w:pPr>
              <w:pStyle w:val="BayerBodyTextFull"/>
              <w:keepNext/>
              <w:spacing w:before="60" w:after="60"/>
              <w:ind w:left="12"/>
              <w:rPr>
                <w:sz w:val="22"/>
                <w:szCs w:val="22"/>
              </w:rPr>
            </w:pPr>
            <w:r w:rsidRPr="0063119B">
              <w:rPr>
                <w:sz w:val="22"/>
                <w:szCs w:val="22"/>
              </w:rPr>
              <w:t>2</w:t>
            </w:r>
            <w:r w:rsidRPr="0063119B">
              <w:rPr>
                <w:sz w:val="22"/>
                <w:szCs w:val="22"/>
              </w:rPr>
              <w:br/>
              <w:t>(0,2%)</w:t>
            </w:r>
          </w:p>
        </w:tc>
      </w:tr>
      <w:tr w:rsidR="00DA6697" w:rsidRPr="0063119B" w14:paraId="2E95E311"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09" w:type="dxa"/>
            <w:vAlign w:val="center"/>
          </w:tcPr>
          <w:p w14:paraId="42C1850F" w14:textId="77777777" w:rsidR="00DA6697" w:rsidRPr="0063119B" w:rsidRDefault="00DA6697" w:rsidP="00C7421C">
            <w:pPr>
              <w:pStyle w:val="BayerTableRowHeadings"/>
              <w:spacing w:before="60" w:after="60"/>
              <w:ind w:left="34"/>
              <w:rPr>
                <w:szCs w:val="22"/>
                <w:lang w:val="pt-PT"/>
              </w:rPr>
            </w:pPr>
            <w:r w:rsidRPr="0063119B">
              <w:rPr>
                <w:szCs w:val="22"/>
                <w:lang w:val="pt-PT"/>
              </w:rPr>
              <w:t>TEV sintomático recorrente, EM, AVC  ou embolismo sistémico não do SNC</w:t>
            </w:r>
          </w:p>
        </w:tc>
        <w:tc>
          <w:tcPr>
            <w:tcW w:w="2185" w:type="dxa"/>
            <w:vAlign w:val="center"/>
          </w:tcPr>
          <w:p w14:paraId="151A5FF3" w14:textId="77777777" w:rsidR="00DA6697" w:rsidRPr="0063119B" w:rsidRDefault="00DA6697" w:rsidP="00C7421C">
            <w:pPr>
              <w:pStyle w:val="BayerBodyTextFull"/>
              <w:keepNext/>
              <w:spacing w:before="60" w:after="60"/>
              <w:ind w:left="12"/>
              <w:rPr>
                <w:sz w:val="22"/>
                <w:szCs w:val="22"/>
              </w:rPr>
            </w:pPr>
            <w:r w:rsidRPr="0063119B">
              <w:rPr>
                <w:sz w:val="22"/>
                <w:szCs w:val="22"/>
              </w:rPr>
              <w:t>19</w:t>
            </w:r>
            <w:r w:rsidRPr="0063119B">
              <w:rPr>
                <w:sz w:val="22"/>
                <w:szCs w:val="22"/>
              </w:rPr>
              <w:br/>
              <w:t>(1,7%)</w:t>
            </w:r>
          </w:p>
        </w:tc>
        <w:tc>
          <w:tcPr>
            <w:tcW w:w="2069" w:type="dxa"/>
            <w:vAlign w:val="center"/>
          </w:tcPr>
          <w:p w14:paraId="2FDFBC67" w14:textId="77777777" w:rsidR="00DA6697" w:rsidRPr="0063119B" w:rsidRDefault="00DA6697" w:rsidP="00C7421C">
            <w:pPr>
              <w:pStyle w:val="BayerBodyTextFull"/>
              <w:keepNext/>
              <w:spacing w:before="60" w:after="60"/>
              <w:ind w:left="12"/>
              <w:rPr>
                <w:sz w:val="22"/>
                <w:szCs w:val="22"/>
              </w:rPr>
            </w:pPr>
            <w:r w:rsidRPr="0063119B">
              <w:rPr>
                <w:sz w:val="22"/>
                <w:szCs w:val="22"/>
              </w:rPr>
              <w:t>18</w:t>
            </w:r>
            <w:r w:rsidRPr="0063119B">
              <w:rPr>
                <w:sz w:val="22"/>
                <w:szCs w:val="22"/>
              </w:rPr>
              <w:br/>
              <w:t>(1,6%)</w:t>
            </w:r>
          </w:p>
        </w:tc>
        <w:tc>
          <w:tcPr>
            <w:tcW w:w="2193" w:type="dxa"/>
            <w:vAlign w:val="center"/>
          </w:tcPr>
          <w:p w14:paraId="354B8E11" w14:textId="77777777" w:rsidR="00DA6697" w:rsidRPr="0063119B" w:rsidRDefault="00DA6697" w:rsidP="00C7421C">
            <w:pPr>
              <w:pStyle w:val="BayerBodyTextFull"/>
              <w:keepNext/>
              <w:spacing w:before="60" w:after="60"/>
              <w:ind w:left="12"/>
              <w:rPr>
                <w:sz w:val="22"/>
                <w:szCs w:val="22"/>
              </w:rPr>
            </w:pPr>
            <w:r w:rsidRPr="0063119B">
              <w:rPr>
                <w:sz w:val="22"/>
                <w:szCs w:val="22"/>
              </w:rPr>
              <w:t>56</w:t>
            </w:r>
            <w:r w:rsidRPr="0063119B">
              <w:rPr>
                <w:sz w:val="22"/>
                <w:szCs w:val="22"/>
              </w:rPr>
              <w:br/>
              <w:t>(5,0%)</w:t>
            </w:r>
          </w:p>
        </w:tc>
      </w:tr>
      <w:tr w:rsidR="00DA6697" w:rsidRPr="0063119B" w14:paraId="44FC2CDD"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09" w:type="dxa"/>
            <w:vAlign w:val="center"/>
          </w:tcPr>
          <w:p w14:paraId="4734C231" w14:textId="77777777" w:rsidR="00DA6697" w:rsidRPr="0063119B" w:rsidRDefault="00DA6697" w:rsidP="00C7421C">
            <w:pPr>
              <w:pStyle w:val="BayerTableRowHeadings"/>
              <w:spacing w:before="60" w:after="60"/>
              <w:ind w:left="34"/>
              <w:rPr>
                <w:szCs w:val="22"/>
              </w:rPr>
            </w:pPr>
            <w:proofErr w:type="spellStart"/>
            <w:r w:rsidRPr="0063119B">
              <w:rPr>
                <w:szCs w:val="22"/>
              </w:rPr>
              <w:t>Acontecimentos</w:t>
            </w:r>
            <w:proofErr w:type="spellEnd"/>
            <w:r w:rsidRPr="0063119B">
              <w:rPr>
                <w:szCs w:val="22"/>
              </w:rPr>
              <w:t xml:space="preserve"> </w:t>
            </w:r>
            <w:proofErr w:type="spellStart"/>
            <w:r w:rsidRPr="0063119B">
              <w:rPr>
                <w:szCs w:val="22"/>
              </w:rPr>
              <w:t>hemorrágicos</w:t>
            </w:r>
            <w:proofErr w:type="spellEnd"/>
            <w:r w:rsidRPr="0063119B">
              <w:rPr>
                <w:szCs w:val="22"/>
              </w:rPr>
              <w:t xml:space="preserve"> </w:t>
            </w:r>
            <w:proofErr w:type="spellStart"/>
            <w:r w:rsidRPr="0063119B">
              <w:rPr>
                <w:szCs w:val="22"/>
              </w:rPr>
              <w:t>principais</w:t>
            </w:r>
            <w:proofErr w:type="spellEnd"/>
          </w:p>
        </w:tc>
        <w:tc>
          <w:tcPr>
            <w:tcW w:w="2185" w:type="dxa"/>
            <w:vAlign w:val="center"/>
          </w:tcPr>
          <w:p w14:paraId="4E0AA26C" w14:textId="77777777" w:rsidR="00DA6697" w:rsidRPr="0063119B" w:rsidRDefault="00DA6697" w:rsidP="00C7421C">
            <w:pPr>
              <w:pStyle w:val="BayerBodyTextFull"/>
              <w:keepNext/>
              <w:spacing w:before="60" w:after="60"/>
              <w:ind w:left="12"/>
              <w:rPr>
                <w:sz w:val="22"/>
                <w:szCs w:val="22"/>
              </w:rPr>
            </w:pPr>
            <w:r w:rsidRPr="0063119B">
              <w:rPr>
                <w:sz w:val="22"/>
                <w:szCs w:val="22"/>
              </w:rPr>
              <w:t>6</w:t>
            </w:r>
            <w:r w:rsidRPr="0063119B">
              <w:rPr>
                <w:sz w:val="22"/>
                <w:szCs w:val="22"/>
              </w:rPr>
              <w:br/>
              <w:t>(0,5%)</w:t>
            </w:r>
          </w:p>
        </w:tc>
        <w:tc>
          <w:tcPr>
            <w:tcW w:w="2069" w:type="dxa"/>
            <w:vAlign w:val="center"/>
          </w:tcPr>
          <w:p w14:paraId="0905F429" w14:textId="77777777" w:rsidR="00DA6697" w:rsidRPr="0063119B" w:rsidRDefault="00DA6697" w:rsidP="00C7421C">
            <w:pPr>
              <w:pStyle w:val="BayerBodyTextFull"/>
              <w:keepNext/>
              <w:spacing w:before="60" w:after="60"/>
              <w:ind w:left="12"/>
              <w:rPr>
                <w:sz w:val="22"/>
                <w:szCs w:val="22"/>
              </w:rPr>
            </w:pPr>
            <w:r w:rsidRPr="0063119B">
              <w:rPr>
                <w:sz w:val="22"/>
                <w:szCs w:val="22"/>
              </w:rPr>
              <w:t>5</w:t>
            </w:r>
            <w:r w:rsidRPr="0063119B">
              <w:rPr>
                <w:sz w:val="22"/>
                <w:szCs w:val="22"/>
              </w:rPr>
              <w:br/>
              <w:t>(0,4%)</w:t>
            </w:r>
          </w:p>
        </w:tc>
        <w:tc>
          <w:tcPr>
            <w:tcW w:w="2193" w:type="dxa"/>
            <w:vAlign w:val="center"/>
          </w:tcPr>
          <w:p w14:paraId="44748417" w14:textId="77777777" w:rsidR="00DA6697" w:rsidRPr="0063119B" w:rsidRDefault="00DA6697" w:rsidP="00C7421C">
            <w:pPr>
              <w:pStyle w:val="BayerBodyTextFull"/>
              <w:keepNext/>
              <w:spacing w:before="60" w:after="60"/>
              <w:ind w:left="12"/>
              <w:rPr>
                <w:sz w:val="22"/>
                <w:szCs w:val="22"/>
              </w:rPr>
            </w:pPr>
            <w:r w:rsidRPr="0063119B">
              <w:rPr>
                <w:sz w:val="22"/>
                <w:szCs w:val="22"/>
              </w:rPr>
              <w:t>3</w:t>
            </w:r>
            <w:r w:rsidRPr="0063119B">
              <w:rPr>
                <w:sz w:val="22"/>
                <w:szCs w:val="22"/>
              </w:rPr>
              <w:br/>
              <w:t>(0,3%)</w:t>
            </w:r>
          </w:p>
        </w:tc>
      </w:tr>
      <w:tr w:rsidR="00DA6697" w:rsidRPr="0063119B" w14:paraId="56FA6D2C"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09" w:type="dxa"/>
            <w:vAlign w:val="center"/>
          </w:tcPr>
          <w:p w14:paraId="1951F134" w14:textId="77777777" w:rsidR="00DA6697" w:rsidRPr="0063119B" w:rsidRDefault="00DA6697" w:rsidP="00C7421C">
            <w:pPr>
              <w:pStyle w:val="BayerTableRowHeadings"/>
              <w:spacing w:before="60" w:after="60"/>
              <w:rPr>
                <w:szCs w:val="22"/>
                <w:lang w:val="pt-PT"/>
              </w:rPr>
            </w:pPr>
            <w:r w:rsidRPr="0063119B">
              <w:rPr>
                <w:szCs w:val="22"/>
                <w:lang w:val="pt-PT"/>
              </w:rPr>
              <w:t>Hemorragia não principal clinicamente relevante</w:t>
            </w:r>
          </w:p>
        </w:tc>
        <w:tc>
          <w:tcPr>
            <w:tcW w:w="2185" w:type="dxa"/>
            <w:vAlign w:val="center"/>
          </w:tcPr>
          <w:p w14:paraId="779F2656" w14:textId="77777777" w:rsidR="00DA6697" w:rsidRPr="0063119B" w:rsidRDefault="00DA6697" w:rsidP="00C7421C">
            <w:pPr>
              <w:pStyle w:val="BayerBodyTextFull"/>
              <w:keepNext/>
              <w:spacing w:before="60" w:after="60"/>
              <w:ind w:left="12"/>
              <w:rPr>
                <w:sz w:val="22"/>
                <w:szCs w:val="22"/>
              </w:rPr>
            </w:pPr>
            <w:r w:rsidRPr="0063119B">
              <w:rPr>
                <w:sz w:val="22"/>
                <w:szCs w:val="22"/>
              </w:rPr>
              <w:t xml:space="preserve">30 </w:t>
            </w:r>
            <w:r w:rsidRPr="0063119B">
              <w:rPr>
                <w:sz w:val="22"/>
                <w:szCs w:val="22"/>
              </w:rPr>
              <w:br/>
              <w:t>(2,7%)</w:t>
            </w:r>
          </w:p>
        </w:tc>
        <w:tc>
          <w:tcPr>
            <w:tcW w:w="2069" w:type="dxa"/>
            <w:vAlign w:val="center"/>
          </w:tcPr>
          <w:p w14:paraId="2F8EB844" w14:textId="77777777" w:rsidR="00DA6697" w:rsidRPr="0063119B" w:rsidRDefault="00DA6697" w:rsidP="00C7421C">
            <w:pPr>
              <w:pStyle w:val="BayerBodyTextFull"/>
              <w:keepNext/>
              <w:spacing w:before="60" w:after="60"/>
              <w:ind w:left="12"/>
              <w:rPr>
                <w:sz w:val="22"/>
                <w:szCs w:val="22"/>
              </w:rPr>
            </w:pPr>
            <w:r w:rsidRPr="0063119B">
              <w:rPr>
                <w:sz w:val="22"/>
                <w:szCs w:val="22"/>
              </w:rPr>
              <w:t xml:space="preserve">22 </w:t>
            </w:r>
            <w:r w:rsidRPr="0063119B">
              <w:rPr>
                <w:sz w:val="22"/>
                <w:szCs w:val="22"/>
              </w:rPr>
              <w:br/>
              <w:t>(2,0%)</w:t>
            </w:r>
          </w:p>
        </w:tc>
        <w:tc>
          <w:tcPr>
            <w:tcW w:w="2193" w:type="dxa"/>
            <w:vAlign w:val="center"/>
          </w:tcPr>
          <w:p w14:paraId="113FC878" w14:textId="77777777" w:rsidR="00DA6697" w:rsidRPr="0063119B" w:rsidRDefault="00DA6697" w:rsidP="00C7421C">
            <w:pPr>
              <w:pStyle w:val="BayerBodyTextFull"/>
              <w:keepNext/>
              <w:spacing w:before="60" w:after="60"/>
              <w:ind w:left="12"/>
              <w:rPr>
                <w:sz w:val="22"/>
                <w:szCs w:val="22"/>
              </w:rPr>
            </w:pPr>
            <w:r w:rsidRPr="0063119B">
              <w:rPr>
                <w:sz w:val="22"/>
                <w:szCs w:val="22"/>
              </w:rPr>
              <w:t>20</w:t>
            </w:r>
            <w:r w:rsidRPr="0063119B">
              <w:rPr>
                <w:sz w:val="22"/>
                <w:szCs w:val="22"/>
              </w:rPr>
              <w:br/>
              <w:t>(1,8%)</w:t>
            </w:r>
          </w:p>
        </w:tc>
      </w:tr>
      <w:tr w:rsidR="00DA6697" w:rsidRPr="0063119B" w14:paraId="6922E211"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09" w:type="dxa"/>
            <w:vAlign w:val="center"/>
          </w:tcPr>
          <w:p w14:paraId="603B190F" w14:textId="77777777" w:rsidR="00DA6697" w:rsidRPr="0063119B" w:rsidRDefault="00DA6697" w:rsidP="00C7421C">
            <w:pPr>
              <w:pStyle w:val="BayerTableRowHeadings"/>
              <w:spacing w:before="60" w:after="60"/>
              <w:rPr>
                <w:szCs w:val="22"/>
                <w:lang w:val="pt-PT"/>
              </w:rPr>
            </w:pPr>
            <w:r w:rsidRPr="0063119B">
              <w:rPr>
                <w:szCs w:val="22"/>
                <w:lang w:val="pt-PT"/>
              </w:rPr>
              <w:t>TEV sintomático recorrente ou hemorragia principal(benefício clínico efetivo)</w:t>
            </w:r>
          </w:p>
        </w:tc>
        <w:tc>
          <w:tcPr>
            <w:tcW w:w="2185" w:type="dxa"/>
            <w:vAlign w:val="center"/>
          </w:tcPr>
          <w:p w14:paraId="563D39C0" w14:textId="77777777" w:rsidR="00DA6697" w:rsidRPr="0063119B" w:rsidRDefault="00DA6697" w:rsidP="00C7421C">
            <w:pPr>
              <w:pStyle w:val="BayerBodyTextFull"/>
              <w:keepNext/>
              <w:spacing w:before="60" w:after="60"/>
              <w:ind w:left="12"/>
              <w:rPr>
                <w:sz w:val="22"/>
                <w:szCs w:val="22"/>
              </w:rPr>
            </w:pPr>
            <w:r w:rsidRPr="0063119B">
              <w:rPr>
                <w:sz w:val="22"/>
                <w:szCs w:val="22"/>
              </w:rPr>
              <w:t>23</w:t>
            </w:r>
            <w:r w:rsidRPr="0063119B">
              <w:rPr>
                <w:sz w:val="22"/>
                <w:szCs w:val="22"/>
              </w:rPr>
              <w:br/>
              <w:t>(2,1</w:t>
            </w:r>
            <w:proofErr w:type="gramStart"/>
            <w:r w:rsidRPr="0063119B">
              <w:rPr>
                <w:sz w:val="22"/>
                <w:szCs w:val="22"/>
              </w:rPr>
              <w:t>%)</w:t>
            </w:r>
            <w:r w:rsidRPr="0063119B">
              <w:rPr>
                <w:sz w:val="22"/>
                <w:szCs w:val="22"/>
                <w:vertAlign w:val="superscript"/>
              </w:rPr>
              <w:t>+</w:t>
            </w:r>
            <w:proofErr w:type="gramEnd"/>
          </w:p>
        </w:tc>
        <w:tc>
          <w:tcPr>
            <w:tcW w:w="2069" w:type="dxa"/>
            <w:vAlign w:val="center"/>
          </w:tcPr>
          <w:p w14:paraId="05DD6AC6" w14:textId="77777777" w:rsidR="00DA6697" w:rsidRPr="0063119B" w:rsidRDefault="00DA6697" w:rsidP="00C7421C">
            <w:pPr>
              <w:pStyle w:val="BayerBodyTextFull"/>
              <w:keepNext/>
              <w:spacing w:before="60" w:after="60"/>
              <w:ind w:left="12"/>
              <w:rPr>
                <w:sz w:val="22"/>
                <w:szCs w:val="22"/>
              </w:rPr>
            </w:pPr>
            <w:r w:rsidRPr="0063119B">
              <w:rPr>
                <w:sz w:val="22"/>
                <w:szCs w:val="22"/>
              </w:rPr>
              <w:t xml:space="preserve">17 </w:t>
            </w:r>
            <w:r w:rsidRPr="0063119B">
              <w:rPr>
                <w:sz w:val="22"/>
                <w:szCs w:val="22"/>
              </w:rPr>
              <w:br/>
              <w:t>(1,5</w:t>
            </w:r>
            <w:proofErr w:type="gramStart"/>
            <w:r w:rsidRPr="0063119B">
              <w:rPr>
                <w:sz w:val="22"/>
                <w:szCs w:val="22"/>
              </w:rPr>
              <w:t>%)</w:t>
            </w:r>
            <w:r w:rsidRPr="0063119B">
              <w:rPr>
                <w:sz w:val="22"/>
                <w:szCs w:val="22"/>
                <w:vertAlign w:val="superscript"/>
              </w:rPr>
              <w:t>+</w:t>
            </w:r>
            <w:proofErr w:type="gramEnd"/>
            <w:r w:rsidRPr="0063119B">
              <w:rPr>
                <w:sz w:val="22"/>
                <w:szCs w:val="22"/>
                <w:vertAlign w:val="superscript"/>
              </w:rPr>
              <w:t>+</w:t>
            </w:r>
          </w:p>
        </w:tc>
        <w:tc>
          <w:tcPr>
            <w:tcW w:w="2193" w:type="dxa"/>
            <w:vAlign w:val="center"/>
          </w:tcPr>
          <w:p w14:paraId="1A55D040" w14:textId="77777777" w:rsidR="00DA6697" w:rsidRPr="0063119B" w:rsidRDefault="00DA6697" w:rsidP="00C7421C">
            <w:pPr>
              <w:pStyle w:val="BayerBodyTextFull"/>
              <w:keepNext/>
              <w:spacing w:before="60" w:after="60"/>
              <w:ind w:left="12"/>
              <w:rPr>
                <w:sz w:val="22"/>
                <w:szCs w:val="22"/>
              </w:rPr>
            </w:pPr>
            <w:r w:rsidRPr="0063119B">
              <w:rPr>
                <w:sz w:val="22"/>
                <w:szCs w:val="22"/>
              </w:rPr>
              <w:t xml:space="preserve">53 </w:t>
            </w:r>
            <w:r w:rsidRPr="0063119B">
              <w:rPr>
                <w:sz w:val="22"/>
                <w:szCs w:val="22"/>
              </w:rPr>
              <w:br/>
              <w:t>(4,7%)</w:t>
            </w:r>
          </w:p>
        </w:tc>
      </w:tr>
      <w:tr w:rsidR="00DA6697" w:rsidRPr="0063119B" w14:paraId="551911EC" w14:textId="77777777" w:rsidTr="00DA6697">
        <w:tc>
          <w:tcPr>
            <w:tcW w:w="9356" w:type="dxa"/>
            <w:gridSpan w:val="4"/>
          </w:tcPr>
          <w:p w14:paraId="7A479691" w14:textId="77777777" w:rsidR="00DA6697" w:rsidRPr="0063119B" w:rsidRDefault="00DA6697" w:rsidP="00C7421C">
            <w:pPr>
              <w:pStyle w:val="BayerTableFootnote"/>
              <w:tabs>
                <w:tab w:val="right" w:pos="480"/>
                <w:tab w:val="left" w:pos="600"/>
              </w:tabs>
              <w:spacing w:after="0"/>
              <w:ind w:left="0" w:firstLine="0"/>
              <w:rPr>
                <w:szCs w:val="22"/>
                <w:lang w:val="pt-PT"/>
              </w:rPr>
            </w:pPr>
            <w:r w:rsidRPr="0063119B">
              <w:rPr>
                <w:szCs w:val="22"/>
                <w:lang w:val="pt-PT"/>
              </w:rPr>
              <w:t xml:space="preserve">* </w:t>
            </w:r>
            <w:r w:rsidRPr="0063119B">
              <w:rPr>
                <w:szCs w:val="22"/>
                <w:lang w:val="pt-PT"/>
              </w:rPr>
              <w:tab/>
              <w:t xml:space="preserve">p&lt;0,001 (superioridade) </w:t>
            </w:r>
            <w:r w:rsidR="00DB6C0E" w:rsidRPr="0063119B">
              <w:rPr>
                <w:szCs w:val="22"/>
                <w:lang w:val="pt-PT"/>
              </w:rPr>
              <w:t>rivaroxabano</w:t>
            </w:r>
            <w:r w:rsidRPr="0063119B">
              <w:rPr>
                <w:szCs w:val="22"/>
                <w:lang w:val="pt-PT"/>
              </w:rPr>
              <w:t xml:space="preserve"> 20 mg uma vez por dia vs AAS 100 mg uma vez por dia; RR=0,34 (0,20-0,59)</w:t>
            </w:r>
          </w:p>
          <w:p w14:paraId="27682433" w14:textId="77777777" w:rsidR="00DA6697" w:rsidRPr="0063119B" w:rsidRDefault="00DA6697" w:rsidP="00C7421C">
            <w:pPr>
              <w:pStyle w:val="BayerTableFootnote"/>
              <w:tabs>
                <w:tab w:val="right" w:pos="480"/>
                <w:tab w:val="left" w:pos="600"/>
              </w:tabs>
              <w:spacing w:after="0"/>
              <w:ind w:left="0" w:firstLine="0"/>
              <w:rPr>
                <w:szCs w:val="22"/>
                <w:lang w:val="pt-PT"/>
              </w:rPr>
            </w:pPr>
            <w:r w:rsidRPr="0063119B">
              <w:rPr>
                <w:szCs w:val="22"/>
                <w:lang w:val="pt-PT"/>
              </w:rPr>
              <w:t xml:space="preserve">** p&lt;0,001 (superioridade) </w:t>
            </w:r>
            <w:r w:rsidR="00DB6C0E" w:rsidRPr="0063119B">
              <w:rPr>
                <w:szCs w:val="22"/>
                <w:lang w:val="pt-PT"/>
              </w:rPr>
              <w:t>rivaroxabano</w:t>
            </w:r>
            <w:r w:rsidRPr="0063119B">
              <w:rPr>
                <w:szCs w:val="22"/>
                <w:lang w:val="pt-PT"/>
              </w:rPr>
              <w:t xml:space="preserve"> 10 mg uma vez por dia vs AAS 100 mg uma vez por dia; RR=0,26 (0,14-0,47)</w:t>
            </w:r>
          </w:p>
          <w:p w14:paraId="6141852D" w14:textId="77777777" w:rsidR="00DA6697" w:rsidRPr="0063119B" w:rsidRDefault="00DA6697" w:rsidP="00C7421C">
            <w:pPr>
              <w:rPr>
                <w:szCs w:val="22"/>
              </w:rPr>
            </w:pPr>
            <w:r w:rsidRPr="0063119B">
              <w:rPr>
                <w:szCs w:val="22"/>
                <w:vertAlign w:val="superscript"/>
              </w:rPr>
              <w:t xml:space="preserve">+ </w:t>
            </w:r>
            <w:r w:rsidR="00215DC7" w:rsidRPr="0063119B">
              <w:rPr>
                <w:szCs w:val="22"/>
              </w:rPr>
              <w:t>R</w:t>
            </w:r>
            <w:r w:rsidR="00DB6C0E" w:rsidRPr="0063119B">
              <w:rPr>
                <w:szCs w:val="22"/>
              </w:rPr>
              <w:t>ivaroxabano</w:t>
            </w:r>
            <w:r w:rsidRPr="0063119B">
              <w:rPr>
                <w:szCs w:val="22"/>
              </w:rPr>
              <w:t xml:space="preserve"> 20 mg uma vez por dia vs. AAS 100 mg uma vez por dia; RR=0,44 (0,27-0,71), p=0,0009 (nominal) </w:t>
            </w:r>
          </w:p>
          <w:p w14:paraId="299F0895" w14:textId="77777777" w:rsidR="00DA6697" w:rsidRPr="0063119B" w:rsidRDefault="00DA6697" w:rsidP="00C7421C">
            <w:pPr>
              <w:pStyle w:val="BayerTableFootnote"/>
              <w:tabs>
                <w:tab w:val="right" w:pos="480"/>
                <w:tab w:val="left" w:pos="600"/>
              </w:tabs>
              <w:ind w:left="0" w:firstLine="0"/>
              <w:rPr>
                <w:szCs w:val="22"/>
                <w:lang w:val="pt-PT"/>
              </w:rPr>
            </w:pPr>
            <w:r w:rsidRPr="0063119B">
              <w:rPr>
                <w:szCs w:val="22"/>
                <w:vertAlign w:val="superscript"/>
                <w:lang w:val="pt-PT"/>
              </w:rPr>
              <w:t>++</w:t>
            </w:r>
            <w:r w:rsidRPr="0063119B">
              <w:rPr>
                <w:szCs w:val="22"/>
                <w:lang w:val="pt-PT"/>
              </w:rPr>
              <w:t xml:space="preserve"> </w:t>
            </w:r>
            <w:r w:rsidR="00215DC7" w:rsidRPr="0063119B">
              <w:rPr>
                <w:szCs w:val="22"/>
                <w:lang w:val="pt-PT"/>
              </w:rPr>
              <w:t>Rivaroxabano</w:t>
            </w:r>
            <w:r w:rsidRPr="0063119B">
              <w:rPr>
                <w:szCs w:val="22"/>
                <w:lang w:val="pt-PT"/>
              </w:rPr>
              <w:t xml:space="preserve"> 10 mg uma vez por dia vs. AAS 100 mg uma vez por dia; RR=0,32 (0,18-0,55), p&lt;0,0001 (nominal)</w:t>
            </w:r>
          </w:p>
        </w:tc>
      </w:tr>
    </w:tbl>
    <w:p w14:paraId="3DD163C0" w14:textId="77777777" w:rsidR="00DA6697" w:rsidRPr="0063119B" w:rsidRDefault="00DA6697" w:rsidP="00337111">
      <w:pPr>
        <w:suppressAutoHyphens/>
        <w:rPr>
          <w:noProof/>
          <w:szCs w:val="22"/>
        </w:rPr>
      </w:pPr>
    </w:p>
    <w:p w14:paraId="24EC8E80" w14:textId="77777777" w:rsidR="00DA6697" w:rsidRPr="0063119B" w:rsidRDefault="00DA6697" w:rsidP="00DA6697">
      <w:pPr>
        <w:rPr>
          <w:szCs w:val="22"/>
        </w:rPr>
      </w:pPr>
      <w:r w:rsidRPr="0063119B">
        <w:rPr>
          <w:szCs w:val="22"/>
        </w:rPr>
        <w:t xml:space="preserve">Adicionalmente ao programa de fase III EINSTEIN, foi realizado um estudo de coorte prospectivo, não intervencional, aberto (XALIA) com adjudicação central do resultado incluindo TEV recorrente, acontecimentos hemorrágicos principaise morte. Foram incluídos 5,142 doentes com TVP aguda para investigar a segurança a longo prazo do rivaroxabano comparado com a terapêutica anticoagulante padrão na prática clínica. As taxas de acontecimentos hemorrágicos principais, TEV recorrente e mortalidade de todas as causas para o rivaroxabano foram de 0,7%, 1,4% e 0,5% respectivamente. Houve diferenças nas características basais dos doentes incluindo idade, cancro e compromisso renal. Uma análise pré-especificada e estratificada por </w:t>
      </w:r>
      <w:r w:rsidRPr="0063119B">
        <w:rPr>
          <w:i/>
          <w:szCs w:val="22"/>
        </w:rPr>
        <w:t xml:space="preserve">propensity score </w:t>
      </w:r>
      <w:r w:rsidRPr="0063119B">
        <w:rPr>
          <w:szCs w:val="22"/>
        </w:rPr>
        <w:t>foi utilizada para ajustar as diferenças basais quantificadas mas o confundimento residual pode, apesar disso, influenciar os resultados. As RR ajustadas comparando rivaroxabano e a terapêutica padrão para acontecimentos hemorrágicos principais, TEV recorrente e mortalidade de todas as causas foram de 0,77 (IC 95% 0,40 - 1,50), 0,91 (IC 95% 0,54 -  1,54) e 0,51 (IC 95% 0,24 - 1,07), respectivamente.</w:t>
      </w:r>
    </w:p>
    <w:p w14:paraId="22237E7F" w14:textId="77777777" w:rsidR="00DA6697" w:rsidRPr="0063119B" w:rsidRDefault="00DA6697" w:rsidP="00DA6697">
      <w:pPr>
        <w:suppressAutoHyphens/>
        <w:rPr>
          <w:noProof/>
          <w:szCs w:val="22"/>
        </w:rPr>
      </w:pPr>
      <w:r w:rsidRPr="0063119B">
        <w:rPr>
          <w:szCs w:val="22"/>
        </w:rPr>
        <w:lastRenderedPageBreak/>
        <w:t>Estes resultados observados em doentes na prática clínica são consistentes com o perfil de segurança estabelecido para esta indicação.</w:t>
      </w:r>
    </w:p>
    <w:p w14:paraId="46B8983E" w14:textId="776AFC65" w:rsidR="00DA6697" w:rsidRDefault="00DA6697" w:rsidP="00337111">
      <w:pPr>
        <w:suppressAutoHyphens/>
        <w:rPr>
          <w:noProof/>
          <w:szCs w:val="22"/>
        </w:rPr>
      </w:pPr>
    </w:p>
    <w:p w14:paraId="5E61ACDE" w14:textId="66B692EF" w:rsidR="00365E1A" w:rsidRDefault="00365E1A" w:rsidP="00337111">
      <w:pPr>
        <w:suppressAutoHyphens/>
      </w:pPr>
      <w:r>
        <w:t>Num estudo pós-autorização, não intervencional em mais de 40.000 doentes oriundos de quatro países, sem história de cancro, o rivaroxabano foi prescrito para o tratamento ou prevenção do TVP e EP. As taxas de acontecimentos por 100 doentes-ano, para os acontecimentos tromboembólicos/TEV sintomáticos/clinicamente aparentes, que levaram à hospitalização variaram de 0,64 (IC 95% 0,40 - 0,97) no Reino Unido a 2,30 (IC 95% 2,11 - 2,51) para a Alemanha. As hemorragias resultando em hospitalização ocorreram em taxas de acontecimentos por 100 doentes-ano de 0,31 (IC 95% 0,23 - 0,42) para a hemorragia intracraniana, 0,89 (IC 95% 0,67 - 1,17) para a hemorragia gastrointestinal, 0,44 (IC 95% 0,26 - 0,74) para a hemorragia urogenital e 0,41 (IC 95% 0,31 - 0,54) para outras hemorragias.</w:t>
      </w:r>
    </w:p>
    <w:p w14:paraId="052FBFD5" w14:textId="77777777" w:rsidR="00365E1A" w:rsidRDefault="00365E1A" w:rsidP="00337111">
      <w:pPr>
        <w:suppressAutoHyphens/>
        <w:rPr>
          <w:noProof/>
          <w:szCs w:val="22"/>
        </w:rPr>
      </w:pPr>
    </w:p>
    <w:p w14:paraId="32B54EA7" w14:textId="77777777" w:rsidR="007E13AF" w:rsidRPr="006A13A4" w:rsidRDefault="007E13AF" w:rsidP="007E13AF">
      <w:pPr>
        <w:autoSpaceDE w:val="0"/>
        <w:autoSpaceDN w:val="0"/>
        <w:adjustRightInd w:val="0"/>
        <w:rPr>
          <w:color w:val="000000"/>
          <w:szCs w:val="22"/>
          <w:u w:val="single"/>
          <w:lang w:eastAsia="pt-PT"/>
        </w:rPr>
      </w:pPr>
      <w:r w:rsidRPr="006A13A4">
        <w:rPr>
          <w:color w:val="000000"/>
          <w:szCs w:val="22"/>
          <w:u w:val="single"/>
          <w:lang w:eastAsia="pt-PT"/>
        </w:rPr>
        <w:t xml:space="preserve">População pediátrica </w:t>
      </w:r>
    </w:p>
    <w:p w14:paraId="7097251F" w14:textId="77777777" w:rsidR="007E13AF" w:rsidRPr="007E13AF" w:rsidRDefault="007E13AF" w:rsidP="007E13AF">
      <w:pPr>
        <w:autoSpaceDE w:val="0"/>
        <w:autoSpaceDN w:val="0"/>
        <w:adjustRightInd w:val="0"/>
        <w:rPr>
          <w:color w:val="000000"/>
          <w:szCs w:val="22"/>
          <w:lang w:eastAsia="pt-PT"/>
        </w:rPr>
      </w:pPr>
      <w:r w:rsidRPr="007E13AF">
        <w:rPr>
          <w:i/>
          <w:iCs/>
          <w:color w:val="000000"/>
          <w:szCs w:val="22"/>
          <w:lang w:eastAsia="pt-PT"/>
        </w:rPr>
        <w:t xml:space="preserve">Tratamento do TEV e prevenção da recorrência de TEV em doentes pediátricos </w:t>
      </w:r>
    </w:p>
    <w:p w14:paraId="717808E6" w14:textId="77777777" w:rsidR="007E13AF" w:rsidRPr="007E13AF" w:rsidRDefault="007E13AF" w:rsidP="007E13AF">
      <w:pPr>
        <w:autoSpaceDE w:val="0"/>
        <w:autoSpaceDN w:val="0"/>
        <w:adjustRightInd w:val="0"/>
        <w:rPr>
          <w:color w:val="000000"/>
          <w:szCs w:val="22"/>
          <w:lang w:eastAsia="pt-PT"/>
        </w:rPr>
      </w:pPr>
      <w:r w:rsidRPr="007E13AF">
        <w:rPr>
          <w:color w:val="000000"/>
          <w:szCs w:val="22"/>
          <w:lang w:eastAsia="pt-PT"/>
        </w:rPr>
        <w:t xml:space="preserve">Foi estudado um total de 727 crianças com TEV agudo confirmado, das quais 528 receberam rivaroxabano, em seis estudos pediátricos, multicêntricos, abertos. A administração da dose ajustada em função do peso corporal em doentes desde o nascimento e até menos de 18 anos de idade resultou numa exposição ao rivaroxabano semelhante à observada em doentes adultos com TVP tratados com 20 mg de rivaroxabano uma vez por dia, conforme confirmado no estudo de fase III (ver secção 5.2). </w:t>
      </w:r>
    </w:p>
    <w:p w14:paraId="24FA5C76" w14:textId="77777777" w:rsidR="007E13AF" w:rsidRDefault="007E13AF" w:rsidP="007E13AF">
      <w:pPr>
        <w:autoSpaceDE w:val="0"/>
        <w:autoSpaceDN w:val="0"/>
        <w:adjustRightInd w:val="0"/>
        <w:rPr>
          <w:color w:val="000000"/>
          <w:szCs w:val="22"/>
          <w:lang w:eastAsia="pt-PT"/>
        </w:rPr>
      </w:pPr>
    </w:p>
    <w:p w14:paraId="33B9ECEA" w14:textId="77777777" w:rsidR="007E13AF" w:rsidRPr="007E13AF" w:rsidRDefault="007E13AF" w:rsidP="007E13AF">
      <w:pPr>
        <w:autoSpaceDE w:val="0"/>
        <w:autoSpaceDN w:val="0"/>
        <w:adjustRightInd w:val="0"/>
        <w:rPr>
          <w:color w:val="000000"/>
          <w:szCs w:val="22"/>
          <w:lang w:eastAsia="pt-PT"/>
        </w:rPr>
      </w:pPr>
      <w:r w:rsidRPr="007E13AF">
        <w:rPr>
          <w:color w:val="000000"/>
          <w:szCs w:val="22"/>
          <w:lang w:eastAsia="pt-PT"/>
        </w:rPr>
        <w:t xml:space="preserve">O estudo de fase III EINSTEIN Junior consistiu num estudo clínico multicêntrico, aleatorizado, aberto, controlado com substância ativa, em 500 doentes pediátricos (com idade entre o nascimento e &lt; 18 anos) com TEV agudo confirmado. Haviam 276 crianças com 12 a &lt; 18 anos de idade, 101 crianças com 6 a &lt; 12 anos de idade, 69 crianças com 2 a &lt; 6 anos de idade e 54 crianças com &lt; 2 anos de idade. </w:t>
      </w:r>
    </w:p>
    <w:p w14:paraId="7EC2A2DF" w14:textId="77777777" w:rsidR="007E13AF" w:rsidRDefault="007E13AF" w:rsidP="007E13AF">
      <w:pPr>
        <w:autoSpaceDE w:val="0"/>
        <w:autoSpaceDN w:val="0"/>
        <w:adjustRightInd w:val="0"/>
        <w:rPr>
          <w:color w:val="000000"/>
          <w:szCs w:val="22"/>
          <w:lang w:eastAsia="pt-PT"/>
        </w:rPr>
      </w:pPr>
    </w:p>
    <w:p w14:paraId="0BEF4B5D" w14:textId="69BEDA8E" w:rsidR="007E13AF" w:rsidRPr="007E13AF" w:rsidRDefault="007E13AF" w:rsidP="007E13AF">
      <w:pPr>
        <w:autoSpaceDE w:val="0"/>
        <w:autoSpaceDN w:val="0"/>
        <w:adjustRightInd w:val="0"/>
        <w:rPr>
          <w:color w:val="000000"/>
          <w:szCs w:val="22"/>
          <w:lang w:eastAsia="pt-PT"/>
        </w:rPr>
      </w:pPr>
      <w:r w:rsidRPr="007E13AF">
        <w:rPr>
          <w:color w:val="000000"/>
          <w:szCs w:val="22"/>
          <w:lang w:eastAsia="pt-PT"/>
        </w:rPr>
        <w:t>O índice de TEV foi classificado como TEV relacionado com o cateter venoso central (TEV-CVC; 90/335 doentes no grupo do rivaroxabano, 37/165 doentes no grupo comparador), trombose dos seios e veias cerebrais (TSVC; 74/335 doentes no grupo do rivaroxabano, 43/165 doentes no grupo do comparador), e todos os outros incluindo TVP e EP (não-TEV-CVC; 171/335 doentes do grupo do rivaroxabano, 8</w:t>
      </w:r>
      <w:r w:rsidR="000536F1">
        <w:rPr>
          <w:color w:val="000000"/>
          <w:szCs w:val="22"/>
          <w:lang w:eastAsia="pt-PT"/>
        </w:rPr>
        <w:t>5</w:t>
      </w:r>
      <w:r w:rsidRPr="007E13AF">
        <w:rPr>
          <w:color w:val="000000"/>
          <w:szCs w:val="22"/>
          <w:lang w:eastAsia="pt-PT"/>
        </w:rPr>
        <w:t xml:space="preserve">/165 doentes do grupo do comparador). A apresentação mais frequente do índice de trombose em crianças com 12 a &lt; 18 anos de idade foi o não-TEV-CVC em 211 (76,4%); nas crianças com 6 a &lt; 12 anos de idade e com 2 a &lt; 6 anos de idade foi a TSVC em 48 (47,5%) e 35 (50,7%), respetivamente; e nas crianças com &lt; 2 anos de idade foi o TEV-CVCem 37 (68,5%). Não existem crianças &lt; 6 meses com TSVC no grupo do rivaroxabano. 22 dos doentes com TSVS tiveram uma infeção do SNC (13 doentes no grupo rivaroxabano e 9 doentes no grupo comparador). </w:t>
      </w:r>
    </w:p>
    <w:p w14:paraId="762AD61F" w14:textId="77777777" w:rsidR="007E13AF" w:rsidRDefault="007E13AF" w:rsidP="007E13AF">
      <w:pPr>
        <w:autoSpaceDE w:val="0"/>
        <w:autoSpaceDN w:val="0"/>
        <w:adjustRightInd w:val="0"/>
        <w:rPr>
          <w:color w:val="000000"/>
          <w:szCs w:val="22"/>
          <w:lang w:eastAsia="pt-PT"/>
        </w:rPr>
      </w:pPr>
    </w:p>
    <w:p w14:paraId="64654AF6" w14:textId="77777777" w:rsidR="007E13AF" w:rsidRPr="007E13AF" w:rsidRDefault="007E13AF" w:rsidP="007E13AF">
      <w:pPr>
        <w:autoSpaceDE w:val="0"/>
        <w:autoSpaceDN w:val="0"/>
        <w:adjustRightInd w:val="0"/>
        <w:rPr>
          <w:color w:val="000000"/>
          <w:szCs w:val="22"/>
          <w:lang w:eastAsia="pt-PT"/>
        </w:rPr>
      </w:pPr>
      <w:r w:rsidRPr="007E13AF">
        <w:rPr>
          <w:color w:val="000000"/>
          <w:szCs w:val="22"/>
          <w:lang w:eastAsia="pt-PT"/>
        </w:rPr>
        <w:t xml:space="preserve">O TEV foi provocado por fatores de risco persistentes, transitórios ou persistentes e transitórios em 438 (87,6%) crianças. </w:t>
      </w:r>
    </w:p>
    <w:p w14:paraId="1CF9A832" w14:textId="77777777" w:rsidR="007E13AF" w:rsidRDefault="007E13AF" w:rsidP="007E13AF">
      <w:pPr>
        <w:autoSpaceDE w:val="0"/>
        <w:autoSpaceDN w:val="0"/>
        <w:adjustRightInd w:val="0"/>
        <w:rPr>
          <w:color w:val="000000"/>
          <w:szCs w:val="22"/>
          <w:lang w:eastAsia="pt-PT"/>
        </w:rPr>
      </w:pPr>
    </w:p>
    <w:p w14:paraId="30B63E10" w14:textId="77777777" w:rsidR="007E13AF" w:rsidRPr="007E13AF" w:rsidRDefault="007E13AF" w:rsidP="007E13AF">
      <w:pPr>
        <w:autoSpaceDE w:val="0"/>
        <w:autoSpaceDN w:val="0"/>
        <w:adjustRightInd w:val="0"/>
        <w:rPr>
          <w:color w:val="000000"/>
          <w:szCs w:val="22"/>
          <w:lang w:eastAsia="pt-PT"/>
        </w:rPr>
      </w:pPr>
      <w:r w:rsidRPr="007E13AF">
        <w:rPr>
          <w:color w:val="000000"/>
          <w:szCs w:val="22"/>
          <w:lang w:eastAsia="pt-PT"/>
        </w:rPr>
        <w:t xml:space="preserve">Os doentes receberam um tratamento inicial com doses terapêuticas de HNF, HBPM ou fondaparinux durante, pelo menos, 5 dias, e foram aleatorizados em 2:1 para receberem doses de rivaroxabano ajustadas em função do peso corporal ou o grupo comparador (heparinas, AVK) durante um período de tratamento principal do estudo de 3 meses (1 mês para crianças com &lt; 2 anos de idade com TEV-CVC). No final do período de tratamento principal do estudo, o teste de diagnóstico por imagiologia, que foi obtido no início do estudo, era repetido se clinicamente necessário. O tratamento do estudo podia ser cessado nesta altura ou continuado até 12 meses (para crianças com &lt; 2 anos de idade com TEV-CVC até 3 meses) no total, de acordo com o critério do investigador. </w:t>
      </w:r>
    </w:p>
    <w:p w14:paraId="5A77B29E" w14:textId="77777777" w:rsidR="007E13AF" w:rsidRDefault="007E13AF" w:rsidP="007E13AF">
      <w:pPr>
        <w:autoSpaceDE w:val="0"/>
        <w:autoSpaceDN w:val="0"/>
        <w:adjustRightInd w:val="0"/>
        <w:rPr>
          <w:color w:val="000000"/>
          <w:szCs w:val="22"/>
          <w:lang w:eastAsia="pt-PT"/>
        </w:rPr>
      </w:pPr>
    </w:p>
    <w:p w14:paraId="3D0C4A30" w14:textId="77777777" w:rsidR="007E13AF" w:rsidRPr="007E13AF" w:rsidRDefault="007E13AF" w:rsidP="007E13AF">
      <w:pPr>
        <w:autoSpaceDE w:val="0"/>
        <w:autoSpaceDN w:val="0"/>
        <w:adjustRightInd w:val="0"/>
        <w:rPr>
          <w:color w:val="000000"/>
          <w:szCs w:val="22"/>
          <w:lang w:eastAsia="pt-PT"/>
        </w:rPr>
      </w:pPr>
      <w:r w:rsidRPr="007E13AF">
        <w:rPr>
          <w:color w:val="000000"/>
          <w:szCs w:val="22"/>
          <w:lang w:eastAsia="pt-PT"/>
        </w:rPr>
        <w:t xml:space="preserve">O objetivo primário da eficácia era o TEV sintomático recorrente. O objetivo primário da segurança era o compósito de hemorragia principal e hemorragia não-principal clinicamente relevante (HNMCR). Todos os resultados da eficácia e da segurança foram adjudicados centralmente por uma comissão independente em ocultação para a alocação do tratamento. Os resultados da eficácia e da segurança estão apresentados nos quadros 11 e 12 a seguir. </w:t>
      </w:r>
    </w:p>
    <w:p w14:paraId="1B86F7C5" w14:textId="77777777" w:rsidR="007E13AF" w:rsidRDefault="007E13AF" w:rsidP="007E13AF">
      <w:pPr>
        <w:suppressAutoHyphens/>
        <w:rPr>
          <w:color w:val="000000"/>
          <w:szCs w:val="22"/>
          <w:lang w:eastAsia="pt-PT"/>
        </w:rPr>
      </w:pPr>
    </w:p>
    <w:p w14:paraId="23DBFC5C" w14:textId="77777777" w:rsidR="007E13AF" w:rsidRDefault="007E13AF" w:rsidP="007E13AF">
      <w:pPr>
        <w:suppressAutoHyphens/>
        <w:rPr>
          <w:color w:val="000000"/>
          <w:szCs w:val="22"/>
          <w:lang w:eastAsia="pt-PT"/>
        </w:rPr>
      </w:pPr>
      <w:r w:rsidRPr="007E13AF">
        <w:rPr>
          <w:color w:val="000000"/>
          <w:szCs w:val="22"/>
          <w:lang w:eastAsia="pt-PT"/>
        </w:rPr>
        <w:lastRenderedPageBreak/>
        <w:t xml:space="preserve">Ocorreram TEV recorrentes em 4 dos 335 doentes no grupo do rivaroxabano e em 5 dos 165 doentes no grupo comparador. O compósito de hemorragia principal e HNMCR foi comunicado em 10 dos 329 doentes (3%) tratados com </w:t>
      </w:r>
      <w:r w:rsidRPr="0063119B">
        <w:rPr>
          <w:noProof/>
          <w:szCs w:val="22"/>
        </w:rPr>
        <w:t xml:space="preserve">Rivaroxabano </w:t>
      </w:r>
      <w:r>
        <w:rPr>
          <w:noProof/>
          <w:szCs w:val="22"/>
        </w:rPr>
        <w:t xml:space="preserve">Accord </w:t>
      </w:r>
      <w:r w:rsidRPr="007E13AF">
        <w:rPr>
          <w:color w:val="000000"/>
          <w:szCs w:val="22"/>
          <w:lang w:eastAsia="pt-PT"/>
        </w:rPr>
        <w:t xml:space="preserve">e em 3 dos 162 doentes (1,9%) tratados com o comparador. Foi reportado benefício clínico líquido (TEV sintomático recorrente mais acontecimentos de hemorragia principal) em 4 dos 335 doentes no grupo do </w:t>
      </w:r>
      <w:r w:rsidRPr="0063119B">
        <w:rPr>
          <w:noProof/>
          <w:szCs w:val="22"/>
        </w:rPr>
        <w:t xml:space="preserve">Rivaroxabano </w:t>
      </w:r>
      <w:r>
        <w:rPr>
          <w:noProof/>
          <w:szCs w:val="22"/>
        </w:rPr>
        <w:t xml:space="preserve">Accord </w:t>
      </w:r>
      <w:r w:rsidRPr="007E13AF">
        <w:rPr>
          <w:color w:val="000000"/>
          <w:szCs w:val="22"/>
          <w:lang w:eastAsia="pt-PT"/>
        </w:rPr>
        <w:t xml:space="preserve">e em 7 dos 165 doentes no grupo comparador. A normalização da carga trombótica em imagiologia repetida ocorreu em 128 dos 335 doentes tratados com </w:t>
      </w:r>
      <w:r w:rsidRPr="0063119B">
        <w:rPr>
          <w:noProof/>
          <w:szCs w:val="22"/>
        </w:rPr>
        <w:t xml:space="preserve">Rivaroxabano </w:t>
      </w:r>
      <w:r>
        <w:rPr>
          <w:noProof/>
          <w:szCs w:val="22"/>
        </w:rPr>
        <w:t xml:space="preserve">Accord </w:t>
      </w:r>
      <w:r w:rsidRPr="007E13AF">
        <w:rPr>
          <w:color w:val="000000"/>
          <w:szCs w:val="22"/>
          <w:lang w:eastAsia="pt-PT"/>
        </w:rPr>
        <w:t>e em 43 dos 165 doentes no grupo comparador. Estes achados foram geralmente semelhantes entre</w:t>
      </w:r>
      <w:r>
        <w:rPr>
          <w:color w:val="000000"/>
          <w:szCs w:val="22"/>
          <w:lang w:eastAsia="pt-PT"/>
        </w:rPr>
        <w:t xml:space="preserve"> </w:t>
      </w:r>
      <w:r>
        <w:rPr>
          <w:szCs w:val="22"/>
        </w:rPr>
        <w:t>os grupos etários. Existiram 119 (36,2%) crianças com hemorragia emergente do tratamento no grupo do rivaroxabano e 45 (27,8%) crianças no grupo do comparador.</w:t>
      </w:r>
    </w:p>
    <w:p w14:paraId="496D2D50" w14:textId="77777777" w:rsidR="007E13AF" w:rsidRDefault="007E13AF" w:rsidP="007E13AF">
      <w:pPr>
        <w:suppressAutoHyphens/>
        <w:rPr>
          <w:noProof/>
          <w:szCs w:val="22"/>
        </w:rPr>
      </w:pPr>
    </w:p>
    <w:p w14:paraId="7C70325F" w14:textId="77777777" w:rsidR="00F90965" w:rsidRDefault="00F90965" w:rsidP="007E13AF">
      <w:pPr>
        <w:suppressAutoHyphens/>
        <w:rPr>
          <w:b/>
          <w:bCs/>
          <w:szCs w:val="22"/>
        </w:rPr>
      </w:pPr>
      <w:r>
        <w:rPr>
          <w:b/>
          <w:bCs/>
          <w:szCs w:val="22"/>
        </w:rPr>
        <w:t>Quadro 11: Resultados da eficácia no final do período de tratamento principal</w:t>
      </w:r>
    </w:p>
    <w:p w14:paraId="77495E52" w14:textId="77777777" w:rsidR="00F90965" w:rsidRDefault="00F90965" w:rsidP="007E13AF">
      <w:pPr>
        <w:suppressAutoHyphens/>
        <w:rPr>
          <w:noProof/>
          <w:szCs w:val="22"/>
        </w:rPr>
      </w:pP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F90965" w:rsidRPr="00205DDC" w14:paraId="1C78C918" w14:textId="77777777" w:rsidTr="00F90965">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54B45AB6" w14:textId="77777777" w:rsidR="00F90965" w:rsidRPr="00205DDC" w:rsidRDefault="00F90965" w:rsidP="00184C85">
            <w:pPr>
              <w:rPr>
                <w:szCs w:val="22"/>
                <w:lang w:val="en-US"/>
              </w:rPr>
            </w:pPr>
            <w:proofErr w:type="spellStart"/>
            <w:r>
              <w:rPr>
                <w:b/>
                <w:szCs w:val="22"/>
                <w:lang w:val="en-US"/>
              </w:rPr>
              <w:t>Acontecimento</w:t>
            </w:r>
            <w:proofErr w:type="spellEnd"/>
          </w:p>
        </w:tc>
        <w:tc>
          <w:tcPr>
            <w:tcW w:w="2126" w:type="dxa"/>
            <w:tcBorders>
              <w:top w:val="single" w:sz="5" w:space="0" w:color="7E7E7E"/>
              <w:left w:val="single" w:sz="5" w:space="0" w:color="7E7E7E"/>
              <w:bottom w:val="single" w:sz="5" w:space="0" w:color="7E7E7E"/>
              <w:right w:val="single" w:sz="5" w:space="0" w:color="7E7E7E"/>
            </w:tcBorders>
          </w:tcPr>
          <w:p w14:paraId="2608D9C0" w14:textId="77777777" w:rsidR="00F90965" w:rsidRPr="00F90965" w:rsidRDefault="00F90965" w:rsidP="00EF3721">
            <w:pPr>
              <w:jc w:val="center"/>
              <w:rPr>
                <w:b/>
                <w:szCs w:val="22"/>
                <w:lang w:val="en-US"/>
              </w:rPr>
            </w:pPr>
            <w:proofErr w:type="spellStart"/>
            <w:r w:rsidRPr="00F90965">
              <w:rPr>
                <w:b/>
                <w:szCs w:val="22"/>
                <w:lang w:val="en-US"/>
              </w:rPr>
              <w:t>Rivaroxabano</w:t>
            </w:r>
            <w:proofErr w:type="spellEnd"/>
          </w:p>
          <w:p w14:paraId="3C96683A" w14:textId="77777777" w:rsidR="00F90965" w:rsidRPr="00F90965" w:rsidRDefault="00F90965" w:rsidP="00EF3721">
            <w:pPr>
              <w:jc w:val="center"/>
              <w:rPr>
                <w:szCs w:val="22"/>
                <w:lang w:val="en-US"/>
              </w:rPr>
            </w:pPr>
            <w:r w:rsidRPr="00F90965">
              <w:rPr>
                <w:b/>
                <w:szCs w:val="22"/>
                <w:lang w:val="en-US"/>
              </w:rPr>
              <w:t>N=335*</w:t>
            </w:r>
          </w:p>
        </w:tc>
        <w:tc>
          <w:tcPr>
            <w:tcW w:w="2126" w:type="dxa"/>
            <w:tcBorders>
              <w:top w:val="single" w:sz="5" w:space="0" w:color="7E7E7E"/>
              <w:left w:val="single" w:sz="5" w:space="0" w:color="7E7E7E"/>
              <w:bottom w:val="single" w:sz="5" w:space="0" w:color="7E7E7E"/>
              <w:right w:val="single" w:sz="5" w:space="0" w:color="7E7E7E"/>
            </w:tcBorders>
          </w:tcPr>
          <w:p w14:paraId="71294BDD" w14:textId="77777777" w:rsidR="00F90965" w:rsidRPr="00F90965" w:rsidRDefault="00F90965" w:rsidP="00EF3721">
            <w:pPr>
              <w:jc w:val="center"/>
              <w:rPr>
                <w:b/>
                <w:szCs w:val="22"/>
                <w:lang w:val="en-US"/>
              </w:rPr>
            </w:pPr>
            <w:proofErr w:type="spellStart"/>
            <w:r w:rsidRPr="00F90965">
              <w:rPr>
                <w:b/>
                <w:szCs w:val="22"/>
                <w:lang w:val="en-US"/>
              </w:rPr>
              <w:t>Comparador</w:t>
            </w:r>
            <w:proofErr w:type="spellEnd"/>
          </w:p>
          <w:p w14:paraId="58505279" w14:textId="77777777" w:rsidR="00F90965" w:rsidRPr="00F90965" w:rsidRDefault="00F90965" w:rsidP="00EF3721">
            <w:pPr>
              <w:jc w:val="center"/>
              <w:rPr>
                <w:szCs w:val="22"/>
                <w:lang w:val="en-US"/>
              </w:rPr>
            </w:pPr>
            <w:r w:rsidRPr="00F90965">
              <w:rPr>
                <w:b/>
                <w:szCs w:val="22"/>
                <w:lang w:val="en-US"/>
              </w:rPr>
              <w:t>N=165*</w:t>
            </w:r>
          </w:p>
        </w:tc>
      </w:tr>
      <w:tr w:rsidR="00F90965" w:rsidRPr="00205DDC" w14:paraId="59A7E27B" w14:textId="77777777" w:rsidTr="00F90965">
        <w:trPr>
          <w:trHeight w:hRule="exact" w:val="270"/>
        </w:trPr>
        <w:tc>
          <w:tcPr>
            <w:tcW w:w="5212" w:type="dxa"/>
            <w:vMerge w:val="restart"/>
            <w:tcBorders>
              <w:top w:val="single" w:sz="5" w:space="0" w:color="7E7E7E"/>
              <w:left w:val="single" w:sz="5" w:space="0" w:color="7E7E7E"/>
              <w:right w:val="single" w:sz="5" w:space="0" w:color="7E7E7E"/>
            </w:tcBorders>
          </w:tcPr>
          <w:p w14:paraId="60C76F17" w14:textId="77777777" w:rsidR="00F90965" w:rsidRPr="00EF3721" w:rsidRDefault="00F90965" w:rsidP="00184C85">
            <w:pPr>
              <w:rPr>
                <w:szCs w:val="22"/>
              </w:rPr>
            </w:pPr>
            <w:r w:rsidRPr="00EF3721">
              <w:rPr>
                <w:szCs w:val="22"/>
              </w:rPr>
              <w:t>TEV recorrente (objetivo primário da eficácia)</w:t>
            </w:r>
          </w:p>
        </w:tc>
        <w:tc>
          <w:tcPr>
            <w:tcW w:w="2126" w:type="dxa"/>
            <w:tcBorders>
              <w:top w:val="single" w:sz="5" w:space="0" w:color="7E7E7E"/>
              <w:left w:val="single" w:sz="5" w:space="0" w:color="7E7E7E"/>
              <w:bottom w:val="nil"/>
              <w:right w:val="single" w:sz="5" w:space="0" w:color="7E7E7E"/>
            </w:tcBorders>
          </w:tcPr>
          <w:p w14:paraId="5DFDA93C" w14:textId="77777777" w:rsidR="00F90965" w:rsidRPr="00F90965" w:rsidRDefault="00F90965" w:rsidP="00EF3721">
            <w:pPr>
              <w:jc w:val="center"/>
              <w:rPr>
                <w:szCs w:val="22"/>
                <w:lang w:val="en-US"/>
              </w:rPr>
            </w:pPr>
            <w:r w:rsidRPr="00F90965">
              <w:rPr>
                <w:szCs w:val="22"/>
                <w:lang w:val="en-US"/>
              </w:rPr>
              <w:t>4</w:t>
            </w:r>
          </w:p>
        </w:tc>
        <w:tc>
          <w:tcPr>
            <w:tcW w:w="2126" w:type="dxa"/>
            <w:tcBorders>
              <w:top w:val="single" w:sz="5" w:space="0" w:color="7E7E7E"/>
              <w:left w:val="single" w:sz="5" w:space="0" w:color="7E7E7E"/>
              <w:bottom w:val="nil"/>
              <w:right w:val="single" w:sz="5" w:space="0" w:color="7E7E7E"/>
            </w:tcBorders>
          </w:tcPr>
          <w:p w14:paraId="67524181" w14:textId="77777777" w:rsidR="00F90965" w:rsidRPr="00F90965" w:rsidRDefault="00F90965" w:rsidP="00EF3721">
            <w:pPr>
              <w:jc w:val="center"/>
              <w:rPr>
                <w:szCs w:val="22"/>
                <w:lang w:val="en-US"/>
              </w:rPr>
            </w:pPr>
            <w:r w:rsidRPr="00F90965">
              <w:rPr>
                <w:szCs w:val="22"/>
                <w:lang w:val="en-US"/>
              </w:rPr>
              <w:t>5</w:t>
            </w:r>
          </w:p>
        </w:tc>
      </w:tr>
      <w:tr w:rsidR="00F90965" w:rsidRPr="00205DDC" w14:paraId="64C6C8D3" w14:textId="77777777" w:rsidTr="00F90965">
        <w:trPr>
          <w:trHeight w:hRule="exact" w:val="253"/>
        </w:trPr>
        <w:tc>
          <w:tcPr>
            <w:tcW w:w="5212" w:type="dxa"/>
            <w:vMerge/>
            <w:tcBorders>
              <w:left w:val="single" w:sz="5" w:space="0" w:color="7E7E7E"/>
              <w:right w:val="single" w:sz="5" w:space="0" w:color="7E7E7E"/>
            </w:tcBorders>
          </w:tcPr>
          <w:p w14:paraId="18A862C0" w14:textId="77777777" w:rsidR="00F90965" w:rsidRPr="00205DDC" w:rsidRDefault="00F90965" w:rsidP="00184C85">
            <w:pPr>
              <w:rPr>
                <w:szCs w:val="22"/>
                <w:lang w:val="en-US"/>
              </w:rPr>
            </w:pPr>
          </w:p>
        </w:tc>
        <w:tc>
          <w:tcPr>
            <w:tcW w:w="2126" w:type="dxa"/>
            <w:tcBorders>
              <w:top w:val="nil"/>
              <w:left w:val="single" w:sz="5" w:space="0" w:color="7E7E7E"/>
              <w:bottom w:val="nil"/>
              <w:right w:val="single" w:sz="5" w:space="0" w:color="7E7E7E"/>
            </w:tcBorders>
          </w:tcPr>
          <w:p w14:paraId="0EE11FF8" w14:textId="77777777" w:rsidR="00F90965" w:rsidRPr="00F90965" w:rsidRDefault="00F90965" w:rsidP="00EF3721">
            <w:pPr>
              <w:jc w:val="center"/>
              <w:rPr>
                <w:szCs w:val="22"/>
                <w:lang w:val="en-US"/>
              </w:rPr>
            </w:pPr>
            <w:r w:rsidRPr="00F90965">
              <w:rPr>
                <w:szCs w:val="22"/>
                <w:lang w:val="en-US"/>
              </w:rPr>
              <w:t>(1.2%, 95% I</w:t>
            </w:r>
            <w:r>
              <w:rPr>
                <w:szCs w:val="22"/>
                <w:lang w:val="en-US"/>
              </w:rPr>
              <w:t>C</w:t>
            </w:r>
          </w:p>
        </w:tc>
        <w:tc>
          <w:tcPr>
            <w:tcW w:w="2126" w:type="dxa"/>
            <w:tcBorders>
              <w:top w:val="nil"/>
              <w:left w:val="single" w:sz="5" w:space="0" w:color="7E7E7E"/>
              <w:bottom w:val="nil"/>
              <w:right w:val="single" w:sz="5" w:space="0" w:color="7E7E7E"/>
            </w:tcBorders>
          </w:tcPr>
          <w:p w14:paraId="6D9413C1" w14:textId="77777777" w:rsidR="00F90965" w:rsidRPr="00F90965" w:rsidRDefault="00F90965" w:rsidP="00EF3721">
            <w:pPr>
              <w:jc w:val="center"/>
              <w:rPr>
                <w:szCs w:val="22"/>
                <w:lang w:val="en-US"/>
              </w:rPr>
            </w:pPr>
            <w:r w:rsidRPr="00F90965">
              <w:rPr>
                <w:szCs w:val="22"/>
                <w:lang w:val="en-US"/>
              </w:rPr>
              <w:t>(3.0%, 95% I</w:t>
            </w:r>
            <w:r>
              <w:rPr>
                <w:szCs w:val="22"/>
                <w:lang w:val="en-US"/>
              </w:rPr>
              <w:t>C</w:t>
            </w:r>
          </w:p>
        </w:tc>
      </w:tr>
      <w:tr w:rsidR="00F90965" w:rsidRPr="00205DDC" w14:paraId="73A2F35E" w14:textId="77777777" w:rsidTr="00F90965">
        <w:trPr>
          <w:trHeight w:hRule="exact" w:val="246"/>
        </w:trPr>
        <w:tc>
          <w:tcPr>
            <w:tcW w:w="5212" w:type="dxa"/>
            <w:vMerge/>
            <w:tcBorders>
              <w:left w:val="single" w:sz="5" w:space="0" w:color="7E7E7E"/>
              <w:bottom w:val="single" w:sz="5" w:space="0" w:color="7E7E7E"/>
              <w:right w:val="single" w:sz="5" w:space="0" w:color="7E7E7E"/>
            </w:tcBorders>
          </w:tcPr>
          <w:p w14:paraId="39132E47" w14:textId="77777777" w:rsidR="00F90965" w:rsidRPr="00205DDC" w:rsidRDefault="00F90965" w:rsidP="00184C85">
            <w:pPr>
              <w:rPr>
                <w:szCs w:val="22"/>
                <w:lang w:val="en-US"/>
              </w:rPr>
            </w:pPr>
          </w:p>
        </w:tc>
        <w:tc>
          <w:tcPr>
            <w:tcW w:w="2126" w:type="dxa"/>
            <w:tcBorders>
              <w:top w:val="nil"/>
              <w:left w:val="single" w:sz="5" w:space="0" w:color="7E7E7E"/>
              <w:bottom w:val="single" w:sz="5" w:space="0" w:color="7E7E7E"/>
              <w:right w:val="single" w:sz="5" w:space="0" w:color="7E7E7E"/>
            </w:tcBorders>
          </w:tcPr>
          <w:p w14:paraId="2FE33BA7" w14:textId="77777777" w:rsidR="00F90965" w:rsidRPr="00F90965" w:rsidRDefault="00F90965" w:rsidP="00EF3721">
            <w:pPr>
              <w:jc w:val="center"/>
              <w:rPr>
                <w:szCs w:val="22"/>
                <w:lang w:val="en-US"/>
              </w:rPr>
            </w:pPr>
            <w:r w:rsidRPr="00F90965">
              <w:rPr>
                <w:szCs w:val="22"/>
                <w:lang w:val="en-US"/>
              </w:rPr>
              <w:t>0.4% – 3.0%)</w:t>
            </w:r>
          </w:p>
        </w:tc>
        <w:tc>
          <w:tcPr>
            <w:tcW w:w="2126" w:type="dxa"/>
            <w:tcBorders>
              <w:top w:val="nil"/>
              <w:left w:val="single" w:sz="5" w:space="0" w:color="7E7E7E"/>
              <w:bottom w:val="single" w:sz="5" w:space="0" w:color="7E7E7E"/>
              <w:right w:val="single" w:sz="5" w:space="0" w:color="7E7E7E"/>
            </w:tcBorders>
          </w:tcPr>
          <w:p w14:paraId="3B7431B0" w14:textId="77777777" w:rsidR="00F90965" w:rsidRPr="00F90965" w:rsidRDefault="00F90965" w:rsidP="00EF3721">
            <w:pPr>
              <w:jc w:val="center"/>
              <w:rPr>
                <w:szCs w:val="22"/>
                <w:lang w:val="en-US"/>
              </w:rPr>
            </w:pPr>
            <w:r w:rsidRPr="00F90965">
              <w:rPr>
                <w:szCs w:val="22"/>
                <w:lang w:val="en-US"/>
              </w:rPr>
              <w:t>1.2% - 6.6%)</w:t>
            </w:r>
          </w:p>
        </w:tc>
      </w:tr>
      <w:tr w:rsidR="00F90965" w:rsidRPr="00205DDC" w14:paraId="0A5BFEAC" w14:textId="77777777" w:rsidTr="00F90965">
        <w:trPr>
          <w:trHeight w:hRule="exact" w:val="270"/>
        </w:trPr>
        <w:tc>
          <w:tcPr>
            <w:tcW w:w="5212" w:type="dxa"/>
            <w:tcBorders>
              <w:top w:val="single" w:sz="5" w:space="0" w:color="7E7E7E"/>
              <w:left w:val="single" w:sz="5" w:space="0" w:color="7E7E7E"/>
              <w:bottom w:val="nil"/>
              <w:right w:val="single" w:sz="5" w:space="0" w:color="7E7E7E"/>
            </w:tcBorders>
          </w:tcPr>
          <w:p w14:paraId="4D5F5376" w14:textId="77777777" w:rsidR="00F90965" w:rsidRDefault="00F90965" w:rsidP="00F90965">
            <w:pPr>
              <w:pStyle w:val="Default"/>
              <w:rPr>
                <w:szCs w:val="22"/>
              </w:rPr>
            </w:pPr>
            <w:proofErr w:type="spellStart"/>
            <w:r>
              <w:rPr>
                <w:sz w:val="22"/>
                <w:szCs w:val="22"/>
              </w:rPr>
              <w:t>Compósito</w:t>
            </w:r>
            <w:proofErr w:type="spellEnd"/>
            <w:r>
              <w:rPr>
                <w:sz w:val="22"/>
                <w:szCs w:val="22"/>
              </w:rPr>
              <w:t xml:space="preserve">: TEV </w:t>
            </w:r>
            <w:proofErr w:type="spellStart"/>
            <w:r>
              <w:rPr>
                <w:sz w:val="22"/>
                <w:szCs w:val="22"/>
              </w:rPr>
              <w:t>sintomático</w:t>
            </w:r>
            <w:proofErr w:type="spellEnd"/>
            <w:r>
              <w:rPr>
                <w:sz w:val="22"/>
                <w:szCs w:val="22"/>
              </w:rPr>
              <w:t xml:space="preserve"> </w:t>
            </w:r>
            <w:proofErr w:type="spellStart"/>
            <w:r>
              <w:rPr>
                <w:sz w:val="22"/>
                <w:szCs w:val="22"/>
              </w:rPr>
              <w:t>recorrente</w:t>
            </w:r>
            <w:proofErr w:type="spellEnd"/>
            <w:r>
              <w:rPr>
                <w:sz w:val="22"/>
                <w:szCs w:val="22"/>
              </w:rPr>
              <w:t xml:space="preserve"> + </w:t>
            </w:r>
            <w:proofErr w:type="spellStart"/>
            <w:r>
              <w:rPr>
                <w:sz w:val="22"/>
                <w:szCs w:val="22"/>
              </w:rPr>
              <w:t>deterioração</w:t>
            </w:r>
            <w:proofErr w:type="spellEnd"/>
            <w:r>
              <w:rPr>
                <w:sz w:val="22"/>
                <w:szCs w:val="22"/>
              </w:rPr>
              <w:t xml:space="preserve"> </w:t>
            </w:r>
          </w:p>
          <w:p w14:paraId="5D11A883" w14:textId="77777777" w:rsidR="00F90965" w:rsidRPr="00EF3721" w:rsidRDefault="00F90965" w:rsidP="00184C85">
            <w:pPr>
              <w:rPr>
                <w:szCs w:val="22"/>
              </w:rPr>
            </w:pPr>
          </w:p>
        </w:tc>
        <w:tc>
          <w:tcPr>
            <w:tcW w:w="2126" w:type="dxa"/>
            <w:tcBorders>
              <w:top w:val="single" w:sz="5" w:space="0" w:color="7E7E7E"/>
              <w:left w:val="single" w:sz="5" w:space="0" w:color="7E7E7E"/>
              <w:bottom w:val="nil"/>
              <w:right w:val="single" w:sz="5" w:space="0" w:color="7E7E7E"/>
            </w:tcBorders>
          </w:tcPr>
          <w:p w14:paraId="097A90D8" w14:textId="77777777" w:rsidR="00F90965" w:rsidRPr="00F90965" w:rsidRDefault="00F90965" w:rsidP="00EF3721">
            <w:pPr>
              <w:jc w:val="center"/>
              <w:rPr>
                <w:szCs w:val="22"/>
                <w:lang w:val="en-US"/>
              </w:rPr>
            </w:pPr>
            <w:r w:rsidRPr="00F90965">
              <w:rPr>
                <w:szCs w:val="22"/>
                <w:lang w:val="en-US"/>
              </w:rPr>
              <w:t>5</w:t>
            </w:r>
          </w:p>
        </w:tc>
        <w:tc>
          <w:tcPr>
            <w:tcW w:w="2126" w:type="dxa"/>
            <w:tcBorders>
              <w:top w:val="single" w:sz="5" w:space="0" w:color="7E7E7E"/>
              <w:left w:val="single" w:sz="5" w:space="0" w:color="7E7E7E"/>
              <w:bottom w:val="nil"/>
              <w:right w:val="single" w:sz="5" w:space="0" w:color="7E7E7E"/>
            </w:tcBorders>
          </w:tcPr>
          <w:p w14:paraId="3E136D7C" w14:textId="77777777" w:rsidR="00F90965" w:rsidRPr="00F90965" w:rsidRDefault="00F90965" w:rsidP="00EF3721">
            <w:pPr>
              <w:jc w:val="center"/>
              <w:rPr>
                <w:szCs w:val="22"/>
                <w:lang w:val="en-US"/>
              </w:rPr>
            </w:pPr>
            <w:r w:rsidRPr="00F90965">
              <w:rPr>
                <w:szCs w:val="22"/>
                <w:lang w:val="en-US"/>
              </w:rPr>
              <w:t>6</w:t>
            </w:r>
          </w:p>
        </w:tc>
      </w:tr>
      <w:tr w:rsidR="00F90965" w:rsidRPr="00205DDC" w14:paraId="233B99A3" w14:textId="77777777" w:rsidTr="00F90965">
        <w:trPr>
          <w:trHeight w:hRule="exact" w:val="253"/>
        </w:trPr>
        <w:tc>
          <w:tcPr>
            <w:tcW w:w="5212" w:type="dxa"/>
            <w:vMerge w:val="restart"/>
            <w:tcBorders>
              <w:top w:val="nil"/>
              <w:left w:val="single" w:sz="5" w:space="0" w:color="7E7E7E"/>
              <w:right w:val="single" w:sz="5" w:space="0" w:color="7E7E7E"/>
            </w:tcBorders>
          </w:tcPr>
          <w:p w14:paraId="0645D10C" w14:textId="77777777" w:rsidR="00F90965" w:rsidRPr="00205DDC" w:rsidRDefault="00F90965" w:rsidP="00184C85">
            <w:pPr>
              <w:rPr>
                <w:szCs w:val="22"/>
                <w:lang w:val="en-US"/>
              </w:rPr>
            </w:pPr>
            <w:proofErr w:type="spellStart"/>
            <w:r w:rsidRPr="00F90965">
              <w:rPr>
                <w:szCs w:val="22"/>
                <w:lang w:val="en-US"/>
              </w:rPr>
              <w:t>assintomática</w:t>
            </w:r>
            <w:proofErr w:type="spellEnd"/>
            <w:r w:rsidRPr="00F90965">
              <w:rPr>
                <w:szCs w:val="22"/>
                <w:lang w:val="en-US"/>
              </w:rPr>
              <w:t xml:space="preserve"> </w:t>
            </w:r>
            <w:proofErr w:type="spellStart"/>
            <w:r w:rsidRPr="00F90965">
              <w:rPr>
                <w:szCs w:val="22"/>
                <w:lang w:val="en-US"/>
              </w:rPr>
              <w:t>na</w:t>
            </w:r>
            <w:proofErr w:type="spellEnd"/>
            <w:r w:rsidRPr="00F90965">
              <w:rPr>
                <w:szCs w:val="22"/>
                <w:lang w:val="en-US"/>
              </w:rPr>
              <w:t xml:space="preserve"> </w:t>
            </w:r>
            <w:proofErr w:type="spellStart"/>
            <w:r w:rsidRPr="00F90965">
              <w:rPr>
                <w:szCs w:val="22"/>
                <w:lang w:val="en-US"/>
              </w:rPr>
              <w:t>imagiologia</w:t>
            </w:r>
            <w:proofErr w:type="spellEnd"/>
            <w:r w:rsidRPr="00F90965">
              <w:rPr>
                <w:szCs w:val="22"/>
                <w:lang w:val="en-US"/>
              </w:rPr>
              <w:t xml:space="preserve"> </w:t>
            </w:r>
            <w:proofErr w:type="spellStart"/>
            <w:r w:rsidRPr="00F90965">
              <w:rPr>
                <w:szCs w:val="22"/>
                <w:lang w:val="en-US"/>
              </w:rPr>
              <w:t>repetida</w:t>
            </w:r>
            <w:proofErr w:type="spellEnd"/>
          </w:p>
        </w:tc>
        <w:tc>
          <w:tcPr>
            <w:tcW w:w="2126" w:type="dxa"/>
            <w:tcBorders>
              <w:top w:val="nil"/>
              <w:left w:val="single" w:sz="5" w:space="0" w:color="7E7E7E"/>
              <w:bottom w:val="nil"/>
              <w:right w:val="single" w:sz="5" w:space="0" w:color="7E7E7E"/>
            </w:tcBorders>
          </w:tcPr>
          <w:p w14:paraId="3F71748E" w14:textId="77777777" w:rsidR="00F90965" w:rsidRPr="00F90965" w:rsidRDefault="00F90965" w:rsidP="00EF3721">
            <w:pPr>
              <w:jc w:val="center"/>
              <w:rPr>
                <w:szCs w:val="22"/>
                <w:lang w:val="en-US"/>
              </w:rPr>
            </w:pPr>
            <w:r w:rsidRPr="00F90965">
              <w:rPr>
                <w:szCs w:val="22"/>
                <w:lang w:val="en-US"/>
              </w:rPr>
              <w:t>(1.5%, 95% I</w:t>
            </w:r>
            <w:r>
              <w:rPr>
                <w:szCs w:val="22"/>
                <w:lang w:val="en-US"/>
              </w:rPr>
              <w:t>C</w:t>
            </w:r>
          </w:p>
        </w:tc>
        <w:tc>
          <w:tcPr>
            <w:tcW w:w="2126" w:type="dxa"/>
            <w:tcBorders>
              <w:top w:val="nil"/>
              <w:left w:val="single" w:sz="5" w:space="0" w:color="7E7E7E"/>
              <w:bottom w:val="nil"/>
              <w:right w:val="single" w:sz="5" w:space="0" w:color="7E7E7E"/>
            </w:tcBorders>
          </w:tcPr>
          <w:p w14:paraId="7E913217" w14:textId="77777777" w:rsidR="00F90965" w:rsidRPr="00F90965" w:rsidRDefault="00F90965" w:rsidP="00EF3721">
            <w:pPr>
              <w:jc w:val="center"/>
              <w:rPr>
                <w:szCs w:val="22"/>
                <w:lang w:val="en-US"/>
              </w:rPr>
            </w:pPr>
            <w:r w:rsidRPr="00F90965">
              <w:rPr>
                <w:szCs w:val="22"/>
                <w:lang w:val="en-US"/>
              </w:rPr>
              <w:t>(3.6%, 95% I</w:t>
            </w:r>
            <w:r>
              <w:rPr>
                <w:szCs w:val="22"/>
                <w:lang w:val="en-US"/>
              </w:rPr>
              <w:t>C</w:t>
            </w:r>
          </w:p>
        </w:tc>
      </w:tr>
      <w:tr w:rsidR="00F90965" w:rsidRPr="00205DDC" w14:paraId="1EDBD90E" w14:textId="77777777" w:rsidTr="00F90965">
        <w:trPr>
          <w:trHeight w:hRule="exact" w:val="246"/>
        </w:trPr>
        <w:tc>
          <w:tcPr>
            <w:tcW w:w="5212" w:type="dxa"/>
            <w:vMerge/>
            <w:tcBorders>
              <w:left w:val="single" w:sz="5" w:space="0" w:color="7E7E7E"/>
              <w:bottom w:val="single" w:sz="5" w:space="0" w:color="7E7E7E"/>
              <w:right w:val="single" w:sz="5" w:space="0" w:color="7E7E7E"/>
            </w:tcBorders>
          </w:tcPr>
          <w:p w14:paraId="4081D0AA" w14:textId="77777777" w:rsidR="00F90965" w:rsidRPr="00205DDC" w:rsidRDefault="00F90965" w:rsidP="00184C85">
            <w:pPr>
              <w:rPr>
                <w:szCs w:val="22"/>
                <w:lang w:val="en-US"/>
              </w:rPr>
            </w:pPr>
          </w:p>
        </w:tc>
        <w:tc>
          <w:tcPr>
            <w:tcW w:w="2126" w:type="dxa"/>
            <w:tcBorders>
              <w:top w:val="nil"/>
              <w:left w:val="single" w:sz="5" w:space="0" w:color="7E7E7E"/>
              <w:bottom w:val="single" w:sz="5" w:space="0" w:color="7E7E7E"/>
              <w:right w:val="single" w:sz="5" w:space="0" w:color="7E7E7E"/>
            </w:tcBorders>
          </w:tcPr>
          <w:p w14:paraId="4F2EEA6A" w14:textId="77777777" w:rsidR="00F90965" w:rsidRPr="00F90965" w:rsidRDefault="00F90965" w:rsidP="00EF3721">
            <w:pPr>
              <w:jc w:val="center"/>
              <w:rPr>
                <w:szCs w:val="22"/>
                <w:lang w:val="en-US"/>
              </w:rPr>
            </w:pPr>
            <w:r w:rsidRPr="00F90965">
              <w:rPr>
                <w:szCs w:val="22"/>
                <w:lang w:val="en-US"/>
              </w:rPr>
              <w:t>0.6% – 3.4%)</w:t>
            </w:r>
          </w:p>
        </w:tc>
        <w:tc>
          <w:tcPr>
            <w:tcW w:w="2126" w:type="dxa"/>
            <w:tcBorders>
              <w:top w:val="nil"/>
              <w:left w:val="single" w:sz="5" w:space="0" w:color="7E7E7E"/>
              <w:bottom w:val="single" w:sz="5" w:space="0" w:color="7E7E7E"/>
              <w:right w:val="single" w:sz="5" w:space="0" w:color="7E7E7E"/>
            </w:tcBorders>
          </w:tcPr>
          <w:p w14:paraId="55E3CA7C" w14:textId="77777777" w:rsidR="00F90965" w:rsidRPr="00F90965" w:rsidRDefault="00F90965" w:rsidP="00EF3721">
            <w:pPr>
              <w:jc w:val="center"/>
              <w:rPr>
                <w:szCs w:val="22"/>
                <w:lang w:val="en-US"/>
              </w:rPr>
            </w:pPr>
            <w:r w:rsidRPr="00F90965">
              <w:rPr>
                <w:szCs w:val="22"/>
                <w:lang w:val="en-US"/>
              </w:rPr>
              <w:t>1.6% – 7.6%)</w:t>
            </w:r>
          </w:p>
        </w:tc>
      </w:tr>
      <w:tr w:rsidR="00F90965" w:rsidRPr="00205DDC" w14:paraId="6B369FFB" w14:textId="77777777" w:rsidTr="00F90965">
        <w:trPr>
          <w:trHeight w:hRule="exact" w:val="270"/>
        </w:trPr>
        <w:tc>
          <w:tcPr>
            <w:tcW w:w="5212" w:type="dxa"/>
            <w:tcBorders>
              <w:top w:val="single" w:sz="5" w:space="0" w:color="7E7E7E"/>
              <w:left w:val="single" w:sz="5" w:space="0" w:color="7E7E7E"/>
              <w:bottom w:val="nil"/>
              <w:right w:val="single" w:sz="5" w:space="0" w:color="7E7E7E"/>
            </w:tcBorders>
          </w:tcPr>
          <w:p w14:paraId="7322B80A" w14:textId="77777777" w:rsidR="00F90965" w:rsidRPr="00EF3721" w:rsidRDefault="00F90965" w:rsidP="00184C85">
            <w:pPr>
              <w:rPr>
                <w:szCs w:val="22"/>
              </w:rPr>
            </w:pPr>
            <w:r w:rsidRPr="00EF3721">
              <w:rPr>
                <w:szCs w:val="22"/>
              </w:rPr>
              <w:t>Compósito: TEV sintomático recorrente + deterioração</w:t>
            </w:r>
          </w:p>
        </w:tc>
        <w:tc>
          <w:tcPr>
            <w:tcW w:w="2126" w:type="dxa"/>
            <w:tcBorders>
              <w:top w:val="single" w:sz="5" w:space="0" w:color="7E7E7E"/>
              <w:left w:val="single" w:sz="5" w:space="0" w:color="7E7E7E"/>
              <w:bottom w:val="nil"/>
              <w:right w:val="single" w:sz="5" w:space="0" w:color="7E7E7E"/>
            </w:tcBorders>
          </w:tcPr>
          <w:p w14:paraId="15FB3C31" w14:textId="77777777" w:rsidR="00F90965" w:rsidRPr="00F90965" w:rsidRDefault="00F90965" w:rsidP="00EF3721">
            <w:pPr>
              <w:jc w:val="center"/>
              <w:rPr>
                <w:szCs w:val="22"/>
                <w:lang w:val="en-US"/>
              </w:rPr>
            </w:pPr>
            <w:r w:rsidRPr="00F90965">
              <w:rPr>
                <w:szCs w:val="22"/>
                <w:lang w:val="en-US"/>
              </w:rPr>
              <w:t>21</w:t>
            </w:r>
          </w:p>
        </w:tc>
        <w:tc>
          <w:tcPr>
            <w:tcW w:w="2126" w:type="dxa"/>
            <w:tcBorders>
              <w:top w:val="single" w:sz="5" w:space="0" w:color="7E7E7E"/>
              <w:left w:val="single" w:sz="5" w:space="0" w:color="7E7E7E"/>
              <w:bottom w:val="nil"/>
              <w:right w:val="single" w:sz="5" w:space="0" w:color="7E7E7E"/>
            </w:tcBorders>
          </w:tcPr>
          <w:p w14:paraId="6240CE49" w14:textId="77777777" w:rsidR="00F90965" w:rsidRPr="00F90965" w:rsidRDefault="00F90965" w:rsidP="00EF3721">
            <w:pPr>
              <w:jc w:val="center"/>
              <w:rPr>
                <w:szCs w:val="22"/>
                <w:lang w:val="en-US"/>
              </w:rPr>
            </w:pPr>
            <w:r w:rsidRPr="00F90965">
              <w:rPr>
                <w:szCs w:val="22"/>
                <w:lang w:val="en-US"/>
              </w:rPr>
              <w:t>19</w:t>
            </w:r>
          </w:p>
        </w:tc>
      </w:tr>
      <w:tr w:rsidR="00F90965" w:rsidRPr="00205DDC" w14:paraId="491472DA" w14:textId="77777777" w:rsidTr="00F90965">
        <w:trPr>
          <w:trHeight w:hRule="exact" w:val="253"/>
        </w:trPr>
        <w:tc>
          <w:tcPr>
            <w:tcW w:w="5212" w:type="dxa"/>
            <w:tcBorders>
              <w:top w:val="nil"/>
              <w:left w:val="single" w:sz="5" w:space="0" w:color="7E7E7E"/>
              <w:bottom w:val="nil"/>
              <w:right w:val="single" w:sz="5" w:space="0" w:color="7E7E7E"/>
            </w:tcBorders>
          </w:tcPr>
          <w:p w14:paraId="29A45BBE" w14:textId="77777777" w:rsidR="00F90965" w:rsidRPr="00EF3721" w:rsidRDefault="00F90965" w:rsidP="00184C85">
            <w:pPr>
              <w:rPr>
                <w:szCs w:val="22"/>
              </w:rPr>
            </w:pPr>
            <w:r w:rsidRPr="00EF3721">
              <w:rPr>
                <w:szCs w:val="22"/>
              </w:rPr>
              <w:t>assintomática + ausência de alterações na imagiologia</w:t>
            </w:r>
          </w:p>
        </w:tc>
        <w:tc>
          <w:tcPr>
            <w:tcW w:w="2126" w:type="dxa"/>
            <w:tcBorders>
              <w:top w:val="nil"/>
              <w:left w:val="single" w:sz="5" w:space="0" w:color="7E7E7E"/>
              <w:bottom w:val="nil"/>
              <w:right w:val="single" w:sz="5" w:space="0" w:color="7E7E7E"/>
            </w:tcBorders>
          </w:tcPr>
          <w:p w14:paraId="21604FBB" w14:textId="77777777" w:rsidR="00F90965" w:rsidRPr="00F90965" w:rsidRDefault="00F90965" w:rsidP="00EF3721">
            <w:pPr>
              <w:jc w:val="center"/>
              <w:rPr>
                <w:szCs w:val="22"/>
                <w:lang w:val="en-US"/>
              </w:rPr>
            </w:pPr>
            <w:r w:rsidRPr="00F90965">
              <w:rPr>
                <w:szCs w:val="22"/>
                <w:lang w:val="en-US"/>
              </w:rPr>
              <w:t>(6.3%, 95% I</w:t>
            </w:r>
            <w:r>
              <w:rPr>
                <w:szCs w:val="22"/>
                <w:lang w:val="en-US"/>
              </w:rPr>
              <w:t>C</w:t>
            </w:r>
          </w:p>
        </w:tc>
        <w:tc>
          <w:tcPr>
            <w:tcW w:w="2126" w:type="dxa"/>
            <w:tcBorders>
              <w:top w:val="nil"/>
              <w:left w:val="single" w:sz="5" w:space="0" w:color="7E7E7E"/>
              <w:bottom w:val="nil"/>
              <w:right w:val="single" w:sz="5" w:space="0" w:color="7E7E7E"/>
            </w:tcBorders>
          </w:tcPr>
          <w:p w14:paraId="06DF8C42" w14:textId="77777777" w:rsidR="00F90965" w:rsidRPr="00F90965" w:rsidRDefault="00F90965" w:rsidP="00EF3721">
            <w:pPr>
              <w:jc w:val="center"/>
              <w:rPr>
                <w:szCs w:val="22"/>
                <w:lang w:val="en-US"/>
              </w:rPr>
            </w:pPr>
            <w:r w:rsidRPr="00F90965">
              <w:rPr>
                <w:szCs w:val="22"/>
                <w:lang w:val="en-US"/>
              </w:rPr>
              <w:t>(11.5%, 95% I</w:t>
            </w:r>
            <w:r>
              <w:rPr>
                <w:szCs w:val="22"/>
                <w:lang w:val="en-US"/>
              </w:rPr>
              <w:t>C</w:t>
            </w:r>
          </w:p>
        </w:tc>
      </w:tr>
      <w:tr w:rsidR="00F90965" w:rsidRPr="00205DDC" w14:paraId="57F38173" w14:textId="77777777" w:rsidTr="00F90965">
        <w:trPr>
          <w:trHeight w:hRule="exact" w:val="308"/>
        </w:trPr>
        <w:tc>
          <w:tcPr>
            <w:tcW w:w="5212" w:type="dxa"/>
            <w:tcBorders>
              <w:top w:val="nil"/>
              <w:left w:val="single" w:sz="5" w:space="0" w:color="7E7E7E"/>
              <w:bottom w:val="single" w:sz="5" w:space="0" w:color="7E7E7E"/>
              <w:right w:val="single" w:sz="5" w:space="0" w:color="7E7E7E"/>
            </w:tcBorders>
          </w:tcPr>
          <w:p w14:paraId="3086FBD9" w14:textId="77777777" w:rsidR="00F90965" w:rsidRPr="00205DDC" w:rsidRDefault="00F90965" w:rsidP="00184C85">
            <w:pPr>
              <w:rPr>
                <w:szCs w:val="22"/>
                <w:lang w:val="en-US"/>
              </w:rPr>
            </w:pPr>
            <w:proofErr w:type="spellStart"/>
            <w:r w:rsidRPr="00F90965">
              <w:rPr>
                <w:szCs w:val="22"/>
                <w:lang w:val="en-US"/>
              </w:rPr>
              <w:t>repetida</w:t>
            </w:r>
            <w:proofErr w:type="spellEnd"/>
          </w:p>
        </w:tc>
        <w:tc>
          <w:tcPr>
            <w:tcW w:w="2126" w:type="dxa"/>
            <w:tcBorders>
              <w:top w:val="nil"/>
              <w:left w:val="single" w:sz="5" w:space="0" w:color="7E7E7E"/>
              <w:bottom w:val="single" w:sz="5" w:space="0" w:color="7E7E7E"/>
              <w:right w:val="single" w:sz="5" w:space="0" w:color="7E7E7E"/>
            </w:tcBorders>
          </w:tcPr>
          <w:p w14:paraId="457887D4" w14:textId="77777777" w:rsidR="00F90965" w:rsidRPr="00F90965" w:rsidRDefault="00F90965" w:rsidP="00EF3721">
            <w:pPr>
              <w:jc w:val="center"/>
              <w:rPr>
                <w:szCs w:val="22"/>
                <w:lang w:val="en-US"/>
              </w:rPr>
            </w:pPr>
            <w:r w:rsidRPr="00F90965">
              <w:rPr>
                <w:szCs w:val="22"/>
                <w:lang w:val="en-US"/>
              </w:rPr>
              <w:t>4.0% – 9.2%)</w:t>
            </w:r>
          </w:p>
        </w:tc>
        <w:tc>
          <w:tcPr>
            <w:tcW w:w="2126" w:type="dxa"/>
            <w:tcBorders>
              <w:top w:val="nil"/>
              <w:left w:val="single" w:sz="5" w:space="0" w:color="7E7E7E"/>
              <w:bottom w:val="single" w:sz="5" w:space="0" w:color="7E7E7E"/>
              <w:right w:val="single" w:sz="5" w:space="0" w:color="7E7E7E"/>
            </w:tcBorders>
          </w:tcPr>
          <w:p w14:paraId="3BFF9B3F" w14:textId="77777777" w:rsidR="00F90965" w:rsidRPr="00F90965" w:rsidRDefault="00F90965" w:rsidP="00EF3721">
            <w:pPr>
              <w:jc w:val="center"/>
              <w:rPr>
                <w:szCs w:val="22"/>
                <w:lang w:val="en-US"/>
              </w:rPr>
            </w:pPr>
            <w:r w:rsidRPr="00F90965">
              <w:rPr>
                <w:szCs w:val="22"/>
                <w:lang w:val="en-US"/>
              </w:rPr>
              <w:t>7.3% – 17.4%)</w:t>
            </w:r>
          </w:p>
        </w:tc>
      </w:tr>
      <w:tr w:rsidR="00F90965" w:rsidRPr="00205DDC" w14:paraId="43C53083" w14:textId="77777777" w:rsidTr="00F90965">
        <w:trPr>
          <w:trHeight w:hRule="exact" w:val="270"/>
        </w:trPr>
        <w:tc>
          <w:tcPr>
            <w:tcW w:w="5212" w:type="dxa"/>
            <w:vMerge w:val="restart"/>
            <w:tcBorders>
              <w:top w:val="single" w:sz="5" w:space="0" w:color="7E7E7E"/>
              <w:left w:val="single" w:sz="5" w:space="0" w:color="7E7E7E"/>
              <w:right w:val="single" w:sz="5" w:space="0" w:color="7E7E7E"/>
            </w:tcBorders>
          </w:tcPr>
          <w:p w14:paraId="33B9F025" w14:textId="77777777" w:rsidR="00F90965" w:rsidRDefault="00F90965" w:rsidP="00F90965">
            <w:pPr>
              <w:pStyle w:val="Default"/>
              <w:rPr>
                <w:szCs w:val="22"/>
              </w:rPr>
            </w:pPr>
            <w:proofErr w:type="spellStart"/>
            <w:r>
              <w:rPr>
                <w:sz w:val="22"/>
                <w:szCs w:val="22"/>
              </w:rPr>
              <w:t>Normalização</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imagiologia</w:t>
            </w:r>
            <w:proofErr w:type="spellEnd"/>
            <w:r>
              <w:rPr>
                <w:sz w:val="22"/>
                <w:szCs w:val="22"/>
              </w:rPr>
              <w:t xml:space="preserve"> </w:t>
            </w:r>
            <w:proofErr w:type="spellStart"/>
            <w:r>
              <w:rPr>
                <w:sz w:val="22"/>
                <w:szCs w:val="22"/>
              </w:rPr>
              <w:t>repetida</w:t>
            </w:r>
            <w:proofErr w:type="spellEnd"/>
            <w:r>
              <w:rPr>
                <w:sz w:val="22"/>
                <w:szCs w:val="22"/>
              </w:rPr>
              <w:t xml:space="preserve"> </w:t>
            </w:r>
          </w:p>
          <w:p w14:paraId="7F3E8D56" w14:textId="77777777" w:rsidR="00F90965" w:rsidRPr="00205DDC" w:rsidRDefault="00F90965" w:rsidP="00184C85">
            <w:pPr>
              <w:rPr>
                <w:szCs w:val="22"/>
                <w:lang w:val="en-US"/>
              </w:rPr>
            </w:pPr>
          </w:p>
        </w:tc>
        <w:tc>
          <w:tcPr>
            <w:tcW w:w="2126" w:type="dxa"/>
            <w:tcBorders>
              <w:top w:val="single" w:sz="5" w:space="0" w:color="7E7E7E"/>
              <w:left w:val="single" w:sz="5" w:space="0" w:color="7E7E7E"/>
              <w:bottom w:val="nil"/>
              <w:right w:val="single" w:sz="5" w:space="0" w:color="7E7E7E"/>
            </w:tcBorders>
          </w:tcPr>
          <w:p w14:paraId="1DC10A8A" w14:textId="77777777" w:rsidR="00F90965" w:rsidRPr="00F90965" w:rsidRDefault="00F90965" w:rsidP="00EF3721">
            <w:pPr>
              <w:jc w:val="center"/>
              <w:rPr>
                <w:szCs w:val="22"/>
                <w:lang w:val="en-US"/>
              </w:rPr>
            </w:pPr>
            <w:r w:rsidRPr="00F90965">
              <w:rPr>
                <w:szCs w:val="22"/>
                <w:lang w:val="en-US"/>
              </w:rPr>
              <w:t>128</w:t>
            </w:r>
          </w:p>
        </w:tc>
        <w:tc>
          <w:tcPr>
            <w:tcW w:w="2126" w:type="dxa"/>
            <w:tcBorders>
              <w:top w:val="single" w:sz="5" w:space="0" w:color="7E7E7E"/>
              <w:left w:val="single" w:sz="5" w:space="0" w:color="7E7E7E"/>
              <w:bottom w:val="nil"/>
              <w:right w:val="single" w:sz="5" w:space="0" w:color="7E7E7E"/>
            </w:tcBorders>
          </w:tcPr>
          <w:p w14:paraId="11BE11FF" w14:textId="77777777" w:rsidR="00F90965" w:rsidRPr="00F90965" w:rsidRDefault="00F90965" w:rsidP="00EF3721">
            <w:pPr>
              <w:jc w:val="center"/>
              <w:rPr>
                <w:szCs w:val="22"/>
                <w:lang w:val="en-US"/>
              </w:rPr>
            </w:pPr>
            <w:r w:rsidRPr="00F90965">
              <w:rPr>
                <w:szCs w:val="22"/>
                <w:lang w:val="en-US"/>
              </w:rPr>
              <w:t>43</w:t>
            </w:r>
          </w:p>
        </w:tc>
      </w:tr>
      <w:tr w:rsidR="00F90965" w:rsidRPr="00205DDC" w14:paraId="31A60A77" w14:textId="77777777" w:rsidTr="00F90965">
        <w:trPr>
          <w:trHeight w:hRule="exact" w:val="253"/>
        </w:trPr>
        <w:tc>
          <w:tcPr>
            <w:tcW w:w="5212" w:type="dxa"/>
            <w:vMerge/>
            <w:tcBorders>
              <w:left w:val="single" w:sz="5" w:space="0" w:color="7E7E7E"/>
              <w:right w:val="single" w:sz="5" w:space="0" w:color="7E7E7E"/>
            </w:tcBorders>
          </w:tcPr>
          <w:p w14:paraId="7EE2F95D" w14:textId="77777777" w:rsidR="00F90965" w:rsidRPr="00205DDC" w:rsidRDefault="00F90965" w:rsidP="00184C85">
            <w:pPr>
              <w:rPr>
                <w:szCs w:val="22"/>
                <w:lang w:val="en-US"/>
              </w:rPr>
            </w:pPr>
          </w:p>
        </w:tc>
        <w:tc>
          <w:tcPr>
            <w:tcW w:w="2126" w:type="dxa"/>
            <w:tcBorders>
              <w:top w:val="nil"/>
              <w:left w:val="single" w:sz="5" w:space="0" w:color="7E7E7E"/>
              <w:bottom w:val="nil"/>
              <w:right w:val="single" w:sz="5" w:space="0" w:color="7E7E7E"/>
            </w:tcBorders>
          </w:tcPr>
          <w:p w14:paraId="64855494" w14:textId="77777777" w:rsidR="00F90965" w:rsidRPr="00F90965" w:rsidRDefault="00F90965" w:rsidP="00EF3721">
            <w:pPr>
              <w:jc w:val="center"/>
              <w:rPr>
                <w:szCs w:val="22"/>
                <w:lang w:val="en-US"/>
              </w:rPr>
            </w:pPr>
            <w:r w:rsidRPr="00F90965">
              <w:rPr>
                <w:szCs w:val="22"/>
                <w:lang w:val="en-US"/>
              </w:rPr>
              <w:t>(38.2%, 95% I</w:t>
            </w:r>
            <w:r>
              <w:rPr>
                <w:szCs w:val="22"/>
                <w:lang w:val="en-US"/>
              </w:rPr>
              <w:t>C</w:t>
            </w:r>
          </w:p>
        </w:tc>
        <w:tc>
          <w:tcPr>
            <w:tcW w:w="2126" w:type="dxa"/>
            <w:tcBorders>
              <w:top w:val="nil"/>
              <w:left w:val="single" w:sz="5" w:space="0" w:color="7E7E7E"/>
              <w:bottom w:val="nil"/>
              <w:right w:val="single" w:sz="5" w:space="0" w:color="7E7E7E"/>
            </w:tcBorders>
          </w:tcPr>
          <w:p w14:paraId="6A0A8BE7" w14:textId="77777777" w:rsidR="00F90965" w:rsidRPr="00F90965" w:rsidRDefault="00F90965" w:rsidP="00EF3721">
            <w:pPr>
              <w:jc w:val="center"/>
              <w:rPr>
                <w:szCs w:val="22"/>
                <w:lang w:val="en-US"/>
              </w:rPr>
            </w:pPr>
            <w:r w:rsidRPr="00F90965">
              <w:rPr>
                <w:szCs w:val="22"/>
                <w:lang w:val="en-US"/>
              </w:rPr>
              <w:t>(26.1%, 95% I</w:t>
            </w:r>
            <w:r>
              <w:rPr>
                <w:szCs w:val="22"/>
                <w:lang w:val="en-US"/>
              </w:rPr>
              <w:t>C</w:t>
            </w:r>
          </w:p>
        </w:tc>
      </w:tr>
      <w:tr w:rsidR="00F90965" w:rsidRPr="00205DDC" w14:paraId="27981321" w14:textId="77777777" w:rsidTr="00F90965">
        <w:trPr>
          <w:trHeight w:hRule="exact" w:val="334"/>
        </w:trPr>
        <w:tc>
          <w:tcPr>
            <w:tcW w:w="5212" w:type="dxa"/>
            <w:vMerge/>
            <w:tcBorders>
              <w:left w:val="single" w:sz="5" w:space="0" w:color="7E7E7E"/>
              <w:bottom w:val="single" w:sz="5" w:space="0" w:color="7E7E7E"/>
              <w:right w:val="single" w:sz="5" w:space="0" w:color="7E7E7E"/>
            </w:tcBorders>
          </w:tcPr>
          <w:p w14:paraId="49EC4023" w14:textId="77777777" w:rsidR="00F90965" w:rsidRPr="00205DDC" w:rsidRDefault="00F90965" w:rsidP="00184C85">
            <w:pPr>
              <w:rPr>
                <w:szCs w:val="22"/>
                <w:lang w:val="en-US"/>
              </w:rPr>
            </w:pPr>
          </w:p>
        </w:tc>
        <w:tc>
          <w:tcPr>
            <w:tcW w:w="2126" w:type="dxa"/>
            <w:tcBorders>
              <w:top w:val="nil"/>
              <w:left w:val="single" w:sz="5" w:space="0" w:color="7E7E7E"/>
              <w:bottom w:val="single" w:sz="5" w:space="0" w:color="7E7E7E"/>
              <w:right w:val="single" w:sz="5" w:space="0" w:color="7E7E7E"/>
            </w:tcBorders>
          </w:tcPr>
          <w:p w14:paraId="07654E71" w14:textId="77777777" w:rsidR="00F90965" w:rsidRPr="00F90965" w:rsidRDefault="00F90965" w:rsidP="00EF3721">
            <w:pPr>
              <w:jc w:val="center"/>
              <w:rPr>
                <w:szCs w:val="22"/>
                <w:lang w:val="en-US"/>
              </w:rPr>
            </w:pPr>
            <w:r w:rsidRPr="00F90965">
              <w:rPr>
                <w:szCs w:val="22"/>
                <w:lang w:val="en-US"/>
              </w:rPr>
              <w:t>33.0% - 43.5%)</w:t>
            </w:r>
          </w:p>
        </w:tc>
        <w:tc>
          <w:tcPr>
            <w:tcW w:w="2126" w:type="dxa"/>
            <w:tcBorders>
              <w:top w:val="nil"/>
              <w:left w:val="single" w:sz="5" w:space="0" w:color="7E7E7E"/>
              <w:bottom w:val="single" w:sz="5" w:space="0" w:color="7E7E7E"/>
              <w:right w:val="single" w:sz="5" w:space="0" w:color="7E7E7E"/>
            </w:tcBorders>
          </w:tcPr>
          <w:p w14:paraId="547F02B7" w14:textId="77777777" w:rsidR="00F90965" w:rsidRPr="00F90965" w:rsidRDefault="00F90965" w:rsidP="00EF3721">
            <w:pPr>
              <w:jc w:val="center"/>
              <w:rPr>
                <w:szCs w:val="22"/>
                <w:lang w:val="en-US"/>
              </w:rPr>
            </w:pPr>
            <w:r w:rsidRPr="00F90965">
              <w:rPr>
                <w:szCs w:val="22"/>
                <w:lang w:val="en-US"/>
              </w:rPr>
              <w:t>19.8% - 33.0%)</w:t>
            </w:r>
          </w:p>
        </w:tc>
      </w:tr>
      <w:tr w:rsidR="00F90965" w:rsidRPr="00205DDC" w14:paraId="2B501270" w14:textId="77777777" w:rsidTr="00F90965">
        <w:trPr>
          <w:trHeight w:hRule="exact" w:val="270"/>
        </w:trPr>
        <w:tc>
          <w:tcPr>
            <w:tcW w:w="5212" w:type="dxa"/>
            <w:tcBorders>
              <w:top w:val="single" w:sz="5" w:space="0" w:color="7E7E7E"/>
              <w:left w:val="single" w:sz="5" w:space="0" w:color="7E7E7E"/>
              <w:bottom w:val="nil"/>
              <w:right w:val="single" w:sz="5" w:space="0" w:color="7E7E7E"/>
            </w:tcBorders>
          </w:tcPr>
          <w:p w14:paraId="10229B01" w14:textId="77777777" w:rsidR="00F90965" w:rsidRDefault="00F90965" w:rsidP="00F90965">
            <w:pPr>
              <w:pStyle w:val="Default"/>
              <w:rPr>
                <w:szCs w:val="22"/>
              </w:rPr>
            </w:pPr>
            <w:proofErr w:type="spellStart"/>
            <w:r>
              <w:rPr>
                <w:sz w:val="22"/>
                <w:szCs w:val="22"/>
              </w:rPr>
              <w:t>Compósito</w:t>
            </w:r>
            <w:proofErr w:type="spellEnd"/>
            <w:r>
              <w:rPr>
                <w:sz w:val="22"/>
                <w:szCs w:val="22"/>
              </w:rPr>
              <w:t xml:space="preserve">: TEV </w:t>
            </w:r>
            <w:proofErr w:type="spellStart"/>
            <w:r>
              <w:rPr>
                <w:sz w:val="22"/>
                <w:szCs w:val="22"/>
              </w:rPr>
              <w:t>sintomático</w:t>
            </w:r>
            <w:proofErr w:type="spellEnd"/>
            <w:r>
              <w:rPr>
                <w:sz w:val="22"/>
                <w:szCs w:val="22"/>
              </w:rPr>
              <w:t xml:space="preserve"> </w:t>
            </w:r>
            <w:proofErr w:type="spellStart"/>
            <w:r>
              <w:rPr>
                <w:sz w:val="22"/>
                <w:szCs w:val="22"/>
              </w:rPr>
              <w:t>recorrente</w:t>
            </w:r>
            <w:proofErr w:type="spellEnd"/>
            <w:r>
              <w:rPr>
                <w:sz w:val="22"/>
                <w:szCs w:val="22"/>
              </w:rPr>
              <w:t xml:space="preserve"> + </w:t>
            </w:r>
            <w:proofErr w:type="spellStart"/>
            <w:r>
              <w:rPr>
                <w:sz w:val="22"/>
                <w:szCs w:val="22"/>
              </w:rPr>
              <w:t>hemorragia</w:t>
            </w:r>
            <w:proofErr w:type="spellEnd"/>
            <w:r>
              <w:rPr>
                <w:sz w:val="22"/>
                <w:szCs w:val="22"/>
              </w:rPr>
              <w:t xml:space="preserve"> </w:t>
            </w:r>
          </w:p>
          <w:p w14:paraId="1AA129D1" w14:textId="77777777" w:rsidR="00F90965" w:rsidRPr="00205DDC" w:rsidRDefault="00F90965" w:rsidP="00184C85">
            <w:pPr>
              <w:rPr>
                <w:szCs w:val="22"/>
                <w:lang w:val="en-US"/>
              </w:rPr>
            </w:pPr>
          </w:p>
        </w:tc>
        <w:tc>
          <w:tcPr>
            <w:tcW w:w="2126" w:type="dxa"/>
            <w:tcBorders>
              <w:top w:val="single" w:sz="5" w:space="0" w:color="7E7E7E"/>
              <w:left w:val="single" w:sz="5" w:space="0" w:color="7E7E7E"/>
              <w:bottom w:val="nil"/>
              <w:right w:val="single" w:sz="5" w:space="0" w:color="7E7E7E"/>
            </w:tcBorders>
          </w:tcPr>
          <w:p w14:paraId="33CDF019" w14:textId="77777777" w:rsidR="00F90965" w:rsidRPr="00F90965" w:rsidRDefault="00F90965" w:rsidP="00EF3721">
            <w:pPr>
              <w:jc w:val="center"/>
              <w:rPr>
                <w:szCs w:val="22"/>
                <w:lang w:val="en-US"/>
              </w:rPr>
            </w:pPr>
            <w:r w:rsidRPr="00F90965">
              <w:rPr>
                <w:szCs w:val="22"/>
                <w:lang w:val="en-US"/>
              </w:rPr>
              <w:t>4</w:t>
            </w:r>
          </w:p>
        </w:tc>
        <w:tc>
          <w:tcPr>
            <w:tcW w:w="2126" w:type="dxa"/>
            <w:tcBorders>
              <w:top w:val="single" w:sz="5" w:space="0" w:color="7E7E7E"/>
              <w:left w:val="single" w:sz="5" w:space="0" w:color="7E7E7E"/>
              <w:bottom w:val="nil"/>
              <w:right w:val="single" w:sz="5" w:space="0" w:color="7E7E7E"/>
            </w:tcBorders>
          </w:tcPr>
          <w:p w14:paraId="7E80B942" w14:textId="77777777" w:rsidR="00F90965" w:rsidRPr="00F90965" w:rsidRDefault="00F90965" w:rsidP="00EF3721">
            <w:pPr>
              <w:jc w:val="center"/>
              <w:rPr>
                <w:szCs w:val="22"/>
                <w:lang w:val="en-US"/>
              </w:rPr>
            </w:pPr>
            <w:r w:rsidRPr="00F90965">
              <w:rPr>
                <w:szCs w:val="22"/>
                <w:lang w:val="en-US"/>
              </w:rPr>
              <w:t>7</w:t>
            </w:r>
          </w:p>
        </w:tc>
      </w:tr>
      <w:tr w:rsidR="00F90965" w:rsidRPr="00205DDC" w14:paraId="725AF83E" w14:textId="77777777" w:rsidTr="00F90965">
        <w:trPr>
          <w:trHeight w:hRule="exact" w:val="253"/>
        </w:trPr>
        <w:tc>
          <w:tcPr>
            <w:tcW w:w="5212" w:type="dxa"/>
            <w:vMerge w:val="restart"/>
            <w:tcBorders>
              <w:top w:val="nil"/>
              <w:left w:val="single" w:sz="5" w:space="0" w:color="7E7E7E"/>
              <w:right w:val="single" w:sz="5" w:space="0" w:color="7E7E7E"/>
            </w:tcBorders>
          </w:tcPr>
          <w:p w14:paraId="39E01719" w14:textId="77777777" w:rsidR="00F90965" w:rsidRPr="00205DDC" w:rsidRDefault="00F90965" w:rsidP="00184C85">
            <w:pPr>
              <w:rPr>
                <w:szCs w:val="22"/>
                <w:lang w:val="en-US"/>
              </w:rPr>
            </w:pPr>
            <w:r w:rsidRPr="00F90965">
              <w:rPr>
                <w:szCs w:val="22"/>
                <w:lang w:val="en-US"/>
              </w:rPr>
              <w:t>principal (</w:t>
            </w:r>
            <w:proofErr w:type="spellStart"/>
            <w:r w:rsidRPr="00F90965">
              <w:rPr>
                <w:szCs w:val="22"/>
                <w:lang w:val="en-US"/>
              </w:rPr>
              <w:t>benefício</w:t>
            </w:r>
            <w:proofErr w:type="spellEnd"/>
            <w:r w:rsidRPr="00F90965">
              <w:rPr>
                <w:szCs w:val="22"/>
                <w:lang w:val="en-US"/>
              </w:rPr>
              <w:t xml:space="preserve"> </w:t>
            </w:r>
            <w:proofErr w:type="spellStart"/>
            <w:r w:rsidRPr="00F90965">
              <w:rPr>
                <w:szCs w:val="22"/>
                <w:lang w:val="en-US"/>
              </w:rPr>
              <w:t>clínico</w:t>
            </w:r>
            <w:proofErr w:type="spellEnd"/>
            <w:r w:rsidRPr="00F90965">
              <w:rPr>
                <w:szCs w:val="22"/>
                <w:lang w:val="en-US"/>
              </w:rPr>
              <w:t xml:space="preserve"> </w:t>
            </w:r>
            <w:proofErr w:type="spellStart"/>
            <w:r w:rsidRPr="00F90965">
              <w:rPr>
                <w:szCs w:val="22"/>
                <w:lang w:val="en-US"/>
              </w:rPr>
              <w:t>líquido</w:t>
            </w:r>
            <w:proofErr w:type="spellEnd"/>
            <w:r w:rsidRPr="00F90965">
              <w:rPr>
                <w:szCs w:val="22"/>
                <w:lang w:val="en-US"/>
              </w:rPr>
              <w:t>)</w:t>
            </w:r>
          </w:p>
        </w:tc>
        <w:tc>
          <w:tcPr>
            <w:tcW w:w="2126" w:type="dxa"/>
            <w:tcBorders>
              <w:top w:val="nil"/>
              <w:left w:val="single" w:sz="5" w:space="0" w:color="7E7E7E"/>
              <w:bottom w:val="nil"/>
              <w:right w:val="single" w:sz="5" w:space="0" w:color="7E7E7E"/>
            </w:tcBorders>
          </w:tcPr>
          <w:p w14:paraId="64E2EDB3" w14:textId="77777777" w:rsidR="00F90965" w:rsidRPr="00F90965" w:rsidRDefault="00F90965" w:rsidP="00EF3721">
            <w:pPr>
              <w:jc w:val="center"/>
              <w:rPr>
                <w:szCs w:val="22"/>
                <w:lang w:val="en-US"/>
              </w:rPr>
            </w:pPr>
            <w:r w:rsidRPr="00F90965">
              <w:rPr>
                <w:szCs w:val="22"/>
                <w:lang w:val="en-US"/>
              </w:rPr>
              <w:t>(1.2%, 95% I</w:t>
            </w:r>
            <w:r>
              <w:rPr>
                <w:szCs w:val="22"/>
                <w:lang w:val="en-US"/>
              </w:rPr>
              <w:t>C</w:t>
            </w:r>
          </w:p>
        </w:tc>
        <w:tc>
          <w:tcPr>
            <w:tcW w:w="2126" w:type="dxa"/>
            <w:tcBorders>
              <w:top w:val="nil"/>
              <w:left w:val="single" w:sz="5" w:space="0" w:color="7E7E7E"/>
              <w:bottom w:val="nil"/>
              <w:right w:val="single" w:sz="5" w:space="0" w:color="7E7E7E"/>
            </w:tcBorders>
          </w:tcPr>
          <w:p w14:paraId="70C5E123" w14:textId="77777777" w:rsidR="00F90965" w:rsidRPr="00F90965" w:rsidRDefault="00F90965" w:rsidP="00EF3721">
            <w:pPr>
              <w:jc w:val="center"/>
              <w:rPr>
                <w:szCs w:val="22"/>
                <w:lang w:val="en-US"/>
              </w:rPr>
            </w:pPr>
            <w:r w:rsidRPr="00F90965">
              <w:rPr>
                <w:szCs w:val="22"/>
                <w:lang w:val="en-US"/>
              </w:rPr>
              <w:t>(4.2%, 95% I</w:t>
            </w:r>
            <w:r>
              <w:rPr>
                <w:szCs w:val="22"/>
                <w:lang w:val="en-US"/>
              </w:rPr>
              <w:t>C</w:t>
            </w:r>
          </w:p>
        </w:tc>
      </w:tr>
      <w:tr w:rsidR="00F90965" w:rsidRPr="00205DDC" w14:paraId="42ED57C5" w14:textId="77777777" w:rsidTr="00F90965">
        <w:trPr>
          <w:trHeight w:hRule="exact" w:val="460"/>
        </w:trPr>
        <w:tc>
          <w:tcPr>
            <w:tcW w:w="5212" w:type="dxa"/>
            <w:vMerge/>
            <w:tcBorders>
              <w:left w:val="single" w:sz="5" w:space="0" w:color="7E7E7E"/>
              <w:bottom w:val="single" w:sz="5" w:space="0" w:color="7E7E7E"/>
              <w:right w:val="single" w:sz="5" w:space="0" w:color="7E7E7E"/>
            </w:tcBorders>
          </w:tcPr>
          <w:p w14:paraId="26F25E88" w14:textId="77777777" w:rsidR="00F90965" w:rsidRPr="00205DDC" w:rsidRDefault="00F90965" w:rsidP="00184C85">
            <w:pPr>
              <w:rPr>
                <w:szCs w:val="22"/>
                <w:lang w:val="en-US"/>
              </w:rPr>
            </w:pPr>
          </w:p>
        </w:tc>
        <w:tc>
          <w:tcPr>
            <w:tcW w:w="2126" w:type="dxa"/>
            <w:tcBorders>
              <w:top w:val="nil"/>
              <w:left w:val="single" w:sz="5" w:space="0" w:color="7E7E7E"/>
              <w:bottom w:val="single" w:sz="5" w:space="0" w:color="7E7E7E"/>
              <w:right w:val="single" w:sz="5" w:space="0" w:color="7E7E7E"/>
            </w:tcBorders>
          </w:tcPr>
          <w:p w14:paraId="3B21528F" w14:textId="77777777" w:rsidR="00F90965" w:rsidRPr="00F90965" w:rsidRDefault="00F90965" w:rsidP="00EF3721">
            <w:pPr>
              <w:jc w:val="center"/>
              <w:rPr>
                <w:szCs w:val="22"/>
                <w:lang w:val="en-US"/>
              </w:rPr>
            </w:pPr>
            <w:r w:rsidRPr="00F90965">
              <w:rPr>
                <w:szCs w:val="22"/>
                <w:lang w:val="en-US"/>
              </w:rPr>
              <w:t>0.4% - 3.0%)</w:t>
            </w:r>
          </w:p>
        </w:tc>
        <w:tc>
          <w:tcPr>
            <w:tcW w:w="2126" w:type="dxa"/>
            <w:tcBorders>
              <w:top w:val="nil"/>
              <w:left w:val="single" w:sz="5" w:space="0" w:color="7E7E7E"/>
              <w:bottom w:val="single" w:sz="5" w:space="0" w:color="7E7E7E"/>
              <w:right w:val="single" w:sz="5" w:space="0" w:color="7E7E7E"/>
            </w:tcBorders>
          </w:tcPr>
          <w:p w14:paraId="086918E9" w14:textId="77777777" w:rsidR="00F90965" w:rsidRPr="00F90965" w:rsidRDefault="00F90965" w:rsidP="00EF3721">
            <w:pPr>
              <w:jc w:val="center"/>
              <w:rPr>
                <w:szCs w:val="22"/>
                <w:lang w:val="en-US"/>
              </w:rPr>
            </w:pPr>
            <w:r w:rsidRPr="00F90965">
              <w:rPr>
                <w:szCs w:val="22"/>
                <w:lang w:val="en-US"/>
              </w:rPr>
              <w:t>2.0% - 8.4%)</w:t>
            </w:r>
          </w:p>
        </w:tc>
      </w:tr>
      <w:tr w:rsidR="00F90965" w:rsidRPr="00205DDC" w14:paraId="3F34F363" w14:textId="77777777" w:rsidTr="00F90965">
        <w:trPr>
          <w:trHeight w:hRule="exact" w:val="269"/>
        </w:trPr>
        <w:tc>
          <w:tcPr>
            <w:tcW w:w="5212" w:type="dxa"/>
            <w:vMerge w:val="restart"/>
            <w:tcBorders>
              <w:top w:val="single" w:sz="5" w:space="0" w:color="7E7E7E"/>
              <w:left w:val="single" w:sz="5" w:space="0" w:color="7E7E7E"/>
              <w:right w:val="single" w:sz="5" w:space="0" w:color="7E7E7E"/>
            </w:tcBorders>
          </w:tcPr>
          <w:p w14:paraId="264CF217" w14:textId="77777777" w:rsidR="00F90965" w:rsidRPr="00EF3721" w:rsidRDefault="00F90965" w:rsidP="00F90965">
            <w:pPr>
              <w:pStyle w:val="Default"/>
              <w:rPr>
                <w:szCs w:val="22"/>
                <w:lang w:val="pt-PT"/>
              </w:rPr>
            </w:pPr>
            <w:r w:rsidRPr="00EF3721">
              <w:rPr>
                <w:sz w:val="22"/>
                <w:szCs w:val="22"/>
                <w:lang w:val="pt-PT"/>
              </w:rPr>
              <w:t xml:space="preserve">Embolia pulmonar fatal ou não fatal </w:t>
            </w:r>
          </w:p>
          <w:p w14:paraId="70F027CE" w14:textId="77777777" w:rsidR="00F90965" w:rsidRPr="00EF3721" w:rsidRDefault="00F90965" w:rsidP="00184C85">
            <w:pPr>
              <w:rPr>
                <w:szCs w:val="22"/>
              </w:rPr>
            </w:pPr>
          </w:p>
        </w:tc>
        <w:tc>
          <w:tcPr>
            <w:tcW w:w="2126" w:type="dxa"/>
            <w:tcBorders>
              <w:top w:val="single" w:sz="5" w:space="0" w:color="7E7E7E"/>
              <w:left w:val="single" w:sz="5" w:space="0" w:color="7E7E7E"/>
              <w:bottom w:val="nil"/>
              <w:right w:val="single" w:sz="5" w:space="0" w:color="7E7E7E"/>
            </w:tcBorders>
          </w:tcPr>
          <w:p w14:paraId="483406AB" w14:textId="77777777" w:rsidR="00F90965" w:rsidRPr="00F90965" w:rsidRDefault="00F90965" w:rsidP="00EF3721">
            <w:pPr>
              <w:jc w:val="center"/>
              <w:rPr>
                <w:szCs w:val="22"/>
                <w:lang w:val="en-US"/>
              </w:rPr>
            </w:pPr>
            <w:r w:rsidRPr="00F90965">
              <w:rPr>
                <w:szCs w:val="22"/>
                <w:lang w:val="en-US"/>
              </w:rPr>
              <w:t>1</w:t>
            </w:r>
          </w:p>
        </w:tc>
        <w:tc>
          <w:tcPr>
            <w:tcW w:w="2126" w:type="dxa"/>
            <w:tcBorders>
              <w:top w:val="single" w:sz="5" w:space="0" w:color="7E7E7E"/>
              <w:left w:val="single" w:sz="5" w:space="0" w:color="7E7E7E"/>
              <w:bottom w:val="nil"/>
              <w:right w:val="single" w:sz="5" w:space="0" w:color="7E7E7E"/>
            </w:tcBorders>
          </w:tcPr>
          <w:p w14:paraId="0EF09947" w14:textId="77777777" w:rsidR="00F90965" w:rsidRPr="00F90965" w:rsidRDefault="00F90965" w:rsidP="00EF3721">
            <w:pPr>
              <w:jc w:val="center"/>
              <w:rPr>
                <w:szCs w:val="22"/>
                <w:lang w:val="en-US"/>
              </w:rPr>
            </w:pPr>
            <w:r w:rsidRPr="00F90965">
              <w:rPr>
                <w:szCs w:val="22"/>
                <w:lang w:val="en-US"/>
              </w:rPr>
              <w:t>1</w:t>
            </w:r>
          </w:p>
        </w:tc>
      </w:tr>
      <w:tr w:rsidR="00F90965" w:rsidRPr="00205DDC" w14:paraId="1E68E216" w14:textId="77777777" w:rsidTr="00F90965">
        <w:trPr>
          <w:trHeight w:hRule="exact" w:val="253"/>
        </w:trPr>
        <w:tc>
          <w:tcPr>
            <w:tcW w:w="5212" w:type="dxa"/>
            <w:vMerge/>
            <w:tcBorders>
              <w:left w:val="single" w:sz="5" w:space="0" w:color="7E7E7E"/>
              <w:right w:val="single" w:sz="5" w:space="0" w:color="7E7E7E"/>
            </w:tcBorders>
          </w:tcPr>
          <w:p w14:paraId="6D69F873" w14:textId="77777777" w:rsidR="00F90965" w:rsidRPr="00205DDC" w:rsidRDefault="00F90965" w:rsidP="00184C85">
            <w:pPr>
              <w:rPr>
                <w:szCs w:val="22"/>
                <w:lang w:val="en-US"/>
              </w:rPr>
            </w:pPr>
          </w:p>
        </w:tc>
        <w:tc>
          <w:tcPr>
            <w:tcW w:w="2126" w:type="dxa"/>
            <w:tcBorders>
              <w:top w:val="nil"/>
              <w:left w:val="single" w:sz="5" w:space="0" w:color="7E7E7E"/>
              <w:bottom w:val="nil"/>
              <w:right w:val="single" w:sz="5" w:space="0" w:color="7E7E7E"/>
            </w:tcBorders>
          </w:tcPr>
          <w:p w14:paraId="156D4BAA" w14:textId="77777777" w:rsidR="00F90965" w:rsidRPr="00F90965" w:rsidRDefault="00F90965" w:rsidP="00EF3721">
            <w:pPr>
              <w:jc w:val="center"/>
              <w:rPr>
                <w:szCs w:val="22"/>
                <w:lang w:val="en-US"/>
              </w:rPr>
            </w:pPr>
            <w:r w:rsidRPr="00F90965">
              <w:rPr>
                <w:szCs w:val="22"/>
                <w:lang w:val="en-US"/>
              </w:rPr>
              <w:t>(0.3%, 95% I</w:t>
            </w:r>
            <w:r>
              <w:rPr>
                <w:szCs w:val="22"/>
                <w:lang w:val="en-US"/>
              </w:rPr>
              <w:t>C</w:t>
            </w:r>
          </w:p>
        </w:tc>
        <w:tc>
          <w:tcPr>
            <w:tcW w:w="2126" w:type="dxa"/>
            <w:tcBorders>
              <w:top w:val="nil"/>
              <w:left w:val="single" w:sz="5" w:space="0" w:color="7E7E7E"/>
              <w:bottom w:val="nil"/>
              <w:right w:val="single" w:sz="5" w:space="0" w:color="7E7E7E"/>
            </w:tcBorders>
          </w:tcPr>
          <w:p w14:paraId="1CFC8437" w14:textId="77777777" w:rsidR="00F90965" w:rsidRPr="00F90965" w:rsidRDefault="00F90965" w:rsidP="00EF3721">
            <w:pPr>
              <w:jc w:val="center"/>
              <w:rPr>
                <w:szCs w:val="22"/>
                <w:lang w:val="en-US"/>
              </w:rPr>
            </w:pPr>
            <w:r w:rsidRPr="00F90965">
              <w:rPr>
                <w:szCs w:val="22"/>
                <w:lang w:val="en-US"/>
              </w:rPr>
              <w:t>(0.6%, 95% I</w:t>
            </w:r>
            <w:r>
              <w:rPr>
                <w:szCs w:val="22"/>
                <w:lang w:val="en-US"/>
              </w:rPr>
              <w:t>C</w:t>
            </w:r>
          </w:p>
        </w:tc>
      </w:tr>
      <w:tr w:rsidR="00F90965" w:rsidRPr="00205DDC" w14:paraId="5F23DA9C" w14:textId="77777777" w:rsidTr="00F90965">
        <w:trPr>
          <w:trHeight w:hRule="exact" w:val="333"/>
        </w:trPr>
        <w:tc>
          <w:tcPr>
            <w:tcW w:w="5212" w:type="dxa"/>
            <w:vMerge/>
            <w:tcBorders>
              <w:left w:val="single" w:sz="5" w:space="0" w:color="7E7E7E"/>
              <w:bottom w:val="single" w:sz="5" w:space="0" w:color="000000"/>
              <w:right w:val="single" w:sz="5" w:space="0" w:color="7E7E7E"/>
            </w:tcBorders>
          </w:tcPr>
          <w:p w14:paraId="38B630FF" w14:textId="77777777" w:rsidR="00F90965" w:rsidRPr="00205DDC" w:rsidRDefault="00F90965" w:rsidP="00184C85">
            <w:pPr>
              <w:rPr>
                <w:szCs w:val="22"/>
                <w:lang w:val="en-US"/>
              </w:rPr>
            </w:pPr>
          </w:p>
        </w:tc>
        <w:tc>
          <w:tcPr>
            <w:tcW w:w="2126" w:type="dxa"/>
            <w:tcBorders>
              <w:top w:val="nil"/>
              <w:left w:val="single" w:sz="5" w:space="0" w:color="7E7E7E"/>
              <w:bottom w:val="single" w:sz="5" w:space="0" w:color="000000"/>
              <w:right w:val="single" w:sz="5" w:space="0" w:color="7E7E7E"/>
            </w:tcBorders>
          </w:tcPr>
          <w:p w14:paraId="408279A8" w14:textId="77777777" w:rsidR="00F90965" w:rsidRPr="00F90965" w:rsidRDefault="00F90965" w:rsidP="00EF3721">
            <w:pPr>
              <w:jc w:val="center"/>
              <w:rPr>
                <w:szCs w:val="22"/>
                <w:lang w:val="en-US"/>
              </w:rPr>
            </w:pPr>
            <w:r w:rsidRPr="00F90965">
              <w:rPr>
                <w:szCs w:val="22"/>
                <w:lang w:val="en-US"/>
              </w:rPr>
              <w:t>0.0% – 1.6%)</w:t>
            </w:r>
          </w:p>
        </w:tc>
        <w:tc>
          <w:tcPr>
            <w:tcW w:w="2126" w:type="dxa"/>
            <w:tcBorders>
              <w:top w:val="nil"/>
              <w:left w:val="single" w:sz="5" w:space="0" w:color="7E7E7E"/>
              <w:bottom w:val="single" w:sz="5" w:space="0" w:color="000000"/>
              <w:right w:val="single" w:sz="5" w:space="0" w:color="7E7E7E"/>
            </w:tcBorders>
          </w:tcPr>
          <w:p w14:paraId="688205C2" w14:textId="77777777" w:rsidR="00F90965" w:rsidRPr="00F90965" w:rsidRDefault="00F90965" w:rsidP="00EF3721">
            <w:pPr>
              <w:jc w:val="center"/>
              <w:rPr>
                <w:szCs w:val="22"/>
                <w:lang w:val="en-US"/>
              </w:rPr>
            </w:pPr>
            <w:r w:rsidRPr="00F90965">
              <w:rPr>
                <w:szCs w:val="22"/>
                <w:lang w:val="en-US"/>
              </w:rPr>
              <w:t>0.0% – 3.1%)</w:t>
            </w:r>
          </w:p>
        </w:tc>
      </w:tr>
    </w:tbl>
    <w:p w14:paraId="7D868B87" w14:textId="77777777" w:rsidR="00F90965" w:rsidRDefault="00F90965" w:rsidP="007E13AF">
      <w:pPr>
        <w:suppressAutoHyphens/>
        <w:rPr>
          <w:szCs w:val="22"/>
        </w:rPr>
      </w:pPr>
      <w:r>
        <w:rPr>
          <w:szCs w:val="22"/>
        </w:rPr>
        <w:t>*CAC = conjunto de análise completo, todas as crianças que foram aleatorizadas</w:t>
      </w:r>
    </w:p>
    <w:p w14:paraId="2DA3B9B9" w14:textId="77777777" w:rsidR="00F90965" w:rsidRDefault="00F90965" w:rsidP="007E13AF">
      <w:pPr>
        <w:suppressAutoHyphens/>
        <w:rPr>
          <w:szCs w:val="22"/>
        </w:rPr>
      </w:pPr>
    </w:p>
    <w:p w14:paraId="7D18B576" w14:textId="77777777" w:rsidR="00F90965" w:rsidRDefault="00F90965" w:rsidP="007E13AF">
      <w:pPr>
        <w:suppressAutoHyphens/>
        <w:rPr>
          <w:b/>
          <w:bCs/>
          <w:szCs w:val="22"/>
        </w:rPr>
      </w:pPr>
      <w:r>
        <w:rPr>
          <w:b/>
          <w:bCs/>
          <w:szCs w:val="22"/>
        </w:rPr>
        <w:t>Quadro 12: Resultados da segurança no final do período de tratamento principal</w:t>
      </w:r>
    </w:p>
    <w:p w14:paraId="37F6661B" w14:textId="77777777" w:rsidR="00F90965" w:rsidRDefault="00F90965" w:rsidP="007E13AF">
      <w:pPr>
        <w:suppressAutoHyphens/>
        <w:rPr>
          <w:b/>
          <w:bCs/>
          <w:szCs w:val="22"/>
        </w:rPr>
      </w:pP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F90965" w:rsidRPr="00205DDC" w14:paraId="4CC247B5" w14:textId="77777777" w:rsidTr="00184C85">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02B7E591" w14:textId="77777777" w:rsidR="00F90965" w:rsidRPr="00F26E38" w:rsidRDefault="00F90965" w:rsidP="00184C85">
            <w:pPr>
              <w:rPr>
                <w:szCs w:val="22"/>
              </w:rPr>
            </w:pPr>
          </w:p>
        </w:tc>
        <w:tc>
          <w:tcPr>
            <w:tcW w:w="2126" w:type="dxa"/>
            <w:tcBorders>
              <w:top w:val="single" w:sz="5" w:space="0" w:color="7E7E7E"/>
              <w:left w:val="single" w:sz="5" w:space="0" w:color="7E7E7E"/>
              <w:bottom w:val="single" w:sz="5" w:space="0" w:color="7E7E7E"/>
              <w:right w:val="single" w:sz="5" w:space="0" w:color="7E7E7E"/>
            </w:tcBorders>
          </w:tcPr>
          <w:p w14:paraId="63EE914A" w14:textId="77777777" w:rsidR="00F90965" w:rsidRDefault="00F90965" w:rsidP="00EF3721">
            <w:pPr>
              <w:jc w:val="center"/>
              <w:rPr>
                <w:b/>
                <w:szCs w:val="22"/>
                <w:lang w:val="en-US"/>
              </w:rPr>
            </w:pPr>
            <w:proofErr w:type="spellStart"/>
            <w:r w:rsidRPr="00205DDC">
              <w:rPr>
                <w:b/>
                <w:szCs w:val="22"/>
                <w:lang w:val="en-US"/>
              </w:rPr>
              <w:t>Rivaroxaban</w:t>
            </w:r>
            <w:r>
              <w:rPr>
                <w:b/>
                <w:szCs w:val="22"/>
                <w:lang w:val="en-US"/>
              </w:rPr>
              <w:t>o</w:t>
            </w:r>
            <w:proofErr w:type="spellEnd"/>
          </w:p>
          <w:p w14:paraId="5248A4C4" w14:textId="77777777" w:rsidR="00F90965" w:rsidRPr="00205DDC" w:rsidRDefault="00F90965" w:rsidP="00EF3721">
            <w:pPr>
              <w:jc w:val="center"/>
              <w:rPr>
                <w:szCs w:val="22"/>
                <w:lang w:val="en-US"/>
              </w:rPr>
            </w:pPr>
            <w:r w:rsidRPr="00205DDC">
              <w:rPr>
                <w:b/>
                <w:szCs w:val="22"/>
                <w:lang w:val="en-US"/>
              </w:rPr>
              <w:t>N=329*</w:t>
            </w:r>
          </w:p>
        </w:tc>
        <w:tc>
          <w:tcPr>
            <w:tcW w:w="2126" w:type="dxa"/>
            <w:tcBorders>
              <w:top w:val="single" w:sz="5" w:space="0" w:color="7E7E7E"/>
              <w:left w:val="single" w:sz="5" w:space="0" w:color="7E7E7E"/>
              <w:bottom w:val="single" w:sz="5" w:space="0" w:color="7E7E7E"/>
              <w:right w:val="single" w:sz="5" w:space="0" w:color="7E7E7E"/>
            </w:tcBorders>
          </w:tcPr>
          <w:p w14:paraId="47E5DEBA" w14:textId="77777777" w:rsidR="00F90965" w:rsidRDefault="00F90965" w:rsidP="00EF3721">
            <w:pPr>
              <w:jc w:val="center"/>
              <w:rPr>
                <w:b/>
                <w:szCs w:val="22"/>
                <w:lang w:val="en-US"/>
              </w:rPr>
            </w:pPr>
            <w:proofErr w:type="spellStart"/>
            <w:r w:rsidRPr="00205DDC">
              <w:rPr>
                <w:b/>
                <w:szCs w:val="22"/>
                <w:lang w:val="en-US"/>
              </w:rPr>
              <w:t>Compara</w:t>
            </w:r>
            <w:r>
              <w:rPr>
                <w:b/>
                <w:szCs w:val="22"/>
                <w:lang w:val="en-US"/>
              </w:rPr>
              <w:t>d</w:t>
            </w:r>
            <w:r w:rsidRPr="00205DDC">
              <w:rPr>
                <w:b/>
                <w:szCs w:val="22"/>
                <w:lang w:val="en-US"/>
              </w:rPr>
              <w:t>or</w:t>
            </w:r>
            <w:proofErr w:type="spellEnd"/>
          </w:p>
          <w:p w14:paraId="589E5225" w14:textId="77777777" w:rsidR="00F90965" w:rsidRPr="00205DDC" w:rsidRDefault="00F90965" w:rsidP="00EF3721">
            <w:pPr>
              <w:jc w:val="center"/>
              <w:rPr>
                <w:szCs w:val="22"/>
                <w:lang w:val="en-US"/>
              </w:rPr>
            </w:pPr>
            <w:r w:rsidRPr="00205DDC">
              <w:rPr>
                <w:b/>
                <w:szCs w:val="22"/>
                <w:lang w:val="en-US"/>
              </w:rPr>
              <w:t>N=162*</w:t>
            </w:r>
          </w:p>
        </w:tc>
      </w:tr>
      <w:tr w:rsidR="00F90965" w:rsidRPr="00205DDC" w14:paraId="2503CE2A" w14:textId="77777777" w:rsidTr="00184C85">
        <w:trPr>
          <w:trHeight w:hRule="exact" w:val="270"/>
        </w:trPr>
        <w:tc>
          <w:tcPr>
            <w:tcW w:w="5212" w:type="dxa"/>
            <w:tcBorders>
              <w:top w:val="single" w:sz="5" w:space="0" w:color="7E7E7E"/>
              <w:left w:val="single" w:sz="5" w:space="0" w:color="7E7E7E"/>
              <w:bottom w:val="nil"/>
              <w:right w:val="single" w:sz="5" w:space="0" w:color="7E7E7E"/>
            </w:tcBorders>
          </w:tcPr>
          <w:p w14:paraId="5445C4AB" w14:textId="77777777" w:rsidR="00F90965" w:rsidRDefault="00F90965" w:rsidP="00F90965">
            <w:pPr>
              <w:pStyle w:val="Default"/>
              <w:rPr>
                <w:szCs w:val="22"/>
              </w:rPr>
            </w:pPr>
            <w:proofErr w:type="spellStart"/>
            <w:r>
              <w:rPr>
                <w:sz w:val="22"/>
                <w:szCs w:val="22"/>
              </w:rPr>
              <w:t>Compósito</w:t>
            </w:r>
            <w:proofErr w:type="spellEnd"/>
            <w:r>
              <w:rPr>
                <w:sz w:val="22"/>
                <w:szCs w:val="22"/>
              </w:rPr>
              <w:t xml:space="preserve">: </w:t>
            </w:r>
            <w:proofErr w:type="spellStart"/>
            <w:r>
              <w:rPr>
                <w:sz w:val="22"/>
                <w:szCs w:val="22"/>
              </w:rPr>
              <w:t>hemorragia</w:t>
            </w:r>
            <w:proofErr w:type="spellEnd"/>
            <w:r>
              <w:rPr>
                <w:sz w:val="22"/>
                <w:szCs w:val="22"/>
              </w:rPr>
              <w:t xml:space="preserve"> principal + HNMCR (</w:t>
            </w:r>
            <w:proofErr w:type="spellStart"/>
            <w:r>
              <w:rPr>
                <w:sz w:val="22"/>
                <w:szCs w:val="22"/>
              </w:rPr>
              <w:t>objetivo</w:t>
            </w:r>
            <w:proofErr w:type="spellEnd"/>
            <w:r>
              <w:rPr>
                <w:sz w:val="22"/>
                <w:szCs w:val="22"/>
              </w:rPr>
              <w:t xml:space="preserve"> </w:t>
            </w:r>
          </w:p>
          <w:p w14:paraId="1396ACC4" w14:textId="77777777" w:rsidR="00F90965" w:rsidRPr="00205DDC" w:rsidRDefault="00F90965" w:rsidP="00184C85">
            <w:pPr>
              <w:rPr>
                <w:szCs w:val="22"/>
                <w:lang w:val="en-US"/>
              </w:rPr>
            </w:pPr>
          </w:p>
        </w:tc>
        <w:tc>
          <w:tcPr>
            <w:tcW w:w="2126" w:type="dxa"/>
            <w:tcBorders>
              <w:top w:val="single" w:sz="5" w:space="0" w:color="7E7E7E"/>
              <w:left w:val="single" w:sz="5" w:space="0" w:color="7E7E7E"/>
              <w:bottom w:val="nil"/>
              <w:right w:val="single" w:sz="5" w:space="0" w:color="7E7E7E"/>
            </w:tcBorders>
          </w:tcPr>
          <w:p w14:paraId="166E8A1C" w14:textId="77777777" w:rsidR="00F90965" w:rsidRPr="00205DDC" w:rsidRDefault="00F90965" w:rsidP="00EF3721">
            <w:pPr>
              <w:jc w:val="center"/>
              <w:rPr>
                <w:szCs w:val="22"/>
                <w:lang w:val="en-US"/>
              </w:rPr>
            </w:pPr>
            <w:r w:rsidRPr="00205DDC">
              <w:rPr>
                <w:szCs w:val="22"/>
                <w:lang w:val="en-US"/>
              </w:rPr>
              <w:t>10</w:t>
            </w:r>
          </w:p>
        </w:tc>
        <w:tc>
          <w:tcPr>
            <w:tcW w:w="2126" w:type="dxa"/>
            <w:tcBorders>
              <w:top w:val="single" w:sz="5" w:space="0" w:color="7E7E7E"/>
              <w:left w:val="single" w:sz="5" w:space="0" w:color="7E7E7E"/>
              <w:bottom w:val="nil"/>
              <w:right w:val="single" w:sz="5" w:space="0" w:color="7E7E7E"/>
            </w:tcBorders>
          </w:tcPr>
          <w:p w14:paraId="29B522C6" w14:textId="77777777" w:rsidR="00F90965" w:rsidRPr="00205DDC" w:rsidRDefault="00F90965" w:rsidP="00EF3721">
            <w:pPr>
              <w:jc w:val="center"/>
              <w:rPr>
                <w:szCs w:val="22"/>
                <w:lang w:val="en-US"/>
              </w:rPr>
            </w:pPr>
            <w:r w:rsidRPr="00205DDC">
              <w:rPr>
                <w:szCs w:val="22"/>
                <w:lang w:val="en-US"/>
              </w:rPr>
              <w:t>3</w:t>
            </w:r>
          </w:p>
        </w:tc>
      </w:tr>
      <w:tr w:rsidR="00F90965" w:rsidRPr="00205DDC" w14:paraId="25008DD1" w14:textId="77777777" w:rsidTr="00184C85">
        <w:trPr>
          <w:trHeight w:hRule="exact" w:val="253"/>
        </w:trPr>
        <w:tc>
          <w:tcPr>
            <w:tcW w:w="5212" w:type="dxa"/>
            <w:vMerge w:val="restart"/>
            <w:tcBorders>
              <w:top w:val="nil"/>
              <w:left w:val="single" w:sz="5" w:space="0" w:color="7E7E7E"/>
              <w:right w:val="single" w:sz="5" w:space="0" w:color="7E7E7E"/>
            </w:tcBorders>
          </w:tcPr>
          <w:p w14:paraId="1E08D8A2" w14:textId="77777777" w:rsidR="00F90965" w:rsidRPr="00205DDC" w:rsidRDefault="00F90965" w:rsidP="00184C85">
            <w:pPr>
              <w:rPr>
                <w:szCs w:val="22"/>
                <w:lang w:val="en-US"/>
              </w:rPr>
            </w:pPr>
            <w:proofErr w:type="spellStart"/>
            <w:r w:rsidRPr="00F90965">
              <w:rPr>
                <w:szCs w:val="22"/>
                <w:lang w:val="en-US"/>
              </w:rPr>
              <w:t>primário</w:t>
            </w:r>
            <w:proofErr w:type="spellEnd"/>
            <w:r w:rsidRPr="00F90965">
              <w:rPr>
                <w:szCs w:val="22"/>
                <w:lang w:val="en-US"/>
              </w:rPr>
              <w:t xml:space="preserve"> da </w:t>
            </w:r>
            <w:proofErr w:type="spellStart"/>
            <w:r w:rsidRPr="00F90965">
              <w:rPr>
                <w:szCs w:val="22"/>
                <w:lang w:val="en-US"/>
              </w:rPr>
              <w:t>segurança</w:t>
            </w:r>
            <w:proofErr w:type="spellEnd"/>
            <w:r w:rsidRPr="00F90965">
              <w:rPr>
                <w:szCs w:val="22"/>
                <w:lang w:val="en-US"/>
              </w:rPr>
              <w:t>)</w:t>
            </w:r>
          </w:p>
        </w:tc>
        <w:tc>
          <w:tcPr>
            <w:tcW w:w="2126" w:type="dxa"/>
            <w:tcBorders>
              <w:top w:val="nil"/>
              <w:left w:val="single" w:sz="5" w:space="0" w:color="7E7E7E"/>
              <w:bottom w:val="nil"/>
              <w:right w:val="single" w:sz="5" w:space="0" w:color="7E7E7E"/>
            </w:tcBorders>
          </w:tcPr>
          <w:p w14:paraId="546B7B3E" w14:textId="77777777" w:rsidR="00F90965" w:rsidRPr="00205DDC" w:rsidRDefault="00F90965" w:rsidP="00EF3721">
            <w:pPr>
              <w:jc w:val="center"/>
              <w:rPr>
                <w:szCs w:val="22"/>
                <w:lang w:val="en-US"/>
              </w:rPr>
            </w:pPr>
            <w:r w:rsidRPr="00205DDC">
              <w:rPr>
                <w:szCs w:val="22"/>
                <w:lang w:val="en-US"/>
              </w:rPr>
              <w:t>(3.0%, 95% I</w:t>
            </w:r>
            <w:r>
              <w:rPr>
                <w:szCs w:val="22"/>
                <w:lang w:val="en-US"/>
              </w:rPr>
              <w:t>C</w:t>
            </w:r>
          </w:p>
        </w:tc>
        <w:tc>
          <w:tcPr>
            <w:tcW w:w="2126" w:type="dxa"/>
            <w:tcBorders>
              <w:top w:val="nil"/>
              <w:left w:val="single" w:sz="5" w:space="0" w:color="7E7E7E"/>
              <w:bottom w:val="nil"/>
              <w:right w:val="single" w:sz="5" w:space="0" w:color="7E7E7E"/>
            </w:tcBorders>
          </w:tcPr>
          <w:p w14:paraId="3A63E2CC" w14:textId="77777777" w:rsidR="00F90965" w:rsidRPr="00205DDC" w:rsidRDefault="00F90965" w:rsidP="00EF3721">
            <w:pPr>
              <w:jc w:val="center"/>
              <w:rPr>
                <w:szCs w:val="22"/>
                <w:lang w:val="en-US"/>
              </w:rPr>
            </w:pPr>
            <w:r w:rsidRPr="00205DDC">
              <w:rPr>
                <w:szCs w:val="22"/>
                <w:lang w:val="en-US"/>
              </w:rPr>
              <w:t>(1.9%, 95% I</w:t>
            </w:r>
            <w:r>
              <w:rPr>
                <w:szCs w:val="22"/>
                <w:lang w:val="en-US"/>
              </w:rPr>
              <w:t>C</w:t>
            </w:r>
          </w:p>
        </w:tc>
      </w:tr>
      <w:tr w:rsidR="00F90965" w:rsidRPr="00205DDC" w14:paraId="437EC4D4" w14:textId="77777777" w:rsidTr="00184C85">
        <w:trPr>
          <w:trHeight w:hRule="exact" w:val="246"/>
        </w:trPr>
        <w:tc>
          <w:tcPr>
            <w:tcW w:w="5212" w:type="dxa"/>
            <w:vMerge/>
            <w:tcBorders>
              <w:left w:val="single" w:sz="5" w:space="0" w:color="7E7E7E"/>
              <w:bottom w:val="single" w:sz="5" w:space="0" w:color="7E7E7E"/>
              <w:right w:val="single" w:sz="5" w:space="0" w:color="7E7E7E"/>
            </w:tcBorders>
          </w:tcPr>
          <w:p w14:paraId="214D5F5F" w14:textId="77777777" w:rsidR="00F90965" w:rsidRPr="00205DDC" w:rsidRDefault="00F90965" w:rsidP="00184C85">
            <w:pPr>
              <w:rPr>
                <w:szCs w:val="22"/>
                <w:lang w:val="en-US"/>
              </w:rPr>
            </w:pPr>
          </w:p>
        </w:tc>
        <w:tc>
          <w:tcPr>
            <w:tcW w:w="2126" w:type="dxa"/>
            <w:tcBorders>
              <w:top w:val="nil"/>
              <w:left w:val="single" w:sz="5" w:space="0" w:color="7E7E7E"/>
              <w:bottom w:val="single" w:sz="5" w:space="0" w:color="7E7E7E"/>
              <w:right w:val="single" w:sz="5" w:space="0" w:color="7E7E7E"/>
            </w:tcBorders>
          </w:tcPr>
          <w:p w14:paraId="30508E30" w14:textId="77777777" w:rsidR="00F90965" w:rsidRPr="00205DDC" w:rsidRDefault="00F90965" w:rsidP="00EF3721">
            <w:pPr>
              <w:jc w:val="center"/>
              <w:rPr>
                <w:szCs w:val="22"/>
                <w:lang w:val="en-US"/>
              </w:rPr>
            </w:pPr>
            <w:r w:rsidRPr="00205DDC">
              <w:rPr>
                <w:szCs w:val="22"/>
                <w:lang w:val="en-US"/>
              </w:rPr>
              <w:t>1.6% - 5.5%)</w:t>
            </w:r>
          </w:p>
        </w:tc>
        <w:tc>
          <w:tcPr>
            <w:tcW w:w="2126" w:type="dxa"/>
            <w:tcBorders>
              <w:top w:val="nil"/>
              <w:left w:val="single" w:sz="5" w:space="0" w:color="7E7E7E"/>
              <w:bottom w:val="single" w:sz="5" w:space="0" w:color="7E7E7E"/>
              <w:right w:val="single" w:sz="5" w:space="0" w:color="7E7E7E"/>
            </w:tcBorders>
          </w:tcPr>
          <w:p w14:paraId="1D6B96A4" w14:textId="77777777" w:rsidR="00F90965" w:rsidRPr="00205DDC" w:rsidRDefault="00F90965" w:rsidP="00EF3721">
            <w:pPr>
              <w:jc w:val="center"/>
              <w:rPr>
                <w:szCs w:val="22"/>
                <w:lang w:val="en-US"/>
              </w:rPr>
            </w:pPr>
            <w:r w:rsidRPr="00205DDC">
              <w:rPr>
                <w:szCs w:val="22"/>
                <w:lang w:val="en-US"/>
              </w:rPr>
              <w:t>0.5% - 5.3%)</w:t>
            </w:r>
          </w:p>
        </w:tc>
      </w:tr>
      <w:tr w:rsidR="00F90965" w:rsidRPr="00205DDC" w14:paraId="734F95E5" w14:textId="77777777" w:rsidTr="00184C85">
        <w:trPr>
          <w:trHeight w:hRule="exact" w:val="270"/>
        </w:trPr>
        <w:tc>
          <w:tcPr>
            <w:tcW w:w="5212" w:type="dxa"/>
            <w:vMerge w:val="restart"/>
            <w:tcBorders>
              <w:top w:val="single" w:sz="5" w:space="0" w:color="7E7E7E"/>
              <w:left w:val="single" w:sz="5" w:space="0" w:color="7E7E7E"/>
              <w:right w:val="single" w:sz="5" w:space="0" w:color="7E7E7E"/>
            </w:tcBorders>
          </w:tcPr>
          <w:p w14:paraId="7151DC25" w14:textId="77777777" w:rsidR="00F90965" w:rsidRDefault="00F90965" w:rsidP="00F90965">
            <w:pPr>
              <w:pStyle w:val="Default"/>
              <w:rPr>
                <w:szCs w:val="22"/>
              </w:rPr>
            </w:pPr>
            <w:proofErr w:type="spellStart"/>
            <w:r>
              <w:rPr>
                <w:sz w:val="22"/>
                <w:szCs w:val="22"/>
              </w:rPr>
              <w:t>Hemorragia</w:t>
            </w:r>
            <w:proofErr w:type="spellEnd"/>
            <w:r>
              <w:rPr>
                <w:sz w:val="22"/>
                <w:szCs w:val="22"/>
              </w:rPr>
              <w:t xml:space="preserve"> principal </w:t>
            </w:r>
          </w:p>
          <w:p w14:paraId="6C775D31" w14:textId="77777777" w:rsidR="00F90965" w:rsidRPr="00205DDC" w:rsidRDefault="00F90965" w:rsidP="00184C85">
            <w:pPr>
              <w:rPr>
                <w:szCs w:val="22"/>
                <w:lang w:val="en-US"/>
              </w:rPr>
            </w:pPr>
          </w:p>
        </w:tc>
        <w:tc>
          <w:tcPr>
            <w:tcW w:w="2126" w:type="dxa"/>
            <w:tcBorders>
              <w:top w:val="single" w:sz="5" w:space="0" w:color="7E7E7E"/>
              <w:left w:val="single" w:sz="5" w:space="0" w:color="7E7E7E"/>
              <w:bottom w:val="nil"/>
              <w:right w:val="single" w:sz="5" w:space="0" w:color="7E7E7E"/>
            </w:tcBorders>
          </w:tcPr>
          <w:p w14:paraId="3A3F146A" w14:textId="77777777" w:rsidR="00F90965" w:rsidRPr="00205DDC" w:rsidRDefault="00F90965" w:rsidP="00EF3721">
            <w:pPr>
              <w:jc w:val="center"/>
              <w:rPr>
                <w:szCs w:val="22"/>
                <w:lang w:val="en-US"/>
              </w:rPr>
            </w:pPr>
            <w:r w:rsidRPr="00205DDC">
              <w:rPr>
                <w:szCs w:val="22"/>
                <w:lang w:val="en-US"/>
              </w:rPr>
              <w:t>0</w:t>
            </w:r>
          </w:p>
        </w:tc>
        <w:tc>
          <w:tcPr>
            <w:tcW w:w="2126" w:type="dxa"/>
            <w:tcBorders>
              <w:top w:val="single" w:sz="5" w:space="0" w:color="7E7E7E"/>
              <w:left w:val="single" w:sz="5" w:space="0" w:color="7E7E7E"/>
              <w:bottom w:val="nil"/>
              <w:right w:val="single" w:sz="5" w:space="0" w:color="7E7E7E"/>
            </w:tcBorders>
          </w:tcPr>
          <w:p w14:paraId="20FF0AD7" w14:textId="77777777" w:rsidR="00F90965" w:rsidRPr="00205DDC" w:rsidRDefault="00F90965" w:rsidP="00EF3721">
            <w:pPr>
              <w:jc w:val="center"/>
              <w:rPr>
                <w:szCs w:val="22"/>
                <w:lang w:val="en-US"/>
              </w:rPr>
            </w:pPr>
            <w:r w:rsidRPr="00205DDC">
              <w:rPr>
                <w:szCs w:val="22"/>
                <w:lang w:val="en-US"/>
              </w:rPr>
              <w:t>2</w:t>
            </w:r>
          </w:p>
        </w:tc>
      </w:tr>
      <w:tr w:rsidR="00F90965" w:rsidRPr="00205DDC" w14:paraId="0961A432" w14:textId="77777777" w:rsidTr="00184C85">
        <w:trPr>
          <w:trHeight w:hRule="exact" w:val="253"/>
        </w:trPr>
        <w:tc>
          <w:tcPr>
            <w:tcW w:w="5212" w:type="dxa"/>
            <w:vMerge/>
            <w:tcBorders>
              <w:left w:val="single" w:sz="5" w:space="0" w:color="7E7E7E"/>
              <w:right w:val="single" w:sz="5" w:space="0" w:color="7E7E7E"/>
            </w:tcBorders>
          </w:tcPr>
          <w:p w14:paraId="4F367072" w14:textId="77777777" w:rsidR="00F90965" w:rsidRPr="00205DDC" w:rsidRDefault="00F90965" w:rsidP="00184C85">
            <w:pPr>
              <w:rPr>
                <w:szCs w:val="22"/>
                <w:lang w:val="en-US"/>
              </w:rPr>
            </w:pPr>
          </w:p>
        </w:tc>
        <w:tc>
          <w:tcPr>
            <w:tcW w:w="2126" w:type="dxa"/>
            <w:tcBorders>
              <w:top w:val="nil"/>
              <w:left w:val="single" w:sz="5" w:space="0" w:color="7E7E7E"/>
              <w:bottom w:val="nil"/>
              <w:right w:val="single" w:sz="5" w:space="0" w:color="7E7E7E"/>
            </w:tcBorders>
          </w:tcPr>
          <w:p w14:paraId="7684A1CC" w14:textId="77777777" w:rsidR="00F90965" w:rsidRPr="00205DDC" w:rsidRDefault="00F90965" w:rsidP="00EF3721">
            <w:pPr>
              <w:jc w:val="center"/>
              <w:rPr>
                <w:szCs w:val="22"/>
                <w:lang w:val="en-US"/>
              </w:rPr>
            </w:pPr>
            <w:r w:rsidRPr="00205DDC">
              <w:rPr>
                <w:szCs w:val="22"/>
                <w:lang w:val="en-US"/>
              </w:rPr>
              <w:t>(0.0%, 95%</w:t>
            </w:r>
            <w:r>
              <w:rPr>
                <w:szCs w:val="22"/>
                <w:lang w:val="en-US"/>
              </w:rPr>
              <w:t xml:space="preserve"> </w:t>
            </w:r>
            <w:r w:rsidRPr="00205DDC">
              <w:rPr>
                <w:szCs w:val="22"/>
                <w:lang w:val="en-US"/>
              </w:rPr>
              <w:t>I</w:t>
            </w:r>
            <w:r>
              <w:rPr>
                <w:szCs w:val="22"/>
                <w:lang w:val="en-US"/>
              </w:rPr>
              <w:t>C</w:t>
            </w:r>
          </w:p>
        </w:tc>
        <w:tc>
          <w:tcPr>
            <w:tcW w:w="2126" w:type="dxa"/>
            <w:tcBorders>
              <w:top w:val="nil"/>
              <w:left w:val="single" w:sz="5" w:space="0" w:color="7E7E7E"/>
              <w:bottom w:val="nil"/>
              <w:right w:val="single" w:sz="5" w:space="0" w:color="7E7E7E"/>
            </w:tcBorders>
          </w:tcPr>
          <w:p w14:paraId="59400DE3" w14:textId="77777777" w:rsidR="00F90965" w:rsidRPr="00205DDC" w:rsidRDefault="00F90965" w:rsidP="00EF3721">
            <w:pPr>
              <w:jc w:val="center"/>
              <w:rPr>
                <w:szCs w:val="22"/>
                <w:lang w:val="en-US"/>
              </w:rPr>
            </w:pPr>
            <w:r w:rsidRPr="00205DDC">
              <w:rPr>
                <w:szCs w:val="22"/>
                <w:lang w:val="en-US"/>
              </w:rPr>
              <w:t>(1.2%, 95% I</w:t>
            </w:r>
            <w:r>
              <w:rPr>
                <w:szCs w:val="22"/>
                <w:lang w:val="en-US"/>
              </w:rPr>
              <w:t>C</w:t>
            </w:r>
          </w:p>
        </w:tc>
      </w:tr>
      <w:tr w:rsidR="00F90965" w:rsidRPr="00205DDC" w14:paraId="61B201D9" w14:textId="77777777" w:rsidTr="00184C85">
        <w:trPr>
          <w:trHeight w:hRule="exact" w:val="247"/>
        </w:trPr>
        <w:tc>
          <w:tcPr>
            <w:tcW w:w="5212" w:type="dxa"/>
            <w:vMerge/>
            <w:tcBorders>
              <w:left w:val="single" w:sz="5" w:space="0" w:color="7E7E7E"/>
              <w:bottom w:val="single" w:sz="5" w:space="0" w:color="7E7E7E"/>
              <w:right w:val="single" w:sz="5" w:space="0" w:color="7E7E7E"/>
            </w:tcBorders>
          </w:tcPr>
          <w:p w14:paraId="01E4C6C5" w14:textId="77777777" w:rsidR="00F90965" w:rsidRPr="00205DDC" w:rsidRDefault="00F90965" w:rsidP="00184C85">
            <w:pPr>
              <w:rPr>
                <w:szCs w:val="22"/>
                <w:lang w:val="en-US"/>
              </w:rPr>
            </w:pPr>
          </w:p>
        </w:tc>
        <w:tc>
          <w:tcPr>
            <w:tcW w:w="2126" w:type="dxa"/>
            <w:tcBorders>
              <w:top w:val="nil"/>
              <w:left w:val="single" w:sz="5" w:space="0" w:color="7E7E7E"/>
              <w:bottom w:val="single" w:sz="5" w:space="0" w:color="7E7E7E"/>
              <w:right w:val="single" w:sz="5" w:space="0" w:color="7E7E7E"/>
            </w:tcBorders>
          </w:tcPr>
          <w:p w14:paraId="40AA144F" w14:textId="77777777" w:rsidR="00F90965" w:rsidRPr="00205DDC" w:rsidRDefault="00F90965" w:rsidP="00EF3721">
            <w:pPr>
              <w:jc w:val="center"/>
              <w:rPr>
                <w:szCs w:val="22"/>
                <w:lang w:val="en-US"/>
              </w:rPr>
            </w:pPr>
            <w:r w:rsidRPr="00205DDC">
              <w:rPr>
                <w:szCs w:val="22"/>
                <w:lang w:val="en-US"/>
              </w:rPr>
              <w:t>0.0% - 1.1%)</w:t>
            </w:r>
          </w:p>
        </w:tc>
        <w:tc>
          <w:tcPr>
            <w:tcW w:w="2126" w:type="dxa"/>
            <w:tcBorders>
              <w:top w:val="nil"/>
              <w:left w:val="single" w:sz="5" w:space="0" w:color="7E7E7E"/>
              <w:bottom w:val="single" w:sz="5" w:space="0" w:color="7E7E7E"/>
              <w:right w:val="single" w:sz="5" w:space="0" w:color="7E7E7E"/>
            </w:tcBorders>
          </w:tcPr>
          <w:p w14:paraId="57DA0300" w14:textId="77777777" w:rsidR="00F90965" w:rsidRPr="00205DDC" w:rsidRDefault="00F90965" w:rsidP="00EF3721">
            <w:pPr>
              <w:jc w:val="center"/>
              <w:rPr>
                <w:szCs w:val="22"/>
                <w:lang w:val="en-US"/>
              </w:rPr>
            </w:pPr>
            <w:r w:rsidRPr="00205DDC">
              <w:rPr>
                <w:szCs w:val="22"/>
                <w:lang w:val="en-US"/>
              </w:rPr>
              <w:t>0.2% - 4.3%)</w:t>
            </w:r>
          </w:p>
        </w:tc>
      </w:tr>
      <w:tr w:rsidR="00F90965" w:rsidRPr="00205DDC" w14:paraId="77C523CE" w14:textId="77777777" w:rsidTr="00184C85">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04FDBC6D" w14:textId="77777777" w:rsidR="00F90965" w:rsidRDefault="00F90965" w:rsidP="00F90965">
            <w:pPr>
              <w:pStyle w:val="Default"/>
              <w:rPr>
                <w:szCs w:val="22"/>
              </w:rPr>
            </w:pPr>
            <w:r>
              <w:rPr>
                <w:sz w:val="22"/>
                <w:szCs w:val="22"/>
              </w:rPr>
              <w:t xml:space="preserve">Quaisquer </w:t>
            </w:r>
            <w:proofErr w:type="spellStart"/>
            <w:r>
              <w:rPr>
                <w:sz w:val="22"/>
                <w:szCs w:val="22"/>
              </w:rPr>
              <w:t>hemorragias</w:t>
            </w:r>
            <w:proofErr w:type="spellEnd"/>
            <w:r>
              <w:rPr>
                <w:sz w:val="22"/>
                <w:szCs w:val="22"/>
              </w:rPr>
              <w:t xml:space="preserve"> </w:t>
            </w:r>
            <w:proofErr w:type="spellStart"/>
            <w:r>
              <w:rPr>
                <w:sz w:val="22"/>
                <w:szCs w:val="22"/>
              </w:rPr>
              <w:t>emergentes</w:t>
            </w:r>
            <w:proofErr w:type="spellEnd"/>
            <w:r>
              <w:rPr>
                <w:sz w:val="22"/>
                <w:szCs w:val="22"/>
              </w:rPr>
              <w:t xml:space="preserve"> do </w:t>
            </w:r>
            <w:proofErr w:type="spellStart"/>
            <w:r>
              <w:rPr>
                <w:sz w:val="22"/>
                <w:szCs w:val="22"/>
              </w:rPr>
              <w:t>tratamento</w:t>
            </w:r>
            <w:proofErr w:type="spellEnd"/>
            <w:r>
              <w:rPr>
                <w:sz w:val="22"/>
                <w:szCs w:val="22"/>
              </w:rPr>
              <w:t xml:space="preserve"> </w:t>
            </w:r>
          </w:p>
          <w:p w14:paraId="153245DE" w14:textId="77777777" w:rsidR="00F90965" w:rsidRPr="00205DDC" w:rsidRDefault="00F90965" w:rsidP="00184C85">
            <w:pPr>
              <w:rPr>
                <w:szCs w:val="22"/>
                <w:lang w:val="en-US"/>
              </w:rPr>
            </w:pPr>
          </w:p>
        </w:tc>
        <w:tc>
          <w:tcPr>
            <w:tcW w:w="2126" w:type="dxa"/>
            <w:tcBorders>
              <w:top w:val="single" w:sz="5" w:space="0" w:color="7E7E7E"/>
              <w:left w:val="single" w:sz="5" w:space="0" w:color="7E7E7E"/>
              <w:bottom w:val="single" w:sz="5" w:space="0" w:color="000000"/>
              <w:right w:val="single" w:sz="5" w:space="0" w:color="7E7E7E"/>
            </w:tcBorders>
          </w:tcPr>
          <w:p w14:paraId="44AF05D4" w14:textId="77777777" w:rsidR="00F90965" w:rsidRPr="00205DDC" w:rsidRDefault="00F90965" w:rsidP="00EF3721">
            <w:pPr>
              <w:jc w:val="center"/>
              <w:rPr>
                <w:szCs w:val="22"/>
                <w:lang w:val="en-US"/>
              </w:rPr>
            </w:pPr>
            <w:r w:rsidRPr="00205DDC">
              <w:rPr>
                <w:szCs w:val="22"/>
                <w:lang w:val="en-US"/>
              </w:rPr>
              <w:t>119 (36.2%)</w:t>
            </w:r>
          </w:p>
        </w:tc>
        <w:tc>
          <w:tcPr>
            <w:tcW w:w="2126" w:type="dxa"/>
            <w:tcBorders>
              <w:top w:val="single" w:sz="5" w:space="0" w:color="7E7E7E"/>
              <w:left w:val="single" w:sz="5" w:space="0" w:color="7E7E7E"/>
              <w:bottom w:val="single" w:sz="5" w:space="0" w:color="000000"/>
              <w:right w:val="single" w:sz="5" w:space="0" w:color="7E7E7E"/>
            </w:tcBorders>
          </w:tcPr>
          <w:p w14:paraId="097F67FE" w14:textId="77777777" w:rsidR="00F90965" w:rsidRPr="00205DDC" w:rsidRDefault="00F90965" w:rsidP="00EF3721">
            <w:pPr>
              <w:jc w:val="center"/>
              <w:rPr>
                <w:szCs w:val="22"/>
                <w:lang w:val="en-US"/>
              </w:rPr>
            </w:pPr>
            <w:r w:rsidRPr="00205DDC">
              <w:rPr>
                <w:szCs w:val="22"/>
                <w:lang w:val="en-US"/>
              </w:rPr>
              <w:t>45 (27.8%)</w:t>
            </w:r>
          </w:p>
        </w:tc>
      </w:tr>
    </w:tbl>
    <w:p w14:paraId="60FBA04D" w14:textId="77777777" w:rsidR="00F90965" w:rsidRPr="00F90965" w:rsidRDefault="00F90965" w:rsidP="00F90965">
      <w:pPr>
        <w:autoSpaceDE w:val="0"/>
        <w:autoSpaceDN w:val="0"/>
        <w:adjustRightInd w:val="0"/>
        <w:rPr>
          <w:color w:val="000000"/>
          <w:szCs w:val="22"/>
          <w:lang w:eastAsia="pt-PT"/>
        </w:rPr>
      </w:pPr>
      <w:r w:rsidRPr="00F90965">
        <w:rPr>
          <w:color w:val="000000"/>
          <w:szCs w:val="22"/>
          <w:lang w:eastAsia="pt-PT"/>
        </w:rPr>
        <w:t xml:space="preserve">*CAS = conjunto de análise da segurança, todas as crianças que foram aleatorizadas e que receberam pelo menos 1 dose da medicação do estudo. </w:t>
      </w:r>
    </w:p>
    <w:p w14:paraId="30419D97" w14:textId="77777777" w:rsidR="00F90965" w:rsidRDefault="00F90965" w:rsidP="00F90965">
      <w:pPr>
        <w:suppressAutoHyphens/>
        <w:rPr>
          <w:color w:val="000000"/>
          <w:szCs w:val="22"/>
          <w:lang w:eastAsia="pt-PT"/>
        </w:rPr>
      </w:pPr>
    </w:p>
    <w:p w14:paraId="604767BF" w14:textId="77777777" w:rsidR="00F90965" w:rsidRDefault="00F90965" w:rsidP="00F90965">
      <w:pPr>
        <w:suppressAutoHyphens/>
        <w:rPr>
          <w:b/>
          <w:bCs/>
          <w:szCs w:val="22"/>
        </w:rPr>
      </w:pPr>
      <w:r w:rsidRPr="00F90965">
        <w:rPr>
          <w:color w:val="000000"/>
          <w:szCs w:val="22"/>
          <w:lang w:eastAsia="pt-PT"/>
        </w:rPr>
        <w:t>O perfil de eficácia e segurança do rivaroxabano foi muito semelhante entre a população pediátrica com TEV e a população adulta com TVP/EP, contudo, a proporção de indivíduos com qualquer hemorragia foi superior na população pediátrica com TEV quando comparada à população adulta com TVP/EP.</w:t>
      </w:r>
    </w:p>
    <w:p w14:paraId="2E63E593" w14:textId="77777777" w:rsidR="00F90965" w:rsidRPr="0063119B" w:rsidRDefault="00F90965" w:rsidP="007E13AF">
      <w:pPr>
        <w:suppressAutoHyphens/>
        <w:rPr>
          <w:noProof/>
          <w:szCs w:val="22"/>
        </w:rPr>
      </w:pPr>
    </w:p>
    <w:p w14:paraId="496B146A" w14:textId="77777777" w:rsidR="00FB50D4" w:rsidRDefault="00FB50D4" w:rsidP="00FB50D4">
      <w:pPr>
        <w:keepNext/>
        <w:suppressAutoHyphens/>
        <w:rPr>
          <w:noProof/>
          <w:szCs w:val="22"/>
          <w:u w:val="single"/>
        </w:rPr>
      </w:pPr>
      <w:r w:rsidRPr="0063119B">
        <w:rPr>
          <w:noProof/>
          <w:szCs w:val="22"/>
          <w:u w:val="single"/>
        </w:rPr>
        <w:lastRenderedPageBreak/>
        <w:t xml:space="preserve">Doentes de alto risco com síndrome antifosfolipídica triplo positivos </w:t>
      </w:r>
    </w:p>
    <w:p w14:paraId="2BFB0272" w14:textId="77777777" w:rsidR="00F14467" w:rsidRPr="0063119B" w:rsidRDefault="00F14467" w:rsidP="00FB50D4">
      <w:pPr>
        <w:keepNext/>
        <w:suppressAutoHyphens/>
        <w:rPr>
          <w:noProof/>
          <w:szCs w:val="22"/>
          <w:u w:val="single"/>
        </w:rPr>
      </w:pPr>
    </w:p>
    <w:p w14:paraId="5799A462" w14:textId="77777777" w:rsidR="00FB50D4" w:rsidRPr="0063119B" w:rsidRDefault="00FB50D4" w:rsidP="00FB50D4">
      <w:pPr>
        <w:rPr>
          <w:noProof/>
          <w:szCs w:val="22"/>
        </w:rPr>
      </w:pPr>
      <w:r w:rsidRPr="0063119B">
        <w:rPr>
          <w:noProof/>
          <w:szCs w:val="22"/>
        </w:rPr>
        <w:t>Foi realizado um estudo multicêntrico, aleatorizado, sem ocultação, promovido pelo investigador, com avaliação em ocultação do parâmetro de avaliação final para comparar o rivaroxabano com a varfarina em doentes com antecedentes de trombose, diagnosticados com síndrome antifosfolipídica e com risco elevado de acontecimentos tromboembólicos (positivos para a presença dos 3 anticorpos antifosfolípidos: anticoagulante lúpico, anticorpos anticardiolipina e anticorpos anti-beta2 glicoproteína-I). Após o recrutamento de 120 doentes o estudo foi prematuramente terminado devido a um excesso de acontecimentos entre os doentes no braço do rivaroxabano. O tempo de seguimento médio do estudo foi de 569 dias. Foram aleatorizados 59 doentes para o tratamento com 20 mg de rivaroxabano (15 mg para doentes com depuração da creatinina (CrCl) &lt;50 ml/min) e 61 doentes para o tratamento com varfarina (INR 2,0-3,0). Ocorreram acontecimentos tromboembólicos (4 acidentes vasculares cerebrais isquémicos e 3 enfartes do miocárdio) em 12% dos doentes aleatorizados para o tratamento com rivaroxabano. Não foram notificados acontecimentos nos doentes aleatorizados para o tratamento com varfarina. Ocorreram hemorragias graves em 4 doentes (7%) do grupo do rivaroxabano e em 2 doentes (3%) do grupo da varfarina.</w:t>
      </w:r>
    </w:p>
    <w:p w14:paraId="3C441CB1" w14:textId="77777777" w:rsidR="00FB50D4" w:rsidRPr="0063119B" w:rsidRDefault="00FB50D4" w:rsidP="00337111">
      <w:pPr>
        <w:suppressAutoHyphens/>
        <w:rPr>
          <w:noProof/>
          <w:szCs w:val="22"/>
        </w:rPr>
      </w:pPr>
    </w:p>
    <w:p w14:paraId="1C0D8B05" w14:textId="77777777" w:rsidR="00337111" w:rsidRPr="0063119B" w:rsidRDefault="00337111" w:rsidP="00337111">
      <w:pPr>
        <w:suppressAutoHyphens/>
        <w:rPr>
          <w:noProof/>
          <w:szCs w:val="22"/>
          <w:u w:val="single"/>
        </w:rPr>
      </w:pPr>
      <w:r w:rsidRPr="0063119B">
        <w:rPr>
          <w:noProof/>
          <w:szCs w:val="22"/>
          <w:u w:val="single"/>
        </w:rPr>
        <w:t>População pediátrica</w:t>
      </w:r>
    </w:p>
    <w:p w14:paraId="4E9AF4B0" w14:textId="77777777" w:rsidR="00337111" w:rsidRPr="0063119B" w:rsidRDefault="00337111" w:rsidP="00337111">
      <w:pPr>
        <w:suppressAutoHyphens/>
        <w:rPr>
          <w:rFonts w:eastAsia="SimSun"/>
          <w:szCs w:val="22"/>
          <w:lang w:eastAsia="zh-CN"/>
        </w:rPr>
      </w:pPr>
      <w:r w:rsidRPr="0063119B">
        <w:rPr>
          <w:rFonts w:eastAsia="SimSun"/>
          <w:szCs w:val="22"/>
          <w:lang w:eastAsia="zh-CN"/>
        </w:rPr>
        <w:t xml:space="preserve">A </w:t>
      </w:r>
      <w:r w:rsidRPr="0063119B">
        <w:rPr>
          <w:noProof/>
          <w:szCs w:val="22"/>
        </w:rPr>
        <w:t xml:space="preserve">Agência Europeia de Medicamentos dispensou a obrigação de submissão dos resultados dos estudos com </w:t>
      </w:r>
      <w:r w:rsidR="00215DC7" w:rsidRPr="0063119B">
        <w:rPr>
          <w:noProof/>
          <w:szCs w:val="22"/>
        </w:rPr>
        <w:t>o medicamento de referência contendo rivaroxabano</w:t>
      </w:r>
      <w:r w:rsidR="00215DC7" w:rsidRPr="0063119B">
        <w:rPr>
          <w:rFonts w:eastAsia="SimSun"/>
          <w:szCs w:val="22"/>
          <w:lang w:eastAsia="zh-CN"/>
        </w:rPr>
        <w:t xml:space="preserve"> </w:t>
      </w:r>
      <w:r w:rsidRPr="0063119B">
        <w:rPr>
          <w:rFonts w:eastAsia="SimSun"/>
          <w:szCs w:val="22"/>
          <w:lang w:eastAsia="zh-CN"/>
        </w:rPr>
        <w:t xml:space="preserve">em todos os subgrupos da população pediátrica na prevenção </w:t>
      </w:r>
      <w:r w:rsidR="008C187A" w:rsidRPr="0063119B">
        <w:rPr>
          <w:rFonts w:eastAsia="SimSun"/>
          <w:szCs w:val="22"/>
          <w:lang w:eastAsia="zh-CN"/>
        </w:rPr>
        <w:t xml:space="preserve">de </w:t>
      </w:r>
      <w:r w:rsidRPr="0063119B">
        <w:rPr>
          <w:rFonts w:eastAsia="SimSun"/>
          <w:szCs w:val="22"/>
          <w:lang w:eastAsia="zh-CN"/>
        </w:rPr>
        <w:t xml:space="preserve">acontecimentos tromboembólicos </w:t>
      </w:r>
      <w:r w:rsidR="00897B9C" w:rsidRPr="0063119B">
        <w:rPr>
          <w:rFonts w:eastAsia="SimSun"/>
          <w:szCs w:val="22"/>
          <w:lang w:eastAsia="zh-CN"/>
        </w:rPr>
        <w:t>(v</w:t>
      </w:r>
      <w:r w:rsidRPr="0063119B">
        <w:rPr>
          <w:rFonts w:eastAsia="SimSun"/>
          <w:szCs w:val="22"/>
          <w:lang w:eastAsia="zh-CN"/>
        </w:rPr>
        <w:t>er secção 4.2 para informação sobre utilização pediátrica</w:t>
      </w:r>
      <w:r w:rsidR="00897B9C" w:rsidRPr="0063119B">
        <w:rPr>
          <w:rFonts w:eastAsia="SimSun"/>
          <w:szCs w:val="22"/>
          <w:lang w:eastAsia="zh-CN"/>
        </w:rPr>
        <w:t>)</w:t>
      </w:r>
      <w:r w:rsidRPr="0063119B">
        <w:rPr>
          <w:rFonts w:eastAsia="SimSun"/>
          <w:szCs w:val="22"/>
          <w:lang w:eastAsia="zh-CN"/>
        </w:rPr>
        <w:t>.</w:t>
      </w:r>
    </w:p>
    <w:p w14:paraId="29A9F4C8" w14:textId="77777777" w:rsidR="00337111" w:rsidRPr="0063119B" w:rsidRDefault="00337111" w:rsidP="00337111">
      <w:pPr>
        <w:suppressAutoHyphens/>
        <w:ind w:left="567" w:hanging="567"/>
        <w:rPr>
          <w:b/>
          <w:noProof/>
          <w:szCs w:val="22"/>
        </w:rPr>
      </w:pPr>
    </w:p>
    <w:p w14:paraId="78206542" w14:textId="77777777" w:rsidR="00337111" w:rsidRPr="0063119B" w:rsidRDefault="00337111" w:rsidP="00337111">
      <w:pPr>
        <w:suppressAutoHyphens/>
        <w:ind w:left="567" w:hanging="567"/>
        <w:rPr>
          <w:noProof/>
          <w:szCs w:val="22"/>
        </w:rPr>
      </w:pPr>
      <w:r w:rsidRPr="0063119B">
        <w:rPr>
          <w:b/>
          <w:noProof/>
          <w:szCs w:val="22"/>
        </w:rPr>
        <w:t>5.2</w:t>
      </w:r>
      <w:r w:rsidRPr="0063119B">
        <w:rPr>
          <w:b/>
          <w:noProof/>
          <w:szCs w:val="22"/>
        </w:rPr>
        <w:tab/>
        <w:t>Propriedades farmacocinéticas</w:t>
      </w:r>
    </w:p>
    <w:p w14:paraId="0DD9958F" w14:textId="77777777" w:rsidR="00337111" w:rsidRPr="0063119B" w:rsidRDefault="00337111" w:rsidP="00337111">
      <w:pPr>
        <w:suppressAutoHyphens/>
        <w:rPr>
          <w:noProof/>
          <w:szCs w:val="22"/>
        </w:rPr>
      </w:pPr>
    </w:p>
    <w:p w14:paraId="6F4B36BC" w14:textId="77777777" w:rsidR="00337111" w:rsidRDefault="00337111" w:rsidP="00337111">
      <w:pPr>
        <w:rPr>
          <w:noProof/>
          <w:szCs w:val="22"/>
          <w:u w:val="single"/>
        </w:rPr>
      </w:pPr>
      <w:r w:rsidRPr="0063119B">
        <w:rPr>
          <w:noProof/>
          <w:szCs w:val="22"/>
          <w:u w:val="single"/>
        </w:rPr>
        <w:t>Absorção</w:t>
      </w:r>
    </w:p>
    <w:p w14:paraId="337FB572" w14:textId="77777777" w:rsidR="00F14467" w:rsidRDefault="00F14467" w:rsidP="00337111">
      <w:pPr>
        <w:rPr>
          <w:noProof/>
          <w:szCs w:val="22"/>
          <w:u w:val="single"/>
        </w:rPr>
      </w:pPr>
    </w:p>
    <w:p w14:paraId="4560A6AA" w14:textId="77777777" w:rsidR="00643E27" w:rsidRPr="0063119B" w:rsidRDefault="00643E27" w:rsidP="00337111">
      <w:pPr>
        <w:rPr>
          <w:noProof/>
          <w:szCs w:val="22"/>
          <w:u w:val="single"/>
        </w:rPr>
      </w:pPr>
      <w:r>
        <w:rPr>
          <w:szCs w:val="22"/>
        </w:rPr>
        <w:t>A informação seguinte baseia-se nos dados obtidos em adultos.</w:t>
      </w:r>
    </w:p>
    <w:p w14:paraId="27E68FD7" w14:textId="77777777" w:rsidR="00337111" w:rsidRPr="0063119B" w:rsidRDefault="00337111" w:rsidP="00337111">
      <w:pPr>
        <w:rPr>
          <w:noProof/>
          <w:szCs w:val="22"/>
        </w:rPr>
      </w:pPr>
      <w:r w:rsidRPr="0063119B">
        <w:rPr>
          <w:noProof/>
          <w:szCs w:val="22"/>
        </w:rPr>
        <w:t>Rivaroxabano é rapidamente absorvido e atinge as concentrações máximas (C</w:t>
      </w:r>
      <w:r w:rsidRPr="0063119B">
        <w:rPr>
          <w:noProof/>
          <w:szCs w:val="22"/>
          <w:vertAlign w:val="subscript"/>
        </w:rPr>
        <w:t>max</w:t>
      </w:r>
      <w:r w:rsidRPr="0063119B">
        <w:rPr>
          <w:noProof/>
          <w:szCs w:val="22"/>
        </w:rPr>
        <w:t xml:space="preserve">) 2 a 4 horas após a ingestão do comprimido. </w:t>
      </w:r>
    </w:p>
    <w:p w14:paraId="5328FAE7" w14:textId="77777777" w:rsidR="00337111" w:rsidRPr="0063119B" w:rsidRDefault="00337111" w:rsidP="00337111">
      <w:pPr>
        <w:rPr>
          <w:noProof/>
          <w:szCs w:val="22"/>
        </w:rPr>
      </w:pPr>
      <w:r w:rsidRPr="0063119B">
        <w:rPr>
          <w:rFonts w:eastAsia="SimSun"/>
          <w:szCs w:val="22"/>
        </w:rPr>
        <w:t>A absorção oral de rivaroxabano é quase completa e a biodisponibilidade oral é elevada (80 </w:t>
      </w:r>
      <w:r w:rsidRPr="0063119B">
        <w:rPr>
          <w:rFonts w:eastAsia="SimSun"/>
          <w:szCs w:val="22"/>
        </w:rPr>
        <w:noBreakHyphen/>
        <w:t xml:space="preserve"> 100%) com o comprimido de </w:t>
      </w:r>
      <w:r w:rsidR="00197364" w:rsidRPr="0063119B">
        <w:rPr>
          <w:rFonts w:eastAsia="SimSun"/>
          <w:szCs w:val="22"/>
        </w:rPr>
        <w:t>2,5 mg e</w:t>
      </w:r>
      <w:r w:rsidRPr="0063119B">
        <w:rPr>
          <w:rFonts w:eastAsia="SimSun"/>
          <w:szCs w:val="22"/>
        </w:rPr>
        <w:t>10 mg independentemente do estado de jejum/pós</w:t>
      </w:r>
      <w:r w:rsidRPr="0063119B">
        <w:rPr>
          <w:rFonts w:eastAsia="SimSun"/>
          <w:szCs w:val="22"/>
        </w:rPr>
        <w:noBreakHyphen/>
        <w:t>prandial.</w:t>
      </w:r>
      <w:r w:rsidRPr="0063119B">
        <w:rPr>
          <w:noProof/>
          <w:szCs w:val="22"/>
        </w:rPr>
        <w:t xml:space="preserve"> A ingestão com alimentos não afeta a AUC ou a C</w:t>
      </w:r>
      <w:r w:rsidRPr="0063119B">
        <w:rPr>
          <w:noProof/>
          <w:szCs w:val="22"/>
          <w:vertAlign w:val="subscript"/>
        </w:rPr>
        <w:t>max</w:t>
      </w:r>
      <w:r w:rsidRPr="0063119B">
        <w:rPr>
          <w:noProof/>
          <w:szCs w:val="22"/>
        </w:rPr>
        <w:t xml:space="preserve"> da dose de </w:t>
      </w:r>
      <w:r w:rsidR="00197364" w:rsidRPr="0063119B">
        <w:rPr>
          <w:noProof/>
          <w:szCs w:val="22"/>
        </w:rPr>
        <w:t xml:space="preserve">2,5 mg e </w:t>
      </w:r>
      <w:r w:rsidRPr="0063119B">
        <w:rPr>
          <w:noProof/>
          <w:szCs w:val="22"/>
        </w:rPr>
        <w:t xml:space="preserve">10 mg de rivaroxabano. </w:t>
      </w:r>
    </w:p>
    <w:p w14:paraId="662E5AEA" w14:textId="77777777" w:rsidR="00337111" w:rsidRPr="0063119B" w:rsidRDefault="00337111" w:rsidP="00337111">
      <w:pPr>
        <w:rPr>
          <w:noProof/>
          <w:szCs w:val="22"/>
        </w:rPr>
      </w:pPr>
      <w:r w:rsidRPr="0063119B">
        <w:rPr>
          <w:rFonts w:eastAsia="SimSun"/>
          <w:szCs w:val="22"/>
        </w:rPr>
        <w:t xml:space="preserve">Devido a uma absorção menos extensa, foi determinada uma biodisponibilidade oral de 66% para o comprimido de 20 mg em jejum. Quando </w:t>
      </w:r>
      <w:r w:rsidR="00215DC7" w:rsidRPr="0063119B">
        <w:rPr>
          <w:rFonts w:eastAsia="SimSun"/>
          <w:szCs w:val="22"/>
        </w:rPr>
        <w:t xml:space="preserve">o </w:t>
      </w:r>
      <w:r w:rsidR="00215DC7" w:rsidRPr="0063119B">
        <w:rPr>
          <w:szCs w:val="22"/>
        </w:rPr>
        <w:t>rivaroxabano</w:t>
      </w:r>
      <w:r w:rsidR="00215DC7" w:rsidRPr="0063119B">
        <w:rPr>
          <w:rFonts w:eastAsia="SimSun"/>
          <w:szCs w:val="22"/>
        </w:rPr>
        <w:t xml:space="preserve"> </w:t>
      </w:r>
      <w:r w:rsidRPr="0063119B">
        <w:rPr>
          <w:rFonts w:eastAsia="SimSun"/>
          <w:szCs w:val="22"/>
        </w:rPr>
        <w:t>20 mg comprimidos é tomado juntamente com alimentos observou</w:t>
      </w:r>
      <w:r w:rsidRPr="0063119B">
        <w:rPr>
          <w:rFonts w:eastAsia="SimSun"/>
          <w:szCs w:val="22"/>
        </w:rPr>
        <w:noBreakHyphen/>
        <w:t xml:space="preserve">se um aumento da AUC de 39% em comparação com a ingestão do comprimido em jejum, indicando uma absorção quase completa e uma biodisponibilidade oral elevada. Os comprimidos de </w:t>
      </w:r>
      <w:r w:rsidR="00215DC7" w:rsidRPr="0063119B">
        <w:rPr>
          <w:szCs w:val="22"/>
        </w:rPr>
        <w:t>rivaroxabano</w:t>
      </w:r>
      <w:r w:rsidRPr="0063119B">
        <w:rPr>
          <w:rFonts w:eastAsia="SimSun"/>
          <w:szCs w:val="22"/>
        </w:rPr>
        <w:t xml:space="preserve"> de 15 mg e de 20 mg devem ser tomados com alimentos (ver secção 4.2).</w:t>
      </w:r>
    </w:p>
    <w:p w14:paraId="1B62AB89" w14:textId="77777777" w:rsidR="00337111" w:rsidRPr="0063119B" w:rsidRDefault="00337111" w:rsidP="00337111">
      <w:pPr>
        <w:rPr>
          <w:noProof/>
          <w:szCs w:val="22"/>
        </w:rPr>
      </w:pPr>
      <w:r w:rsidRPr="0063119B">
        <w:rPr>
          <w:noProof/>
          <w:szCs w:val="22"/>
        </w:rPr>
        <w:t>A farmacocinética do rivaroxabano é aproximadamente linear até cerca de 15 mg uma vez ao dia no estado de jejum. Em condições pós</w:t>
      </w:r>
      <w:r w:rsidRPr="0063119B">
        <w:rPr>
          <w:noProof/>
          <w:szCs w:val="22"/>
        </w:rPr>
        <w:noBreakHyphen/>
        <w:t xml:space="preserve">prandiais, </w:t>
      </w:r>
      <w:r w:rsidR="00607DE4">
        <w:rPr>
          <w:szCs w:val="22"/>
        </w:rPr>
        <w:t>Rivaroxabano</w:t>
      </w:r>
      <w:r w:rsidR="00215DC7" w:rsidRPr="0063119B">
        <w:rPr>
          <w:szCs w:val="22"/>
        </w:rPr>
        <w:t xml:space="preserve"> Accord</w:t>
      </w:r>
      <w:r w:rsidR="00215DC7" w:rsidRPr="0063119B">
        <w:rPr>
          <w:noProof/>
          <w:szCs w:val="22"/>
        </w:rPr>
        <w:t xml:space="preserve"> </w:t>
      </w:r>
      <w:r w:rsidRPr="0063119B">
        <w:rPr>
          <w:noProof/>
          <w:szCs w:val="22"/>
        </w:rPr>
        <w:t xml:space="preserve">10 mg, 15 mg e 20 mg comprimidos demonstrou uma proporcionalidade com a dose. Em doses superiores, o rivaroxabano revela uma absorção limitada pela dissolução com uma diminuição da biodisponibilidade e uma diminuição da taxa de absorção com o aumento da dose. </w:t>
      </w:r>
    </w:p>
    <w:p w14:paraId="335B6928" w14:textId="77777777" w:rsidR="00337111" w:rsidRPr="0063119B" w:rsidRDefault="00337111" w:rsidP="00337111">
      <w:pPr>
        <w:rPr>
          <w:noProof/>
          <w:szCs w:val="22"/>
        </w:rPr>
      </w:pPr>
      <w:r w:rsidRPr="0063119B">
        <w:rPr>
          <w:noProof/>
          <w:szCs w:val="22"/>
        </w:rPr>
        <w:t>A variabilidade na farmacocinética do rivaroxabano é moderada com variabilidade interindividual (CV%) variando entre os 30% e os 40%.</w:t>
      </w:r>
    </w:p>
    <w:p w14:paraId="54DDFAD2" w14:textId="77777777" w:rsidR="00166787" w:rsidRPr="0063119B" w:rsidRDefault="00166787" w:rsidP="00166787">
      <w:pPr>
        <w:rPr>
          <w:noProof/>
          <w:szCs w:val="22"/>
        </w:rPr>
      </w:pPr>
      <w:r w:rsidRPr="0063119B">
        <w:rPr>
          <w:noProof/>
          <w:szCs w:val="22"/>
        </w:rPr>
        <w:t>A absorção de rivaroxabano depende do local da sua libertação no trato gastrointestinal. Foi notificada uma diminuição de 29% e 56% na AUC e na C</w:t>
      </w:r>
      <w:r w:rsidRPr="0063119B">
        <w:rPr>
          <w:noProof/>
          <w:szCs w:val="22"/>
          <w:vertAlign w:val="subscript"/>
        </w:rPr>
        <w:t>max</w:t>
      </w:r>
      <w:r w:rsidRPr="0063119B">
        <w:rPr>
          <w:noProof/>
          <w:szCs w:val="22"/>
        </w:rPr>
        <w:t xml:space="preserve"> comparativamente com o comprimido quando </w:t>
      </w:r>
      <w:r w:rsidR="008C2060" w:rsidRPr="0063119B">
        <w:rPr>
          <w:noProof/>
          <w:szCs w:val="22"/>
        </w:rPr>
        <w:t xml:space="preserve">o </w:t>
      </w:r>
      <w:r w:rsidRPr="0063119B">
        <w:rPr>
          <w:noProof/>
          <w:szCs w:val="22"/>
        </w:rPr>
        <w:t>rivaroxabano granulado é libertado no intestino delgado proximal. A exposição é ainda mais reduzida quando rivaroxabano é libertado no intestino delgado distal, ou no cólon ascendente. Por isso, a administração de rivaroxabano distal ao estômago deve ser evitada uma vez que pode resultar na absorção reduzida e na relacionada exposição ao rivaroxabano.</w:t>
      </w:r>
    </w:p>
    <w:p w14:paraId="62EC3B94" w14:textId="77777777" w:rsidR="00166787" w:rsidRPr="0063119B" w:rsidRDefault="00166787" w:rsidP="00166787">
      <w:pPr>
        <w:rPr>
          <w:noProof/>
          <w:szCs w:val="22"/>
        </w:rPr>
      </w:pPr>
      <w:r w:rsidRPr="0063119B">
        <w:rPr>
          <w:noProof/>
          <w:szCs w:val="22"/>
        </w:rPr>
        <w:t>A biodisponibilidade (AUC e C</w:t>
      </w:r>
      <w:r w:rsidRPr="0063119B">
        <w:rPr>
          <w:noProof/>
          <w:szCs w:val="22"/>
          <w:vertAlign w:val="subscript"/>
        </w:rPr>
        <w:t>max</w:t>
      </w:r>
      <w:r w:rsidRPr="0063119B">
        <w:rPr>
          <w:noProof/>
          <w:szCs w:val="22"/>
        </w:rPr>
        <w:t xml:space="preserve">) foi comparável para 20 mg de rivaroxabano administrado por via oral na forma de comprimido esmagado misturado com puré de maçã ou suspenso em água e administrado por meio de sonda gástrica seguido por uma refeição líquida, comparativamente com o comprimido inteiro. Dado o perfil farmacocinético previsível e proporcional à dose de rivaroxabano, </w:t>
      </w:r>
      <w:r w:rsidRPr="0063119B">
        <w:rPr>
          <w:noProof/>
          <w:szCs w:val="22"/>
        </w:rPr>
        <w:lastRenderedPageBreak/>
        <w:t>os resultados de biodisponibilidade deste estudo são provavelmente aplicáveis a doses mais baixas de rivaroxabano.</w:t>
      </w:r>
    </w:p>
    <w:p w14:paraId="1BB68F2F" w14:textId="77777777" w:rsidR="00337111" w:rsidRDefault="00337111" w:rsidP="00337111">
      <w:pPr>
        <w:rPr>
          <w:i/>
          <w:noProof/>
          <w:szCs w:val="22"/>
          <w:u w:val="single"/>
        </w:rPr>
      </w:pPr>
    </w:p>
    <w:p w14:paraId="459FBF90" w14:textId="77777777" w:rsidR="00643E27" w:rsidRDefault="00643E27" w:rsidP="00643E27">
      <w:pPr>
        <w:autoSpaceDE w:val="0"/>
        <w:autoSpaceDN w:val="0"/>
        <w:adjustRightInd w:val="0"/>
        <w:rPr>
          <w:i/>
          <w:iCs/>
          <w:szCs w:val="22"/>
          <w:lang w:eastAsia="pt-PT"/>
        </w:rPr>
      </w:pPr>
      <w:r>
        <w:rPr>
          <w:i/>
          <w:iCs/>
          <w:szCs w:val="22"/>
          <w:lang w:eastAsia="pt-PT"/>
        </w:rPr>
        <w:t>População pediátrica</w:t>
      </w:r>
    </w:p>
    <w:p w14:paraId="1C84C7B7" w14:textId="77777777" w:rsidR="00643E27" w:rsidRDefault="00BF0E6B" w:rsidP="00EF3721">
      <w:pPr>
        <w:autoSpaceDE w:val="0"/>
        <w:autoSpaceDN w:val="0"/>
        <w:adjustRightInd w:val="0"/>
        <w:rPr>
          <w:szCs w:val="22"/>
          <w:lang w:eastAsia="pt-PT"/>
        </w:rPr>
      </w:pPr>
      <w:r>
        <w:t>Administrou-se rivaroxabano em comprimido ou em suspensão oral a crianças durante ou pouco tempo após a amamentação ou ingestão de alimentos e com uma toma normal de líquidos para assegurar uma administração fiável da dose em crianças. Tal como nos adultos, o rivaroxabano é prontamente absorvido após a administração oral na formulação de comprimido ou granulado para suspensão oral em crianças. Não se observou qualquer diferença na taxa de absorção nem na extensão de absorção entre a formulação de comprimido e de granulado para suspensão oral.</w:t>
      </w:r>
      <w:r w:rsidR="00F73C2E">
        <w:t xml:space="preserve"> </w:t>
      </w:r>
      <w:r w:rsidR="00643E27">
        <w:rPr>
          <w:szCs w:val="22"/>
          <w:lang w:eastAsia="pt-PT"/>
        </w:rPr>
        <w:t xml:space="preserve">Não estão disponíveis dados de farmacocinética após a administração intravenosa em crianças e, como tal, desconhece-se a biodisponibilidade absoluta do rivaroxabano nas crianças. Verificou-se uma diminuição na biodisponibilidade relativa com doses crescentes (em mg/kg de peso corporal), o que sugere haver limitações da absorção com doses mais elevadas, mesmo quando tomadas com alimentos. </w:t>
      </w:r>
      <w:r w:rsidR="00643E27">
        <w:rPr>
          <w:szCs w:val="22"/>
        </w:rPr>
        <w:t>Rivaroxabano 15 mg comprimidos deve ser tomado durante a refeição ou com alimentos (ver secção 4.2).</w:t>
      </w:r>
    </w:p>
    <w:p w14:paraId="2CEE6723" w14:textId="77777777" w:rsidR="00643E27" w:rsidRPr="0063119B" w:rsidRDefault="00643E27" w:rsidP="00643E27">
      <w:pPr>
        <w:rPr>
          <w:i/>
          <w:noProof/>
          <w:szCs w:val="22"/>
          <w:u w:val="single"/>
        </w:rPr>
      </w:pPr>
    </w:p>
    <w:p w14:paraId="50F77145" w14:textId="77777777" w:rsidR="00337111" w:rsidRDefault="00337111" w:rsidP="00337111">
      <w:pPr>
        <w:rPr>
          <w:noProof/>
          <w:szCs w:val="22"/>
          <w:u w:val="single"/>
        </w:rPr>
      </w:pPr>
      <w:r w:rsidRPr="0063119B">
        <w:rPr>
          <w:noProof/>
          <w:szCs w:val="22"/>
          <w:u w:val="single"/>
        </w:rPr>
        <w:t>Distribuição</w:t>
      </w:r>
    </w:p>
    <w:p w14:paraId="3FC14FD0" w14:textId="77777777" w:rsidR="00F14467" w:rsidRPr="0063119B" w:rsidRDefault="00F14467" w:rsidP="00337111">
      <w:pPr>
        <w:rPr>
          <w:noProof/>
          <w:szCs w:val="22"/>
          <w:u w:val="single"/>
        </w:rPr>
      </w:pPr>
    </w:p>
    <w:p w14:paraId="761FC00B" w14:textId="77777777" w:rsidR="00337111" w:rsidRPr="0063119B" w:rsidRDefault="00337111" w:rsidP="00337111">
      <w:pPr>
        <w:rPr>
          <w:noProof/>
          <w:szCs w:val="22"/>
        </w:rPr>
      </w:pPr>
      <w:r w:rsidRPr="0063119B">
        <w:rPr>
          <w:noProof/>
          <w:szCs w:val="22"/>
        </w:rPr>
        <w:t xml:space="preserve">A ligação às proteínas plasmáticas </w:t>
      </w:r>
      <w:r w:rsidR="00643E27">
        <w:rPr>
          <w:noProof/>
          <w:szCs w:val="22"/>
        </w:rPr>
        <w:t>em</w:t>
      </w:r>
      <w:r w:rsidRPr="0063119B">
        <w:rPr>
          <w:noProof/>
          <w:szCs w:val="22"/>
        </w:rPr>
        <w:t xml:space="preserve"> </w:t>
      </w:r>
      <w:r w:rsidR="00643E27">
        <w:rPr>
          <w:noProof/>
          <w:szCs w:val="22"/>
        </w:rPr>
        <w:t>adultos</w:t>
      </w:r>
      <w:r w:rsidRPr="0063119B">
        <w:rPr>
          <w:noProof/>
          <w:szCs w:val="22"/>
        </w:rPr>
        <w:t xml:space="preserve"> é elevada, de aproximadamente 92% a 95%, sendo a albumina sérica o principal componente de ligação. O volume de distribuição é moderado sendo o V</w:t>
      </w:r>
      <w:r w:rsidRPr="0063119B">
        <w:rPr>
          <w:noProof/>
          <w:szCs w:val="22"/>
          <w:vertAlign w:val="subscript"/>
        </w:rPr>
        <w:t xml:space="preserve">d </w:t>
      </w:r>
      <w:r w:rsidRPr="0063119B">
        <w:rPr>
          <w:noProof/>
          <w:szCs w:val="22"/>
        </w:rPr>
        <w:t>de aproximadamente 50 litros.</w:t>
      </w:r>
    </w:p>
    <w:p w14:paraId="3B174BE6" w14:textId="77777777" w:rsidR="00337111" w:rsidRDefault="00337111" w:rsidP="00337111">
      <w:pPr>
        <w:rPr>
          <w:noProof/>
          <w:szCs w:val="22"/>
        </w:rPr>
      </w:pPr>
    </w:p>
    <w:p w14:paraId="07C79199" w14:textId="77777777" w:rsidR="00643E27" w:rsidRDefault="00643E27" w:rsidP="00643E27">
      <w:pPr>
        <w:autoSpaceDE w:val="0"/>
        <w:autoSpaceDN w:val="0"/>
        <w:adjustRightInd w:val="0"/>
        <w:rPr>
          <w:i/>
          <w:iCs/>
          <w:szCs w:val="22"/>
          <w:lang w:eastAsia="pt-PT"/>
        </w:rPr>
      </w:pPr>
      <w:r>
        <w:rPr>
          <w:i/>
          <w:iCs/>
          <w:szCs w:val="22"/>
          <w:lang w:eastAsia="pt-PT"/>
        </w:rPr>
        <w:t>População pediátrica</w:t>
      </w:r>
    </w:p>
    <w:p w14:paraId="0E29424C" w14:textId="77777777" w:rsidR="00643E27" w:rsidRDefault="00643E27" w:rsidP="00EF3721">
      <w:pPr>
        <w:autoSpaceDE w:val="0"/>
        <w:autoSpaceDN w:val="0"/>
        <w:adjustRightInd w:val="0"/>
        <w:rPr>
          <w:szCs w:val="22"/>
          <w:lang w:eastAsia="pt-PT"/>
        </w:rPr>
      </w:pPr>
      <w:r>
        <w:rPr>
          <w:szCs w:val="22"/>
          <w:lang w:eastAsia="pt-PT"/>
        </w:rPr>
        <w:t>Não existem dados sobre a ligação do rivaroxabano às proteínas plasmáticas específicos para as crianças. Não estão disponíveis dados de farmacocinética após a administração intravenosa de rivaroxabano em crianças. O V</w:t>
      </w:r>
      <w:r>
        <w:rPr>
          <w:sz w:val="14"/>
          <w:szCs w:val="14"/>
          <w:lang w:eastAsia="pt-PT"/>
        </w:rPr>
        <w:t xml:space="preserve">ss </w:t>
      </w:r>
      <w:r>
        <w:rPr>
          <w:szCs w:val="22"/>
          <w:lang w:eastAsia="pt-PT"/>
        </w:rPr>
        <w:t>estimado através de modelos de farmacocinética populacional em crianças (intervalo etário de 0 a &lt; 18 anos de idade) após a administração oral de rivaroxabano depende do peso corporal e pode ser descrito com uma função alométrica com uma média de 113 l para um indivíduo com um peso corporal de 82,8 kg.</w:t>
      </w:r>
    </w:p>
    <w:p w14:paraId="5FE11B6C" w14:textId="77777777" w:rsidR="00643E27" w:rsidRPr="0063119B" w:rsidRDefault="00643E27" w:rsidP="00643E27">
      <w:pPr>
        <w:rPr>
          <w:noProof/>
          <w:szCs w:val="22"/>
        </w:rPr>
      </w:pPr>
    </w:p>
    <w:p w14:paraId="59E5F8D1" w14:textId="77777777" w:rsidR="00337111" w:rsidRDefault="00337111" w:rsidP="00337111">
      <w:pPr>
        <w:keepNext/>
        <w:rPr>
          <w:noProof/>
          <w:szCs w:val="22"/>
          <w:u w:val="single"/>
        </w:rPr>
      </w:pPr>
      <w:r w:rsidRPr="0063119B">
        <w:rPr>
          <w:noProof/>
          <w:szCs w:val="22"/>
          <w:u w:val="single"/>
        </w:rPr>
        <w:t>Biotransformação e eliminação</w:t>
      </w:r>
    </w:p>
    <w:p w14:paraId="66874A0F" w14:textId="77777777" w:rsidR="00F14467" w:rsidRPr="0063119B" w:rsidRDefault="00F14467" w:rsidP="00337111">
      <w:pPr>
        <w:keepNext/>
        <w:rPr>
          <w:noProof/>
          <w:szCs w:val="22"/>
        </w:rPr>
      </w:pPr>
    </w:p>
    <w:p w14:paraId="6F30FD02" w14:textId="77777777" w:rsidR="00337111" w:rsidRPr="0063119B" w:rsidRDefault="00337111" w:rsidP="00337111">
      <w:pPr>
        <w:keepNext/>
        <w:rPr>
          <w:noProof/>
          <w:szCs w:val="22"/>
        </w:rPr>
      </w:pPr>
      <w:r w:rsidRPr="0063119B">
        <w:rPr>
          <w:noProof/>
          <w:szCs w:val="22"/>
        </w:rPr>
        <w:t>Da dose de rivaroxabano administrada</w:t>
      </w:r>
      <w:r w:rsidR="00643E27">
        <w:rPr>
          <w:szCs w:val="22"/>
        </w:rPr>
        <w:t xml:space="preserve"> em adultos</w:t>
      </w:r>
      <w:r w:rsidRPr="0063119B">
        <w:rPr>
          <w:noProof/>
          <w:szCs w:val="22"/>
        </w:rPr>
        <w:t>, aproximadamente 2/3 sofre degradação metabólica, da qual metade é eliminada por via renal e a outra metade eliminada por via fecal. O 1/3 final da dose administrada sofre excreção renal direta como substância ativa inalterada na urina, principalmente por secreção renal ativa.</w:t>
      </w:r>
    </w:p>
    <w:p w14:paraId="45673495" w14:textId="77777777" w:rsidR="00337111" w:rsidRPr="0063119B" w:rsidRDefault="00337111" w:rsidP="00337111">
      <w:pPr>
        <w:rPr>
          <w:noProof/>
          <w:szCs w:val="22"/>
        </w:rPr>
      </w:pPr>
      <w:r w:rsidRPr="0063119B">
        <w:rPr>
          <w:noProof/>
          <w:szCs w:val="22"/>
        </w:rPr>
        <w:t xml:space="preserve">O rivaroxabano é metabolizado através do CYP3A4, CYP2J2 e por mecanismos independentes do CYP. Os principais locais de biotransformação são a degradação oxidativa da porção da morfolinona e hidrólise das ligações de amida. Com base em investigações </w:t>
      </w:r>
      <w:r w:rsidRPr="0063119B">
        <w:rPr>
          <w:i/>
          <w:noProof/>
          <w:szCs w:val="22"/>
        </w:rPr>
        <w:t>in vitro,</w:t>
      </w:r>
      <w:r w:rsidRPr="0063119B">
        <w:rPr>
          <w:noProof/>
          <w:szCs w:val="22"/>
        </w:rPr>
        <w:t xml:space="preserve"> o rivaroxabano é um substracto das proteínas transportadoras gp</w:t>
      </w:r>
      <w:r w:rsidRPr="0063119B">
        <w:rPr>
          <w:noProof/>
          <w:szCs w:val="22"/>
        </w:rPr>
        <w:noBreakHyphen/>
        <w:t>P (glicoproteína P) e Bcrp (proteína de resistência do cancro da mama).</w:t>
      </w:r>
    </w:p>
    <w:p w14:paraId="2358FF8A" w14:textId="77777777" w:rsidR="00337111" w:rsidRPr="0063119B" w:rsidRDefault="00337111" w:rsidP="00337111">
      <w:pPr>
        <w:rPr>
          <w:noProof/>
          <w:szCs w:val="22"/>
        </w:rPr>
      </w:pPr>
      <w:r w:rsidRPr="0063119B">
        <w:rPr>
          <w:noProof/>
          <w:szCs w:val="22"/>
        </w:rPr>
        <w:t>O rivaroxabano inalterado é o composto mais importante no plasma humano, sem que estejam presentes outros metabolitos circulantes ativos ou relevo. Com uma taxa de depuração sistémica de aproximadamente 10 l/h, o rivaroxabano pode ser classificado como uma substância com baixa taxa de depuração. Após a administração intravenosa de uma dose de 1 mg a semivida de eliminação é de cerca de 4,5 horas. Após a administração oral, a eliminação torna</w:t>
      </w:r>
      <w:r w:rsidRPr="0063119B">
        <w:rPr>
          <w:noProof/>
          <w:szCs w:val="22"/>
        </w:rPr>
        <w:noBreakHyphen/>
        <w:t>se limitada pela taxa de absorção. A eliminação de rivaroxabano do plasma ocorre com semividas terminais de 5 a 9 horas em indivíduos jovens, e com semividas terminais de 11 a 13 horas nos idosos.</w:t>
      </w:r>
    </w:p>
    <w:p w14:paraId="28500895" w14:textId="77777777" w:rsidR="00337111" w:rsidRDefault="00337111" w:rsidP="00337111">
      <w:pPr>
        <w:rPr>
          <w:i/>
          <w:noProof/>
          <w:szCs w:val="22"/>
          <w:u w:val="single"/>
        </w:rPr>
      </w:pPr>
    </w:p>
    <w:p w14:paraId="2165FF7E" w14:textId="77777777" w:rsidR="00643E27" w:rsidRPr="00643E27" w:rsidRDefault="00643E27" w:rsidP="00643E27">
      <w:pPr>
        <w:autoSpaceDE w:val="0"/>
        <w:autoSpaceDN w:val="0"/>
        <w:adjustRightInd w:val="0"/>
        <w:rPr>
          <w:color w:val="000000"/>
          <w:szCs w:val="22"/>
          <w:lang w:eastAsia="pt-PT"/>
        </w:rPr>
      </w:pPr>
      <w:r w:rsidRPr="00643E27">
        <w:rPr>
          <w:i/>
          <w:iCs/>
          <w:color w:val="000000"/>
          <w:szCs w:val="22"/>
          <w:lang w:eastAsia="pt-PT"/>
        </w:rPr>
        <w:t xml:space="preserve">População pediátrica </w:t>
      </w:r>
    </w:p>
    <w:p w14:paraId="61074390" w14:textId="77777777" w:rsidR="00643E27" w:rsidRDefault="00643E27" w:rsidP="00643E27">
      <w:pPr>
        <w:rPr>
          <w:color w:val="000000"/>
          <w:szCs w:val="22"/>
          <w:lang w:eastAsia="pt-PT"/>
        </w:rPr>
      </w:pPr>
      <w:r w:rsidRPr="00643E27">
        <w:rPr>
          <w:color w:val="000000"/>
          <w:szCs w:val="22"/>
          <w:lang w:eastAsia="pt-PT"/>
        </w:rPr>
        <w:t>Não estão disponíveis dados específicos sobre o metabolismo em crianças. Não estão disponíveis dados de farmacocinética após a administração intravenosa de rivaroxabano em crianças. A depuração estimada através de modelos de farmacocinética populacional em crianças (intervalo etário de 0 a &lt; 18 anos de idade) após a administração oral de rivaroxabano depende do peso corporal e pode ser descrita com uma função alométrica, com uma média de 8 l/h para um indivíduo com um peso corporal de 82,8 kg. Os valores da média geométrica para as semividas de eliminação (t</w:t>
      </w:r>
      <w:r w:rsidRPr="00643E27">
        <w:rPr>
          <w:color w:val="000000"/>
          <w:sz w:val="14"/>
          <w:szCs w:val="14"/>
          <w:lang w:eastAsia="pt-PT"/>
        </w:rPr>
        <w:t>1/2</w:t>
      </w:r>
      <w:r w:rsidRPr="00643E27">
        <w:rPr>
          <w:color w:val="000000"/>
          <w:szCs w:val="22"/>
          <w:lang w:eastAsia="pt-PT"/>
        </w:rPr>
        <w:t xml:space="preserve">) estimadas através de </w:t>
      </w:r>
      <w:r w:rsidRPr="00643E27">
        <w:rPr>
          <w:color w:val="000000"/>
          <w:szCs w:val="22"/>
          <w:lang w:eastAsia="pt-PT"/>
        </w:rPr>
        <w:lastRenderedPageBreak/>
        <w:t>modelos de farmacocinética da população diminuem com a idade decrescente e variaram entre 4,2 h em adolescentes e, aproximadamente, 3 h em crianças com 2-12 anos de idade até 1,9 e 1,6 h em crianças com 0,5-&lt; 2 anos de idade e com menos de 0,5 anos, respetivamente.</w:t>
      </w:r>
    </w:p>
    <w:p w14:paraId="6EB7CD64" w14:textId="77777777" w:rsidR="00643E27" w:rsidRPr="0063119B" w:rsidRDefault="00643E27" w:rsidP="00643E27">
      <w:pPr>
        <w:rPr>
          <w:i/>
          <w:noProof/>
          <w:szCs w:val="22"/>
          <w:u w:val="single"/>
        </w:rPr>
      </w:pPr>
    </w:p>
    <w:p w14:paraId="1C4F6C9E" w14:textId="77777777" w:rsidR="00337111" w:rsidRDefault="00337111" w:rsidP="00337111">
      <w:pPr>
        <w:rPr>
          <w:noProof/>
          <w:szCs w:val="22"/>
          <w:u w:val="single"/>
        </w:rPr>
      </w:pPr>
      <w:r w:rsidRPr="0063119B">
        <w:rPr>
          <w:noProof/>
          <w:szCs w:val="22"/>
          <w:u w:val="single"/>
        </w:rPr>
        <w:t>Populações especiais</w:t>
      </w:r>
    </w:p>
    <w:p w14:paraId="2E06A378" w14:textId="77777777" w:rsidR="00F14467" w:rsidRPr="0063119B" w:rsidRDefault="00F14467" w:rsidP="00337111">
      <w:pPr>
        <w:rPr>
          <w:noProof/>
          <w:szCs w:val="22"/>
          <w:u w:val="single"/>
        </w:rPr>
      </w:pPr>
    </w:p>
    <w:p w14:paraId="4FBA03AA" w14:textId="77777777" w:rsidR="00337111" w:rsidRPr="0063119B" w:rsidRDefault="00337111" w:rsidP="00337111">
      <w:pPr>
        <w:rPr>
          <w:i/>
          <w:noProof/>
          <w:szCs w:val="22"/>
        </w:rPr>
      </w:pPr>
      <w:r w:rsidRPr="0063119B">
        <w:rPr>
          <w:i/>
          <w:noProof/>
          <w:szCs w:val="22"/>
        </w:rPr>
        <w:t>Sexo</w:t>
      </w:r>
    </w:p>
    <w:p w14:paraId="2E2B7F21" w14:textId="77777777" w:rsidR="00337111" w:rsidRPr="0063119B" w:rsidRDefault="00337111" w:rsidP="00337111">
      <w:pPr>
        <w:rPr>
          <w:noProof/>
          <w:szCs w:val="22"/>
        </w:rPr>
      </w:pPr>
      <w:r w:rsidRPr="0063119B">
        <w:rPr>
          <w:noProof/>
          <w:szCs w:val="22"/>
        </w:rPr>
        <w:t>Não se verificaram diferenças clinicamente relevantes na farmacocinética e farmacodinâmica</w:t>
      </w:r>
      <w:r w:rsidR="00184C85">
        <w:rPr>
          <w:noProof/>
          <w:szCs w:val="22"/>
        </w:rPr>
        <w:t xml:space="preserve"> em adultos,</w:t>
      </w:r>
      <w:r w:rsidRPr="0063119B">
        <w:rPr>
          <w:noProof/>
          <w:szCs w:val="22"/>
        </w:rPr>
        <w:t xml:space="preserve"> entre doentes do sexo masculino e feminino.</w:t>
      </w:r>
      <w:r w:rsidR="00184C85">
        <w:rPr>
          <w:noProof/>
          <w:szCs w:val="22"/>
        </w:rPr>
        <w:t xml:space="preserve"> </w:t>
      </w:r>
      <w:r w:rsidR="00184C85">
        <w:rPr>
          <w:szCs w:val="22"/>
        </w:rPr>
        <w:t>Uma análise exploratória não revelou quaisquer diferenças relevantes na exposição ao rivaroxabano entre crianças do sexo masculino e feminino.</w:t>
      </w:r>
    </w:p>
    <w:p w14:paraId="55B8DDD1" w14:textId="77777777" w:rsidR="00337111" w:rsidRPr="0063119B" w:rsidRDefault="00337111" w:rsidP="00337111">
      <w:pPr>
        <w:rPr>
          <w:noProof/>
          <w:szCs w:val="22"/>
          <w:u w:val="single"/>
        </w:rPr>
      </w:pPr>
    </w:p>
    <w:p w14:paraId="30228A0C" w14:textId="77777777" w:rsidR="00337111" w:rsidRPr="0063119B" w:rsidRDefault="00337111" w:rsidP="00337111">
      <w:pPr>
        <w:rPr>
          <w:i/>
          <w:noProof/>
          <w:szCs w:val="22"/>
        </w:rPr>
      </w:pPr>
      <w:r w:rsidRPr="0063119B">
        <w:rPr>
          <w:i/>
          <w:noProof/>
          <w:szCs w:val="22"/>
        </w:rPr>
        <w:t>População idosa</w:t>
      </w:r>
    </w:p>
    <w:p w14:paraId="3816B026" w14:textId="77777777" w:rsidR="00337111" w:rsidRPr="0063119B" w:rsidRDefault="00337111" w:rsidP="00337111">
      <w:pPr>
        <w:rPr>
          <w:noProof/>
          <w:szCs w:val="22"/>
        </w:rPr>
      </w:pPr>
      <w:r w:rsidRPr="0063119B">
        <w:rPr>
          <w:noProof/>
          <w:szCs w:val="22"/>
        </w:rPr>
        <w:t>Os doentes idosos apresentaram concentrações plasmáticas mais elevadas do que doentes mais jovens, com valores médios de AUC de aproximadamente 1,5 vezes superiores, devido principalmente a uma redução (aparente) na taxa de depuração total e renal. Não são necessários ajustes posológicos.</w:t>
      </w:r>
    </w:p>
    <w:p w14:paraId="597067B6" w14:textId="77777777" w:rsidR="00337111" w:rsidRPr="0063119B" w:rsidRDefault="00337111" w:rsidP="00337111">
      <w:pPr>
        <w:rPr>
          <w:i/>
          <w:noProof/>
          <w:szCs w:val="22"/>
        </w:rPr>
      </w:pPr>
    </w:p>
    <w:p w14:paraId="48479D04" w14:textId="77777777" w:rsidR="00337111" w:rsidRPr="0063119B" w:rsidRDefault="00337111" w:rsidP="001F10F8">
      <w:pPr>
        <w:keepNext/>
        <w:keepLines/>
        <w:rPr>
          <w:i/>
          <w:noProof/>
          <w:szCs w:val="22"/>
        </w:rPr>
      </w:pPr>
      <w:r w:rsidRPr="0063119B">
        <w:rPr>
          <w:i/>
          <w:noProof/>
          <w:szCs w:val="22"/>
        </w:rPr>
        <w:t>Diferentes categorias de peso</w:t>
      </w:r>
    </w:p>
    <w:p w14:paraId="7E5F6B81" w14:textId="77777777" w:rsidR="00337111" w:rsidRPr="0063119B" w:rsidRDefault="00337111" w:rsidP="00337111">
      <w:pPr>
        <w:rPr>
          <w:noProof/>
          <w:szCs w:val="22"/>
        </w:rPr>
      </w:pPr>
      <w:r w:rsidRPr="0063119B">
        <w:rPr>
          <w:noProof/>
          <w:szCs w:val="22"/>
        </w:rPr>
        <w:t>Os extremos no peso corporal (&lt; 50 kg ou &gt; 120 kg) tiveram apenas uma pequena influência sobre as concentrações plasmáticas do rivaroxabano (menos de 25%)</w:t>
      </w:r>
      <w:r w:rsidR="00184C85">
        <w:rPr>
          <w:noProof/>
          <w:szCs w:val="22"/>
        </w:rPr>
        <w:t xml:space="preserve"> em adultos</w:t>
      </w:r>
      <w:r w:rsidRPr="0063119B">
        <w:rPr>
          <w:noProof/>
          <w:szCs w:val="22"/>
        </w:rPr>
        <w:t>. Não são necessários ajustes posológicos.</w:t>
      </w:r>
    </w:p>
    <w:p w14:paraId="2DAC37E3" w14:textId="77777777" w:rsidR="00337111" w:rsidRDefault="00337111" w:rsidP="00337111">
      <w:pPr>
        <w:rPr>
          <w:i/>
          <w:noProof/>
          <w:szCs w:val="22"/>
          <w:u w:val="single"/>
        </w:rPr>
      </w:pPr>
    </w:p>
    <w:p w14:paraId="42E8DB67" w14:textId="77777777" w:rsidR="00184C85" w:rsidRDefault="00184C85" w:rsidP="00337111">
      <w:pPr>
        <w:rPr>
          <w:szCs w:val="22"/>
        </w:rPr>
      </w:pPr>
      <w:r>
        <w:rPr>
          <w:szCs w:val="22"/>
        </w:rPr>
        <w:t>Nas crianças, a dose de rivaroxabano baseia-se no peso corporal. Uma análise exploratória não revelou haver um impacto relevante do peso inferior ao normal ou da obesidade na exposição ao rivaroxabano em crianças.</w:t>
      </w:r>
    </w:p>
    <w:p w14:paraId="7A35D362" w14:textId="77777777" w:rsidR="00184C85" w:rsidRPr="0063119B" w:rsidRDefault="00184C85" w:rsidP="00337111">
      <w:pPr>
        <w:rPr>
          <w:i/>
          <w:noProof/>
          <w:szCs w:val="22"/>
          <w:u w:val="single"/>
        </w:rPr>
      </w:pPr>
    </w:p>
    <w:p w14:paraId="7DFB560D" w14:textId="77777777" w:rsidR="00337111" w:rsidRPr="0063119B" w:rsidRDefault="00337111" w:rsidP="00337111">
      <w:pPr>
        <w:rPr>
          <w:i/>
          <w:noProof/>
          <w:szCs w:val="22"/>
        </w:rPr>
      </w:pPr>
      <w:r w:rsidRPr="0063119B">
        <w:rPr>
          <w:i/>
          <w:noProof/>
          <w:szCs w:val="22"/>
        </w:rPr>
        <w:t>Diferenças interétnicas</w:t>
      </w:r>
    </w:p>
    <w:p w14:paraId="2E212FE1" w14:textId="77777777" w:rsidR="00337111" w:rsidRPr="0063119B" w:rsidRDefault="00337111" w:rsidP="00337111">
      <w:pPr>
        <w:rPr>
          <w:noProof/>
          <w:szCs w:val="22"/>
        </w:rPr>
      </w:pPr>
      <w:r w:rsidRPr="0063119B">
        <w:rPr>
          <w:noProof/>
          <w:szCs w:val="22"/>
        </w:rPr>
        <w:t xml:space="preserve">Não foram observadas diferenças interétnicas clinicamente relevantes </w:t>
      </w:r>
      <w:r w:rsidR="00184C85">
        <w:rPr>
          <w:noProof/>
          <w:szCs w:val="22"/>
        </w:rPr>
        <w:t xml:space="preserve">em adultos, </w:t>
      </w:r>
      <w:r w:rsidRPr="0063119B">
        <w:rPr>
          <w:noProof/>
          <w:szCs w:val="22"/>
        </w:rPr>
        <w:t>em relação à farmacocinética e farmacodinâmica</w:t>
      </w:r>
      <w:r w:rsidR="005B6F0D" w:rsidRPr="0063119B">
        <w:rPr>
          <w:noProof/>
          <w:szCs w:val="22"/>
        </w:rPr>
        <w:t xml:space="preserve"> do rivaroxabano</w:t>
      </w:r>
      <w:r w:rsidRPr="0063119B">
        <w:rPr>
          <w:noProof/>
          <w:szCs w:val="22"/>
        </w:rPr>
        <w:t>, entre os doentes Caucasianos, Afro</w:t>
      </w:r>
      <w:r w:rsidRPr="0063119B">
        <w:rPr>
          <w:noProof/>
          <w:szCs w:val="22"/>
        </w:rPr>
        <w:noBreakHyphen/>
        <w:t>Americanos, Hispânicos, Japoneses ou Chineses.</w:t>
      </w:r>
    </w:p>
    <w:p w14:paraId="4A3687A8" w14:textId="77777777" w:rsidR="00337111" w:rsidRDefault="00337111" w:rsidP="00337111">
      <w:pPr>
        <w:rPr>
          <w:noProof/>
          <w:szCs w:val="22"/>
        </w:rPr>
      </w:pPr>
    </w:p>
    <w:p w14:paraId="28FF055C" w14:textId="77777777" w:rsidR="00184C85" w:rsidRDefault="00184C85" w:rsidP="00337111">
      <w:pPr>
        <w:rPr>
          <w:szCs w:val="22"/>
        </w:rPr>
      </w:pPr>
      <w:r>
        <w:rPr>
          <w:szCs w:val="22"/>
        </w:rPr>
        <w:t>Uma análise exploratória não revelou haver diferenças interétnicas relevantes na exposição ao rivaroxabano entre crianças japonesas, chinesas ou asiáticas fora do Japão e China em comparação com a respetiva população pediátrica global.</w:t>
      </w:r>
    </w:p>
    <w:p w14:paraId="5A7D5F48" w14:textId="77777777" w:rsidR="00184C85" w:rsidRPr="0063119B" w:rsidRDefault="00184C85" w:rsidP="00337111">
      <w:pPr>
        <w:rPr>
          <w:noProof/>
          <w:szCs w:val="22"/>
        </w:rPr>
      </w:pPr>
    </w:p>
    <w:p w14:paraId="16BD243A" w14:textId="77777777" w:rsidR="00337111" w:rsidRPr="0063119B" w:rsidRDefault="0054678E" w:rsidP="00DE7D95">
      <w:pPr>
        <w:keepNext/>
        <w:rPr>
          <w:noProof/>
          <w:szCs w:val="22"/>
        </w:rPr>
      </w:pPr>
      <w:r w:rsidRPr="0063119B">
        <w:rPr>
          <w:i/>
          <w:noProof/>
          <w:szCs w:val="22"/>
        </w:rPr>
        <w:t>Compromisso</w:t>
      </w:r>
      <w:r w:rsidR="00337111" w:rsidRPr="0063119B">
        <w:rPr>
          <w:i/>
          <w:noProof/>
          <w:szCs w:val="22"/>
        </w:rPr>
        <w:t xml:space="preserve"> hepátic</w:t>
      </w:r>
      <w:r w:rsidRPr="0063119B">
        <w:rPr>
          <w:i/>
          <w:noProof/>
          <w:szCs w:val="22"/>
        </w:rPr>
        <w:t>o</w:t>
      </w:r>
    </w:p>
    <w:p w14:paraId="71237B17" w14:textId="77777777" w:rsidR="00337111" w:rsidRPr="0063119B" w:rsidRDefault="00337111" w:rsidP="00337111">
      <w:pPr>
        <w:rPr>
          <w:noProof/>
          <w:szCs w:val="22"/>
        </w:rPr>
      </w:pPr>
      <w:r w:rsidRPr="0063119B">
        <w:rPr>
          <w:noProof/>
          <w:szCs w:val="22"/>
        </w:rPr>
        <w:t xml:space="preserve">Os doentes </w:t>
      </w:r>
      <w:r w:rsidR="00184C85">
        <w:rPr>
          <w:noProof/>
          <w:szCs w:val="22"/>
        </w:rPr>
        <w:t xml:space="preserve">adultos </w:t>
      </w:r>
      <w:r w:rsidRPr="0063119B">
        <w:rPr>
          <w:noProof/>
          <w:szCs w:val="22"/>
        </w:rPr>
        <w:t xml:space="preserve">com cirrose e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ligeir</w:t>
      </w:r>
      <w:r w:rsidR="0054678E" w:rsidRPr="0063119B">
        <w:rPr>
          <w:noProof/>
          <w:szCs w:val="22"/>
        </w:rPr>
        <w:t>o</w:t>
      </w:r>
      <w:r w:rsidRPr="0063119B">
        <w:rPr>
          <w:noProof/>
          <w:szCs w:val="22"/>
        </w:rPr>
        <w:t xml:space="preserve"> (classificados como Child Pugh A) apresentaram, apenas, pequenas alterações na farmacocinética do rivaroxabano (aumento de 1,2 vezes da AUC do rivaroxabano, em média), quase comparável ao grupo controlo saudável correspondente. Em doentes com cirrose e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moderad</w:t>
      </w:r>
      <w:r w:rsidR="0054678E" w:rsidRPr="0063119B">
        <w:rPr>
          <w:noProof/>
          <w:szCs w:val="22"/>
        </w:rPr>
        <w:t>o</w:t>
      </w:r>
      <w:r w:rsidRPr="0063119B">
        <w:rPr>
          <w:noProof/>
          <w:szCs w:val="22"/>
        </w:rPr>
        <w:t xml:space="preserve"> (classificados como Child Pugh B), a média da AUC do rivaroxabano foi significativamente aumentada em 2,3 vezes, em comparação com voluntários saudáveis. A AUC não ligada aumentou 2,6 vezes. Estes doentes tiveram também diminuição da eliminação renal do rivaroxabano, semelhante aos doentes com compromisso renal moderado. Não existem dados em doentes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grave.</w:t>
      </w:r>
    </w:p>
    <w:p w14:paraId="79362022" w14:textId="77777777" w:rsidR="00337111" w:rsidRPr="0063119B" w:rsidRDefault="00337111" w:rsidP="00337111">
      <w:pPr>
        <w:rPr>
          <w:noProof/>
          <w:szCs w:val="22"/>
        </w:rPr>
      </w:pPr>
      <w:r w:rsidRPr="0063119B">
        <w:rPr>
          <w:noProof/>
          <w:szCs w:val="22"/>
        </w:rPr>
        <w:t xml:space="preserve">A inibição da atividade do </w:t>
      </w:r>
      <w:r w:rsidR="00986D58" w:rsidRPr="0063119B">
        <w:rPr>
          <w:noProof/>
          <w:szCs w:val="22"/>
        </w:rPr>
        <w:t>fator </w:t>
      </w:r>
      <w:r w:rsidRPr="0063119B">
        <w:rPr>
          <w:noProof/>
          <w:szCs w:val="22"/>
        </w:rPr>
        <w:t xml:space="preserve">Xa aumentou de um fator de 2,6 em doentes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moderad</w:t>
      </w:r>
      <w:r w:rsidR="0054678E" w:rsidRPr="0063119B">
        <w:rPr>
          <w:noProof/>
          <w:szCs w:val="22"/>
        </w:rPr>
        <w:t>o</w:t>
      </w:r>
      <w:r w:rsidRPr="0063119B">
        <w:rPr>
          <w:noProof/>
          <w:szCs w:val="22"/>
        </w:rPr>
        <w:t xml:space="preserve"> em comparação com voluntários saudáveis; de forma semelhante, o prolongamento do TP aumentou de um fator de 2,1. Doentes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moderad</w:t>
      </w:r>
      <w:r w:rsidR="0054678E" w:rsidRPr="0063119B">
        <w:rPr>
          <w:noProof/>
          <w:szCs w:val="22"/>
        </w:rPr>
        <w:t>o</w:t>
      </w:r>
      <w:r w:rsidRPr="0063119B">
        <w:rPr>
          <w:noProof/>
          <w:szCs w:val="22"/>
        </w:rPr>
        <w:t xml:space="preserve"> foram mais sensíveis ao rivaroxabano resultando numa relação farmacocinética/farmacodinâmica mais acentuada entre a concentração e o TP.</w:t>
      </w:r>
    </w:p>
    <w:p w14:paraId="2C7B9F14" w14:textId="77777777" w:rsidR="00337111" w:rsidRPr="0063119B" w:rsidRDefault="00215DC7" w:rsidP="00337111">
      <w:pPr>
        <w:rPr>
          <w:noProof/>
          <w:szCs w:val="22"/>
        </w:rPr>
      </w:pPr>
      <w:r w:rsidRPr="0063119B">
        <w:rPr>
          <w:noProof/>
          <w:szCs w:val="22"/>
        </w:rPr>
        <w:t xml:space="preserve">O </w:t>
      </w:r>
      <w:r w:rsidRPr="0063119B">
        <w:rPr>
          <w:szCs w:val="22"/>
        </w:rPr>
        <w:t>rivaroxabano é</w:t>
      </w:r>
      <w:r w:rsidR="00337111" w:rsidRPr="0063119B">
        <w:rPr>
          <w:noProof/>
          <w:szCs w:val="22"/>
        </w:rPr>
        <w:t xml:space="preserve"> contraindicado em doentes com doença hepática associada a coagulopatia e risco de hemorragia clinicamente relevante, incluindo doentes com cirrose com Child Pugh B e C (ver secção 4.3).</w:t>
      </w:r>
    </w:p>
    <w:p w14:paraId="1D929D4E" w14:textId="77777777" w:rsidR="00337111" w:rsidRDefault="00184C85" w:rsidP="00337111">
      <w:pPr>
        <w:rPr>
          <w:szCs w:val="22"/>
        </w:rPr>
      </w:pPr>
      <w:r>
        <w:rPr>
          <w:szCs w:val="22"/>
        </w:rPr>
        <w:t>Não estão disponíveis dados clínicos em crianças com compromisso hepático.</w:t>
      </w:r>
    </w:p>
    <w:p w14:paraId="1CA9876A" w14:textId="77777777" w:rsidR="00184C85" w:rsidRPr="0063119B" w:rsidRDefault="00184C85" w:rsidP="00337111">
      <w:pPr>
        <w:rPr>
          <w:i/>
          <w:noProof/>
          <w:szCs w:val="22"/>
          <w:u w:val="single"/>
        </w:rPr>
      </w:pPr>
    </w:p>
    <w:p w14:paraId="2EBCAB53" w14:textId="77777777" w:rsidR="00337111" w:rsidRPr="0063119B" w:rsidRDefault="00337111" w:rsidP="00337111">
      <w:pPr>
        <w:keepNext/>
        <w:rPr>
          <w:i/>
          <w:noProof/>
          <w:szCs w:val="22"/>
        </w:rPr>
      </w:pPr>
      <w:r w:rsidRPr="0063119B">
        <w:rPr>
          <w:i/>
          <w:noProof/>
          <w:szCs w:val="22"/>
        </w:rPr>
        <w:t>Compromisso renal</w:t>
      </w:r>
    </w:p>
    <w:p w14:paraId="17056360" w14:textId="77777777" w:rsidR="00337111" w:rsidRPr="0063119B" w:rsidRDefault="00337111" w:rsidP="00337111">
      <w:pPr>
        <w:keepNext/>
        <w:rPr>
          <w:noProof/>
          <w:szCs w:val="22"/>
        </w:rPr>
      </w:pPr>
      <w:r w:rsidRPr="0063119B">
        <w:rPr>
          <w:noProof/>
          <w:szCs w:val="22"/>
        </w:rPr>
        <w:t>Verificou</w:t>
      </w:r>
      <w:r w:rsidRPr="0063119B">
        <w:rPr>
          <w:noProof/>
          <w:szCs w:val="22"/>
        </w:rPr>
        <w:noBreakHyphen/>
        <w:t xml:space="preserve">se um aumento da exposição a rivaroxabano </w:t>
      </w:r>
      <w:r w:rsidR="00184C85">
        <w:rPr>
          <w:noProof/>
          <w:szCs w:val="22"/>
        </w:rPr>
        <w:t xml:space="preserve">em adultos, </w:t>
      </w:r>
      <w:r w:rsidRPr="0063119B">
        <w:rPr>
          <w:noProof/>
          <w:szCs w:val="22"/>
        </w:rPr>
        <w:t>correlacionado com a diminuição da função renal, avaliada através das determinações da taxa de depuração da creatinina. Nos indivíduos com compromisso renal ligeiro (taxa de depuração da creatinina de 50 </w:t>
      </w:r>
      <w:r w:rsidRPr="0063119B">
        <w:rPr>
          <w:noProof/>
          <w:szCs w:val="22"/>
        </w:rPr>
        <w:noBreakHyphen/>
        <w:t xml:space="preserve"> 80 ml/min), </w:t>
      </w:r>
      <w:r w:rsidRPr="0063119B">
        <w:rPr>
          <w:noProof/>
          <w:szCs w:val="22"/>
        </w:rPr>
        <w:lastRenderedPageBreak/>
        <w:t>moderado (taxa de depuração da creatinina 30 </w:t>
      </w:r>
      <w:r w:rsidRPr="0063119B">
        <w:rPr>
          <w:noProof/>
          <w:szCs w:val="22"/>
        </w:rPr>
        <w:noBreakHyphen/>
        <w:t> 49 ml/min) e grave (taxa de depuração da creatinina 15 </w:t>
      </w:r>
      <w:r w:rsidRPr="0063119B">
        <w:rPr>
          <w:noProof/>
          <w:szCs w:val="22"/>
        </w:rPr>
        <w:noBreakHyphen/>
        <w:t> 29 ml/min), as concentrações plasmáticas (AUC) de rivaroxabano aumentaram 1,4, 1,5 e 1,6 vezes, respetivamente. Os aumentos correspondentes nos efeitos farmacodinâmicos foram mais acentuados. Em indivíduos com compromisso renal ligeiro, moderado e grave a inibição total da atividade do fator Xa aumentou por um fator de 1,5, 1,9 e 2,0, respetivamente, em comparação com voluntários saudáveis; o prolongamento do TP aumentou, de forma semelhante, por um fator de 1,3, 2,2 e 2,4 respetivamente. Não existem dados em doentes com uma taxa de depuração de creatinina &lt; 15 ml/min.</w:t>
      </w:r>
    </w:p>
    <w:p w14:paraId="44C213A5" w14:textId="77777777" w:rsidR="00337111" w:rsidRPr="0063119B" w:rsidRDefault="00337111" w:rsidP="00337111">
      <w:pPr>
        <w:rPr>
          <w:noProof/>
          <w:szCs w:val="22"/>
        </w:rPr>
      </w:pPr>
      <w:r w:rsidRPr="0063119B">
        <w:rPr>
          <w:noProof/>
          <w:szCs w:val="22"/>
        </w:rPr>
        <w:t>Devido à elevada ligação às proteínas plasmáticas, não se espera que o rivaroxabano seja dialisável.</w:t>
      </w:r>
    </w:p>
    <w:p w14:paraId="64787C80" w14:textId="77777777" w:rsidR="00337111" w:rsidRPr="0063119B" w:rsidRDefault="00337111" w:rsidP="00337111">
      <w:pPr>
        <w:rPr>
          <w:noProof/>
          <w:szCs w:val="22"/>
        </w:rPr>
      </w:pPr>
      <w:r w:rsidRPr="0063119B">
        <w:rPr>
          <w:noProof/>
          <w:szCs w:val="22"/>
        </w:rPr>
        <w:t xml:space="preserve">A utilização não é recomendada em doentes com uma taxa de depuração de creatinina &lt; 15 ml/min. </w:t>
      </w:r>
      <w:r w:rsidR="00215DC7" w:rsidRPr="0063119B">
        <w:rPr>
          <w:noProof/>
          <w:szCs w:val="22"/>
        </w:rPr>
        <w:t xml:space="preserve">O </w:t>
      </w:r>
      <w:r w:rsidR="00215DC7" w:rsidRPr="0063119B">
        <w:rPr>
          <w:szCs w:val="22"/>
        </w:rPr>
        <w:t>rivaroxabano</w:t>
      </w:r>
      <w:r w:rsidR="00215DC7" w:rsidRPr="0063119B">
        <w:rPr>
          <w:noProof/>
          <w:szCs w:val="22"/>
        </w:rPr>
        <w:t xml:space="preserve"> </w:t>
      </w:r>
      <w:r w:rsidRPr="0063119B">
        <w:rPr>
          <w:noProof/>
          <w:szCs w:val="22"/>
        </w:rPr>
        <w:t>deve ser u</w:t>
      </w:r>
      <w:r w:rsidR="00215DC7" w:rsidRPr="0063119B">
        <w:rPr>
          <w:noProof/>
          <w:szCs w:val="22"/>
        </w:rPr>
        <w:t>tiliz</w:t>
      </w:r>
      <w:r w:rsidRPr="0063119B">
        <w:rPr>
          <w:noProof/>
          <w:szCs w:val="22"/>
        </w:rPr>
        <w:t>ado com precaução em doentes com uma taxa de depuração de creatinina entre 15 </w:t>
      </w:r>
      <w:r w:rsidRPr="0063119B">
        <w:rPr>
          <w:noProof/>
          <w:szCs w:val="22"/>
        </w:rPr>
        <w:noBreakHyphen/>
        <w:t> 29 ml/min (ver secção 4.4).</w:t>
      </w:r>
    </w:p>
    <w:p w14:paraId="7D4D395A" w14:textId="77777777" w:rsidR="00337111" w:rsidRDefault="00184C85" w:rsidP="00337111">
      <w:pPr>
        <w:rPr>
          <w:szCs w:val="22"/>
        </w:rPr>
      </w:pPr>
      <w:r>
        <w:rPr>
          <w:szCs w:val="22"/>
        </w:rPr>
        <w:t>Não estão disponíveis dados clínicos em crianças com idade igual ou superior a 1 ano com compromisso renal moderado ou grave (taxa de filtração glomerular &lt; 50 ml/min/1,73 m</w:t>
      </w:r>
      <w:r w:rsidRPr="00EF3721">
        <w:rPr>
          <w:sz w:val="14"/>
          <w:szCs w:val="14"/>
          <w:vertAlign w:val="superscript"/>
        </w:rPr>
        <w:t>2</w:t>
      </w:r>
      <w:r>
        <w:rPr>
          <w:szCs w:val="22"/>
        </w:rPr>
        <w:t>).</w:t>
      </w:r>
    </w:p>
    <w:p w14:paraId="169E1F65" w14:textId="77777777" w:rsidR="00184C85" w:rsidRPr="0063119B" w:rsidRDefault="00184C85" w:rsidP="00337111">
      <w:pPr>
        <w:rPr>
          <w:noProof/>
          <w:szCs w:val="22"/>
        </w:rPr>
      </w:pPr>
    </w:p>
    <w:p w14:paraId="4B27162B" w14:textId="77777777" w:rsidR="00337111" w:rsidRDefault="00337111" w:rsidP="00337111">
      <w:pPr>
        <w:rPr>
          <w:szCs w:val="22"/>
          <w:u w:val="single"/>
        </w:rPr>
      </w:pPr>
      <w:r w:rsidRPr="0063119B">
        <w:rPr>
          <w:szCs w:val="22"/>
          <w:u w:val="single"/>
        </w:rPr>
        <w:t>Dados farmacocinéticos em doentes</w:t>
      </w:r>
    </w:p>
    <w:p w14:paraId="358A5D78" w14:textId="77777777" w:rsidR="00F14467" w:rsidRPr="0063119B" w:rsidRDefault="00F14467" w:rsidP="00337111">
      <w:pPr>
        <w:rPr>
          <w:szCs w:val="22"/>
        </w:rPr>
      </w:pPr>
    </w:p>
    <w:p w14:paraId="18308303" w14:textId="77777777" w:rsidR="00337111" w:rsidRPr="0063119B" w:rsidRDefault="00337111" w:rsidP="00337111">
      <w:pPr>
        <w:rPr>
          <w:szCs w:val="22"/>
        </w:rPr>
      </w:pPr>
      <w:r w:rsidRPr="0063119B">
        <w:rPr>
          <w:szCs w:val="22"/>
        </w:rPr>
        <w:t xml:space="preserve">Nos doentes tratados com 20 mg, de rivaroxabano, uma vez ao dia, para o tratamento da TVP aguda, a concentração média geométrica (intervalo de previsão de 90%), 2 </w:t>
      </w:r>
      <w:r w:rsidR="000E46B1" w:rsidRPr="0063119B">
        <w:rPr>
          <w:szCs w:val="22"/>
        </w:rPr>
        <w:t>-</w:t>
      </w:r>
      <w:r w:rsidRPr="0063119B">
        <w:rPr>
          <w:szCs w:val="22"/>
        </w:rPr>
        <w:t xml:space="preserve"> 4 h e cerca de 24 h após a dose (representando, aproximadamente, concentrações máximas e mínimas durante o intervalo de doses) foi de 215 (22 </w:t>
      </w:r>
      <w:r w:rsidR="00192DF0" w:rsidRPr="0063119B">
        <w:rPr>
          <w:szCs w:val="22"/>
        </w:rPr>
        <w:t xml:space="preserve">- </w:t>
      </w:r>
      <w:r w:rsidRPr="0063119B">
        <w:rPr>
          <w:szCs w:val="22"/>
        </w:rPr>
        <w:t xml:space="preserve">535) e 32 (6 - 239) </w:t>
      </w:r>
      <w:r w:rsidR="004D7C05" w:rsidRPr="0063119B">
        <w:rPr>
          <w:szCs w:val="22"/>
        </w:rPr>
        <w:t>mcg</w:t>
      </w:r>
      <w:r w:rsidRPr="0063119B">
        <w:rPr>
          <w:szCs w:val="22"/>
        </w:rPr>
        <w:t>/l, respetivamente.</w:t>
      </w:r>
    </w:p>
    <w:p w14:paraId="181EC955" w14:textId="77777777" w:rsidR="00337111" w:rsidRDefault="00337111" w:rsidP="00337111">
      <w:pPr>
        <w:suppressAutoHyphens/>
        <w:ind w:left="567" w:hanging="567"/>
        <w:rPr>
          <w:noProof/>
          <w:szCs w:val="22"/>
          <w:u w:val="single"/>
        </w:rPr>
      </w:pPr>
    </w:p>
    <w:p w14:paraId="701E810A" w14:textId="77777777" w:rsidR="00184C85" w:rsidRDefault="00184C85" w:rsidP="00184C85">
      <w:pPr>
        <w:autoSpaceDE w:val="0"/>
        <w:autoSpaceDN w:val="0"/>
        <w:adjustRightInd w:val="0"/>
        <w:rPr>
          <w:szCs w:val="22"/>
        </w:rPr>
      </w:pPr>
      <w:r>
        <w:rPr>
          <w:szCs w:val="22"/>
        </w:rPr>
        <w:t>No quadro 13 estão resumidas as médias geométricas das concentrações (intervalo de 90%) em intervalos de tempo de colheita de amostras representando, aproximadamente, as concentrações máximas e mínimas durante o intervalo posológico em doentes pediátricos com TEV agudo, a receber rivaroxabano ajustado ao peso corporal, levando a uma exposição semelhante à observada em doentes adultos com TVP a receberem uma dose diária de 20 mg por dia.</w:t>
      </w:r>
    </w:p>
    <w:p w14:paraId="5D49618E" w14:textId="77777777" w:rsidR="00184C85" w:rsidRDefault="00184C85" w:rsidP="00184C85">
      <w:pPr>
        <w:autoSpaceDE w:val="0"/>
        <w:autoSpaceDN w:val="0"/>
        <w:adjustRightInd w:val="0"/>
        <w:rPr>
          <w:b/>
          <w:bCs/>
          <w:color w:val="000000"/>
          <w:szCs w:val="22"/>
          <w:lang w:eastAsia="pt-PT"/>
        </w:rPr>
      </w:pPr>
    </w:p>
    <w:p w14:paraId="6330676A" w14:textId="77777777" w:rsidR="00184C85" w:rsidRPr="00184C85" w:rsidRDefault="00184C85" w:rsidP="00EF3721">
      <w:pPr>
        <w:autoSpaceDE w:val="0"/>
        <w:autoSpaceDN w:val="0"/>
        <w:adjustRightInd w:val="0"/>
        <w:rPr>
          <w:b/>
          <w:bCs/>
          <w:color w:val="000000"/>
          <w:szCs w:val="22"/>
          <w:lang w:eastAsia="pt-PT"/>
        </w:rPr>
      </w:pPr>
      <w:r w:rsidRPr="00184C85">
        <w:rPr>
          <w:b/>
          <w:bCs/>
          <w:color w:val="000000"/>
          <w:szCs w:val="22"/>
          <w:lang w:eastAsia="pt-PT"/>
        </w:rPr>
        <w:t>Quadro 13: Resumo das estatísticas (média geométrica [intervalo de 90%]) das concentrações plasmáticas do rivaroxabano no estado estacionário (mcg/l) por regime posológico e idade</w:t>
      </w:r>
    </w:p>
    <w:p w14:paraId="52FC3DC0" w14:textId="77777777" w:rsidR="00184C85" w:rsidRDefault="00184C85" w:rsidP="00184C85">
      <w:pPr>
        <w:suppressAutoHyphens/>
        <w:ind w:left="567" w:hanging="567"/>
        <w:rPr>
          <w:noProof/>
          <w:szCs w:val="22"/>
          <w:u w:val="single"/>
        </w:rPr>
      </w:pP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184C85" w:rsidRPr="009457BA" w14:paraId="312DFF89" w14:textId="77777777" w:rsidTr="00184C85">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31D9CC56" w14:textId="77777777" w:rsidR="00184C85" w:rsidRDefault="00184C85" w:rsidP="00184C85">
            <w:pPr>
              <w:pStyle w:val="Default"/>
              <w:rPr>
                <w:szCs w:val="22"/>
              </w:rPr>
            </w:pPr>
            <w:proofErr w:type="spellStart"/>
            <w:r>
              <w:rPr>
                <w:b/>
                <w:bCs/>
                <w:sz w:val="22"/>
                <w:szCs w:val="22"/>
              </w:rPr>
              <w:t>Intervalos</w:t>
            </w:r>
            <w:proofErr w:type="spellEnd"/>
            <w:r>
              <w:rPr>
                <w:b/>
                <w:bCs/>
                <w:sz w:val="22"/>
                <w:szCs w:val="22"/>
              </w:rPr>
              <w:t xml:space="preserve"> de tempo </w:t>
            </w:r>
          </w:p>
          <w:p w14:paraId="0B80D411" w14:textId="77777777" w:rsidR="00184C85" w:rsidRPr="009457BA" w:rsidRDefault="00184C85" w:rsidP="00184C85">
            <w:pPr>
              <w:rPr>
                <w:szCs w:val="22"/>
                <w:lang w:val="en-US"/>
              </w:rPr>
            </w:pPr>
          </w:p>
        </w:tc>
        <w:tc>
          <w:tcPr>
            <w:tcW w:w="565" w:type="dxa"/>
            <w:tcBorders>
              <w:top w:val="single" w:sz="5" w:space="0" w:color="000000"/>
              <w:left w:val="single" w:sz="5" w:space="0" w:color="000000"/>
              <w:bottom w:val="single" w:sz="5" w:space="0" w:color="000000"/>
              <w:right w:val="single" w:sz="5" w:space="0" w:color="000000"/>
            </w:tcBorders>
          </w:tcPr>
          <w:p w14:paraId="685434F7" w14:textId="77777777" w:rsidR="00184C85" w:rsidRPr="009457BA" w:rsidRDefault="00184C85" w:rsidP="00184C85">
            <w:pPr>
              <w:rPr>
                <w:szCs w:val="22"/>
                <w:lang w:val="en-US"/>
              </w:rPr>
            </w:pPr>
          </w:p>
        </w:tc>
        <w:tc>
          <w:tcPr>
            <w:tcW w:w="1488" w:type="dxa"/>
            <w:tcBorders>
              <w:top w:val="single" w:sz="5" w:space="0" w:color="000000"/>
              <w:left w:val="single" w:sz="5" w:space="0" w:color="000000"/>
              <w:bottom w:val="single" w:sz="5" w:space="0" w:color="000000"/>
              <w:right w:val="single" w:sz="5" w:space="0" w:color="000000"/>
            </w:tcBorders>
          </w:tcPr>
          <w:p w14:paraId="0180C8B1" w14:textId="77777777" w:rsidR="00184C85" w:rsidRPr="009457BA" w:rsidRDefault="00184C85" w:rsidP="00184C85">
            <w:pPr>
              <w:rPr>
                <w:szCs w:val="22"/>
                <w:lang w:val="en-US"/>
              </w:rPr>
            </w:pPr>
          </w:p>
        </w:tc>
        <w:tc>
          <w:tcPr>
            <w:tcW w:w="563" w:type="dxa"/>
            <w:tcBorders>
              <w:top w:val="single" w:sz="5" w:space="0" w:color="000000"/>
              <w:left w:val="single" w:sz="5" w:space="0" w:color="000000"/>
              <w:bottom w:val="single" w:sz="5" w:space="0" w:color="000000"/>
              <w:right w:val="single" w:sz="5" w:space="0" w:color="000000"/>
            </w:tcBorders>
          </w:tcPr>
          <w:p w14:paraId="449FE36D" w14:textId="77777777" w:rsidR="00184C85" w:rsidRPr="009457BA" w:rsidRDefault="00184C85" w:rsidP="00184C85">
            <w:pPr>
              <w:rPr>
                <w:szCs w:val="22"/>
                <w:lang w:val="en-US"/>
              </w:rPr>
            </w:pPr>
          </w:p>
        </w:tc>
        <w:tc>
          <w:tcPr>
            <w:tcW w:w="1459" w:type="dxa"/>
            <w:tcBorders>
              <w:top w:val="single" w:sz="5" w:space="0" w:color="000000"/>
              <w:left w:val="single" w:sz="5" w:space="0" w:color="000000"/>
              <w:bottom w:val="single" w:sz="5" w:space="0" w:color="000000"/>
              <w:right w:val="single" w:sz="5" w:space="0" w:color="000000"/>
            </w:tcBorders>
          </w:tcPr>
          <w:p w14:paraId="44E49E1F" w14:textId="77777777" w:rsidR="00184C85" w:rsidRPr="009457BA" w:rsidRDefault="00184C85" w:rsidP="00184C85">
            <w:pPr>
              <w:rPr>
                <w:szCs w:val="22"/>
                <w:lang w:val="en-US"/>
              </w:rPr>
            </w:pPr>
          </w:p>
        </w:tc>
        <w:tc>
          <w:tcPr>
            <w:tcW w:w="443" w:type="dxa"/>
            <w:tcBorders>
              <w:top w:val="single" w:sz="5" w:space="0" w:color="000000"/>
              <w:left w:val="single" w:sz="5" w:space="0" w:color="000000"/>
              <w:bottom w:val="single" w:sz="5" w:space="0" w:color="000000"/>
              <w:right w:val="single" w:sz="5" w:space="0" w:color="000000"/>
            </w:tcBorders>
          </w:tcPr>
          <w:p w14:paraId="1192E22F" w14:textId="77777777" w:rsidR="00184C85" w:rsidRPr="009457BA" w:rsidRDefault="00184C85" w:rsidP="00184C85">
            <w:pPr>
              <w:rPr>
                <w:szCs w:val="22"/>
                <w:lang w:val="en-US"/>
              </w:rPr>
            </w:pPr>
          </w:p>
        </w:tc>
        <w:tc>
          <w:tcPr>
            <w:tcW w:w="1494" w:type="dxa"/>
            <w:tcBorders>
              <w:top w:val="single" w:sz="5" w:space="0" w:color="000000"/>
              <w:left w:val="single" w:sz="5" w:space="0" w:color="000000"/>
              <w:bottom w:val="single" w:sz="5" w:space="0" w:color="000000"/>
              <w:right w:val="single" w:sz="5" w:space="0" w:color="000000"/>
            </w:tcBorders>
          </w:tcPr>
          <w:p w14:paraId="4AFBCD29" w14:textId="77777777" w:rsidR="00184C85" w:rsidRPr="009457BA" w:rsidRDefault="00184C85" w:rsidP="00184C85">
            <w:pPr>
              <w:rPr>
                <w:szCs w:val="22"/>
                <w:lang w:val="en-US"/>
              </w:rPr>
            </w:pPr>
          </w:p>
        </w:tc>
        <w:tc>
          <w:tcPr>
            <w:tcW w:w="437" w:type="dxa"/>
            <w:tcBorders>
              <w:top w:val="single" w:sz="5" w:space="0" w:color="000000"/>
              <w:left w:val="single" w:sz="5" w:space="0" w:color="000000"/>
              <w:bottom w:val="single" w:sz="5" w:space="0" w:color="000000"/>
              <w:right w:val="single" w:sz="5" w:space="0" w:color="000000"/>
            </w:tcBorders>
          </w:tcPr>
          <w:p w14:paraId="38FA7E8E" w14:textId="77777777" w:rsidR="00184C85" w:rsidRPr="009457BA" w:rsidRDefault="00184C85" w:rsidP="00184C85">
            <w:pPr>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7CD5CD32" w14:textId="77777777" w:rsidR="00184C85" w:rsidRPr="009457BA" w:rsidRDefault="00184C85" w:rsidP="00184C85">
            <w:pPr>
              <w:rPr>
                <w:szCs w:val="22"/>
                <w:lang w:val="en-US"/>
              </w:rPr>
            </w:pPr>
          </w:p>
        </w:tc>
      </w:tr>
      <w:tr w:rsidR="00184C85" w:rsidRPr="009457BA" w14:paraId="1C3BAB2D" w14:textId="77777777" w:rsidTr="00184C85">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4CB0F4B9" w14:textId="77777777" w:rsidR="00184C85" w:rsidRPr="009457BA" w:rsidRDefault="00184C85" w:rsidP="00184C85">
            <w:pPr>
              <w:rPr>
                <w:szCs w:val="22"/>
                <w:lang w:val="en-US"/>
              </w:rPr>
            </w:pPr>
            <w:r w:rsidRPr="009457BA">
              <w:rPr>
                <w:b/>
                <w:szCs w:val="22"/>
                <w:lang w:val="en-US"/>
              </w:rPr>
              <w:t>o.d.</w:t>
            </w:r>
          </w:p>
        </w:tc>
        <w:tc>
          <w:tcPr>
            <w:tcW w:w="565" w:type="dxa"/>
            <w:tcBorders>
              <w:top w:val="single" w:sz="5" w:space="0" w:color="000000"/>
              <w:left w:val="single" w:sz="5" w:space="0" w:color="000000"/>
              <w:bottom w:val="single" w:sz="5" w:space="0" w:color="000000"/>
              <w:right w:val="single" w:sz="5" w:space="0" w:color="000000"/>
            </w:tcBorders>
          </w:tcPr>
          <w:p w14:paraId="3BA941C3" w14:textId="77777777" w:rsidR="00184C85" w:rsidRPr="009457BA" w:rsidRDefault="00184C85" w:rsidP="00184C85">
            <w:pPr>
              <w:rPr>
                <w:szCs w:val="22"/>
                <w:lang w:val="en-US"/>
              </w:rPr>
            </w:pPr>
            <w:r w:rsidRPr="009457BA">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674CA689" w14:textId="77777777" w:rsidR="00184C85" w:rsidRPr="009457BA" w:rsidRDefault="00184C85" w:rsidP="00184C85">
            <w:pPr>
              <w:rPr>
                <w:szCs w:val="22"/>
                <w:lang w:val="en-US"/>
              </w:rPr>
            </w:pPr>
            <w:r w:rsidRPr="009457BA">
              <w:rPr>
                <w:b/>
                <w:szCs w:val="22"/>
                <w:lang w:val="en-US"/>
              </w:rPr>
              <w:t>12 -</w:t>
            </w:r>
          </w:p>
          <w:p w14:paraId="029DC7AA" w14:textId="77777777" w:rsidR="00184C85" w:rsidRPr="009457BA" w:rsidRDefault="00184C85" w:rsidP="00184C85">
            <w:pPr>
              <w:rPr>
                <w:szCs w:val="22"/>
                <w:lang w:val="en-US"/>
              </w:rPr>
            </w:pPr>
            <w:r w:rsidRPr="009457BA">
              <w:rPr>
                <w:b/>
                <w:szCs w:val="22"/>
                <w:lang w:val="en-US"/>
              </w:rPr>
              <w:t xml:space="preserve">&lt; 18 </w:t>
            </w:r>
            <w:proofErr w:type="spellStart"/>
            <w:r>
              <w:rPr>
                <w:b/>
                <w:szCs w:val="22"/>
                <w:lang w:val="en-US"/>
              </w:rPr>
              <w:t>anos</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7A017BD4" w14:textId="77777777" w:rsidR="00184C85" w:rsidRPr="009457BA" w:rsidRDefault="00184C85" w:rsidP="00184C85">
            <w:pPr>
              <w:rPr>
                <w:szCs w:val="22"/>
                <w:lang w:val="en-US"/>
              </w:rPr>
            </w:pPr>
            <w:r w:rsidRPr="009457BA">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25F86144" w14:textId="77777777" w:rsidR="00184C85" w:rsidRPr="009457BA" w:rsidRDefault="00184C85" w:rsidP="00184C85">
            <w:pPr>
              <w:rPr>
                <w:szCs w:val="22"/>
                <w:lang w:val="en-US"/>
              </w:rPr>
            </w:pPr>
            <w:r w:rsidRPr="009457BA">
              <w:rPr>
                <w:b/>
                <w:szCs w:val="22"/>
                <w:lang w:val="en-US"/>
              </w:rPr>
              <w:t xml:space="preserve">6 -&lt; 12 </w:t>
            </w:r>
            <w:proofErr w:type="spellStart"/>
            <w:r>
              <w:rPr>
                <w:b/>
                <w:szCs w:val="22"/>
                <w:lang w:val="en-US"/>
              </w:rPr>
              <w:t>anos</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44B831D0" w14:textId="77777777" w:rsidR="00184C85" w:rsidRPr="009457BA" w:rsidRDefault="00184C85" w:rsidP="00184C85">
            <w:pPr>
              <w:rPr>
                <w:szCs w:val="22"/>
                <w:lang w:val="en-US"/>
              </w:rPr>
            </w:pPr>
          </w:p>
        </w:tc>
        <w:tc>
          <w:tcPr>
            <w:tcW w:w="1494" w:type="dxa"/>
            <w:tcBorders>
              <w:top w:val="single" w:sz="5" w:space="0" w:color="000000"/>
              <w:left w:val="single" w:sz="5" w:space="0" w:color="000000"/>
              <w:bottom w:val="single" w:sz="5" w:space="0" w:color="000000"/>
              <w:right w:val="single" w:sz="5" w:space="0" w:color="000000"/>
            </w:tcBorders>
          </w:tcPr>
          <w:p w14:paraId="695BD6AC" w14:textId="77777777" w:rsidR="00184C85" w:rsidRPr="009457BA" w:rsidRDefault="00184C85" w:rsidP="00184C85">
            <w:pPr>
              <w:rPr>
                <w:szCs w:val="22"/>
                <w:lang w:val="en-US"/>
              </w:rPr>
            </w:pPr>
          </w:p>
        </w:tc>
        <w:tc>
          <w:tcPr>
            <w:tcW w:w="437" w:type="dxa"/>
            <w:tcBorders>
              <w:top w:val="single" w:sz="5" w:space="0" w:color="000000"/>
              <w:left w:val="single" w:sz="5" w:space="0" w:color="000000"/>
              <w:bottom w:val="single" w:sz="5" w:space="0" w:color="000000"/>
              <w:right w:val="single" w:sz="5" w:space="0" w:color="000000"/>
            </w:tcBorders>
          </w:tcPr>
          <w:p w14:paraId="034763B9" w14:textId="77777777" w:rsidR="00184C85" w:rsidRPr="009457BA" w:rsidRDefault="00184C85" w:rsidP="00184C85">
            <w:pPr>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64C95E83" w14:textId="77777777" w:rsidR="00184C85" w:rsidRPr="009457BA" w:rsidRDefault="00184C85" w:rsidP="00184C85">
            <w:pPr>
              <w:rPr>
                <w:szCs w:val="22"/>
                <w:lang w:val="en-US"/>
              </w:rPr>
            </w:pPr>
          </w:p>
        </w:tc>
      </w:tr>
      <w:tr w:rsidR="00184C85" w:rsidRPr="009457BA" w14:paraId="6F4D53B3" w14:textId="77777777" w:rsidTr="00184C85">
        <w:trPr>
          <w:trHeight w:hRule="exact" w:val="270"/>
        </w:trPr>
        <w:tc>
          <w:tcPr>
            <w:tcW w:w="1337" w:type="dxa"/>
            <w:vMerge w:val="restart"/>
            <w:tcBorders>
              <w:top w:val="single" w:sz="5" w:space="0" w:color="000000"/>
              <w:left w:val="single" w:sz="5" w:space="0" w:color="000000"/>
              <w:right w:val="single" w:sz="5" w:space="0" w:color="000000"/>
            </w:tcBorders>
          </w:tcPr>
          <w:p w14:paraId="382290D3" w14:textId="77777777" w:rsidR="00184C85" w:rsidRPr="009457BA" w:rsidRDefault="00184C85" w:rsidP="00184C85">
            <w:pPr>
              <w:rPr>
                <w:szCs w:val="22"/>
                <w:lang w:val="en-US"/>
              </w:rPr>
            </w:pPr>
            <w:r w:rsidRPr="009457BA">
              <w:rPr>
                <w:szCs w:val="22"/>
                <w:lang w:val="en-US"/>
              </w:rPr>
              <w:t xml:space="preserve">2.5-4h </w:t>
            </w:r>
            <w:proofErr w:type="spellStart"/>
            <w:r>
              <w:rPr>
                <w:szCs w:val="22"/>
                <w:lang w:val="en-US"/>
              </w:rPr>
              <w:t>após</w:t>
            </w:r>
            <w:proofErr w:type="spellEnd"/>
          </w:p>
        </w:tc>
        <w:tc>
          <w:tcPr>
            <w:tcW w:w="565" w:type="dxa"/>
            <w:vMerge w:val="restart"/>
            <w:tcBorders>
              <w:top w:val="single" w:sz="5" w:space="0" w:color="000000"/>
              <w:left w:val="single" w:sz="5" w:space="0" w:color="000000"/>
              <w:right w:val="single" w:sz="5" w:space="0" w:color="000000"/>
            </w:tcBorders>
          </w:tcPr>
          <w:p w14:paraId="211AC054" w14:textId="77777777" w:rsidR="00184C85" w:rsidRPr="009457BA" w:rsidRDefault="00184C85" w:rsidP="00184C85">
            <w:pPr>
              <w:rPr>
                <w:szCs w:val="22"/>
                <w:lang w:val="en-US"/>
              </w:rPr>
            </w:pPr>
            <w:r w:rsidRPr="009457BA">
              <w:rPr>
                <w:szCs w:val="22"/>
                <w:lang w:val="en-US"/>
              </w:rPr>
              <w:t>171</w:t>
            </w:r>
          </w:p>
        </w:tc>
        <w:tc>
          <w:tcPr>
            <w:tcW w:w="1488" w:type="dxa"/>
            <w:tcBorders>
              <w:top w:val="single" w:sz="5" w:space="0" w:color="000000"/>
              <w:left w:val="single" w:sz="5" w:space="0" w:color="000000"/>
              <w:bottom w:val="nil"/>
              <w:right w:val="single" w:sz="5" w:space="0" w:color="000000"/>
            </w:tcBorders>
          </w:tcPr>
          <w:p w14:paraId="1A51098B" w14:textId="77777777" w:rsidR="00184C85" w:rsidRPr="009457BA" w:rsidRDefault="00184C85" w:rsidP="00184C85">
            <w:pPr>
              <w:rPr>
                <w:szCs w:val="22"/>
                <w:lang w:val="en-US"/>
              </w:rPr>
            </w:pPr>
            <w:r w:rsidRPr="009457BA">
              <w:rPr>
                <w:szCs w:val="22"/>
                <w:lang w:val="en-US"/>
              </w:rPr>
              <w:t>241.5</w:t>
            </w:r>
          </w:p>
        </w:tc>
        <w:tc>
          <w:tcPr>
            <w:tcW w:w="563" w:type="dxa"/>
            <w:vMerge w:val="restart"/>
            <w:tcBorders>
              <w:top w:val="single" w:sz="5" w:space="0" w:color="000000"/>
              <w:left w:val="single" w:sz="5" w:space="0" w:color="000000"/>
              <w:right w:val="single" w:sz="5" w:space="0" w:color="000000"/>
            </w:tcBorders>
          </w:tcPr>
          <w:p w14:paraId="31E7E7B9" w14:textId="77777777" w:rsidR="00184C85" w:rsidRPr="009457BA" w:rsidRDefault="00184C85" w:rsidP="00184C85">
            <w:pPr>
              <w:rPr>
                <w:szCs w:val="22"/>
                <w:lang w:val="en-US"/>
              </w:rPr>
            </w:pPr>
            <w:r w:rsidRPr="009457BA">
              <w:rPr>
                <w:szCs w:val="22"/>
                <w:lang w:val="en-US"/>
              </w:rPr>
              <w:t>24</w:t>
            </w:r>
          </w:p>
        </w:tc>
        <w:tc>
          <w:tcPr>
            <w:tcW w:w="1459" w:type="dxa"/>
            <w:tcBorders>
              <w:top w:val="single" w:sz="5" w:space="0" w:color="000000"/>
              <w:left w:val="single" w:sz="5" w:space="0" w:color="000000"/>
              <w:bottom w:val="nil"/>
              <w:right w:val="single" w:sz="5" w:space="0" w:color="000000"/>
            </w:tcBorders>
          </w:tcPr>
          <w:p w14:paraId="28B16FF6" w14:textId="77777777" w:rsidR="00184C85" w:rsidRPr="009457BA" w:rsidRDefault="00184C85" w:rsidP="00184C85">
            <w:pPr>
              <w:rPr>
                <w:szCs w:val="22"/>
                <w:lang w:val="en-US"/>
              </w:rPr>
            </w:pPr>
            <w:r w:rsidRPr="009457BA">
              <w:rPr>
                <w:szCs w:val="22"/>
                <w:lang w:val="en-US"/>
              </w:rPr>
              <w:t>229.7</w:t>
            </w:r>
          </w:p>
        </w:tc>
        <w:tc>
          <w:tcPr>
            <w:tcW w:w="443" w:type="dxa"/>
            <w:vMerge w:val="restart"/>
            <w:tcBorders>
              <w:top w:val="single" w:sz="5" w:space="0" w:color="000000"/>
              <w:left w:val="single" w:sz="5" w:space="0" w:color="000000"/>
              <w:right w:val="single" w:sz="5" w:space="0" w:color="000000"/>
            </w:tcBorders>
          </w:tcPr>
          <w:p w14:paraId="3A20FC58" w14:textId="77777777" w:rsidR="00184C85" w:rsidRPr="009457BA" w:rsidRDefault="00184C85" w:rsidP="00184C85">
            <w:pPr>
              <w:rPr>
                <w:szCs w:val="22"/>
                <w:lang w:val="en-US"/>
              </w:rPr>
            </w:pPr>
          </w:p>
        </w:tc>
        <w:tc>
          <w:tcPr>
            <w:tcW w:w="1494" w:type="dxa"/>
            <w:vMerge w:val="restart"/>
            <w:tcBorders>
              <w:top w:val="single" w:sz="5" w:space="0" w:color="000000"/>
              <w:left w:val="single" w:sz="5" w:space="0" w:color="000000"/>
              <w:right w:val="single" w:sz="5" w:space="0" w:color="000000"/>
            </w:tcBorders>
          </w:tcPr>
          <w:p w14:paraId="1E7D9CDA" w14:textId="77777777" w:rsidR="00184C85" w:rsidRPr="009457BA" w:rsidRDefault="00184C85" w:rsidP="00184C85">
            <w:pPr>
              <w:rPr>
                <w:szCs w:val="22"/>
                <w:lang w:val="en-US"/>
              </w:rPr>
            </w:pPr>
          </w:p>
        </w:tc>
        <w:tc>
          <w:tcPr>
            <w:tcW w:w="437" w:type="dxa"/>
            <w:vMerge w:val="restart"/>
            <w:tcBorders>
              <w:top w:val="single" w:sz="5" w:space="0" w:color="000000"/>
              <w:left w:val="single" w:sz="5" w:space="0" w:color="000000"/>
              <w:right w:val="single" w:sz="5" w:space="0" w:color="000000"/>
            </w:tcBorders>
          </w:tcPr>
          <w:p w14:paraId="53F72BB7" w14:textId="77777777" w:rsidR="00184C85" w:rsidRPr="009457BA" w:rsidRDefault="00184C85" w:rsidP="00184C85">
            <w:pPr>
              <w:rPr>
                <w:szCs w:val="22"/>
                <w:lang w:val="en-US"/>
              </w:rPr>
            </w:pPr>
          </w:p>
        </w:tc>
        <w:tc>
          <w:tcPr>
            <w:tcW w:w="1708" w:type="dxa"/>
            <w:vMerge w:val="restart"/>
            <w:tcBorders>
              <w:top w:val="single" w:sz="5" w:space="0" w:color="000000"/>
              <w:left w:val="single" w:sz="5" w:space="0" w:color="000000"/>
              <w:right w:val="single" w:sz="5" w:space="0" w:color="000000"/>
            </w:tcBorders>
          </w:tcPr>
          <w:p w14:paraId="4C54E120" w14:textId="77777777" w:rsidR="00184C85" w:rsidRPr="009457BA" w:rsidRDefault="00184C85" w:rsidP="00184C85">
            <w:pPr>
              <w:rPr>
                <w:szCs w:val="22"/>
                <w:lang w:val="en-US"/>
              </w:rPr>
            </w:pPr>
          </w:p>
        </w:tc>
      </w:tr>
      <w:tr w:rsidR="00184C85" w:rsidRPr="009457BA" w14:paraId="6D590A3B" w14:textId="77777777" w:rsidTr="00184C85">
        <w:trPr>
          <w:trHeight w:hRule="exact" w:val="246"/>
        </w:trPr>
        <w:tc>
          <w:tcPr>
            <w:tcW w:w="1337" w:type="dxa"/>
            <w:vMerge/>
            <w:tcBorders>
              <w:left w:val="single" w:sz="5" w:space="0" w:color="000000"/>
              <w:bottom w:val="single" w:sz="5" w:space="0" w:color="000000"/>
              <w:right w:val="single" w:sz="5" w:space="0" w:color="000000"/>
            </w:tcBorders>
          </w:tcPr>
          <w:p w14:paraId="0490FA62" w14:textId="77777777" w:rsidR="00184C85" w:rsidRPr="009457BA" w:rsidRDefault="00184C85" w:rsidP="00184C85">
            <w:pPr>
              <w:rPr>
                <w:szCs w:val="22"/>
                <w:lang w:val="en-US"/>
              </w:rPr>
            </w:pPr>
          </w:p>
        </w:tc>
        <w:tc>
          <w:tcPr>
            <w:tcW w:w="565" w:type="dxa"/>
            <w:vMerge/>
            <w:tcBorders>
              <w:left w:val="single" w:sz="5" w:space="0" w:color="000000"/>
              <w:bottom w:val="single" w:sz="5" w:space="0" w:color="000000"/>
              <w:right w:val="single" w:sz="5" w:space="0" w:color="000000"/>
            </w:tcBorders>
          </w:tcPr>
          <w:p w14:paraId="48E23AEC" w14:textId="77777777" w:rsidR="00184C85" w:rsidRPr="009457BA" w:rsidRDefault="00184C85" w:rsidP="00184C85">
            <w:pPr>
              <w:rPr>
                <w:szCs w:val="22"/>
                <w:lang w:val="en-US"/>
              </w:rPr>
            </w:pPr>
          </w:p>
        </w:tc>
        <w:tc>
          <w:tcPr>
            <w:tcW w:w="1488" w:type="dxa"/>
            <w:tcBorders>
              <w:top w:val="nil"/>
              <w:left w:val="single" w:sz="5" w:space="0" w:color="000000"/>
              <w:bottom w:val="single" w:sz="5" w:space="0" w:color="000000"/>
              <w:right w:val="single" w:sz="5" w:space="0" w:color="000000"/>
            </w:tcBorders>
          </w:tcPr>
          <w:p w14:paraId="29FB47DA" w14:textId="77777777" w:rsidR="00184C85" w:rsidRPr="009457BA" w:rsidRDefault="00184C85" w:rsidP="00184C85">
            <w:pPr>
              <w:rPr>
                <w:szCs w:val="22"/>
                <w:lang w:val="en-US"/>
              </w:rPr>
            </w:pPr>
            <w:r w:rsidRPr="009457BA">
              <w:rPr>
                <w:szCs w:val="22"/>
                <w:lang w:val="en-US"/>
              </w:rPr>
              <w:t>(105-484)</w:t>
            </w:r>
          </w:p>
        </w:tc>
        <w:tc>
          <w:tcPr>
            <w:tcW w:w="563" w:type="dxa"/>
            <w:vMerge/>
            <w:tcBorders>
              <w:left w:val="single" w:sz="5" w:space="0" w:color="000000"/>
              <w:bottom w:val="single" w:sz="5" w:space="0" w:color="000000"/>
              <w:right w:val="single" w:sz="5" w:space="0" w:color="000000"/>
            </w:tcBorders>
          </w:tcPr>
          <w:p w14:paraId="2800410D" w14:textId="77777777" w:rsidR="00184C85" w:rsidRPr="009457BA" w:rsidRDefault="00184C85" w:rsidP="00184C85">
            <w:pPr>
              <w:rPr>
                <w:szCs w:val="22"/>
                <w:lang w:val="en-US"/>
              </w:rPr>
            </w:pPr>
          </w:p>
        </w:tc>
        <w:tc>
          <w:tcPr>
            <w:tcW w:w="1459" w:type="dxa"/>
            <w:tcBorders>
              <w:top w:val="nil"/>
              <w:left w:val="single" w:sz="5" w:space="0" w:color="000000"/>
              <w:bottom w:val="single" w:sz="5" w:space="0" w:color="000000"/>
              <w:right w:val="single" w:sz="5" w:space="0" w:color="000000"/>
            </w:tcBorders>
          </w:tcPr>
          <w:p w14:paraId="2CCC54CF" w14:textId="77777777" w:rsidR="00184C85" w:rsidRPr="009457BA" w:rsidRDefault="00184C85" w:rsidP="00184C85">
            <w:pPr>
              <w:rPr>
                <w:szCs w:val="22"/>
                <w:lang w:val="en-US"/>
              </w:rPr>
            </w:pPr>
            <w:r w:rsidRPr="009457BA">
              <w:rPr>
                <w:szCs w:val="22"/>
                <w:lang w:val="en-US"/>
              </w:rPr>
              <w:t>(91.5-777)</w:t>
            </w:r>
          </w:p>
        </w:tc>
        <w:tc>
          <w:tcPr>
            <w:tcW w:w="443" w:type="dxa"/>
            <w:vMerge/>
            <w:tcBorders>
              <w:left w:val="single" w:sz="5" w:space="0" w:color="000000"/>
              <w:bottom w:val="single" w:sz="5" w:space="0" w:color="000000"/>
              <w:right w:val="single" w:sz="5" w:space="0" w:color="000000"/>
            </w:tcBorders>
          </w:tcPr>
          <w:p w14:paraId="35DE4ECF" w14:textId="77777777" w:rsidR="00184C85" w:rsidRPr="009457BA" w:rsidRDefault="00184C85" w:rsidP="00184C85">
            <w:pPr>
              <w:rPr>
                <w:szCs w:val="22"/>
                <w:lang w:val="en-US"/>
              </w:rPr>
            </w:pPr>
          </w:p>
        </w:tc>
        <w:tc>
          <w:tcPr>
            <w:tcW w:w="1494" w:type="dxa"/>
            <w:vMerge/>
            <w:tcBorders>
              <w:left w:val="single" w:sz="5" w:space="0" w:color="000000"/>
              <w:bottom w:val="single" w:sz="5" w:space="0" w:color="000000"/>
              <w:right w:val="single" w:sz="5" w:space="0" w:color="000000"/>
            </w:tcBorders>
          </w:tcPr>
          <w:p w14:paraId="2C822B39" w14:textId="77777777" w:rsidR="00184C85" w:rsidRPr="009457BA" w:rsidRDefault="00184C85" w:rsidP="00184C85">
            <w:pPr>
              <w:rPr>
                <w:szCs w:val="22"/>
                <w:lang w:val="en-US"/>
              </w:rPr>
            </w:pPr>
          </w:p>
        </w:tc>
        <w:tc>
          <w:tcPr>
            <w:tcW w:w="437" w:type="dxa"/>
            <w:vMerge/>
            <w:tcBorders>
              <w:left w:val="single" w:sz="5" w:space="0" w:color="000000"/>
              <w:bottom w:val="single" w:sz="5" w:space="0" w:color="000000"/>
              <w:right w:val="single" w:sz="5" w:space="0" w:color="000000"/>
            </w:tcBorders>
          </w:tcPr>
          <w:p w14:paraId="18C10340" w14:textId="77777777" w:rsidR="00184C85" w:rsidRPr="009457BA" w:rsidRDefault="00184C85" w:rsidP="00184C85">
            <w:pPr>
              <w:rPr>
                <w:szCs w:val="22"/>
                <w:lang w:val="en-US"/>
              </w:rPr>
            </w:pPr>
          </w:p>
        </w:tc>
        <w:tc>
          <w:tcPr>
            <w:tcW w:w="1708" w:type="dxa"/>
            <w:vMerge/>
            <w:tcBorders>
              <w:left w:val="single" w:sz="5" w:space="0" w:color="000000"/>
              <w:bottom w:val="single" w:sz="5" w:space="0" w:color="000000"/>
              <w:right w:val="single" w:sz="5" w:space="0" w:color="000000"/>
            </w:tcBorders>
          </w:tcPr>
          <w:p w14:paraId="3FA6640D" w14:textId="77777777" w:rsidR="00184C85" w:rsidRPr="009457BA" w:rsidRDefault="00184C85" w:rsidP="00184C85">
            <w:pPr>
              <w:rPr>
                <w:szCs w:val="22"/>
                <w:lang w:val="en-US"/>
              </w:rPr>
            </w:pPr>
          </w:p>
        </w:tc>
      </w:tr>
      <w:tr w:rsidR="00184C85" w:rsidRPr="009457BA" w14:paraId="77210A45" w14:textId="77777777" w:rsidTr="00184C85">
        <w:trPr>
          <w:trHeight w:hRule="exact" w:val="269"/>
        </w:trPr>
        <w:tc>
          <w:tcPr>
            <w:tcW w:w="1337" w:type="dxa"/>
            <w:vMerge w:val="restart"/>
            <w:tcBorders>
              <w:top w:val="single" w:sz="5" w:space="0" w:color="000000"/>
              <w:left w:val="single" w:sz="5" w:space="0" w:color="000000"/>
              <w:right w:val="single" w:sz="5" w:space="0" w:color="000000"/>
            </w:tcBorders>
          </w:tcPr>
          <w:p w14:paraId="0BEA6C87" w14:textId="77777777" w:rsidR="00184C85" w:rsidRPr="009457BA" w:rsidRDefault="00184C85" w:rsidP="00184C85">
            <w:pPr>
              <w:rPr>
                <w:szCs w:val="22"/>
                <w:lang w:val="en-US"/>
              </w:rPr>
            </w:pPr>
            <w:r w:rsidRPr="009457BA">
              <w:rPr>
                <w:szCs w:val="22"/>
                <w:lang w:val="en-US"/>
              </w:rPr>
              <w:t xml:space="preserve">20-24h </w:t>
            </w:r>
            <w:proofErr w:type="spellStart"/>
            <w:r>
              <w:rPr>
                <w:szCs w:val="22"/>
                <w:lang w:val="en-US"/>
              </w:rPr>
              <w:t>após</w:t>
            </w:r>
            <w:proofErr w:type="spellEnd"/>
          </w:p>
        </w:tc>
        <w:tc>
          <w:tcPr>
            <w:tcW w:w="565" w:type="dxa"/>
            <w:vMerge w:val="restart"/>
            <w:tcBorders>
              <w:top w:val="single" w:sz="5" w:space="0" w:color="000000"/>
              <w:left w:val="single" w:sz="5" w:space="0" w:color="000000"/>
              <w:right w:val="single" w:sz="5" w:space="0" w:color="000000"/>
            </w:tcBorders>
          </w:tcPr>
          <w:p w14:paraId="3B522A85" w14:textId="77777777" w:rsidR="00184C85" w:rsidRPr="009457BA" w:rsidRDefault="00184C85" w:rsidP="00184C85">
            <w:pPr>
              <w:rPr>
                <w:szCs w:val="22"/>
                <w:lang w:val="en-US"/>
              </w:rPr>
            </w:pPr>
            <w:r w:rsidRPr="009457BA">
              <w:rPr>
                <w:szCs w:val="22"/>
                <w:lang w:val="en-US"/>
              </w:rPr>
              <w:t>151</w:t>
            </w:r>
          </w:p>
        </w:tc>
        <w:tc>
          <w:tcPr>
            <w:tcW w:w="1488" w:type="dxa"/>
            <w:tcBorders>
              <w:top w:val="single" w:sz="5" w:space="0" w:color="000000"/>
              <w:left w:val="single" w:sz="5" w:space="0" w:color="000000"/>
              <w:bottom w:val="nil"/>
              <w:right w:val="single" w:sz="5" w:space="0" w:color="000000"/>
            </w:tcBorders>
          </w:tcPr>
          <w:p w14:paraId="5A3601FD" w14:textId="77777777" w:rsidR="00184C85" w:rsidRPr="009457BA" w:rsidRDefault="00184C85" w:rsidP="00184C85">
            <w:pPr>
              <w:rPr>
                <w:szCs w:val="22"/>
                <w:lang w:val="en-US"/>
              </w:rPr>
            </w:pPr>
            <w:r w:rsidRPr="009457BA">
              <w:rPr>
                <w:szCs w:val="22"/>
                <w:lang w:val="en-US"/>
              </w:rPr>
              <w:t>20.6</w:t>
            </w:r>
          </w:p>
        </w:tc>
        <w:tc>
          <w:tcPr>
            <w:tcW w:w="563" w:type="dxa"/>
            <w:vMerge w:val="restart"/>
            <w:tcBorders>
              <w:top w:val="single" w:sz="5" w:space="0" w:color="000000"/>
              <w:left w:val="single" w:sz="5" w:space="0" w:color="000000"/>
              <w:right w:val="single" w:sz="5" w:space="0" w:color="000000"/>
            </w:tcBorders>
          </w:tcPr>
          <w:p w14:paraId="64F7204C" w14:textId="77777777" w:rsidR="00184C85" w:rsidRPr="009457BA" w:rsidRDefault="00184C85" w:rsidP="00184C85">
            <w:pPr>
              <w:rPr>
                <w:szCs w:val="22"/>
                <w:lang w:val="en-US"/>
              </w:rPr>
            </w:pPr>
            <w:r w:rsidRPr="009457BA">
              <w:rPr>
                <w:szCs w:val="22"/>
                <w:lang w:val="en-US"/>
              </w:rPr>
              <w:t>24</w:t>
            </w:r>
          </w:p>
        </w:tc>
        <w:tc>
          <w:tcPr>
            <w:tcW w:w="1459" w:type="dxa"/>
            <w:tcBorders>
              <w:top w:val="single" w:sz="5" w:space="0" w:color="000000"/>
              <w:left w:val="single" w:sz="5" w:space="0" w:color="000000"/>
              <w:bottom w:val="nil"/>
              <w:right w:val="single" w:sz="5" w:space="0" w:color="000000"/>
            </w:tcBorders>
          </w:tcPr>
          <w:p w14:paraId="779EF832" w14:textId="77777777" w:rsidR="00184C85" w:rsidRPr="009457BA" w:rsidRDefault="00184C85" w:rsidP="00184C85">
            <w:pPr>
              <w:rPr>
                <w:szCs w:val="22"/>
                <w:lang w:val="en-US"/>
              </w:rPr>
            </w:pPr>
            <w:r w:rsidRPr="009457BA">
              <w:rPr>
                <w:szCs w:val="22"/>
                <w:lang w:val="en-US"/>
              </w:rPr>
              <w:t>15.9</w:t>
            </w:r>
          </w:p>
        </w:tc>
        <w:tc>
          <w:tcPr>
            <w:tcW w:w="443" w:type="dxa"/>
            <w:vMerge w:val="restart"/>
            <w:tcBorders>
              <w:top w:val="single" w:sz="5" w:space="0" w:color="000000"/>
              <w:left w:val="single" w:sz="5" w:space="0" w:color="000000"/>
              <w:right w:val="single" w:sz="5" w:space="0" w:color="000000"/>
            </w:tcBorders>
          </w:tcPr>
          <w:p w14:paraId="28A48848" w14:textId="77777777" w:rsidR="00184C85" w:rsidRPr="009457BA" w:rsidRDefault="00184C85" w:rsidP="00184C85">
            <w:pPr>
              <w:rPr>
                <w:szCs w:val="22"/>
                <w:lang w:val="en-US"/>
              </w:rPr>
            </w:pPr>
          </w:p>
        </w:tc>
        <w:tc>
          <w:tcPr>
            <w:tcW w:w="1494" w:type="dxa"/>
            <w:vMerge w:val="restart"/>
            <w:tcBorders>
              <w:top w:val="single" w:sz="5" w:space="0" w:color="000000"/>
              <w:left w:val="single" w:sz="5" w:space="0" w:color="000000"/>
              <w:right w:val="single" w:sz="5" w:space="0" w:color="000000"/>
            </w:tcBorders>
          </w:tcPr>
          <w:p w14:paraId="4B0CFE35" w14:textId="77777777" w:rsidR="00184C85" w:rsidRPr="009457BA" w:rsidRDefault="00184C85" w:rsidP="00184C85">
            <w:pPr>
              <w:rPr>
                <w:szCs w:val="22"/>
                <w:lang w:val="en-US"/>
              </w:rPr>
            </w:pPr>
          </w:p>
        </w:tc>
        <w:tc>
          <w:tcPr>
            <w:tcW w:w="437" w:type="dxa"/>
            <w:vMerge w:val="restart"/>
            <w:tcBorders>
              <w:top w:val="single" w:sz="5" w:space="0" w:color="000000"/>
              <w:left w:val="single" w:sz="5" w:space="0" w:color="000000"/>
              <w:right w:val="single" w:sz="5" w:space="0" w:color="000000"/>
            </w:tcBorders>
          </w:tcPr>
          <w:p w14:paraId="4C811F1B" w14:textId="77777777" w:rsidR="00184C85" w:rsidRPr="009457BA" w:rsidRDefault="00184C85" w:rsidP="00184C85">
            <w:pPr>
              <w:rPr>
                <w:szCs w:val="22"/>
                <w:lang w:val="en-US"/>
              </w:rPr>
            </w:pPr>
          </w:p>
        </w:tc>
        <w:tc>
          <w:tcPr>
            <w:tcW w:w="1708" w:type="dxa"/>
            <w:vMerge w:val="restart"/>
            <w:tcBorders>
              <w:top w:val="single" w:sz="5" w:space="0" w:color="000000"/>
              <w:left w:val="single" w:sz="5" w:space="0" w:color="000000"/>
              <w:right w:val="single" w:sz="5" w:space="0" w:color="000000"/>
            </w:tcBorders>
          </w:tcPr>
          <w:p w14:paraId="10931F36" w14:textId="77777777" w:rsidR="00184C85" w:rsidRPr="009457BA" w:rsidRDefault="00184C85" w:rsidP="00184C85">
            <w:pPr>
              <w:rPr>
                <w:szCs w:val="22"/>
                <w:lang w:val="en-US"/>
              </w:rPr>
            </w:pPr>
          </w:p>
        </w:tc>
      </w:tr>
      <w:tr w:rsidR="00184C85" w:rsidRPr="009457BA" w14:paraId="68F5052A" w14:textId="77777777" w:rsidTr="00184C85">
        <w:trPr>
          <w:trHeight w:hRule="exact" w:val="246"/>
        </w:trPr>
        <w:tc>
          <w:tcPr>
            <w:tcW w:w="1337" w:type="dxa"/>
            <w:vMerge/>
            <w:tcBorders>
              <w:left w:val="single" w:sz="5" w:space="0" w:color="000000"/>
              <w:bottom w:val="single" w:sz="5" w:space="0" w:color="000000"/>
              <w:right w:val="single" w:sz="5" w:space="0" w:color="000000"/>
            </w:tcBorders>
          </w:tcPr>
          <w:p w14:paraId="4993E6FC" w14:textId="77777777" w:rsidR="00184C85" w:rsidRPr="009457BA" w:rsidRDefault="00184C85" w:rsidP="00184C85">
            <w:pPr>
              <w:rPr>
                <w:szCs w:val="22"/>
                <w:lang w:val="en-US"/>
              </w:rPr>
            </w:pPr>
          </w:p>
        </w:tc>
        <w:tc>
          <w:tcPr>
            <w:tcW w:w="565" w:type="dxa"/>
            <w:vMerge/>
            <w:tcBorders>
              <w:left w:val="single" w:sz="5" w:space="0" w:color="000000"/>
              <w:bottom w:val="single" w:sz="5" w:space="0" w:color="000000"/>
              <w:right w:val="single" w:sz="5" w:space="0" w:color="000000"/>
            </w:tcBorders>
          </w:tcPr>
          <w:p w14:paraId="4A113D5E" w14:textId="77777777" w:rsidR="00184C85" w:rsidRPr="009457BA" w:rsidRDefault="00184C85" w:rsidP="00184C85">
            <w:pPr>
              <w:rPr>
                <w:szCs w:val="22"/>
                <w:lang w:val="en-US"/>
              </w:rPr>
            </w:pPr>
          </w:p>
        </w:tc>
        <w:tc>
          <w:tcPr>
            <w:tcW w:w="1488" w:type="dxa"/>
            <w:tcBorders>
              <w:top w:val="nil"/>
              <w:left w:val="single" w:sz="5" w:space="0" w:color="000000"/>
              <w:bottom w:val="single" w:sz="5" w:space="0" w:color="000000"/>
              <w:right w:val="single" w:sz="5" w:space="0" w:color="000000"/>
            </w:tcBorders>
          </w:tcPr>
          <w:p w14:paraId="126C279A" w14:textId="77777777" w:rsidR="00184C85" w:rsidRPr="009457BA" w:rsidRDefault="00184C85" w:rsidP="00184C85">
            <w:pPr>
              <w:rPr>
                <w:szCs w:val="22"/>
                <w:lang w:val="en-US"/>
              </w:rPr>
            </w:pPr>
            <w:r w:rsidRPr="009457BA">
              <w:rPr>
                <w:szCs w:val="22"/>
                <w:lang w:val="en-US"/>
              </w:rPr>
              <w:t>(5.69-66.5)</w:t>
            </w:r>
          </w:p>
        </w:tc>
        <w:tc>
          <w:tcPr>
            <w:tcW w:w="563" w:type="dxa"/>
            <w:vMerge/>
            <w:tcBorders>
              <w:left w:val="single" w:sz="5" w:space="0" w:color="000000"/>
              <w:bottom w:val="single" w:sz="5" w:space="0" w:color="000000"/>
              <w:right w:val="single" w:sz="5" w:space="0" w:color="000000"/>
            </w:tcBorders>
          </w:tcPr>
          <w:p w14:paraId="5A37FA5D" w14:textId="77777777" w:rsidR="00184C85" w:rsidRPr="009457BA" w:rsidRDefault="00184C85" w:rsidP="00184C85">
            <w:pPr>
              <w:rPr>
                <w:szCs w:val="22"/>
                <w:lang w:val="en-US"/>
              </w:rPr>
            </w:pPr>
          </w:p>
        </w:tc>
        <w:tc>
          <w:tcPr>
            <w:tcW w:w="1459" w:type="dxa"/>
            <w:tcBorders>
              <w:top w:val="nil"/>
              <w:left w:val="single" w:sz="5" w:space="0" w:color="000000"/>
              <w:bottom w:val="single" w:sz="5" w:space="0" w:color="000000"/>
              <w:right w:val="single" w:sz="5" w:space="0" w:color="000000"/>
            </w:tcBorders>
          </w:tcPr>
          <w:p w14:paraId="308C9D33" w14:textId="77777777" w:rsidR="00184C85" w:rsidRPr="009457BA" w:rsidRDefault="00184C85" w:rsidP="00184C85">
            <w:pPr>
              <w:rPr>
                <w:szCs w:val="22"/>
                <w:lang w:val="en-US"/>
              </w:rPr>
            </w:pPr>
            <w:r w:rsidRPr="009457BA">
              <w:rPr>
                <w:szCs w:val="22"/>
                <w:lang w:val="en-US"/>
              </w:rPr>
              <w:t>(3.42-45.5)</w:t>
            </w:r>
          </w:p>
        </w:tc>
        <w:tc>
          <w:tcPr>
            <w:tcW w:w="443" w:type="dxa"/>
            <w:vMerge/>
            <w:tcBorders>
              <w:left w:val="single" w:sz="5" w:space="0" w:color="000000"/>
              <w:bottom w:val="single" w:sz="5" w:space="0" w:color="000000"/>
              <w:right w:val="single" w:sz="5" w:space="0" w:color="000000"/>
            </w:tcBorders>
          </w:tcPr>
          <w:p w14:paraId="1D777815" w14:textId="77777777" w:rsidR="00184C85" w:rsidRPr="009457BA" w:rsidRDefault="00184C85" w:rsidP="00184C85">
            <w:pPr>
              <w:rPr>
                <w:szCs w:val="22"/>
                <w:lang w:val="en-US"/>
              </w:rPr>
            </w:pPr>
          </w:p>
        </w:tc>
        <w:tc>
          <w:tcPr>
            <w:tcW w:w="1494" w:type="dxa"/>
            <w:vMerge/>
            <w:tcBorders>
              <w:left w:val="single" w:sz="5" w:space="0" w:color="000000"/>
              <w:bottom w:val="single" w:sz="5" w:space="0" w:color="000000"/>
              <w:right w:val="single" w:sz="5" w:space="0" w:color="000000"/>
            </w:tcBorders>
          </w:tcPr>
          <w:p w14:paraId="0B468D35" w14:textId="77777777" w:rsidR="00184C85" w:rsidRPr="009457BA" w:rsidRDefault="00184C85" w:rsidP="00184C85">
            <w:pPr>
              <w:rPr>
                <w:szCs w:val="22"/>
                <w:lang w:val="en-US"/>
              </w:rPr>
            </w:pPr>
          </w:p>
        </w:tc>
        <w:tc>
          <w:tcPr>
            <w:tcW w:w="437" w:type="dxa"/>
            <w:vMerge/>
            <w:tcBorders>
              <w:left w:val="single" w:sz="5" w:space="0" w:color="000000"/>
              <w:bottom w:val="single" w:sz="5" w:space="0" w:color="000000"/>
              <w:right w:val="single" w:sz="5" w:space="0" w:color="000000"/>
            </w:tcBorders>
          </w:tcPr>
          <w:p w14:paraId="2CA3D9FC" w14:textId="77777777" w:rsidR="00184C85" w:rsidRPr="009457BA" w:rsidRDefault="00184C85" w:rsidP="00184C85">
            <w:pPr>
              <w:rPr>
                <w:szCs w:val="22"/>
                <w:lang w:val="en-US"/>
              </w:rPr>
            </w:pPr>
          </w:p>
        </w:tc>
        <w:tc>
          <w:tcPr>
            <w:tcW w:w="1708" w:type="dxa"/>
            <w:vMerge/>
            <w:tcBorders>
              <w:left w:val="single" w:sz="5" w:space="0" w:color="000000"/>
              <w:bottom w:val="single" w:sz="5" w:space="0" w:color="000000"/>
              <w:right w:val="single" w:sz="5" w:space="0" w:color="000000"/>
            </w:tcBorders>
          </w:tcPr>
          <w:p w14:paraId="24EE6713" w14:textId="77777777" w:rsidR="00184C85" w:rsidRPr="009457BA" w:rsidRDefault="00184C85" w:rsidP="00184C85">
            <w:pPr>
              <w:rPr>
                <w:szCs w:val="22"/>
                <w:lang w:val="en-US"/>
              </w:rPr>
            </w:pPr>
          </w:p>
        </w:tc>
      </w:tr>
      <w:tr w:rsidR="00184C85" w:rsidRPr="009457BA" w14:paraId="556DCDC0" w14:textId="77777777" w:rsidTr="00184C85">
        <w:trPr>
          <w:trHeight w:hRule="exact" w:val="264"/>
        </w:trPr>
        <w:tc>
          <w:tcPr>
            <w:tcW w:w="1337" w:type="dxa"/>
            <w:tcBorders>
              <w:top w:val="single" w:sz="5" w:space="0" w:color="000000"/>
              <w:left w:val="single" w:sz="5" w:space="0" w:color="000000"/>
              <w:bottom w:val="single" w:sz="5" w:space="0" w:color="000000"/>
              <w:right w:val="single" w:sz="5" w:space="0" w:color="000000"/>
            </w:tcBorders>
          </w:tcPr>
          <w:p w14:paraId="1AD3FE1E" w14:textId="77777777" w:rsidR="00184C85" w:rsidRPr="009457BA" w:rsidRDefault="00184C85" w:rsidP="00184C85">
            <w:pPr>
              <w:rPr>
                <w:szCs w:val="22"/>
                <w:lang w:val="en-US"/>
              </w:rPr>
            </w:pPr>
            <w:r w:rsidRPr="009457BA">
              <w:rPr>
                <w:b/>
                <w:szCs w:val="22"/>
                <w:lang w:val="en-US"/>
              </w:rPr>
              <w:t>b.i.d.</w:t>
            </w:r>
          </w:p>
        </w:tc>
        <w:tc>
          <w:tcPr>
            <w:tcW w:w="565" w:type="dxa"/>
            <w:tcBorders>
              <w:top w:val="single" w:sz="5" w:space="0" w:color="000000"/>
              <w:left w:val="single" w:sz="5" w:space="0" w:color="000000"/>
              <w:bottom w:val="single" w:sz="5" w:space="0" w:color="000000"/>
              <w:right w:val="single" w:sz="5" w:space="0" w:color="000000"/>
            </w:tcBorders>
          </w:tcPr>
          <w:p w14:paraId="51C880EA" w14:textId="77777777" w:rsidR="00184C85" w:rsidRPr="009457BA" w:rsidRDefault="00184C85" w:rsidP="00184C85">
            <w:pPr>
              <w:rPr>
                <w:szCs w:val="22"/>
                <w:lang w:val="en-US"/>
              </w:rPr>
            </w:pPr>
            <w:r w:rsidRPr="009457BA">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14067DCF" w14:textId="77777777" w:rsidR="00184C85" w:rsidRPr="009457BA" w:rsidRDefault="00184C85" w:rsidP="00184C85">
            <w:pPr>
              <w:rPr>
                <w:szCs w:val="22"/>
                <w:lang w:val="en-US"/>
              </w:rPr>
            </w:pPr>
            <w:r w:rsidRPr="009457BA">
              <w:rPr>
                <w:b/>
                <w:szCs w:val="22"/>
                <w:lang w:val="en-US"/>
              </w:rPr>
              <w:t xml:space="preserve">6 -&lt; 12 </w:t>
            </w:r>
            <w:proofErr w:type="spellStart"/>
            <w:r>
              <w:rPr>
                <w:b/>
                <w:szCs w:val="22"/>
                <w:lang w:val="en-US"/>
              </w:rPr>
              <w:t>anos</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581517C9" w14:textId="77777777" w:rsidR="00184C85" w:rsidRPr="009457BA" w:rsidRDefault="00184C85" w:rsidP="00184C85">
            <w:pPr>
              <w:rPr>
                <w:szCs w:val="22"/>
                <w:lang w:val="en-US"/>
              </w:rPr>
            </w:pPr>
            <w:r w:rsidRPr="009457BA">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3C3E4C97" w14:textId="77777777" w:rsidR="00184C85" w:rsidRPr="009457BA" w:rsidRDefault="00184C85" w:rsidP="00184C85">
            <w:pPr>
              <w:rPr>
                <w:szCs w:val="22"/>
                <w:lang w:val="en-US"/>
              </w:rPr>
            </w:pPr>
            <w:r w:rsidRPr="009457BA">
              <w:rPr>
                <w:b/>
                <w:szCs w:val="22"/>
                <w:lang w:val="en-US"/>
              </w:rPr>
              <w:t xml:space="preserve">2 -&lt; 6 </w:t>
            </w:r>
            <w:proofErr w:type="spellStart"/>
            <w:r>
              <w:rPr>
                <w:b/>
                <w:szCs w:val="22"/>
                <w:lang w:val="en-US"/>
              </w:rPr>
              <w:t>anos</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3D0D1D24" w14:textId="77777777" w:rsidR="00184C85" w:rsidRPr="009457BA" w:rsidRDefault="00184C85" w:rsidP="00184C85">
            <w:pPr>
              <w:rPr>
                <w:szCs w:val="22"/>
                <w:lang w:val="en-US"/>
              </w:rPr>
            </w:pPr>
            <w:r w:rsidRPr="009457BA">
              <w:rPr>
                <w:b/>
                <w:szCs w:val="22"/>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3B23B137" w14:textId="77777777" w:rsidR="00184C85" w:rsidRPr="009457BA" w:rsidRDefault="00184C85" w:rsidP="00184C85">
            <w:pPr>
              <w:rPr>
                <w:szCs w:val="22"/>
                <w:lang w:val="en-US"/>
              </w:rPr>
            </w:pPr>
            <w:r w:rsidRPr="009457BA">
              <w:rPr>
                <w:b/>
                <w:szCs w:val="22"/>
                <w:lang w:val="en-US"/>
              </w:rPr>
              <w:t xml:space="preserve">0.5 -&lt; 2 </w:t>
            </w:r>
            <w:proofErr w:type="spellStart"/>
            <w:r>
              <w:rPr>
                <w:b/>
                <w:szCs w:val="22"/>
                <w:lang w:val="en-US"/>
              </w:rPr>
              <w:t>anos</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63525B3A" w14:textId="77777777" w:rsidR="00184C85" w:rsidRPr="009457BA" w:rsidRDefault="00184C85" w:rsidP="00184C85">
            <w:pPr>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6982AE83" w14:textId="77777777" w:rsidR="00184C85" w:rsidRPr="009457BA" w:rsidRDefault="00184C85" w:rsidP="00184C85">
            <w:pPr>
              <w:rPr>
                <w:szCs w:val="22"/>
                <w:lang w:val="en-US"/>
              </w:rPr>
            </w:pPr>
          </w:p>
        </w:tc>
      </w:tr>
      <w:tr w:rsidR="00184C85" w:rsidRPr="009457BA" w14:paraId="45AAF161" w14:textId="77777777" w:rsidTr="00184C85">
        <w:trPr>
          <w:trHeight w:hRule="exact" w:val="270"/>
        </w:trPr>
        <w:tc>
          <w:tcPr>
            <w:tcW w:w="1337" w:type="dxa"/>
            <w:vMerge w:val="restart"/>
            <w:tcBorders>
              <w:top w:val="single" w:sz="5" w:space="0" w:color="000000"/>
              <w:left w:val="single" w:sz="5" w:space="0" w:color="000000"/>
              <w:right w:val="single" w:sz="5" w:space="0" w:color="000000"/>
            </w:tcBorders>
          </w:tcPr>
          <w:p w14:paraId="707B29BF" w14:textId="77777777" w:rsidR="00184C85" w:rsidRPr="009457BA" w:rsidRDefault="00184C85" w:rsidP="00184C85">
            <w:pPr>
              <w:rPr>
                <w:szCs w:val="22"/>
                <w:lang w:val="en-US"/>
              </w:rPr>
            </w:pPr>
            <w:r w:rsidRPr="009457BA">
              <w:rPr>
                <w:szCs w:val="22"/>
                <w:lang w:val="en-US"/>
              </w:rPr>
              <w:t xml:space="preserve">2.5-4h </w:t>
            </w:r>
            <w:proofErr w:type="spellStart"/>
            <w:r>
              <w:rPr>
                <w:szCs w:val="22"/>
                <w:lang w:val="en-US"/>
              </w:rPr>
              <w:t>após</w:t>
            </w:r>
            <w:proofErr w:type="spellEnd"/>
          </w:p>
        </w:tc>
        <w:tc>
          <w:tcPr>
            <w:tcW w:w="565" w:type="dxa"/>
            <w:vMerge w:val="restart"/>
            <w:tcBorders>
              <w:top w:val="single" w:sz="5" w:space="0" w:color="000000"/>
              <w:left w:val="single" w:sz="5" w:space="0" w:color="000000"/>
              <w:right w:val="single" w:sz="5" w:space="0" w:color="000000"/>
            </w:tcBorders>
          </w:tcPr>
          <w:p w14:paraId="3FFD6CE9" w14:textId="77777777" w:rsidR="00184C85" w:rsidRPr="009457BA" w:rsidRDefault="00184C85" w:rsidP="00184C85">
            <w:pPr>
              <w:rPr>
                <w:szCs w:val="22"/>
                <w:lang w:val="en-US"/>
              </w:rPr>
            </w:pPr>
            <w:r w:rsidRPr="009457BA">
              <w:rPr>
                <w:szCs w:val="22"/>
                <w:lang w:val="en-US"/>
              </w:rPr>
              <w:t>36</w:t>
            </w:r>
          </w:p>
        </w:tc>
        <w:tc>
          <w:tcPr>
            <w:tcW w:w="1488" w:type="dxa"/>
            <w:tcBorders>
              <w:top w:val="single" w:sz="5" w:space="0" w:color="000000"/>
              <w:left w:val="single" w:sz="5" w:space="0" w:color="000000"/>
              <w:bottom w:val="nil"/>
              <w:right w:val="single" w:sz="5" w:space="0" w:color="000000"/>
            </w:tcBorders>
          </w:tcPr>
          <w:p w14:paraId="78480F77" w14:textId="77777777" w:rsidR="00184C85" w:rsidRPr="009457BA" w:rsidRDefault="00184C85" w:rsidP="00184C85">
            <w:pPr>
              <w:rPr>
                <w:szCs w:val="22"/>
                <w:lang w:val="en-US"/>
              </w:rPr>
            </w:pPr>
            <w:r w:rsidRPr="009457BA">
              <w:rPr>
                <w:szCs w:val="22"/>
                <w:lang w:val="en-US"/>
              </w:rPr>
              <w:t>145.4</w:t>
            </w:r>
          </w:p>
        </w:tc>
        <w:tc>
          <w:tcPr>
            <w:tcW w:w="563" w:type="dxa"/>
            <w:vMerge w:val="restart"/>
            <w:tcBorders>
              <w:top w:val="single" w:sz="5" w:space="0" w:color="000000"/>
              <w:left w:val="single" w:sz="5" w:space="0" w:color="000000"/>
              <w:right w:val="single" w:sz="5" w:space="0" w:color="000000"/>
            </w:tcBorders>
          </w:tcPr>
          <w:p w14:paraId="7F864CDA" w14:textId="77777777" w:rsidR="00184C85" w:rsidRPr="009457BA" w:rsidRDefault="00184C85" w:rsidP="00184C85">
            <w:pPr>
              <w:rPr>
                <w:szCs w:val="22"/>
                <w:lang w:val="en-US"/>
              </w:rPr>
            </w:pPr>
            <w:r w:rsidRPr="009457BA">
              <w:rPr>
                <w:szCs w:val="22"/>
                <w:lang w:val="en-US"/>
              </w:rPr>
              <w:t>38</w:t>
            </w:r>
          </w:p>
        </w:tc>
        <w:tc>
          <w:tcPr>
            <w:tcW w:w="1459" w:type="dxa"/>
            <w:tcBorders>
              <w:top w:val="single" w:sz="5" w:space="0" w:color="000000"/>
              <w:left w:val="single" w:sz="5" w:space="0" w:color="000000"/>
              <w:bottom w:val="nil"/>
              <w:right w:val="single" w:sz="5" w:space="0" w:color="000000"/>
            </w:tcBorders>
          </w:tcPr>
          <w:p w14:paraId="5E3F3484" w14:textId="77777777" w:rsidR="00184C85" w:rsidRPr="009457BA" w:rsidRDefault="00184C85" w:rsidP="00184C85">
            <w:pPr>
              <w:rPr>
                <w:szCs w:val="22"/>
                <w:lang w:val="en-US"/>
              </w:rPr>
            </w:pPr>
            <w:r w:rsidRPr="009457BA">
              <w:rPr>
                <w:szCs w:val="22"/>
                <w:lang w:val="en-US"/>
              </w:rPr>
              <w:t>171.8</w:t>
            </w:r>
          </w:p>
        </w:tc>
        <w:tc>
          <w:tcPr>
            <w:tcW w:w="443" w:type="dxa"/>
            <w:vMerge w:val="restart"/>
            <w:tcBorders>
              <w:top w:val="single" w:sz="5" w:space="0" w:color="000000"/>
              <w:left w:val="single" w:sz="5" w:space="0" w:color="000000"/>
              <w:right w:val="single" w:sz="5" w:space="0" w:color="000000"/>
            </w:tcBorders>
          </w:tcPr>
          <w:p w14:paraId="39CE8664" w14:textId="77777777" w:rsidR="00184C85" w:rsidRPr="009457BA" w:rsidRDefault="00184C85" w:rsidP="00184C85">
            <w:pPr>
              <w:rPr>
                <w:szCs w:val="22"/>
                <w:lang w:val="en-US"/>
              </w:rPr>
            </w:pPr>
            <w:r w:rsidRPr="009457BA">
              <w:rPr>
                <w:szCs w:val="22"/>
                <w:lang w:val="en-US"/>
              </w:rPr>
              <w:t>2</w:t>
            </w:r>
          </w:p>
        </w:tc>
        <w:tc>
          <w:tcPr>
            <w:tcW w:w="1494" w:type="dxa"/>
            <w:vMerge w:val="restart"/>
            <w:tcBorders>
              <w:top w:val="single" w:sz="5" w:space="0" w:color="000000"/>
              <w:left w:val="single" w:sz="5" w:space="0" w:color="000000"/>
              <w:right w:val="single" w:sz="5" w:space="0" w:color="000000"/>
            </w:tcBorders>
          </w:tcPr>
          <w:p w14:paraId="43068D62" w14:textId="77777777" w:rsidR="00184C85" w:rsidRPr="009457BA" w:rsidRDefault="00184C85" w:rsidP="00184C85">
            <w:pPr>
              <w:rPr>
                <w:szCs w:val="22"/>
                <w:lang w:val="en-US"/>
              </w:rPr>
            </w:pPr>
            <w:proofErr w:type="spellStart"/>
            <w:r w:rsidRPr="009457BA">
              <w:rPr>
                <w:szCs w:val="22"/>
                <w:lang w:val="en-US"/>
              </w:rPr>
              <w:t>n.c.</w:t>
            </w:r>
            <w:proofErr w:type="spellEnd"/>
          </w:p>
        </w:tc>
        <w:tc>
          <w:tcPr>
            <w:tcW w:w="437" w:type="dxa"/>
            <w:vMerge w:val="restart"/>
            <w:tcBorders>
              <w:top w:val="single" w:sz="5" w:space="0" w:color="000000"/>
              <w:left w:val="single" w:sz="5" w:space="0" w:color="000000"/>
              <w:right w:val="single" w:sz="5" w:space="0" w:color="000000"/>
            </w:tcBorders>
          </w:tcPr>
          <w:p w14:paraId="6D6AC762" w14:textId="77777777" w:rsidR="00184C85" w:rsidRPr="009457BA" w:rsidRDefault="00184C85" w:rsidP="00184C85">
            <w:pPr>
              <w:rPr>
                <w:szCs w:val="22"/>
                <w:lang w:val="en-US"/>
              </w:rPr>
            </w:pPr>
          </w:p>
        </w:tc>
        <w:tc>
          <w:tcPr>
            <w:tcW w:w="1708" w:type="dxa"/>
            <w:vMerge w:val="restart"/>
            <w:tcBorders>
              <w:top w:val="single" w:sz="5" w:space="0" w:color="000000"/>
              <w:left w:val="single" w:sz="5" w:space="0" w:color="000000"/>
              <w:right w:val="single" w:sz="5" w:space="0" w:color="000000"/>
            </w:tcBorders>
          </w:tcPr>
          <w:p w14:paraId="346FF230" w14:textId="77777777" w:rsidR="00184C85" w:rsidRPr="009457BA" w:rsidRDefault="00184C85" w:rsidP="00184C85">
            <w:pPr>
              <w:rPr>
                <w:szCs w:val="22"/>
                <w:lang w:val="en-US"/>
              </w:rPr>
            </w:pPr>
          </w:p>
        </w:tc>
      </w:tr>
      <w:tr w:rsidR="00184C85" w:rsidRPr="009457BA" w14:paraId="269A85D8" w14:textId="77777777" w:rsidTr="00184C85">
        <w:trPr>
          <w:trHeight w:hRule="exact" w:val="246"/>
        </w:trPr>
        <w:tc>
          <w:tcPr>
            <w:tcW w:w="1337" w:type="dxa"/>
            <w:vMerge/>
            <w:tcBorders>
              <w:left w:val="single" w:sz="5" w:space="0" w:color="000000"/>
              <w:bottom w:val="single" w:sz="5" w:space="0" w:color="000000"/>
              <w:right w:val="single" w:sz="5" w:space="0" w:color="000000"/>
            </w:tcBorders>
          </w:tcPr>
          <w:p w14:paraId="49FAFD31" w14:textId="77777777" w:rsidR="00184C85" w:rsidRPr="009457BA" w:rsidRDefault="00184C85" w:rsidP="00184C85">
            <w:pPr>
              <w:rPr>
                <w:szCs w:val="22"/>
                <w:lang w:val="en-US"/>
              </w:rPr>
            </w:pPr>
          </w:p>
        </w:tc>
        <w:tc>
          <w:tcPr>
            <w:tcW w:w="565" w:type="dxa"/>
            <w:vMerge/>
            <w:tcBorders>
              <w:left w:val="single" w:sz="5" w:space="0" w:color="000000"/>
              <w:bottom w:val="single" w:sz="5" w:space="0" w:color="000000"/>
              <w:right w:val="single" w:sz="5" w:space="0" w:color="000000"/>
            </w:tcBorders>
          </w:tcPr>
          <w:p w14:paraId="3CD00A4E" w14:textId="77777777" w:rsidR="00184C85" w:rsidRPr="009457BA" w:rsidRDefault="00184C85" w:rsidP="00184C85">
            <w:pPr>
              <w:rPr>
                <w:szCs w:val="22"/>
                <w:lang w:val="en-US"/>
              </w:rPr>
            </w:pPr>
          </w:p>
        </w:tc>
        <w:tc>
          <w:tcPr>
            <w:tcW w:w="1488" w:type="dxa"/>
            <w:tcBorders>
              <w:top w:val="nil"/>
              <w:left w:val="single" w:sz="5" w:space="0" w:color="000000"/>
              <w:bottom w:val="single" w:sz="5" w:space="0" w:color="000000"/>
              <w:right w:val="single" w:sz="5" w:space="0" w:color="000000"/>
            </w:tcBorders>
          </w:tcPr>
          <w:p w14:paraId="14283372" w14:textId="77777777" w:rsidR="00184C85" w:rsidRPr="009457BA" w:rsidRDefault="00184C85" w:rsidP="00184C85">
            <w:pPr>
              <w:rPr>
                <w:szCs w:val="22"/>
                <w:lang w:val="en-US"/>
              </w:rPr>
            </w:pPr>
            <w:r w:rsidRPr="009457BA">
              <w:rPr>
                <w:szCs w:val="22"/>
                <w:lang w:val="en-US"/>
              </w:rPr>
              <w:t>(46.0-343)</w:t>
            </w:r>
          </w:p>
        </w:tc>
        <w:tc>
          <w:tcPr>
            <w:tcW w:w="563" w:type="dxa"/>
            <w:vMerge/>
            <w:tcBorders>
              <w:left w:val="single" w:sz="5" w:space="0" w:color="000000"/>
              <w:bottom w:val="single" w:sz="5" w:space="0" w:color="000000"/>
              <w:right w:val="single" w:sz="5" w:space="0" w:color="000000"/>
            </w:tcBorders>
          </w:tcPr>
          <w:p w14:paraId="654A5F79" w14:textId="77777777" w:rsidR="00184C85" w:rsidRPr="009457BA" w:rsidRDefault="00184C85" w:rsidP="00184C85">
            <w:pPr>
              <w:rPr>
                <w:szCs w:val="22"/>
                <w:lang w:val="en-US"/>
              </w:rPr>
            </w:pPr>
          </w:p>
        </w:tc>
        <w:tc>
          <w:tcPr>
            <w:tcW w:w="1459" w:type="dxa"/>
            <w:tcBorders>
              <w:top w:val="nil"/>
              <w:left w:val="single" w:sz="5" w:space="0" w:color="000000"/>
              <w:bottom w:val="single" w:sz="5" w:space="0" w:color="000000"/>
              <w:right w:val="single" w:sz="5" w:space="0" w:color="000000"/>
            </w:tcBorders>
          </w:tcPr>
          <w:p w14:paraId="713D9499" w14:textId="77777777" w:rsidR="00184C85" w:rsidRPr="009457BA" w:rsidRDefault="00184C85" w:rsidP="00184C85">
            <w:pPr>
              <w:rPr>
                <w:szCs w:val="22"/>
                <w:lang w:val="en-US"/>
              </w:rPr>
            </w:pPr>
            <w:r w:rsidRPr="009457BA">
              <w:rPr>
                <w:szCs w:val="22"/>
                <w:lang w:val="en-US"/>
              </w:rPr>
              <w:t>(70.7-438)</w:t>
            </w:r>
          </w:p>
        </w:tc>
        <w:tc>
          <w:tcPr>
            <w:tcW w:w="443" w:type="dxa"/>
            <w:vMerge/>
            <w:tcBorders>
              <w:left w:val="single" w:sz="5" w:space="0" w:color="000000"/>
              <w:bottom w:val="single" w:sz="5" w:space="0" w:color="000000"/>
              <w:right w:val="single" w:sz="5" w:space="0" w:color="000000"/>
            </w:tcBorders>
          </w:tcPr>
          <w:p w14:paraId="627AA425" w14:textId="77777777" w:rsidR="00184C85" w:rsidRPr="009457BA" w:rsidRDefault="00184C85" w:rsidP="00184C85">
            <w:pPr>
              <w:rPr>
                <w:szCs w:val="22"/>
                <w:lang w:val="en-US"/>
              </w:rPr>
            </w:pPr>
          </w:p>
        </w:tc>
        <w:tc>
          <w:tcPr>
            <w:tcW w:w="1494" w:type="dxa"/>
            <w:vMerge/>
            <w:tcBorders>
              <w:left w:val="single" w:sz="5" w:space="0" w:color="000000"/>
              <w:bottom w:val="single" w:sz="5" w:space="0" w:color="000000"/>
              <w:right w:val="single" w:sz="5" w:space="0" w:color="000000"/>
            </w:tcBorders>
          </w:tcPr>
          <w:p w14:paraId="15F8154E" w14:textId="77777777" w:rsidR="00184C85" w:rsidRPr="009457BA" w:rsidRDefault="00184C85" w:rsidP="00184C85">
            <w:pPr>
              <w:rPr>
                <w:szCs w:val="22"/>
                <w:lang w:val="en-US"/>
              </w:rPr>
            </w:pPr>
          </w:p>
        </w:tc>
        <w:tc>
          <w:tcPr>
            <w:tcW w:w="437" w:type="dxa"/>
            <w:vMerge/>
            <w:tcBorders>
              <w:left w:val="single" w:sz="5" w:space="0" w:color="000000"/>
              <w:bottom w:val="single" w:sz="5" w:space="0" w:color="000000"/>
              <w:right w:val="single" w:sz="5" w:space="0" w:color="000000"/>
            </w:tcBorders>
          </w:tcPr>
          <w:p w14:paraId="69562075" w14:textId="77777777" w:rsidR="00184C85" w:rsidRPr="009457BA" w:rsidRDefault="00184C85" w:rsidP="00184C85">
            <w:pPr>
              <w:rPr>
                <w:szCs w:val="22"/>
                <w:lang w:val="en-US"/>
              </w:rPr>
            </w:pPr>
          </w:p>
        </w:tc>
        <w:tc>
          <w:tcPr>
            <w:tcW w:w="1708" w:type="dxa"/>
            <w:vMerge/>
            <w:tcBorders>
              <w:left w:val="single" w:sz="5" w:space="0" w:color="000000"/>
              <w:bottom w:val="single" w:sz="5" w:space="0" w:color="000000"/>
              <w:right w:val="single" w:sz="5" w:space="0" w:color="000000"/>
            </w:tcBorders>
          </w:tcPr>
          <w:p w14:paraId="28282184" w14:textId="77777777" w:rsidR="00184C85" w:rsidRPr="009457BA" w:rsidRDefault="00184C85" w:rsidP="00184C85">
            <w:pPr>
              <w:rPr>
                <w:szCs w:val="22"/>
                <w:lang w:val="en-US"/>
              </w:rPr>
            </w:pPr>
          </w:p>
        </w:tc>
      </w:tr>
      <w:tr w:rsidR="00184C85" w:rsidRPr="009457BA" w14:paraId="67235A51" w14:textId="77777777" w:rsidTr="00184C85">
        <w:trPr>
          <w:trHeight w:hRule="exact" w:val="270"/>
        </w:trPr>
        <w:tc>
          <w:tcPr>
            <w:tcW w:w="1337" w:type="dxa"/>
            <w:vMerge w:val="restart"/>
            <w:tcBorders>
              <w:top w:val="single" w:sz="5" w:space="0" w:color="000000"/>
              <w:left w:val="single" w:sz="5" w:space="0" w:color="000000"/>
              <w:right w:val="single" w:sz="5" w:space="0" w:color="000000"/>
            </w:tcBorders>
          </w:tcPr>
          <w:p w14:paraId="110D6E7D" w14:textId="77777777" w:rsidR="00184C85" w:rsidRPr="009457BA" w:rsidRDefault="00184C85" w:rsidP="00184C85">
            <w:pPr>
              <w:rPr>
                <w:szCs w:val="22"/>
                <w:lang w:val="en-US"/>
              </w:rPr>
            </w:pPr>
            <w:r w:rsidRPr="009457BA">
              <w:rPr>
                <w:szCs w:val="22"/>
                <w:lang w:val="en-US"/>
              </w:rPr>
              <w:t xml:space="preserve">10-16h </w:t>
            </w:r>
            <w:proofErr w:type="spellStart"/>
            <w:r>
              <w:rPr>
                <w:szCs w:val="22"/>
                <w:lang w:val="en-US"/>
              </w:rPr>
              <w:t>após</w:t>
            </w:r>
            <w:proofErr w:type="spellEnd"/>
          </w:p>
        </w:tc>
        <w:tc>
          <w:tcPr>
            <w:tcW w:w="565" w:type="dxa"/>
            <w:vMerge w:val="restart"/>
            <w:tcBorders>
              <w:top w:val="single" w:sz="5" w:space="0" w:color="000000"/>
              <w:left w:val="single" w:sz="5" w:space="0" w:color="000000"/>
              <w:right w:val="single" w:sz="5" w:space="0" w:color="000000"/>
            </w:tcBorders>
          </w:tcPr>
          <w:p w14:paraId="4B545BAB" w14:textId="77777777" w:rsidR="00184C85" w:rsidRPr="009457BA" w:rsidRDefault="00184C85" w:rsidP="00184C85">
            <w:pPr>
              <w:rPr>
                <w:szCs w:val="22"/>
                <w:lang w:val="en-US"/>
              </w:rPr>
            </w:pPr>
            <w:r w:rsidRPr="009457BA">
              <w:rPr>
                <w:szCs w:val="22"/>
                <w:lang w:val="en-US"/>
              </w:rPr>
              <w:t>33</w:t>
            </w:r>
          </w:p>
        </w:tc>
        <w:tc>
          <w:tcPr>
            <w:tcW w:w="1488" w:type="dxa"/>
            <w:tcBorders>
              <w:top w:val="single" w:sz="5" w:space="0" w:color="000000"/>
              <w:left w:val="single" w:sz="5" w:space="0" w:color="000000"/>
              <w:bottom w:val="nil"/>
              <w:right w:val="single" w:sz="5" w:space="0" w:color="000000"/>
            </w:tcBorders>
          </w:tcPr>
          <w:p w14:paraId="7E4D9A0A" w14:textId="77777777" w:rsidR="00184C85" w:rsidRPr="009457BA" w:rsidRDefault="00184C85" w:rsidP="00184C85">
            <w:pPr>
              <w:rPr>
                <w:szCs w:val="22"/>
                <w:lang w:val="en-US"/>
              </w:rPr>
            </w:pPr>
            <w:r w:rsidRPr="009457BA">
              <w:rPr>
                <w:szCs w:val="22"/>
                <w:lang w:val="en-US"/>
              </w:rPr>
              <w:t>26.0</w:t>
            </w:r>
          </w:p>
        </w:tc>
        <w:tc>
          <w:tcPr>
            <w:tcW w:w="563" w:type="dxa"/>
            <w:vMerge w:val="restart"/>
            <w:tcBorders>
              <w:top w:val="single" w:sz="5" w:space="0" w:color="000000"/>
              <w:left w:val="single" w:sz="5" w:space="0" w:color="000000"/>
              <w:right w:val="single" w:sz="5" w:space="0" w:color="000000"/>
            </w:tcBorders>
          </w:tcPr>
          <w:p w14:paraId="021B798F" w14:textId="77777777" w:rsidR="00184C85" w:rsidRPr="009457BA" w:rsidRDefault="00184C85" w:rsidP="00184C85">
            <w:pPr>
              <w:rPr>
                <w:szCs w:val="22"/>
                <w:lang w:val="en-US"/>
              </w:rPr>
            </w:pPr>
            <w:r w:rsidRPr="009457BA">
              <w:rPr>
                <w:szCs w:val="22"/>
                <w:lang w:val="en-US"/>
              </w:rPr>
              <w:t>37</w:t>
            </w:r>
          </w:p>
        </w:tc>
        <w:tc>
          <w:tcPr>
            <w:tcW w:w="1459" w:type="dxa"/>
            <w:tcBorders>
              <w:top w:val="single" w:sz="5" w:space="0" w:color="000000"/>
              <w:left w:val="single" w:sz="5" w:space="0" w:color="000000"/>
              <w:bottom w:val="nil"/>
              <w:right w:val="single" w:sz="5" w:space="0" w:color="000000"/>
            </w:tcBorders>
          </w:tcPr>
          <w:p w14:paraId="7313033E" w14:textId="77777777" w:rsidR="00184C85" w:rsidRPr="009457BA" w:rsidRDefault="00184C85" w:rsidP="00184C85">
            <w:pPr>
              <w:rPr>
                <w:szCs w:val="22"/>
                <w:lang w:val="en-US"/>
              </w:rPr>
            </w:pPr>
            <w:r w:rsidRPr="009457BA">
              <w:rPr>
                <w:szCs w:val="22"/>
                <w:lang w:val="en-US"/>
              </w:rPr>
              <w:t>22.2</w:t>
            </w:r>
          </w:p>
        </w:tc>
        <w:tc>
          <w:tcPr>
            <w:tcW w:w="443" w:type="dxa"/>
            <w:vMerge w:val="restart"/>
            <w:tcBorders>
              <w:top w:val="single" w:sz="5" w:space="0" w:color="000000"/>
              <w:left w:val="single" w:sz="5" w:space="0" w:color="000000"/>
              <w:right w:val="single" w:sz="5" w:space="0" w:color="000000"/>
            </w:tcBorders>
          </w:tcPr>
          <w:p w14:paraId="3B704661" w14:textId="77777777" w:rsidR="00184C85" w:rsidRPr="009457BA" w:rsidRDefault="00184C85" w:rsidP="00184C85">
            <w:pPr>
              <w:rPr>
                <w:szCs w:val="22"/>
                <w:lang w:val="en-US"/>
              </w:rPr>
            </w:pPr>
            <w:r w:rsidRPr="009457BA">
              <w:rPr>
                <w:szCs w:val="22"/>
                <w:lang w:val="en-US"/>
              </w:rPr>
              <w:t>3</w:t>
            </w:r>
          </w:p>
        </w:tc>
        <w:tc>
          <w:tcPr>
            <w:tcW w:w="1494" w:type="dxa"/>
            <w:tcBorders>
              <w:top w:val="single" w:sz="5" w:space="0" w:color="000000"/>
              <w:left w:val="single" w:sz="5" w:space="0" w:color="000000"/>
              <w:bottom w:val="nil"/>
              <w:right w:val="single" w:sz="5" w:space="0" w:color="000000"/>
            </w:tcBorders>
          </w:tcPr>
          <w:p w14:paraId="5D48D486" w14:textId="77777777" w:rsidR="00184C85" w:rsidRPr="009457BA" w:rsidRDefault="00184C85" w:rsidP="00184C85">
            <w:pPr>
              <w:rPr>
                <w:szCs w:val="22"/>
                <w:lang w:val="en-US"/>
              </w:rPr>
            </w:pPr>
            <w:r w:rsidRPr="009457BA">
              <w:rPr>
                <w:szCs w:val="22"/>
                <w:lang w:val="en-US"/>
              </w:rPr>
              <w:t>10.7</w:t>
            </w:r>
          </w:p>
        </w:tc>
        <w:tc>
          <w:tcPr>
            <w:tcW w:w="437" w:type="dxa"/>
            <w:vMerge w:val="restart"/>
            <w:tcBorders>
              <w:top w:val="single" w:sz="5" w:space="0" w:color="000000"/>
              <w:left w:val="single" w:sz="5" w:space="0" w:color="000000"/>
              <w:right w:val="single" w:sz="5" w:space="0" w:color="000000"/>
            </w:tcBorders>
          </w:tcPr>
          <w:p w14:paraId="4E0DF7FD" w14:textId="77777777" w:rsidR="00184C85" w:rsidRPr="009457BA" w:rsidRDefault="00184C85" w:rsidP="00184C85">
            <w:pPr>
              <w:rPr>
                <w:szCs w:val="22"/>
                <w:lang w:val="en-US"/>
              </w:rPr>
            </w:pPr>
          </w:p>
        </w:tc>
        <w:tc>
          <w:tcPr>
            <w:tcW w:w="1708" w:type="dxa"/>
            <w:vMerge w:val="restart"/>
            <w:tcBorders>
              <w:top w:val="single" w:sz="5" w:space="0" w:color="000000"/>
              <w:left w:val="single" w:sz="5" w:space="0" w:color="000000"/>
              <w:right w:val="single" w:sz="5" w:space="0" w:color="000000"/>
            </w:tcBorders>
          </w:tcPr>
          <w:p w14:paraId="08EF808D" w14:textId="77777777" w:rsidR="00184C85" w:rsidRPr="009457BA" w:rsidRDefault="00184C85" w:rsidP="00184C85">
            <w:pPr>
              <w:rPr>
                <w:szCs w:val="22"/>
                <w:lang w:val="en-US"/>
              </w:rPr>
            </w:pPr>
          </w:p>
        </w:tc>
      </w:tr>
      <w:tr w:rsidR="00184C85" w:rsidRPr="009457BA" w14:paraId="6EDA04B6" w14:textId="77777777" w:rsidTr="00184C85">
        <w:trPr>
          <w:trHeight w:hRule="exact" w:val="246"/>
        </w:trPr>
        <w:tc>
          <w:tcPr>
            <w:tcW w:w="1337" w:type="dxa"/>
            <w:vMerge/>
            <w:tcBorders>
              <w:left w:val="single" w:sz="5" w:space="0" w:color="000000"/>
              <w:bottom w:val="single" w:sz="5" w:space="0" w:color="000000"/>
              <w:right w:val="single" w:sz="5" w:space="0" w:color="000000"/>
            </w:tcBorders>
          </w:tcPr>
          <w:p w14:paraId="524CBF00" w14:textId="77777777" w:rsidR="00184C85" w:rsidRPr="009457BA" w:rsidRDefault="00184C85" w:rsidP="00184C85">
            <w:pPr>
              <w:rPr>
                <w:szCs w:val="22"/>
                <w:lang w:val="en-US"/>
              </w:rPr>
            </w:pPr>
          </w:p>
        </w:tc>
        <w:tc>
          <w:tcPr>
            <w:tcW w:w="565" w:type="dxa"/>
            <w:vMerge/>
            <w:tcBorders>
              <w:left w:val="single" w:sz="5" w:space="0" w:color="000000"/>
              <w:bottom w:val="single" w:sz="5" w:space="0" w:color="000000"/>
              <w:right w:val="single" w:sz="5" w:space="0" w:color="000000"/>
            </w:tcBorders>
          </w:tcPr>
          <w:p w14:paraId="65483A37" w14:textId="77777777" w:rsidR="00184C85" w:rsidRPr="009457BA" w:rsidRDefault="00184C85" w:rsidP="00184C85">
            <w:pPr>
              <w:rPr>
                <w:szCs w:val="22"/>
                <w:lang w:val="en-US"/>
              </w:rPr>
            </w:pPr>
          </w:p>
        </w:tc>
        <w:tc>
          <w:tcPr>
            <w:tcW w:w="1488" w:type="dxa"/>
            <w:tcBorders>
              <w:top w:val="nil"/>
              <w:left w:val="single" w:sz="5" w:space="0" w:color="000000"/>
              <w:bottom w:val="single" w:sz="5" w:space="0" w:color="000000"/>
              <w:right w:val="single" w:sz="5" w:space="0" w:color="000000"/>
            </w:tcBorders>
          </w:tcPr>
          <w:p w14:paraId="1EEE3A4E" w14:textId="77777777" w:rsidR="00184C85" w:rsidRPr="009457BA" w:rsidRDefault="00184C85" w:rsidP="00184C85">
            <w:pPr>
              <w:rPr>
                <w:szCs w:val="22"/>
                <w:lang w:val="en-US"/>
              </w:rPr>
            </w:pPr>
            <w:r w:rsidRPr="009457BA">
              <w:rPr>
                <w:szCs w:val="22"/>
                <w:lang w:val="en-US"/>
              </w:rPr>
              <w:t>(7.99-94.9)</w:t>
            </w:r>
          </w:p>
        </w:tc>
        <w:tc>
          <w:tcPr>
            <w:tcW w:w="563" w:type="dxa"/>
            <w:vMerge/>
            <w:tcBorders>
              <w:left w:val="single" w:sz="5" w:space="0" w:color="000000"/>
              <w:bottom w:val="single" w:sz="5" w:space="0" w:color="000000"/>
              <w:right w:val="single" w:sz="5" w:space="0" w:color="000000"/>
            </w:tcBorders>
          </w:tcPr>
          <w:p w14:paraId="343F9283" w14:textId="77777777" w:rsidR="00184C85" w:rsidRPr="009457BA" w:rsidRDefault="00184C85" w:rsidP="00184C85">
            <w:pPr>
              <w:rPr>
                <w:szCs w:val="22"/>
                <w:lang w:val="en-US"/>
              </w:rPr>
            </w:pPr>
          </w:p>
        </w:tc>
        <w:tc>
          <w:tcPr>
            <w:tcW w:w="1459" w:type="dxa"/>
            <w:tcBorders>
              <w:top w:val="nil"/>
              <w:left w:val="single" w:sz="5" w:space="0" w:color="000000"/>
              <w:bottom w:val="single" w:sz="5" w:space="0" w:color="000000"/>
              <w:right w:val="single" w:sz="5" w:space="0" w:color="000000"/>
            </w:tcBorders>
          </w:tcPr>
          <w:p w14:paraId="05E46CB5" w14:textId="77777777" w:rsidR="00184C85" w:rsidRPr="009457BA" w:rsidRDefault="00184C85" w:rsidP="00184C85">
            <w:pPr>
              <w:rPr>
                <w:szCs w:val="22"/>
                <w:lang w:val="en-US"/>
              </w:rPr>
            </w:pPr>
            <w:r w:rsidRPr="009457BA">
              <w:rPr>
                <w:szCs w:val="22"/>
                <w:lang w:val="en-US"/>
              </w:rPr>
              <w:t>(0.25-127)</w:t>
            </w:r>
          </w:p>
        </w:tc>
        <w:tc>
          <w:tcPr>
            <w:tcW w:w="443" w:type="dxa"/>
            <w:vMerge/>
            <w:tcBorders>
              <w:left w:val="single" w:sz="5" w:space="0" w:color="000000"/>
              <w:bottom w:val="single" w:sz="5" w:space="0" w:color="000000"/>
              <w:right w:val="single" w:sz="5" w:space="0" w:color="000000"/>
            </w:tcBorders>
          </w:tcPr>
          <w:p w14:paraId="272B0950" w14:textId="77777777" w:rsidR="00184C85" w:rsidRPr="009457BA" w:rsidRDefault="00184C85" w:rsidP="00184C85">
            <w:pPr>
              <w:rPr>
                <w:szCs w:val="22"/>
                <w:lang w:val="en-US"/>
              </w:rPr>
            </w:pPr>
          </w:p>
        </w:tc>
        <w:tc>
          <w:tcPr>
            <w:tcW w:w="1494" w:type="dxa"/>
            <w:tcBorders>
              <w:top w:val="nil"/>
              <w:left w:val="single" w:sz="5" w:space="0" w:color="000000"/>
              <w:bottom w:val="single" w:sz="5" w:space="0" w:color="000000"/>
              <w:right w:val="single" w:sz="5" w:space="0" w:color="000000"/>
            </w:tcBorders>
          </w:tcPr>
          <w:p w14:paraId="39110653" w14:textId="77777777" w:rsidR="00184C85" w:rsidRPr="009457BA" w:rsidRDefault="00184C85" w:rsidP="00184C85">
            <w:pPr>
              <w:rPr>
                <w:szCs w:val="22"/>
                <w:lang w:val="en-US"/>
              </w:rPr>
            </w:pPr>
            <w:r w:rsidRPr="009457BA">
              <w:rPr>
                <w:szCs w:val="22"/>
                <w:lang w:val="en-US"/>
              </w:rPr>
              <w:t>(n.c.-</w:t>
            </w:r>
            <w:proofErr w:type="spellStart"/>
            <w:r w:rsidRPr="009457BA">
              <w:rPr>
                <w:szCs w:val="22"/>
                <w:lang w:val="en-US"/>
              </w:rPr>
              <w:t>n.c</w:t>
            </w:r>
            <w:proofErr w:type="spellEnd"/>
            <w:r w:rsidRPr="009457BA">
              <w:rPr>
                <w:szCs w:val="22"/>
                <w:lang w:val="en-US"/>
              </w:rPr>
              <w:t>.)</w:t>
            </w:r>
          </w:p>
        </w:tc>
        <w:tc>
          <w:tcPr>
            <w:tcW w:w="437" w:type="dxa"/>
            <w:vMerge/>
            <w:tcBorders>
              <w:left w:val="single" w:sz="5" w:space="0" w:color="000000"/>
              <w:bottom w:val="single" w:sz="5" w:space="0" w:color="000000"/>
              <w:right w:val="single" w:sz="5" w:space="0" w:color="000000"/>
            </w:tcBorders>
          </w:tcPr>
          <w:p w14:paraId="5D2C63D6" w14:textId="77777777" w:rsidR="00184C85" w:rsidRPr="009457BA" w:rsidRDefault="00184C85" w:rsidP="00184C85">
            <w:pPr>
              <w:rPr>
                <w:szCs w:val="22"/>
                <w:lang w:val="en-US"/>
              </w:rPr>
            </w:pPr>
          </w:p>
        </w:tc>
        <w:tc>
          <w:tcPr>
            <w:tcW w:w="1708" w:type="dxa"/>
            <w:vMerge/>
            <w:tcBorders>
              <w:left w:val="single" w:sz="5" w:space="0" w:color="000000"/>
              <w:bottom w:val="single" w:sz="5" w:space="0" w:color="000000"/>
              <w:right w:val="single" w:sz="5" w:space="0" w:color="000000"/>
            </w:tcBorders>
          </w:tcPr>
          <w:p w14:paraId="0AFEDFBD" w14:textId="77777777" w:rsidR="00184C85" w:rsidRPr="009457BA" w:rsidRDefault="00184C85" w:rsidP="00184C85">
            <w:pPr>
              <w:rPr>
                <w:szCs w:val="22"/>
                <w:lang w:val="en-US"/>
              </w:rPr>
            </w:pPr>
          </w:p>
        </w:tc>
      </w:tr>
      <w:tr w:rsidR="00184C85" w:rsidRPr="009457BA" w14:paraId="268A1F02" w14:textId="77777777" w:rsidTr="00184C85">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3CF3BD04" w14:textId="77777777" w:rsidR="00184C85" w:rsidRPr="009457BA" w:rsidRDefault="00184C85" w:rsidP="00184C85">
            <w:pPr>
              <w:rPr>
                <w:szCs w:val="22"/>
                <w:lang w:val="en-US"/>
              </w:rPr>
            </w:pPr>
            <w:r w:rsidRPr="009457BA">
              <w:rPr>
                <w:b/>
                <w:szCs w:val="22"/>
                <w:lang w:val="en-US"/>
              </w:rPr>
              <w:t>t.i.d.</w:t>
            </w:r>
          </w:p>
        </w:tc>
        <w:tc>
          <w:tcPr>
            <w:tcW w:w="565" w:type="dxa"/>
            <w:tcBorders>
              <w:top w:val="single" w:sz="5" w:space="0" w:color="000000"/>
              <w:left w:val="single" w:sz="5" w:space="0" w:color="000000"/>
              <w:bottom w:val="single" w:sz="5" w:space="0" w:color="000000"/>
              <w:right w:val="single" w:sz="5" w:space="0" w:color="000000"/>
            </w:tcBorders>
          </w:tcPr>
          <w:p w14:paraId="6DA728E1" w14:textId="77777777" w:rsidR="00184C85" w:rsidRPr="009457BA" w:rsidRDefault="00184C85" w:rsidP="00184C85">
            <w:pPr>
              <w:rPr>
                <w:szCs w:val="22"/>
                <w:lang w:val="en-US"/>
              </w:rPr>
            </w:pPr>
            <w:r w:rsidRPr="009457BA">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40D82531" w14:textId="77777777" w:rsidR="00184C85" w:rsidRPr="009457BA" w:rsidRDefault="00184C85" w:rsidP="00184C85">
            <w:pPr>
              <w:rPr>
                <w:szCs w:val="22"/>
                <w:lang w:val="en-US"/>
              </w:rPr>
            </w:pPr>
            <w:r w:rsidRPr="009457BA">
              <w:rPr>
                <w:b/>
                <w:szCs w:val="22"/>
                <w:lang w:val="en-US"/>
              </w:rPr>
              <w:t xml:space="preserve">2 -&lt; 6 </w:t>
            </w:r>
            <w:proofErr w:type="spellStart"/>
            <w:r>
              <w:rPr>
                <w:b/>
                <w:szCs w:val="22"/>
                <w:lang w:val="en-US"/>
              </w:rPr>
              <w:t>anos</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3F17A08B" w14:textId="77777777" w:rsidR="00184C85" w:rsidRPr="009457BA" w:rsidRDefault="00184C85" w:rsidP="00184C85">
            <w:pPr>
              <w:rPr>
                <w:szCs w:val="22"/>
                <w:lang w:val="en-US"/>
              </w:rPr>
            </w:pPr>
            <w:r w:rsidRPr="009457BA">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0876C2E0" w14:textId="77777777" w:rsidR="00184C85" w:rsidRPr="009457BA" w:rsidRDefault="00184C85" w:rsidP="00184C85">
            <w:pPr>
              <w:rPr>
                <w:szCs w:val="22"/>
                <w:lang w:val="en-US"/>
              </w:rPr>
            </w:pPr>
            <w:r>
              <w:rPr>
                <w:b/>
                <w:szCs w:val="22"/>
                <w:lang w:val="en-US"/>
              </w:rPr>
              <w:t>Nascimento</w:t>
            </w:r>
            <w:r w:rsidRPr="009457BA">
              <w:rPr>
                <w:b/>
                <w:szCs w:val="22"/>
                <w:lang w:val="en-US"/>
              </w:rPr>
              <w:t xml:space="preserve"> -</w:t>
            </w:r>
          </w:p>
          <w:p w14:paraId="4F1EBEB3" w14:textId="77777777" w:rsidR="00184C85" w:rsidRPr="009457BA" w:rsidRDefault="00184C85" w:rsidP="00184C85">
            <w:pPr>
              <w:rPr>
                <w:szCs w:val="22"/>
                <w:lang w:val="en-US"/>
              </w:rPr>
            </w:pPr>
            <w:r w:rsidRPr="009457BA">
              <w:rPr>
                <w:b/>
                <w:szCs w:val="22"/>
                <w:lang w:val="en-US"/>
              </w:rPr>
              <w:t xml:space="preserve">&lt; 2 </w:t>
            </w:r>
            <w:proofErr w:type="spellStart"/>
            <w:r>
              <w:rPr>
                <w:b/>
                <w:szCs w:val="22"/>
                <w:lang w:val="en-US"/>
              </w:rPr>
              <w:t>anos</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6986C320" w14:textId="77777777" w:rsidR="00184C85" w:rsidRPr="009457BA" w:rsidRDefault="00184C85" w:rsidP="00184C85">
            <w:pPr>
              <w:rPr>
                <w:szCs w:val="22"/>
                <w:lang w:val="en-US"/>
              </w:rPr>
            </w:pPr>
            <w:r w:rsidRPr="009457BA">
              <w:rPr>
                <w:b/>
                <w:szCs w:val="22"/>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71F88441" w14:textId="77777777" w:rsidR="00184C85" w:rsidRPr="009457BA" w:rsidRDefault="00184C85" w:rsidP="00184C85">
            <w:pPr>
              <w:rPr>
                <w:szCs w:val="22"/>
                <w:lang w:val="en-US"/>
              </w:rPr>
            </w:pPr>
            <w:r w:rsidRPr="009457BA">
              <w:rPr>
                <w:b/>
                <w:szCs w:val="22"/>
                <w:lang w:val="en-US"/>
              </w:rPr>
              <w:t xml:space="preserve">0.5 -&lt; 2 </w:t>
            </w:r>
            <w:proofErr w:type="spellStart"/>
            <w:r>
              <w:rPr>
                <w:b/>
                <w:szCs w:val="22"/>
                <w:lang w:val="en-US"/>
              </w:rPr>
              <w:t>anos</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65F6A573" w14:textId="77777777" w:rsidR="00184C85" w:rsidRPr="009457BA" w:rsidRDefault="00184C85" w:rsidP="00184C85">
            <w:pPr>
              <w:rPr>
                <w:szCs w:val="22"/>
                <w:lang w:val="en-US"/>
              </w:rPr>
            </w:pPr>
            <w:r w:rsidRPr="009457BA">
              <w:rPr>
                <w:b/>
                <w:szCs w:val="22"/>
                <w:lang w:val="en-US"/>
              </w:rPr>
              <w:t>N</w:t>
            </w:r>
          </w:p>
        </w:tc>
        <w:tc>
          <w:tcPr>
            <w:tcW w:w="1708" w:type="dxa"/>
            <w:tcBorders>
              <w:top w:val="single" w:sz="5" w:space="0" w:color="000000"/>
              <w:left w:val="single" w:sz="5" w:space="0" w:color="000000"/>
              <w:bottom w:val="single" w:sz="5" w:space="0" w:color="000000"/>
              <w:right w:val="single" w:sz="5" w:space="0" w:color="000000"/>
            </w:tcBorders>
          </w:tcPr>
          <w:p w14:paraId="42362616" w14:textId="77777777" w:rsidR="00184C85" w:rsidRPr="009457BA" w:rsidRDefault="00184C85" w:rsidP="00184C85">
            <w:pPr>
              <w:rPr>
                <w:szCs w:val="22"/>
                <w:lang w:val="en-US"/>
              </w:rPr>
            </w:pPr>
            <w:r>
              <w:rPr>
                <w:b/>
                <w:szCs w:val="22"/>
                <w:lang w:val="en-US"/>
              </w:rPr>
              <w:t>Nascimento</w:t>
            </w:r>
            <w:r w:rsidRPr="009457BA">
              <w:rPr>
                <w:b/>
                <w:szCs w:val="22"/>
                <w:lang w:val="en-US"/>
              </w:rPr>
              <w:t xml:space="preserve"> -</w:t>
            </w:r>
          </w:p>
          <w:p w14:paraId="325FF6C1" w14:textId="77777777" w:rsidR="00184C85" w:rsidRPr="009457BA" w:rsidRDefault="00184C85" w:rsidP="00184C85">
            <w:pPr>
              <w:rPr>
                <w:szCs w:val="22"/>
                <w:lang w:val="en-US"/>
              </w:rPr>
            </w:pPr>
            <w:r w:rsidRPr="009457BA">
              <w:rPr>
                <w:b/>
                <w:szCs w:val="22"/>
                <w:lang w:val="en-US"/>
              </w:rPr>
              <w:t xml:space="preserve">&lt; 0.5 </w:t>
            </w:r>
            <w:proofErr w:type="spellStart"/>
            <w:r>
              <w:rPr>
                <w:b/>
                <w:szCs w:val="22"/>
                <w:lang w:val="en-US"/>
              </w:rPr>
              <w:t>anos</w:t>
            </w:r>
            <w:proofErr w:type="spellEnd"/>
          </w:p>
        </w:tc>
      </w:tr>
      <w:tr w:rsidR="00184C85" w:rsidRPr="009457BA" w14:paraId="750FB382" w14:textId="77777777" w:rsidTr="00184C85">
        <w:trPr>
          <w:trHeight w:hRule="exact" w:val="269"/>
        </w:trPr>
        <w:tc>
          <w:tcPr>
            <w:tcW w:w="1337" w:type="dxa"/>
            <w:vMerge w:val="restart"/>
            <w:tcBorders>
              <w:top w:val="single" w:sz="5" w:space="0" w:color="000000"/>
              <w:left w:val="single" w:sz="5" w:space="0" w:color="000000"/>
              <w:right w:val="single" w:sz="5" w:space="0" w:color="000000"/>
            </w:tcBorders>
          </w:tcPr>
          <w:p w14:paraId="1BD461DA" w14:textId="77777777" w:rsidR="00184C85" w:rsidRPr="009457BA" w:rsidRDefault="00184C85" w:rsidP="00184C85">
            <w:pPr>
              <w:rPr>
                <w:szCs w:val="22"/>
                <w:lang w:val="en-US"/>
              </w:rPr>
            </w:pPr>
            <w:r w:rsidRPr="009457BA">
              <w:rPr>
                <w:szCs w:val="22"/>
                <w:lang w:val="en-US"/>
              </w:rPr>
              <w:t xml:space="preserve">0.5-3h </w:t>
            </w:r>
            <w:proofErr w:type="spellStart"/>
            <w:r>
              <w:rPr>
                <w:szCs w:val="22"/>
                <w:lang w:val="en-US"/>
              </w:rPr>
              <w:t>após</w:t>
            </w:r>
            <w:proofErr w:type="spellEnd"/>
          </w:p>
        </w:tc>
        <w:tc>
          <w:tcPr>
            <w:tcW w:w="565" w:type="dxa"/>
            <w:vMerge w:val="restart"/>
            <w:tcBorders>
              <w:top w:val="single" w:sz="5" w:space="0" w:color="000000"/>
              <w:left w:val="single" w:sz="5" w:space="0" w:color="000000"/>
              <w:right w:val="single" w:sz="5" w:space="0" w:color="000000"/>
            </w:tcBorders>
          </w:tcPr>
          <w:p w14:paraId="3DBA9EAB" w14:textId="77777777" w:rsidR="00184C85" w:rsidRPr="009457BA" w:rsidRDefault="00184C85" w:rsidP="00184C85">
            <w:pPr>
              <w:rPr>
                <w:szCs w:val="22"/>
                <w:lang w:val="en-US"/>
              </w:rPr>
            </w:pPr>
            <w:r w:rsidRPr="009457BA">
              <w:rPr>
                <w:szCs w:val="22"/>
                <w:lang w:val="en-US"/>
              </w:rPr>
              <w:t>5</w:t>
            </w:r>
          </w:p>
        </w:tc>
        <w:tc>
          <w:tcPr>
            <w:tcW w:w="1488" w:type="dxa"/>
            <w:tcBorders>
              <w:top w:val="single" w:sz="5" w:space="0" w:color="000000"/>
              <w:left w:val="single" w:sz="5" w:space="0" w:color="000000"/>
              <w:bottom w:val="nil"/>
              <w:right w:val="single" w:sz="5" w:space="0" w:color="000000"/>
            </w:tcBorders>
          </w:tcPr>
          <w:p w14:paraId="3B65E1FC" w14:textId="77777777" w:rsidR="00184C85" w:rsidRPr="009457BA" w:rsidRDefault="00184C85" w:rsidP="00184C85">
            <w:pPr>
              <w:rPr>
                <w:szCs w:val="22"/>
                <w:lang w:val="en-US"/>
              </w:rPr>
            </w:pPr>
            <w:r w:rsidRPr="009457BA">
              <w:rPr>
                <w:szCs w:val="22"/>
                <w:lang w:val="en-US"/>
              </w:rPr>
              <w:t>164.7</w:t>
            </w:r>
          </w:p>
        </w:tc>
        <w:tc>
          <w:tcPr>
            <w:tcW w:w="563" w:type="dxa"/>
            <w:vMerge w:val="restart"/>
            <w:tcBorders>
              <w:top w:val="single" w:sz="5" w:space="0" w:color="000000"/>
              <w:left w:val="single" w:sz="5" w:space="0" w:color="000000"/>
              <w:right w:val="single" w:sz="5" w:space="0" w:color="000000"/>
            </w:tcBorders>
          </w:tcPr>
          <w:p w14:paraId="4E9B4E8C" w14:textId="77777777" w:rsidR="00184C85" w:rsidRPr="009457BA" w:rsidRDefault="00184C85" w:rsidP="00184C85">
            <w:pPr>
              <w:rPr>
                <w:szCs w:val="22"/>
                <w:lang w:val="en-US"/>
              </w:rPr>
            </w:pPr>
            <w:r w:rsidRPr="009457BA">
              <w:rPr>
                <w:szCs w:val="22"/>
                <w:lang w:val="en-US"/>
              </w:rPr>
              <w:t>25</w:t>
            </w:r>
          </w:p>
        </w:tc>
        <w:tc>
          <w:tcPr>
            <w:tcW w:w="1459" w:type="dxa"/>
            <w:tcBorders>
              <w:top w:val="single" w:sz="5" w:space="0" w:color="000000"/>
              <w:left w:val="single" w:sz="5" w:space="0" w:color="000000"/>
              <w:bottom w:val="nil"/>
              <w:right w:val="single" w:sz="5" w:space="0" w:color="000000"/>
            </w:tcBorders>
          </w:tcPr>
          <w:p w14:paraId="37212E12" w14:textId="77777777" w:rsidR="00184C85" w:rsidRPr="009457BA" w:rsidRDefault="00184C85" w:rsidP="00184C85">
            <w:pPr>
              <w:rPr>
                <w:szCs w:val="22"/>
                <w:lang w:val="en-US"/>
              </w:rPr>
            </w:pPr>
            <w:r w:rsidRPr="009457BA">
              <w:rPr>
                <w:szCs w:val="22"/>
                <w:lang w:val="en-US"/>
              </w:rPr>
              <w:t>111.2</w:t>
            </w:r>
          </w:p>
        </w:tc>
        <w:tc>
          <w:tcPr>
            <w:tcW w:w="443" w:type="dxa"/>
            <w:vMerge w:val="restart"/>
            <w:tcBorders>
              <w:top w:val="single" w:sz="5" w:space="0" w:color="000000"/>
              <w:left w:val="single" w:sz="5" w:space="0" w:color="000000"/>
              <w:right w:val="single" w:sz="5" w:space="0" w:color="000000"/>
            </w:tcBorders>
          </w:tcPr>
          <w:p w14:paraId="0EF140E2" w14:textId="77777777" w:rsidR="00184C85" w:rsidRPr="009457BA" w:rsidRDefault="00184C85" w:rsidP="00184C85">
            <w:pPr>
              <w:rPr>
                <w:szCs w:val="22"/>
                <w:lang w:val="en-US"/>
              </w:rPr>
            </w:pPr>
            <w:r w:rsidRPr="009457BA">
              <w:rPr>
                <w:szCs w:val="22"/>
                <w:lang w:val="en-US"/>
              </w:rPr>
              <w:t>13</w:t>
            </w:r>
          </w:p>
        </w:tc>
        <w:tc>
          <w:tcPr>
            <w:tcW w:w="1494" w:type="dxa"/>
            <w:tcBorders>
              <w:top w:val="single" w:sz="5" w:space="0" w:color="000000"/>
              <w:left w:val="single" w:sz="5" w:space="0" w:color="000000"/>
              <w:bottom w:val="nil"/>
              <w:right w:val="single" w:sz="5" w:space="0" w:color="000000"/>
            </w:tcBorders>
          </w:tcPr>
          <w:p w14:paraId="5852D77F" w14:textId="77777777" w:rsidR="00184C85" w:rsidRPr="009457BA" w:rsidRDefault="00184C85" w:rsidP="00184C85">
            <w:pPr>
              <w:rPr>
                <w:szCs w:val="22"/>
                <w:lang w:val="en-US"/>
              </w:rPr>
            </w:pPr>
            <w:r w:rsidRPr="009457BA">
              <w:rPr>
                <w:szCs w:val="22"/>
                <w:lang w:val="en-US"/>
              </w:rPr>
              <w:t>114.3</w:t>
            </w:r>
          </w:p>
        </w:tc>
        <w:tc>
          <w:tcPr>
            <w:tcW w:w="437" w:type="dxa"/>
            <w:vMerge w:val="restart"/>
            <w:tcBorders>
              <w:top w:val="single" w:sz="5" w:space="0" w:color="000000"/>
              <w:left w:val="single" w:sz="5" w:space="0" w:color="000000"/>
              <w:right w:val="single" w:sz="5" w:space="0" w:color="000000"/>
            </w:tcBorders>
          </w:tcPr>
          <w:p w14:paraId="7D220238" w14:textId="77777777" w:rsidR="00184C85" w:rsidRPr="009457BA" w:rsidRDefault="00184C85" w:rsidP="00184C85">
            <w:pPr>
              <w:rPr>
                <w:szCs w:val="22"/>
                <w:lang w:val="en-US"/>
              </w:rPr>
            </w:pPr>
            <w:r w:rsidRPr="009457BA">
              <w:rPr>
                <w:szCs w:val="22"/>
                <w:lang w:val="en-US"/>
              </w:rPr>
              <w:t>12</w:t>
            </w:r>
          </w:p>
        </w:tc>
        <w:tc>
          <w:tcPr>
            <w:tcW w:w="1708" w:type="dxa"/>
            <w:tcBorders>
              <w:top w:val="single" w:sz="5" w:space="0" w:color="000000"/>
              <w:left w:val="single" w:sz="5" w:space="0" w:color="000000"/>
              <w:bottom w:val="nil"/>
              <w:right w:val="single" w:sz="5" w:space="0" w:color="000000"/>
            </w:tcBorders>
          </w:tcPr>
          <w:p w14:paraId="1CBC0B71" w14:textId="77777777" w:rsidR="00184C85" w:rsidRPr="009457BA" w:rsidRDefault="00184C85" w:rsidP="00184C85">
            <w:pPr>
              <w:rPr>
                <w:szCs w:val="22"/>
                <w:lang w:val="en-US"/>
              </w:rPr>
            </w:pPr>
            <w:r w:rsidRPr="009457BA">
              <w:rPr>
                <w:szCs w:val="22"/>
                <w:lang w:val="en-US"/>
              </w:rPr>
              <w:t>108.0</w:t>
            </w:r>
          </w:p>
        </w:tc>
      </w:tr>
      <w:tr w:rsidR="00184C85" w:rsidRPr="009457BA" w14:paraId="5B749A33" w14:textId="77777777" w:rsidTr="00184C85">
        <w:trPr>
          <w:trHeight w:hRule="exact" w:val="246"/>
        </w:trPr>
        <w:tc>
          <w:tcPr>
            <w:tcW w:w="1337" w:type="dxa"/>
            <w:vMerge/>
            <w:tcBorders>
              <w:left w:val="single" w:sz="5" w:space="0" w:color="000000"/>
              <w:bottom w:val="single" w:sz="5" w:space="0" w:color="000000"/>
              <w:right w:val="single" w:sz="5" w:space="0" w:color="000000"/>
            </w:tcBorders>
          </w:tcPr>
          <w:p w14:paraId="76666AAC" w14:textId="77777777" w:rsidR="00184C85" w:rsidRPr="009457BA" w:rsidRDefault="00184C85" w:rsidP="00184C85">
            <w:pPr>
              <w:rPr>
                <w:szCs w:val="22"/>
                <w:lang w:val="en-US"/>
              </w:rPr>
            </w:pPr>
          </w:p>
        </w:tc>
        <w:tc>
          <w:tcPr>
            <w:tcW w:w="565" w:type="dxa"/>
            <w:vMerge/>
            <w:tcBorders>
              <w:left w:val="single" w:sz="5" w:space="0" w:color="000000"/>
              <w:bottom w:val="single" w:sz="5" w:space="0" w:color="000000"/>
              <w:right w:val="single" w:sz="5" w:space="0" w:color="000000"/>
            </w:tcBorders>
          </w:tcPr>
          <w:p w14:paraId="521750C7" w14:textId="77777777" w:rsidR="00184C85" w:rsidRPr="009457BA" w:rsidRDefault="00184C85" w:rsidP="00184C85">
            <w:pPr>
              <w:rPr>
                <w:szCs w:val="22"/>
                <w:lang w:val="en-US"/>
              </w:rPr>
            </w:pPr>
          </w:p>
        </w:tc>
        <w:tc>
          <w:tcPr>
            <w:tcW w:w="1488" w:type="dxa"/>
            <w:tcBorders>
              <w:top w:val="nil"/>
              <w:left w:val="single" w:sz="5" w:space="0" w:color="000000"/>
              <w:bottom w:val="single" w:sz="5" w:space="0" w:color="000000"/>
              <w:right w:val="single" w:sz="5" w:space="0" w:color="000000"/>
            </w:tcBorders>
          </w:tcPr>
          <w:p w14:paraId="6382CBB7" w14:textId="77777777" w:rsidR="00184C85" w:rsidRPr="009457BA" w:rsidRDefault="00184C85" w:rsidP="00184C85">
            <w:pPr>
              <w:rPr>
                <w:szCs w:val="22"/>
                <w:lang w:val="en-US"/>
              </w:rPr>
            </w:pPr>
            <w:r w:rsidRPr="009457BA">
              <w:rPr>
                <w:szCs w:val="22"/>
                <w:lang w:val="en-US"/>
              </w:rPr>
              <w:t>(108-283)</w:t>
            </w:r>
          </w:p>
        </w:tc>
        <w:tc>
          <w:tcPr>
            <w:tcW w:w="563" w:type="dxa"/>
            <w:vMerge/>
            <w:tcBorders>
              <w:left w:val="single" w:sz="5" w:space="0" w:color="000000"/>
              <w:bottom w:val="single" w:sz="5" w:space="0" w:color="000000"/>
              <w:right w:val="single" w:sz="5" w:space="0" w:color="000000"/>
            </w:tcBorders>
          </w:tcPr>
          <w:p w14:paraId="2BCE1B20" w14:textId="77777777" w:rsidR="00184C85" w:rsidRPr="009457BA" w:rsidRDefault="00184C85" w:rsidP="00184C85">
            <w:pPr>
              <w:rPr>
                <w:szCs w:val="22"/>
                <w:lang w:val="en-US"/>
              </w:rPr>
            </w:pPr>
          </w:p>
        </w:tc>
        <w:tc>
          <w:tcPr>
            <w:tcW w:w="1459" w:type="dxa"/>
            <w:tcBorders>
              <w:top w:val="nil"/>
              <w:left w:val="single" w:sz="5" w:space="0" w:color="000000"/>
              <w:bottom w:val="single" w:sz="5" w:space="0" w:color="000000"/>
              <w:right w:val="single" w:sz="5" w:space="0" w:color="000000"/>
            </w:tcBorders>
          </w:tcPr>
          <w:p w14:paraId="1CF366D4" w14:textId="77777777" w:rsidR="00184C85" w:rsidRPr="009457BA" w:rsidRDefault="00184C85" w:rsidP="00184C85">
            <w:pPr>
              <w:rPr>
                <w:szCs w:val="22"/>
                <w:lang w:val="en-US"/>
              </w:rPr>
            </w:pPr>
            <w:r w:rsidRPr="009457BA">
              <w:rPr>
                <w:szCs w:val="22"/>
                <w:lang w:val="en-US"/>
              </w:rPr>
              <w:t>(22.9-320)</w:t>
            </w:r>
          </w:p>
        </w:tc>
        <w:tc>
          <w:tcPr>
            <w:tcW w:w="443" w:type="dxa"/>
            <w:vMerge/>
            <w:tcBorders>
              <w:left w:val="single" w:sz="5" w:space="0" w:color="000000"/>
              <w:bottom w:val="single" w:sz="5" w:space="0" w:color="000000"/>
              <w:right w:val="single" w:sz="5" w:space="0" w:color="000000"/>
            </w:tcBorders>
          </w:tcPr>
          <w:p w14:paraId="40BCA271" w14:textId="77777777" w:rsidR="00184C85" w:rsidRPr="009457BA" w:rsidRDefault="00184C85" w:rsidP="00184C85">
            <w:pPr>
              <w:rPr>
                <w:szCs w:val="22"/>
                <w:lang w:val="en-US"/>
              </w:rPr>
            </w:pPr>
          </w:p>
        </w:tc>
        <w:tc>
          <w:tcPr>
            <w:tcW w:w="1494" w:type="dxa"/>
            <w:tcBorders>
              <w:top w:val="nil"/>
              <w:left w:val="single" w:sz="5" w:space="0" w:color="000000"/>
              <w:bottom w:val="single" w:sz="5" w:space="0" w:color="000000"/>
              <w:right w:val="single" w:sz="5" w:space="0" w:color="000000"/>
            </w:tcBorders>
          </w:tcPr>
          <w:p w14:paraId="1FB09136" w14:textId="77777777" w:rsidR="00184C85" w:rsidRPr="009457BA" w:rsidRDefault="00184C85" w:rsidP="00184C85">
            <w:pPr>
              <w:rPr>
                <w:szCs w:val="22"/>
                <w:lang w:val="en-US"/>
              </w:rPr>
            </w:pPr>
            <w:r w:rsidRPr="009457BA">
              <w:rPr>
                <w:szCs w:val="22"/>
                <w:lang w:val="en-US"/>
              </w:rPr>
              <w:t>(22.9-346)</w:t>
            </w:r>
          </w:p>
        </w:tc>
        <w:tc>
          <w:tcPr>
            <w:tcW w:w="437" w:type="dxa"/>
            <w:vMerge/>
            <w:tcBorders>
              <w:left w:val="single" w:sz="5" w:space="0" w:color="000000"/>
              <w:bottom w:val="single" w:sz="5" w:space="0" w:color="000000"/>
              <w:right w:val="single" w:sz="5" w:space="0" w:color="000000"/>
            </w:tcBorders>
          </w:tcPr>
          <w:p w14:paraId="53BF7505" w14:textId="77777777" w:rsidR="00184C85" w:rsidRPr="009457BA" w:rsidRDefault="00184C85" w:rsidP="00184C85">
            <w:pPr>
              <w:rPr>
                <w:szCs w:val="22"/>
                <w:lang w:val="en-US"/>
              </w:rPr>
            </w:pPr>
          </w:p>
        </w:tc>
        <w:tc>
          <w:tcPr>
            <w:tcW w:w="1708" w:type="dxa"/>
            <w:tcBorders>
              <w:top w:val="nil"/>
              <w:left w:val="single" w:sz="5" w:space="0" w:color="000000"/>
              <w:bottom w:val="single" w:sz="5" w:space="0" w:color="000000"/>
              <w:right w:val="single" w:sz="5" w:space="0" w:color="000000"/>
            </w:tcBorders>
          </w:tcPr>
          <w:p w14:paraId="72F927B1" w14:textId="77777777" w:rsidR="00184C85" w:rsidRPr="009457BA" w:rsidRDefault="00184C85" w:rsidP="00184C85">
            <w:pPr>
              <w:rPr>
                <w:szCs w:val="22"/>
                <w:lang w:val="en-US"/>
              </w:rPr>
            </w:pPr>
            <w:r w:rsidRPr="009457BA">
              <w:rPr>
                <w:szCs w:val="22"/>
                <w:lang w:val="en-US"/>
              </w:rPr>
              <w:t>(19.2-320)</w:t>
            </w:r>
          </w:p>
        </w:tc>
      </w:tr>
      <w:tr w:rsidR="00184C85" w:rsidRPr="009457BA" w14:paraId="20346AD7" w14:textId="77777777" w:rsidTr="00184C85">
        <w:trPr>
          <w:trHeight w:hRule="exact" w:val="270"/>
        </w:trPr>
        <w:tc>
          <w:tcPr>
            <w:tcW w:w="1337" w:type="dxa"/>
            <w:vMerge w:val="restart"/>
            <w:tcBorders>
              <w:top w:val="single" w:sz="5" w:space="0" w:color="000000"/>
              <w:left w:val="single" w:sz="5" w:space="0" w:color="000000"/>
              <w:right w:val="single" w:sz="5" w:space="0" w:color="000000"/>
            </w:tcBorders>
          </w:tcPr>
          <w:p w14:paraId="234C7BC2" w14:textId="77777777" w:rsidR="00184C85" w:rsidRPr="009457BA" w:rsidRDefault="00184C85" w:rsidP="00184C85">
            <w:pPr>
              <w:rPr>
                <w:szCs w:val="22"/>
                <w:lang w:val="en-US"/>
              </w:rPr>
            </w:pPr>
            <w:r w:rsidRPr="009457BA">
              <w:rPr>
                <w:szCs w:val="22"/>
                <w:lang w:val="en-US"/>
              </w:rPr>
              <w:t xml:space="preserve">7-8h </w:t>
            </w:r>
            <w:proofErr w:type="spellStart"/>
            <w:r>
              <w:rPr>
                <w:szCs w:val="22"/>
                <w:lang w:val="en-US"/>
              </w:rPr>
              <w:t>após</w:t>
            </w:r>
            <w:proofErr w:type="spellEnd"/>
          </w:p>
        </w:tc>
        <w:tc>
          <w:tcPr>
            <w:tcW w:w="565" w:type="dxa"/>
            <w:vMerge w:val="restart"/>
            <w:tcBorders>
              <w:top w:val="single" w:sz="5" w:space="0" w:color="000000"/>
              <w:left w:val="single" w:sz="5" w:space="0" w:color="000000"/>
              <w:right w:val="single" w:sz="5" w:space="0" w:color="000000"/>
            </w:tcBorders>
          </w:tcPr>
          <w:p w14:paraId="4834842A" w14:textId="77777777" w:rsidR="00184C85" w:rsidRPr="009457BA" w:rsidRDefault="00184C85" w:rsidP="00184C85">
            <w:pPr>
              <w:rPr>
                <w:szCs w:val="22"/>
                <w:lang w:val="en-US"/>
              </w:rPr>
            </w:pPr>
            <w:r w:rsidRPr="009457BA">
              <w:rPr>
                <w:szCs w:val="22"/>
                <w:lang w:val="en-US"/>
              </w:rPr>
              <w:t>3</w:t>
            </w:r>
          </w:p>
        </w:tc>
        <w:tc>
          <w:tcPr>
            <w:tcW w:w="1488" w:type="dxa"/>
            <w:tcBorders>
              <w:top w:val="single" w:sz="5" w:space="0" w:color="000000"/>
              <w:left w:val="single" w:sz="5" w:space="0" w:color="000000"/>
              <w:bottom w:val="nil"/>
              <w:right w:val="single" w:sz="5" w:space="0" w:color="000000"/>
            </w:tcBorders>
          </w:tcPr>
          <w:p w14:paraId="21BF0C10" w14:textId="77777777" w:rsidR="00184C85" w:rsidRPr="009457BA" w:rsidRDefault="00184C85" w:rsidP="00184C85">
            <w:pPr>
              <w:rPr>
                <w:szCs w:val="22"/>
                <w:lang w:val="en-US"/>
              </w:rPr>
            </w:pPr>
            <w:r w:rsidRPr="009457BA">
              <w:rPr>
                <w:szCs w:val="22"/>
                <w:lang w:val="en-US"/>
              </w:rPr>
              <w:t>33.2</w:t>
            </w:r>
          </w:p>
        </w:tc>
        <w:tc>
          <w:tcPr>
            <w:tcW w:w="563" w:type="dxa"/>
            <w:vMerge w:val="restart"/>
            <w:tcBorders>
              <w:top w:val="single" w:sz="5" w:space="0" w:color="000000"/>
              <w:left w:val="single" w:sz="5" w:space="0" w:color="000000"/>
              <w:right w:val="single" w:sz="5" w:space="0" w:color="000000"/>
            </w:tcBorders>
          </w:tcPr>
          <w:p w14:paraId="393E7C42" w14:textId="77777777" w:rsidR="00184C85" w:rsidRPr="009457BA" w:rsidRDefault="00184C85" w:rsidP="00184C85">
            <w:pPr>
              <w:rPr>
                <w:szCs w:val="22"/>
                <w:lang w:val="en-US"/>
              </w:rPr>
            </w:pPr>
            <w:r w:rsidRPr="009457BA">
              <w:rPr>
                <w:szCs w:val="22"/>
                <w:lang w:val="en-US"/>
              </w:rPr>
              <w:t>23</w:t>
            </w:r>
          </w:p>
        </w:tc>
        <w:tc>
          <w:tcPr>
            <w:tcW w:w="1459" w:type="dxa"/>
            <w:tcBorders>
              <w:top w:val="single" w:sz="5" w:space="0" w:color="000000"/>
              <w:left w:val="single" w:sz="5" w:space="0" w:color="000000"/>
              <w:bottom w:val="nil"/>
              <w:right w:val="single" w:sz="5" w:space="0" w:color="000000"/>
            </w:tcBorders>
          </w:tcPr>
          <w:p w14:paraId="2D31BD87" w14:textId="77777777" w:rsidR="00184C85" w:rsidRPr="009457BA" w:rsidRDefault="00184C85" w:rsidP="00184C85">
            <w:pPr>
              <w:rPr>
                <w:szCs w:val="22"/>
                <w:lang w:val="en-US"/>
              </w:rPr>
            </w:pPr>
            <w:r w:rsidRPr="009457BA">
              <w:rPr>
                <w:szCs w:val="22"/>
                <w:lang w:val="en-US"/>
              </w:rPr>
              <w:t>18.7</w:t>
            </w:r>
          </w:p>
        </w:tc>
        <w:tc>
          <w:tcPr>
            <w:tcW w:w="443" w:type="dxa"/>
            <w:vMerge w:val="restart"/>
            <w:tcBorders>
              <w:top w:val="single" w:sz="5" w:space="0" w:color="000000"/>
              <w:left w:val="single" w:sz="5" w:space="0" w:color="000000"/>
              <w:right w:val="single" w:sz="5" w:space="0" w:color="000000"/>
            </w:tcBorders>
          </w:tcPr>
          <w:p w14:paraId="6840BDCE" w14:textId="77777777" w:rsidR="00184C85" w:rsidRPr="009457BA" w:rsidRDefault="00184C85" w:rsidP="00184C85">
            <w:pPr>
              <w:rPr>
                <w:szCs w:val="22"/>
                <w:lang w:val="en-US"/>
              </w:rPr>
            </w:pPr>
            <w:r w:rsidRPr="009457BA">
              <w:rPr>
                <w:szCs w:val="22"/>
                <w:lang w:val="en-US"/>
              </w:rPr>
              <w:t>12</w:t>
            </w:r>
          </w:p>
        </w:tc>
        <w:tc>
          <w:tcPr>
            <w:tcW w:w="1494" w:type="dxa"/>
            <w:tcBorders>
              <w:top w:val="single" w:sz="5" w:space="0" w:color="000000"/>
              <w:left w:val="single" w:sz="5" w:space="0" w:color="000000"/>
              <w:bottom w:val="nil"/>
              <w:right w:val="single" w:sz="5" w:space="0" w:color="000000"/>
            </w:tcBorders>
          </w:tcPr>
          <w:p w14:paraId="16BE78E8" w14:textId="77777777" w:rsidR="00184C85" w:rsidRPr="009457BA" w:rsidRDefault="00184C85" w:rsidP="00184C85">
            <w:pPr>
              <w:rPr>
                <w:szCs w:val="22"/>
                <w:lang w:val="en-US"/>
              </w:rPr>
            </w:pPr>
            <w:r w:rsidRPr="009457BA">
              <w:rPr>
                <w:szCs w:val="22"/>
                <w:lang w:val="en-US"/>
              </w:rPr>
              <w:t>21.4</w:t>
            </w:r>
          </w:p>
        </w:tc>
        <w:tc>
          <w:tcPr>
            <w:tcW w:w="437" w:type="dxa"/>
            <w:vMerge w:val="restart"/>
            <w:tcBorders>
              <w:top w:val="single" w:sz="5" w:space="0" w:color="000000"/>
              <w:left w:val="single" w:sz="5" w:space="0" w:color="000000"/>
              <w:right w:val="single" w:sz="5" w:space="0" w:color="000000"/>
            </w:tcBorders>
          </w:tcPr>
          <w:p w14:paraId="2431136E" w14:textId="77777777" w:rsidR="00184C85" w:rsidRPr="009457BA" w:rsidRDefault="00184C85" w:rsidP="00184C85">
            <w:pPr>
              <w:rPr>
                <w:szCs w:val="22"/>
                <w:lang w:val="en-US"/>
              </w:rPr>
            </w:pPr>
            <w:r w:rsidRPr="009457BA">
              <w:rPr>
                <w:szCs w:val="22"/>
                <w:lang w:val="en-US"/>
              </w:rPr>
              <w:t>11</w:t>
            </w:r>
          </w:p>
        </w:tc>
        <w:tc>
          <w:tcPr>
            <w:tcW w:w="1708" w:type="dxa"/>
            <w:tcBorders>
              <w:top w:val="single" w:sz="5" w:space="0" w:color="000000"/>
              <w:left w:val="single" w:sz="5" w:space="0" w:color="000000"/>
              <w:bottom w:val="nil"/>
              <w:right w:val="single" w:sz="5" w:space="0" w:color="000000"/>
            </w:tcBorders>
          </w:tcPr>
          <w:p w14:paraId="09C330D1" w14:textId="77777777" w:rsidR="00184C85" w:rsidRPr="009457BA" w:rsidRDefault="00184C85" w:rsidP="00184C85">
            <w:pPr>
              <w:rPr>
                <w:szCs w:val="22"/>
                <w:lang w:val="en-US"/>
              </w:rPr>
            </w:pPr>
            <w:r w:rsidRPr="009457BA">
              <w:rPr>
                <w:szCs w:val="22"/>
                <w:lang w:val="en-US"/>
              </w:rPr>
              <w:t>16.1</w:t>
            </w:r>
          </w:p>
        </w:tc>
      </w:tr>
      <w:tr w:rsidR="00184C85" w:rsidRPr="009457BA" w14:paraId="1C783138" w14:textId="77777777" w:rsidTr="00184C85">
        <w:trPr>
          <w:trHeight w:hRule="exact" w:val="246"/>
        </w:trPr>
        <w:tc>
          <w:tcPr>
            <w:tcW w:w="1337" w:type="dxa"/>
            <w:vMerge/>
            <w:tcBorders>
              <w:left w:val="single" w:sz="5" w:space="0" w:color="000000"/>
              <w:bottom w:val="single" w:sz="5" w:space="0" w:color="000000"/>
              <w:right w:val="single" w:sz="5" w:space="0" w:color="000000"/>
            </w:tcBorders>
          </w:tcPr>
          <w:p w14:paraId="15F37454" w14:textId="77777777" w:rsidR="00184C85" w:rsidRPr="009457BA" w:rsidRDefault="00184C85" w:rsidP="00184C85">
            <w:pPr>
              <w:rPr>
                <w:szCs w:val="22"/>
                <w:lang w:val="en-US"/>
              </w:rPr>
            </w:pPr>
          </w:p>
        </w:tc>
        <w:tc>
          <w:tcPr>
            <w:tcW w:w="565" w:type="dxa"/>
            <w:vMerge/>
            <w:tcBorders>
              <w:left w:val="single" w:sz="5" w:space="0" w:color="000000"/>
              <w:bottom w:val="single" w:sz="5" w:space="0" w:color="000000"/>
              <w:right w:val="single" w:sz="5" w:space="0" w:color="000000"/>
            </w:tcBorders>
          </w:tcPr>
          <w:p w14:paraId="37C2732A" w14:textId="77777777" w:rsidR="00184C85" w:rsidRPr="009457BA" w:rsidRDefault="00184C85" w:rsidP="00184C85">
            <w:pPr>
              <w:rPr>
                <w:szCs w:val="22"/>
                <w:lang w:val="en-US"/>
              </w:rPr>
            </w:pPr>
          </w:p>
        </w:tc>
        <w:tc>
          <w:tcPr>
            <w:tcW w:w="1488" w:type="dxa"/>
            <w:tcBorders>
              <w:top w:val="nil"/>
              <w:left w:val="single" w:sz="5" w:space="0" w:color="000000"/>
              <w:bottom w:val="single" w:sz="5" w:space="0" w:color="000000"/>
              <w:right w:val="single" w:sz="5" w:space="0" w:color="000000"/>
            </w:tcBorders>
          </w:tcPr>
          <w:p w14:paraId="39C8D206" w14:textId="77777777" w:rsidR="00184C85" w:rsidRPr="009457BA" w:rsidRDefault="00184C85" w:rsidP="00184C85">
            <w:pPr>
              <w:rPr>
                <w:szCs w:val="22"/>
                <w:lang w:val="en-US"/>
              </w:rPr>
            </w:pPr>
            <w:r w:rsidRPr="009457BA">
              <w:rPr>
                <w:szCs w:val="22"/>
                <w:lang w:val="en-US"/>
              </w:rPr>
              <w:t>(18.7-99.7)</w:t>
            </w:r>
          </w:p>
        </w:tc>
        <w:tc>
          <w:tcPr>
            <w:tcW w:w="563" w:type="dxa"/>
            <w:vMerge/>
            <w:tcBorders>
              <w:left w:val="single" w:sz="5" w:space="0" w:color="000000"/>
              <w:bottom w:val="single" w:sz="5" w:space="0" w:color="000000"/>
              <w:right w:val="single" w:sz="5" w:space="0" w:color="000000"/>
            </w:tcBorders>
          </w:tcPr>
          <w:p w14:paraId="682DF9C2" w14:textId="77777777" w:rsidR="00184C85" w:rsidRPr="009457BA" w:rsidRDefault="00184C85" w:rsidP="00184C85">
            <w:pPr>
              <w:rPr>
                <w:szCs w:val="22"/>
                <w:lang w:val="en-US"/>
              </w:rPr>
            </w:pPr>
          </w:p>
        </w:tc>
        <w:tc>
          <w:tcPr>
            <w:tcW w:w="1459" w:type="dxa"/>
            <w:tcBorders>
              <w:top w:val="nil"/>
              <w:left w:val="single" w:sz="5" w:space="0" w:color="000000"/>
              <w:bottom w:val="single" w:sz="5" w:space="0" w:color="000000"/>
              <w:right w:val="single" w:sz="5" w:space="0" w:color="000000"/>
            </w:tcBorders>
          </w:tcPr>
          <w:p w14:paraId="46D36F8D" w14:textId="77777777" w:rsidR="00184C85" w:rsidRPr="009457BA" w:rsidRDefault="00184C85" w:rsidP="00184C85">
            <w:pPr>
              <w:rPr>
                <w:szCs w:val="22"/>
                <w:lang w:val="en-US"/>
              </w:rPr>
            </w:pPr>
            <w:r w:rsidRPr="009457BA">
              <w:rPr>
                <w:szCs w:val="22"/>
                <w:lang w:val="en-US"/>
              </w:rPr>
              <w:t>(10.1-36.5)</w:t>
            </w:r>
          </w:p>
        </w:tc>
        <w:tc>
          <w:tcPr>
            <w:tcW w:w="443" w:type="dxa"/>
            <w:vMerge/>
            <w:tcBorders>
              <w:left w:val="single" w:sz="5" w:space="0" w:color="000000"/>
              <w:bottom w:val="single" w:sz="5" w:space="0" w:color="000000"/>
              <w:right w:val="single" w:sz="5" w:space="0" w:color="000000"/>
            </w:tcBorders>
          </w:tcPr>
          <w:p w14:paraId="386B5987" w14:textId="77777777" w:rsidR="00184C85" w:rsidRPr="009457BA" w:rsidRDefault="00184C85" w:rsidP="00184C85">
            <w:pPr>
              <w:rPr>
                <w:szCs w:val="22"/>
                <w:lang w:val="en-US"/>
              </w:rPr>
            </w:pPr>
          </w:p>
        </w:tc>
        <w:tc>
          <w:tcPr>
            <w:tcW w:w="1494" w:type="dxa"/>
            <w:tcBorders>
              <w:top w:val="nil"/>
              <w:left w:val="single" w:sz="5" w:space="0" w:color="000000"/>
              <w:bottom w:val="single" w:sz="5" w:space="0" w:color="000000"/>
              <w:right w:val="single" w:sz="5" w:space="0" w:color="000000"/>
            </w:tcBorders>
          </w:tcPr>
          <w:p w14:paraId="095659B3" w14:textId="77777777" w:rsidR="00184C85" w:rsidRPr="009457BA" w:rsidRDefault="00184C85" w:rsidP="00184C85">
            <w:pPr>
              <w:rPr>
                <w:szCs w:val="22"/>
                <w:lang w:val="en-US"/>
              </w:rPr>
            </w:pPr>
            <w:r w:rsidRPr="009457BA">
              <w:rPr>
                <w:szCs w:val="22"/>
                <w:lang w:val="en-US"/>
              </w:rPr>
              <w:t>(10.5-65.6)</w:t>
            </w:r>
          </w:p>
        </w:tc>
        <w:tc>
          <w:tcPr>
            <w:tcW w:w="437" w:type="dxa"/>
            <w:vMerge/>
            <w:tcBorders>
              <w:left w:val="single" w:sz="5" w:space="0" w:color="000000"/>
              <w:bottom w:val="single" w:sz="5" w:space="0" w:color="000000"/>
              <w:right w:val="single" w:sz="5" w:space="0" w:color="000000"/>
            </w:tcBorders>
          </w:tcPr>
          <w:p w14:paraId="50BBF0B5" w14:textId="77777777" w:rsidR="00184C85" w:rsidRPr="009457BA" w:rsidRDefault="00184C85" w:rsidP="00184C85">
            <w:pPr>
              <w:rPr>
                <w:szCs w:val="22"/>
                <w:lang w:val="en-US"/>
              </w:rPr>
            </w:pPr>
          </w:p>
        </w:tc>
        <w:tc>
          <w:tcPr>
            <w:tcW w:w="1708" w:type="dxa"/>
            <w:tcBorders>
              <w:top w:val="nil"/>
              <w:left w:val="single" w:sz="5" w:space="0" w:color="000000"/>
              <w:bottom w:val="single" w:sz="5" w:space="0" w:color="000000"/>
              <w:right w:val="single" w:sz="5" w:space="0" w:color="000000"/>
            </w:tcBorders>
          </w:tcPr>
          <w:p w14:paraId="550E30EF" w14:textId="77777777" w:rsidR="00184C85" w:rsidRPr="009457BA" w:rsidRDefault="00184C85" w:rsidP="00184C85">
            <w:pPr>
              <w:rPr>
                <w:szCs w:val="22"/>
                <w:lang w:val="en-US"/>
              </w:rPr>
            </w:pPr>
            <w:r w:rsidRPr="009457BA">
              <w:rPr>
                <w:szCs w:val="22"/>
                <w:lang w:val="en-US"/>
              </w:rPr>
              <w:t>(1.03-33.6)</w:t>
            </w:r>
          </w:p>
        </w:tc>
      </w:tr>
    </w:tbl>
    <w:p w14:paraId="4A04F681" w14:textId="77777777" w:rsidR="00184C85" w:rsidRPr="00EF3721" w:rsidRDefault="00184C85" w:rsidP="00EF3721">
      <w:pPr>
        <w:suppressAutoHyphens/>
        <w:rPr>
          <w:noProof/>
          <w:szCs w:val="22"/>
        </w:rPr>
      </w:pPr>
      <w:r w:rsidRPr="00EF3721">
        <w:rPr>
          <w:noProof/>
          <w:szCs w:val="22"/>
        </w:rPr>
        <w:t xml:space="preserve">o.d. = um vez por dia, b.i.d. = duas vezes por dia, t.i.d. = três vezes por dia, n.c. = não calculado </w:t>
      </w:r>
    </w:p>
    <w:p w14:paraId="3B717F71" w14:textId="77777777" w:rsidR="00184C85" w:rsidRPr="00EF3721" w:rsidRDefault="00184C85" w:rsidP="00EF3721">
      <w:pPr>
        <w:suppressAutoHyphens/>
        <w:rPr>
          <w:noProof/>
          <w:szCs w:val="22"/>
        </w:rPr>
      </w:pPr>
      <w:r w:rsidRPr="00EF3721">
        <w:rPr>
          <w:noProof/>
          <w:szCs w:val="22"/>
        </w:rPr>
        <w:t>Os valores abaixo do limite inferior de quantificação (LIQ) foram substituídos por 1/2 LIQ para o cálculo das estatísticas (LIQ = 0,5 mcg/l).</w:t>
      </w:r>
    </w:p>
    <w:p w14:paraId="0C32DDF5" w14:textId="77777777" w:rsidR="00184C85" w:rsidRPr="0063119B" w:rsidRDefault="00184C85" w:rsidP="00184C85">
      <w:pPr>
        <w:suppressAutoHyphens/>
        <w:ind w:left="567" w:hanging="567"/>
        <w:rPr>
          <w:noProof/>
          <w:szCs w:val="22"/>
          <w:u w:val="single"/>
        </w:rPr>
      </w:pPr>
    </w:p>
    <w:p w14:paraId="1679B38F" w14:textId="77777777" w:rsidR="00337111" w:rsidRDefault="00337111" w:rsidP="00337111">
      <w:pPr>
        <w:suppressAutoHyphens/>
        <w:ind w:left="567" w:hanging="567"/>
        <w:rPr>
          <w:noProof/>
          <w:szCs w:val="22"/>
          <w:u w:val="single"/>
        </w:rPr>
      </w:pPr>
      <w:r w:rsidRPr="0063119B">
        <w:rPr>
          <w:noProof/>
          <w:szCs w:val="22"/>
          <w:u w:val="single"/>
        </w:rPr>
        <w:t>Relação farmacocinética/farmacodinâmica</w:t>
      </w:r>
    </w:p>
    <w:p w14:paraId="55EA273A" w14:textId="77777777" w:rsidR="00F14467" w:rsidRPr="0063119B" w:rsidRDefault="00F14467" w:rsidP="00337111">
      <w:pPr>
        <w:suppressAutoHyphens/>
        <w:ind w:left="567" w:hanging="567"/>
        <w:rPr>
          <w:noProof/>
          <w:szCs w:val="22"/>
          <w:u w:val="single"/>
        </w:rPr>
      </w:pPr>
    </w:p>
    <w:p w14:paraId="12EFB157" w14:textId="77777777" w:rsidR="00337111" w:rsidRPr="0063119B" w:rsidRDefault="00337111" w:rsidP="00337111">
      <w:pPr>
        <w:suppressAutoHyphens/>
        <w:rPr>
          <w:noProof/>
          <w:szCs w:val="22"/>
        </w:rPr>
      </w:pPr>
      <w:r w:rsidRPr="0063119B">
        <w:rPr>
          <w:noProof/>
          <w:szCs w:val="22"/>
        </w:rPr>
        <w:lastRenderedPageBreak/>
        <w:t xml:space="preserve">A relação farmacocinética/farmacodinâmica (PK/PD) entre a concentração plasmática de rivaroxabano e os diversos </w:t>
      </w:r>
      <w:r w:rsidRPr="0063119B">
        <w:rPr>
          <w:i/>
          <w:noProof/>
          <w:szCs w:val="22"/>
        </w:rPr>
        <w:t>endpoints</w:t>
      </w:r>
      <w:r w:rsidRPr="0063119B">
        <w:rPr>
          <w:noProof/>
          <w:szCs w:val="22"/>
        </w:rPr>
        <w:t xml:space="preserve"> farmacodinâmicos (inibição do </w:t>
      </w:r>
      <w:r w:rsidR="008D24C7" w:rsidRPr="0063119B">
        <w:rPr>
          <w:noProof/>
          <w:szCs w:val="22"/>
        </w:rPr>
        <w:t>fator </w:t>
      </w:r>
      <w:r w:rsidRPr="0063119B">
        <w:rPr>
          <w:noProof/>
          <w:szCs w:val="22"/>
        </w:rPr>
        <w:t>Xa, TP, aPTT, Heptest) têm sido avaliados após a administração de um amplo intervalo de doses (5 </w:t>
      </w:r>
      <w:r w:rsidRPr="0063119B">
        <w:rPr>
          <w:noProof/>
          <w:szCs w:val="22"/>
        </w:rPr>
        <w:noBreakHyphen/>
        <w:t xml:space="preserve"> 30 mg duas vezes ao dia). A relação entre a concentração de rivaroxabano e a atividade do </w:t>
      </w:r>
      <w:r w:rsidR="008D24C7" w:rsidRPr="0063119B">
        <w:rPr>
          <w:noProof/>
          <w:szCs w:val="22"/>
        </w:rPr>
        <w:t>fator </w:t>
      </w:r>
      <w:r w:rsidRPr="0063119B">
        <w:rPr>
          <w:noProof/>
          <w:szCs w:val="22"/>
        </w:rPr>
        <w:t>Xa foi melhor descrita por um modelo E</w:t>
      </w:r>
      <w:r w:rsidRPr="0063119B">
        <w:rPr>
          <w:noProof/>
          <w:szCs w:val="22"/>
          <w:vertAlign w:val="subscript"/>
        </w:rPr>
        <w:t>max</w:t>
      </w:r>
      <w:r w:rsidRPr="0063119B">
        <w:rPr>
          <w:noProof/>
          <w:szCs w:val="22"/>
        </w:rPr>
        <w:t>. Para TP, os dados são, geralmente, melhor descritos pelo modelo de interseção linear. Dependendo dos diferentes reagentes TP utilizados, o declive diferiu consideravelmente. Quando foi utilizad</w:t>
      </w:r>
      <w:r w:rsidR="002E5E0A" w:rsidRPr="0063119B">
        <w:rPr>
          <w:noProof/>
          <w:szCs w:val="22"/>
        </w:rPr>
        <w:t>o</w:t>
      </w:r>
      <w:r w:rsidRPr="0063119B">
        <w:rPr>
          <w:noProof/>
          <w:szCs w:val="22"/>
        </w:rPr>
        <w:t xml:space="preserve"> </w:t>
      </w:r>
      <w:r w:rsidR="002E5E0A" w:rsidRPr="0063119B">
        <w:rPr>
          <w:noProof/>
          <w:szCs w:val="22"/>
        </w:rPr>
        <w:t xml:space="preserve">o </w:t>
      </w:r>
      <w:r w:rsidRPr="0063119B">
        <w:rPr>
          <w:noProof/>
          <w:szCs w:val="22"/>
        </w:rPr>
        <w:t xml:space="preserve">TP </w:t>
      </w:r>
      <w:r w:rsidR="002E5E0A" w:rsidRPr="0063119B">
        <w:rPr>
          <w:noProof/>
          <w:szCs w:val="22"/>
        </w:rPr>
        <w:t xml:space="preserve">da </w:t>
      </w:r>
      <w:r w:rsidRPr="0063119B">
        <w:rPr>
          <w:noProof/>
          <w:szCs w:val="22"/>
        </w:rPr>
        <w:t>Neoplastin, o TP no estado basal foi de cerca de 13 seg. e o declive foi de 3 a 4 seg. (100 </w:t>
      </w:r>
      <w:r w:rsidR="004D7C05" w:rsidRPr="0063119B">
        <w:rPr>
          <w:noProof/>
          <w:szCs w:val="22"/>
        </w:rPr>
        <w:t>mcg</w:t>
      </w:r>
      <w:r w:rsidRPr="0063119B">
        <w:rPr>
          <w:noProof/>
          <w:szCs w:val="22"/>
        </w:rPr>
        <w:t>/l). Os resultados das análises PK/PD na Fase II e III foram consistentes com os dados estabelecidos nos indivíduos saudáveis.</w:t>
      </w:r>
    </w:p>
    <w:p w14:paraId="10732535" w14:textId="77777777" w:rsidR="00337111" w:rsidRPr="0063119B" w:rsidRDefault="00337111" w:rsidP="00337111">
      <w:pPr>
        <w:suppressAutoHyphens/>
        <w:rPr>
          <w:noProof/>
          <w:szCs w:val="22"/>
        </w:rPr>
      </w:pPr>
    </w:p>
    <w:p w14:paraId="2C672A7C" w14:textId="77777777" w:rsidR="00337111" w:rsidRDefault="00337111" w:rsidP="00337111">
      <w:pPr>
        <w:suppressAutoHyphens/>
        <w:rPr>
          <w:noProof/>
          <w:szCs w:val="22"/>
          <w:u w:val="single"/>
        </w:rPr>
      </w:pPr>
      <w:r w:rsidRPr="0063119B">
        <w:rPr>
          <w:noProof/>
          <w:szCs w:val="22"/>
          <w:u w:val="single"/>
        </w:rPr>
        <w:t>População pediátrica</w:t>
      </w:r>
    </w:p>
    <w:p w14:paraId="0CD5B4C9" w14:textId="77777777" w:rsidR="00F14467" w:rsidRPr="0063119B" w:rsidRDefault="00F14467" w:rsidP="00337111">
      <w:pPr>
        <w:suppressAutoHyphens/>
        <w:rPr>
          <w:noProof/>
          <w:szCs w:val="22"/>
        </w:rPr>
      </w:pPr>
    </w:p>
    <w:p w14:paraId="7D853F69" w14:textId="77777777" w:rsidR="00337111" w:rsidRPr="0063119B" w:rsidRDefault="00337111" w:rsidP="00337111">
      <w:pPr>
        <w:suppressAutoHyphens/>
        <w:rPr>
          <w:szCs w:val="22"/>
        </w:rPr>
      </w:pPr>
      <w:r w:rsidRPr="0063119B">
        <w:rPr>
          <w:noProof/>
          <w:szCs w:val="22"/>
        </w:rPr>
        <w:t>A segurança e eficácia em crianças e adolescentes até aos 18 </w:t>
      </w:r>
      <w:r w:rsidRPr="0063119B">
        <w:rPr>
          <w:szCs w:val="22"/>
        </w:rPr>
        <w:t>anos de idade não foramestabelecidas</w:t>
      </w:r>
      <w:r w:rsidR="003362F2">
        <w:rPr>
          <w:szCs w:val="22"/>
        </w:rPr>
        <w:t xml:space="preserve"> na indicação prevenção do acidente vascular cerebral e do embolismo sistémico em doentes com fibrilhação auricular não valvular</w:t>
      </w:r>
      <w:r w:rsidRPr="0063119B">
        <w:rPr>
          <w:szCs w:val="22"/>
        </w:rPr>
        <w:t>.</w:t>
      </w:r>
    </w:p>
    <w:p w14:paraId="7BDE886A" w14:textId="77777777" w:rsidR="00337111" w:rsidRPr="0063119B" w:rsidRDefault="00337111" w:rsidP="00337111">
      <w:pPr>
        <w:suppressAutoHyphens/>
        <w:rPr>
          <w:szCs w:val="22"/>
        </w:rPr>
      </w:pPr>
    </w:p>
    <w:p w14:paraId="232452A8" w14:textId="77777777" w:rsidR="00337111" w:rsidRPr="0063119B" w:rsidRDefault="00337111" w:rsidP="00337111">
      <w:pPr>
        <w:keepNext/>
        <w:suppressAutoHyphens/>
        <w:ind w:left="567" w:hanging="567"/>
        <w:rPr>
          <w:b/>
          <w:noProof/>
          <w:szCs w:val="22"/>
        </w:rPr>
      </w:pPr>
      <w:r w:rsidRPr="0063119B">
        <w:rPr>
          <w:b/>
          <w:noProof/>
          <w:szCs w:val="22"/>
        </w:rPr>
        <w:t>5.3</w:t>
      </w:r>
      <w:r w:rsidRPr="0063119B">
        <w:rPr>
          <w:b/>
          <w:noProof/>
          <w:szCs w:val="22"/>
        </w:rPr>
        <w:tab/>
        <w:t>Dados de segurança pré</w:t>
      </w:r>
      <w:r w:rsidRPr="0063119B">
        <w:rPr>
          <w:b/>
          <w:noProof/>
          <w:szCs w:val="22"/>
        </w:rPr>
        <w:noBreakHyphen/>
        <w:t>clínica</w:t>
      </w:r>
    </w:p>
    <w:p w14:paraId="4383AC28" w14:textId="77777777" w:rsidR="00337111" w:rsidRPr="0063119B" w:rsidRDefault="00337111" w:rsidP="00337111">
      <w:pPr>
        <w:keepNext/>
        <w:rPr>
          <w:noProof/>
          <w:szCs w:val="22"/>
        </w:rPr>
      </w:pPr>
    </w:p>
    <w:p w14:paraId="2D704C0E" w14:textId="77777777" w:rsidR="00337111" w:rsidRPr="0063119B" w:rsidRDefault="00337111" w:rsidP="00337111">
      <w:pPr>
        <w:keepNext/>
        <w:rPr>
          <w:noProof/>
          <w:szCs w:val="22"/>
        </w:rPr>
      </w:pPr>
      <w:r w:rsidRPr="0063119B">
        <w:rPr>
          <w:noProof/>
          <w:szCs w:val="22"/>
        </w:rPr>
        <w:t xml:space="preserve">Os dados não clínicos não revelam riscos especiais para o ser humano, segundo estudos convencionais de farmacologia de segurança, toxicidade de dose única, fototoxicidade, genotoxicidade, potencial carcinogénico e toxicidade </w:t>
      </w:r>
      <w:r w:rsidR="008D24C7" w:rsidRPr="0063119B">
        <w:rPr>
          <w:noProof/>
          <w:szCs w:val="22"/>
        </w:rPr>
        <w:t>juvenil</w:t>
      </w:r>
      <w:r w:rsidRPr="0063119B">
        <w:rPr>
          <w:noProof/>
          <w:szCs w:val="22"/>
        </w:rPr>
        <w:t>.</w:t>
      </w:r>
    </w:p>
    <w:p w14:paraId="4822808A" w14:textId="77777777" w:rsidR="00337111" w:rsidRPr="0063119B" w:rsidRDefault="00337111" w:rsidP="00337111">
      <w:pPr>
        <w:rPr>
          <w:noProof/>
          <w:szCs w:val="22"/>
        </w:rPr>
      </w:pPr>
      <w:r w:rsidRPr="0063119B">
        <w:rPr>
          <w:noProof/>
          <w:szCs w:val="22"/>
        </w:rPr>
        <w:t>Os efeitos observados em estudos de toxicidade de dose repetida foram devidos principalmente à atividade farmacodinâmica exagerada do rivaroxabano. Nos ratos, o aumento dos níveis plasmáticos de IgG e IgA foram observados em níveis de exposição clinicamente relevantes.</w:t>
      </w:r>
    </w:p>
    <w:p w14:paraId="6EAA0499" w14:textId="77777777" w:rsidR="00337111" w:rsidRPr="0063119B" w:rsidRDefault="00337111" w:rsidP="00337111">
      <w:pPr>
        <w:rPr>
          <w:noProof/>
          <w:szCs w:val="22"/>
        </w:rPr>
      </w:pPr>
      <w:r w:rsidRPr="0063119B">
        <w:rPr>
          <w:noProof/>
          <w:szCs w:val="22"/>
        </w:rPr>
        <w:t>Não foi observado nenhum efeito sobre a fertilidade masculina ou feminina em ratos. Os estudos em animais demonstraram toxicidade reprodutiva relacionada com o modo de ação farmacológico de rivaroxabano (ex.: complicações hemorrágicas). Em concentrações plasmáticas clinicamente relevantes foram observados toxicidade embrio</w:t>
      </w:r>
      <w:r w:rsidRPr="0063119B">
        <w:rPr>
          <w:noProof/>
          <w:szCs w:val="22"/>
        </w:rPr>
        <w:noBreakHyphen/>
        <w:t>fetal (perda pós</w:t>
      </w:r>
      <w:r w:rsidRPr="0063119B">
        <w:rPr>
          <w:noProof/>
          <w:szCs w:val="22"/>
        </w:rPr>
        <w:noBreakHyphen/>
        <w:t>implantação, ossificação retardada/desenvolvida, múltiplas manchas hepáticas de cor clara) e um aumento da incidência de malformações frequentes, bem como alterações placentárias. No estudo pré</w:t>
      </w:r>
      <w:r w:rsidRPr="0063119B">
        <w:rPr>
          <w:noProof/>
          <w:szCs w:val="22"/>
        </w:rPr>
        <w:noBreakHyphen/>
        <w:t xml:space="preserve"> e pós</w:t>
      </w:r>
      <w:r w:rsidRPr="0063119B">
        <w:rPr>
          <w:noProof/>
          <w:szCs w:val="22"/>
        </w:rPr>
        <w:noBreakHyphen/>
        <w:t>natal em ratos, observou</w:t>
      </w:r>
      <w:r w:rsidRPr="0063119B">
        <w:rPr>
          <w:noProof/>
          <w:szCs w:val="22"/>
        </w:rPr>
        <w:noBreakHyphen/>
        <w:t>se redução da viabilidade da descendência em doses que foram tóxicas para as mães.</w:t>
      </w:r>
    </w:p>
    <w:p w14:paraId="0B7F52F4" w14:textId="77777777" w:rsidR="00337111" w:rsidRPr="0063119B" w:rsidRDefault="003362F2" w:rsidP="00337111">
      <w:pPr>
        <w:suppressAutoHyphens/>
        <w:rPr>
          <w:noProof/>
          <w:szCs w:val="22"/>
        </w:rPr>
      </w:pPr>
      <w:r>
        <w:rPr>
          <w:szCs w:val="22"/>
        </w:rPr>
        <w:t>O rivaroxabano foi testado em ratos juvenis com uma duração de tratamento até 3 meses, com início no dia 4 pós-natal demonstrando um aumento não relacionado com a dose na hemorragia peri-insular. Não se observaram evidências de toxicidade específica para órgãos alvo.</w:t>
      </w:r>
    </w:p>
    <w:p w14:paraId="2E9E0760" w14:textId="77777777" w:rsidR="00337111" w:rsidRPr="0063119B" w:rsidRDefault="00337111" w:rsidP="00337111">
      <w:pPr>
        <w:suppressAutoHyphens/>
        <w:ind w:left="567" w:hanging="567"/>
        <w:rPr>
          <w:b/>
          <w:noProof/>
          <w:szCs w:val="22"/>
        </w:rPr>
      </w:pPr>
    </w:p>
    <w:p w14:paraId="7F8DB235" w14:textId="77777777" w:rsidR="00337111" w:rsidRPr="0063119B" w:rsidRDefault="00337111" w:rsidP="00337111">
      <w:pPr>
        <w:keepNext/>
        <w:suppressAutoHyphens/>
        <w:ind w:left="567" w:hanging="567"/>
        <w:rPr>
          <w:noProof/>
          <w:szCs w:val="22"/>
        </w:rPr>
      </w:pPr>
      <w:r w:rsidRPr="0063119B">
        <w:rPr>
          <w:b/>
          <w:noProof/>
          <w:szCs w:val="22"/>
        </w:rPr>
        <w:t>6.</w:t>
      </w:r>
      <w:r w:rsidRPr="0063119B">
        <w:rPr>
          <w:b/>
          <w:noProof/>
          <w:szCs w:val="22"/>
        </w:rPr>
        <w:tab/>
        <w:t>INFORMAÇÕES FARMACÊUTICAS</w:t>
      </w:r>
    </w:p>
    <w:p w14:paraId="79FA8E44" w14:textId="77777777" w:rsidR="00337111" w:rsidRPr="0063119B" w:rsidRDefault="00337111" w:rsidP="00337111">
      <w:pPr>
        <w:keepNext/>
        <w:suppressAutoHyphens/>
        <w:rPr>
          <w:noProof/>
          <w:szCs w:val="22"/>
        </w:rPr>
      </w:pPr>
    </w:p>
    <w:p w14:paraId="1C30C004" w14:textId="77777777" w:rsidR="00337111" w:rsidRPr="0063119B" w:rsidRDefault="00337111" w:rsidP="00337111">
      <w:pPr>
        <w:keepNext/>
        <w:suppressAutoHyphens/>
        <w:ind w:left="567" w:hanging="567"/>
        <w:rPr>
          <w:noProof/>
          <w:szCs w:val="22"/>
        </w:rPr>
      </w:pPr>
      <w:r w:rsidRPr="0063119B">
        <w:rPr>
          <w:b/>
          <w:noProof/>
          <w:szCs w:val="22"/>
        </w:rPr>
        <w:t>6.1.</w:t>
      </w:r>
      <w:r w:rsidRPr="0063119B">
        <w:rPr>
          <w:b/>
          <w:noProof/>
          <w:szCs w:val="22"/>
        </w:rPr>
        <w:tab/>
        <w:t>Lista dos excipientes</w:t>
      </w:r>
    </w:p>
    <w:p w14:paraId="15430FEE" w14:textId="77777777" w:rsidR="00337111" w:rsidRPr="0063119B" w:rsidRDefault="00337111" w:rsidP="00337111">
      <w:pPr>
        <w:keepNext/>
        <w:suppressAutoHyphens/>
        <w:rPr>
          <w:noProof/>
          <w:szCs w:val="22"/>
        </w:rPr>
      </w:pPr>
    </w:p>
    <w:p w14:paraId="48C6D2F6" w14:textId="77777777" w:rsidR="00337111" w:rsidRPr="0063119B" w:rsidRDefault="00337111" w:rsidP="00337111">
      <w:pPr>
        <w:keepNext/>
        <w:suppressAutoHyphens/>
        <w:rPr>
          <w:noProof/>
          <w:szCs w:val="22"/>
          <w:u w:val="single"/>
        </w:rPr>
      </w:pPr>
      <w:r w:rsidRPr="0063119B">
        <w:rPr>
          <w:noProof/>
          <w:szCs w:val="22"/>
          <w:u w:val="single"/>
        </w:rPr>
        <w:t>Núcleo do comprimido</w:t>
      </w:r>
    </w:p>
    <w:p w14:paraId="0E97F55F" w14:textId="77777777" w:rsidR="00215DC7" w:rsidRPr="0063119B" w:rsidRDefault="00215DC7" w:rsidP="00337111">
      <w:pPr>
        <w:keepNext/>
        <w:suppressAutoHyphens/>
        <w:rPr>
          <w:noProof/>
          <w:szCs w:val="22"/>
        </w:rPr>
      </w:pPr>
    </w:p>
    <w:p w14:paraId="76ACF45B" w14:textId="77777777" w:rsidR="00337111" w:rsidRPr="0063119B" w:rsidRDefault="00337111" w:rsidP="00337111">
      <w:pPr>
        <w:keepNext/>
        <w:suppressAutoHyphens/>
        <w:rPr>
          <w:noProof/>
          <w:szCs w:val="22"/>
        </w:rPr>
      </w:pPr>
      <w:r w:rsidRPr="0063119B">
        <w:rPr>
          <w:noProof/>
          <w:szCs w:val="22"/>
        </w:rPr>
        <w:t>Lactose mono</w:t>
      </w:r>
      <w:r w:rsidR="00215DC7" w:rsidRPr="0063119B">
        <w:rPr>
          <w:noProof/>
          <w:szCs w:val="22"/>
        </w:rPr>
        <w:t>-</w:t>
      </w:r>
      <w:r w:rsidRPr="0063119B">
        <w:rPr>
          <w:noProof/>
          <w:szCs w:val="22"/>
        </w:rPr>
        <w:t>hidratada</w:t>
      </w:r>
    </w:p>
    <w:p w14:paraId="642745C3" w14:textId="77777777" w:rsidR="00215DC7" w:rsidRPr="0063119B" w:rsidRDefault="00215DC7" w:rsidP="00215DC7">
      <w:pPr>
        <w:keepNext/>
        <w:suppressAutoHyphens/>
        <w:rPr>
          <w:noProof/>
          <w:szCs w:val="22"/>
        </w:rPr>
      </w:pPr>
      <w:r w:rsidRPr="0063119B">
        <w:rPr>
          <w:noProof/>
          <w:szCs w:val="22"/>
        </w:rPr>
        <w:t>Croscarmelose sódica (E468)</w:t>
      </w:r>
    </w:p>
    <w:p w14:paraId="51AC29AC" w14:textId="77777777" w:rsidR="00215DC7" w:rsidRPr="0063119B" w:rsidRDefault="00215DC7" w:rsidP="00215DC7">
      <w:pPr>
        <w:keepNext/>
        <w:suppressAutoHyphens/>
        <w:rPr>
          <w:noProof/>
          <w:szCs w:val="22"/>
        </w:rPr>
      </w:pPr>
      <w:r w:rsidRPr="0063119B">
        <w:rPr>
          <w:noProof/>
          <w:szCs w:val="22"/>
        </w:rPr>
        <w:t>Laurilsulfato de sódio (E487)</w:t>
      </w:r>
    </w:p>
    <w:p w14:paraId="54C79189" w14:textId="77777777" w:rsidR="00337111" w:rsidRPr="0063119B" w:rsidRDefault="00337111" w:rsidP="00337111">
      <w:pPr>
        <w:keepNext/>
        <w:suppressAutoHyphens/>
        <w:rPr>
          <w:noProof/>
          <w:szCs w:val="22"/>
        </w:rPr>
      </w:pPr>
      <w:r w:rsidRPr="0063119B">
        <w:rPr>
          <w:noProof/>
          <w:szCs w:val="22"/>
        </w:rPr>
        <w:t>Hipromelose</w:t>
      </w:r>
      <w:r w:rsidR="0033059D" w:rsidRPr="0063119B">
        <w:rPr>
          <w:noProof/>
          <w:szCs w:val="22"/>
        </w:rPr>
        <w:t xml:space="preserve"> </w:t>
      </w:r>
      <w:r w:rsidR="00F00CF2" w:rsidRPr="0063119B">
        <w:rPr>
          <w:noProof/>
          <w:szCs w:val="22"/>
        </w:rPr>
        <w:t xml:space="preserve">2910 </w:t>
      </w:r>
      <w:r w:rsidR="0033059D" w:rsidRPr="0063119B">
        <w:rPr>
          <w:noProof/>
          <w:szCs w:val="22"/>
        </w:rPr>
        <w:t>(viscosidade nominal 5,1 mPa</w:t>
      </w:r>
      <w:r w:rsidR="00E37B71" w:rsidRPr="0063119B">
        <w:rPr>
          <w:noProof/>
          <w:szCs w:val="22"/>
        </w:rPr>
        <w:t>.</w:t>
      </w:r>
      <w:r w:rsidR="0033059D" w:rsidRPr="0063119B">
        <w:rPr>
          <w:noProof/>
          <w:szCs w:val="22"/>
        </w:rPr>
        <w:t>S)</w:t>
      </w:r>
      <w:r w:rsidR="00215DC7" w:rsidRPr="0063119B">
        <w:rPr>
          <w:noProof/>
          <w:szCs w:val="22"/>
        </w:rPr>
        <w:t xml:space="preserve"> (E464)</w:t>
      </w:r>
    </w:p>
    <w:p w14:paraId="07271DBF" w14:textId="77777777" w:rsidR="00215DC7" w:rsidRPr="0063119B" w:rsidRDefault="00215DC7" w:rsidP="00215DC7">
      <w:pPr>
        <w:keepNext/>
        <w:suppressAutoHyphens/>
        <w:rPr>
          <w:noProof/>
          <w:szCs w:val="22"/>
        </w:rPr>
      </w:pPr>
      <w:r w:rsidRPr="0063119B">
        <w:rPr>
          <w:noProof/>
          <w:szCs w:val="22"/>
        </w:rPr>
        <w:t>Celulose microcristalina (E460)</w:t>
      </w:r>
    </w:p>
    <w:p w14:paraId="02ACEE39" w14:textId="77777777" w:rsidR="00215DC7" w:rsidRPr="0063119B" w:rsidRDefault="00215DC7" w:rsidP="00215DC7">
      <w:pPr>
        <w:keepNext/>
        <w:suppressAutoHyphens/>
        <w:rPr>
          <w:noProof/>
          <w:szCs w:val="22"/>
        </w:rPr>
      </w:pPr>
      <w:r w:rsidRPr="0063119B">
        <w:rPr>
          <w:noProof/>
          <w:szCs w:val="22"/>
        </w:rPr>
        <w:t>Sílica coloidal anidra (E551)</w:t>
      </w:r>
    </w:p>
    <w:p w14:paraId="3F3BBF46" w14:textId="77777777" w:rsidR="00337111" w:rsidRPr="0063119B" w:rsidRDefault="00337111" w:rsidP="00337111">
      <w:pPr>
        <w:keepNext/>
        <w:suppressAutoHyphens/>
        <w:rPr>
          <w:noProof/>
          <w:szCs w:val="22"/>
        </w:rPr>
      </w:pPr>
      <w:r w:rsidRPr="0063119B">
        <w:rPr>
          <w:noProof/>
          <w:szCs w:val="22"/>
        </w:rPr>
        <w:t>Estearato de magnésio</w:t>
      </w:r>
      <w:r w:rsidR="00215DC7" w:rsidRPr="0063119B">
        <w:rPr>
          <w:noProof/>
          <w:szCs w:val="22"/>
        </w:rPr>
        <w:t xml:space="preserve"> (E572)</w:t>
      </w:r>
    </w:p>
    <w:p w14:paraId="7225AD9B" w14:textId="77777777" w:rsidR="00337111" w:rsidRPr="0063119B" w:rsidRDefault="00337111" w:rsidP="00337111">
      <w:pPr>
        <w:suppressAutoHyphens/>
        <w:rPr>
          <w:noProof/>
          <w:szCs w:val="22"/>
        </w:rPr>
      </w:pPr>
    </w:p>
    <w:p w14:paraId="2A820799" w14:textId="77777777" w:rsidR="00337111" w:rsidRPr="0063119B" w:rsidRDefault="00337111" w:rsidP="00337111">
      <w:pPr>
        <w:suppressAutoHyphens/>
        <w:rPr>
          <w:noProof/>
          <w:szCs w:val="22"/>
          <w:u w:val="single"/>
        </w:rPr>
      </w:pPr>
      <w:r w:rsidRPr="0063119B">
        <w:rPr>
          <w:noProof/>
          <w:szCs w:val="22"/>
          <w:u w:val="single"/>
        </w:rPr>
        <w:t>Revestimento do comprimido</w:t>
      </w:r>
    </w:p>
    <w:p w14:paraId="596A4ED3" w14:textId="77777777" w:rsidR="00215DC7" w:rsidRPr="0063119B" w:rsidRDefault="00215DC7" w:rsidP="00337111">
      <w:pPr>
        <w:suppressAutoHyphens/>
        <w:rPr>
          <w:noProof/>
          <w:szCs w:val="22"/>
        </w:rPr>
      </w:pPr>
    </w:p>
    <w:p w14:paraId="5E5ED11D" w14:textId="77777777" w:rsidR="00337111" w:rsidRPr="0063119B" w:rsidRDefault="00F00CF2" w:rsidP="00337111">
      <w:pPr>
        <w:suppressAutoHyphens/>
        <w:rPr>
          <w:noProof/>
          <w:szCs w:val="22"/>
        </w:rPr>
      </w:pPr>
      <w:r w:rsidRPr="0063119B">
        <w:rPr>
          <w:noProof/>
          <w:szCs w:val="22"/>
        </w:rPr>
        <w:t>Macrogol</w:t>
      </w:r>
      <w:r w:rsidR="0033059D" w:rsidRPr="0063119B">
        <w:rPr>
          <w:noProof/>
          <w:szCs w:val="22"/>
        </w:rPr>
        <w:t xml:space="preserve"> </w:t>
      </w:r>
      <w:r w:rsidR="00215DC7" w:rsidRPr="0063119B">
        <w:rPr>
          <w:noProof/>
          <w:szCs w:val="22"/>
        </w:rPr>
        <w:t>4000 (E1521)</w:t>
      </w:r>
    </w:p>
    <w:p w14:paraId="768924EA" w14:textId="77777777" w:rsidR="00337111" w:rsidRPr="0063119B" w:rsidRDefault="00337111" w:rsidP="00337111">
      <w:pPr>
        <w:suppressAutoHyphens/>
        <w:rPr>
          <w:noProof/>
          <w:szCs w:val="22"/>
        </w:rPr>
      </w:pPr>
      <w:r w:rsidRPr="0063119B">
        <w:rPr>
          <w:noProof/>
          <w:szCs w:val="22"/>
        </w:rPr>
        <w:t>Hipromelose</w:t>
      </w:r>
      <w:r w:rsidR="00F00CF2" w:rsidRPr="0063119B">
        <w:rPr>
          <w:noProof/>
          <w:szCs w:val="22"/>
        </w:rPr>
        <w:t xml:space="preserve"> 2910</w:t>
      </w:r>
      <w:r w:rsidR="0033059D" w:rsidRPr="0063119B">
        <w:rPr>
          <w:noProof/>
          <w:szCs w:val="22"/>
        </w:rPr>
        <w:t xml:space="preserve"> (viscosidade nominal 5,1 mPa</w:t>
      </w:r>
      <w:r w:rsidR="00E37B71" w:rsidRPr="0063119B">
        <w:rPr>
          <w:noProof/>
          <w:szCs w:val="22"/>
        </w:rPr>
        <w:t>.</w:t>
      </w:r>
      <w:r w:rsidR="0033059D" w:rsidRPr="0063119B">
        <w:rPr>
          <w:noProof/>
          <w:szCs w:val="22"/>
        </w:rPr>
        <w:t>S)</w:t>
      </w:r>
      <w:r w:rsidR="00215DC7" w:rsidRPr="0063119B">
        <w:rPr>
          <w:noProof/>
          <w:szCs w:val="22"/>
        </w:rPr>
        <w:t xml:space="preserve"> (E464)</w:t>
      </w:r>
    </w:p>
    <w:p w14:paraId="065A2DFB" w14:textId="77777777" w:rsidR="00337111" w:rsidRPr="0063119B" w:rsidRDefault="00337111" w:rsidP="00337111">
      <w:pPr>
        <w:suppressAutoHyphens/>
        <w:rPr>
          <w:noProof/>
          <w:szCs w:val="22"/>
        </w:rPr>
      </w:pPr>
      <w:r w:rsidRPr="0063119B">
        <w:rPr>
          <w:noProof/>
          <w:szCs w:val="22"/>
        </w:rPr>
        <w:t>Dióxido de titânio (E171)</w:t>
      </w:r>
    </w:p>
    <w:p w14:paraId="4CA2AB28" w14:textId="77777777" w:rsidR="00337111" w:rsidRPr="0063119B" w:rsidRDefault="00337111" w:rsidP="00337111">
      <w:pPr>
        <w:suppressAutoHyphens/>
        <w:rPr>
          <w:noProof/>
          <w:szCs w:val="22"/>
        </w:rPr>
      </w:pPr>
      <w:r w:rsidRPr="0063119B">
        <w:rPr>
          <w:noProof/>
          <w:szCs w:val="22"/>
        </w:rPr>
        <w:t>Óxido de ferro vermelho (E172)</w:t>
      </w:r>
    </w:p>
    <w:p w14:paraId="178D077C" w14:textId="77777777" w:rsidR="00337111" w:rsidRPr="0063119B" w:rsidRDefault="00337111" w:rsidP="00337111">
      <w:pPr>
        <w:suppressAutoHyphens/>
        <w:rPr>
          <w:noProof/>
          <w:szCs w:val="22"/>
        </w:rPr>
      </w:pPr>
    </w:p>
    <w:p w14:paraId="1864CD62" w14:textId="77777777" w:rsidR="00337111" w:rsidRPr="0063119B" w:rsidRDefault="00337111" w:rsidP="00337111">
      <w:pPr>
        <w:keepNext/>
        <w:suppressAutoHyphens/>
        <w:ind w:left="567" w:hanging="567"/>
        <w:rPr>
          <w:b/>
          <w:noProof/>
          <w:szCs w:val="22"/>
        </w:rPr>
      </w:pPr>
      <w:r w:rsidRPr="0063119B">
        <w:rPr>
          <w:b/>
          <w:noProof/>
          <w:szCs w:val="22"/>
        </w:rPr>
        <w:lastRenderedPageBreak/>
        <w:t>6.2</w:t>
      </w:r>
      <w:r w:rsidRPr="0063119B">
        <w:rPr>
          <w:b/>
          <w:noProof/>
          <w:szCs w:val="22"/>
        </w:rPr>
        <w:tab/>
        <w:t>Incompatibilidades</w:t>
      </w:r>
    </w:p>
    <w:p w14:paraId="6E27D7F4" w14:textId="77777777" w:rsidR="00337111" w:rsidRPr="0063119B" w:rsidRDefault="00337111" w:rsidP="00337111">
      <w:pPr>
        <w:keepNext/>
        <w:rPr>
          <w:noProof/>
          <w:szCs w:val="22"/>
        </w:rPr>
      </w:pPr>
    </w:p>
    <w:p w14:paraId="0994A40E" w14:textId="77777777" w:rsidR="00337111" w:rsidRPr="0063119B" w:rsidRDefault="00337111" w:rsidP="00337111">
      <w:pPr>
        <w:keepNext/>
        <w:rPr>
          <w:noProof/>
          <w:szCs w:val="22"/>
        </w:rPr>
      </w:pPr>
      <w:r w:rsidRPr="0063119B">
        <w:rPr>
          <w:noProof/>
          <w:szCs w:val="22"/>
        </w:rPr>
        <w:t>Não aplicável.</w:t>
      </w:r>
    </w:p>
    <w:p w14:paraId="26665CAB" w14:textId="77777777" w:rsidR="00337111" w:rsidRPr="0063119B" w:rsidRDefault="00337111" w:rsidP="00337111">
      <w:pPr>
        <w:suppressAutoHyphens/>
        <w:ind w:left="567" w:hanging="567"/>
        <w:rPr>
          <w:b/>
          <w:noProof/>
          <w:szCs w:val="22"/>
        </w:rPr>
      </w:pPr>
    </w:p>
    <w:p w14:paraId="3FFDCCB6" w14:textId="77777777" w:rsidR="00337111" w:rsidRPr="0063119B" w:rsidRDefault="00337111" w:rsidP="00337111">
      <w:pPr>
        <w:suppressAutoHyphens/>
        <w:ind w:left="567" w:hanging="567"/>
        <w:rPr>
          <w:noProof/>
          <w:szCs w:val="22"/>
        </w:rPr>
      </w:pPr>
      <w:r w:rsidRPr="0063119B">
        <w:rPr>
          <w:b/>
          <w:noProof/>
          <w:szCs w:val="22"/>
        </w:rPr>
        <w:t>6.3</w:t>
      </w:r>
      <w:r w:rsidRPr="0063119B">
        <w:rPr>
          <w:b/>
          <w:noProof/>
          <w:szCs w:val="22"/>
        </w:rPr>
        <w:tab/>
        <w:t>Prazo de validade</w:t>
      </w:r>
    </w:p>
    <w:p w14:paraId="06A32BA0" w14:textId="77777777" w:rsidR="00337111" w:rsidRPr="0063119B" w:rsidRDefault="00337111" w:rsidP="00337111">
      <w:pPr>
        <w:suppressAutoHyphens/>
        <w:rPr>
          <w:noProof/>
          <w:szCs w:val="22"/>
        </w:rPr>
      </w:pPr>
    </w:p>
    <w:p w14:paraId="3CCD53DF" w14:textId="77777777" w:rsidR="00337111" w:rsidRPr="0063119B" w:rsidRDefault="00215DC7" w:rsidP="00337111">
      <w:pPr>
        <w:suppressAutoHyphens/>
        <w:rPr>
          <w:noProof/>
          <w:szCs w:val="22"/>
        </w:rPr>
      </w:pPr>
      <w:r w:rsidRPr="0063119B">
        <w:rPr>
          <w:noProof/>
          <w:szCs w:val="22"/>
        </w:rPr>
        <w:t>2 </w:t>
      </w:r>
      <w:r w:rsidR="00337111" w:rsidRPr="0063119B">
        <w:rPr>
          <w:noProof/>
          <w:szCs w:val="22"/>
        </w:rPr>
        <w:t>anos</w:t>
      </w:r>
      <w:r w:rsidR="00932EC8" w:rsidRPr="0063119B">
        <w:rPr>
          <w:noProof/>
          <w:szCs w:val="22"/>
        </w:rPr>
        <w:t>.</w:t>
      </w:r>
    </w:p>
    <w:p w14:paraId="2C175513" w14:textId="77777777" w:rsidR="00337111" w:rsidRDefault="00337111" w:rsidP="00337111">
      <w:pPr>
        <w:suppressAutoHyphens/>
        <w:rPr>
          <w:noProof/>
          <w:szCs w:val="22"/>
        </w:rPr>
      </w:pPr>
    </w:p>
    <w:p w14:paraId="1627832F" w14:textId="77777777" w:rsidR="003362F2" w:rsidRPr="003362F2" w:rsidRDefault="003362F2" w:rsidP="003362F2">
      <w:pPr>
        <w:autoSpaceDE w:val="0"/>
        <w:autoSpaceDN w:val="0"/>
        <w:adjustRightInd w:val="0"/>
        <w:rPr>
          <w:color w:val="000000"/>
          <w:szCs w:val="22"/>
          <w:lang w:eastAsia="pt-PT"/>
        </w:rPr>
      </w:pPr>
      <w:r w:rsidRPr="003362F2">
        <w:rPr>
          <w:color w:val="000000"/>
          <w:szCs w:val="22"/>
          <w:lang w:eastAsia="pt-PT"/>
        </w:rPr>
        <w:t xml:space="preserve">Comprimidos triturados </w:t>
      </w:r>
    </w:p>
    <w:p w14:paraId="04E06E48" w14:textId="77777777" w:rsidR="003362F2" w:rsidRDefault="003362F2" w:rsidP="003362F2">
      <w:pPr>
        <w:suppressAutoHyphens/>
        <w:rPr>
          <w:color w:val="000000"/>
          <w:szCs w:val="22"/>
          <w:lang w:eastAsia="pt-PT"/>
        </w:rPr>
      </w:pPr>
      <w:r w:rsidRPr="003362F2">
        <w:rPr>
          <w:color w:val="000000"/>
          <w:szCs w:val="22"/>
          <w:lang w:eastAsia="pt-PT"/>
        </w:rPr>
        <w:t>Os comprimidos triturados de rivaroxabano são estáveis na água e no puré de maçã até 4 horas.</w:t>
      </w:r>
    </w:p>
    <w:p w14:paraId="30F36938" w14:textId="77777777" w:rsidR="003362F2" w:rsidRPr="0063119B" w:rsidRDefault="003362F2" w:rsidP="003362F2">
      <w:pPr>
        <w:suppressAutoHyphens/>
        <w:rPr>
          <w:noProof/>
          <w:szCs w:val="22"/>
        </w:rPr>
      </w:pPr>
    </w:p>
    <w:p w14:paraId="05185181" w14:textId="77777777" w:rsidR="00337111" w:rsidRPr="0063119B" w:rsidRDefault="00337111" w:rsidP="00337111">
      <w:pPr>
        <w:suppressAutoHyphens/>
        <w:ind w:left="567" w:hanging="567"/>
        <w:rPr>
          <w:noProof/>
          <w:szCs w:val="22"/>
        </w:rPr>
      </w:pPr>
      <w:r w:rsidRPr="0063119B">
        <w:rPr>
          <w:b/>
          <w:noProof/>
          <w:szCs w:val="22"/>
        </w:rPr>
        <w:t>6.4</w:t>
      </w:r>
      <w:r w:rsidRPr="0063119B">
        <w:rPr>
          <w:b/>
          <w:noProof/>
          <w:szCs w:val="22"/>
        </w:rPr>
        <w:tab/>
        <w:t>Precauções especiais de conservação</w:t>
      </w:r>
    </w:p>
    <w:p w14:paraId="10FB7245" w14:textId="77777777" w:rsidR="00337111" w:rsidRPr="0063119B" w:rsidRDefault="00337111" w:rsidP="00337111">
      <w:pPr>
        <w:suppressAutoHyphens/>
        <w:rPr>
          <w:noProof/>
          <w:szCs w:val="22"/>
        </w:rPr>
      </w:pPr>
    </w:p>
    <w:p w14:paraId="195B8195" w14:textId="77777777" w:rsidR="00337111" w:rsidRPr="0063119B" w:rsidRDefault="00337111" w:rsidP="00337111">
      <w:pPr>
        <w:suppressAutoHyphens/>
        <w:rPr>
          <w:noProof/>
          <w:szCs w:val="22"/>
        </w:rPr>
      </w:pPr>
      <w:r w:rsidRPr="0063119B">
        <w:rPr>
          <w:noProof/>
          <w:szCs w:val="22"/>
        </w:rPr>
        <w:t>Este medicamento não necessita de condições especiais de conservação.</w:t>
      </w:r>
    </w:p>
    <w:p w14:paraId="6686F3AA" w14:textId="77777777" w:rsidR="00337111" w:rsidRPr="0063119B" w:rsidRDefault="00337111" w:rsidP="00337111">
      <w:pPr>
        <w:suppressAutoHyphens/>
        <w:rPr>
          <w:noProof/>
          <w:szCs w:val="22"/>
        </w:rPr>
      </w:pPr>
    </w:p>
    <w:p w14:paraId="623EA5FC" w14:textId="77777777" w:rsidR="00337111" w:rsidRPr="0063119B" w:rsidRDefault="00337111" w:rsidP="00337111">
      <w:pPr>
        <w:suppressAutoHyphens/>
        <w:ind w:left="567" w:hanging="567"/>
        <w:rPr>
          <w:noProof/>
          <w:szCs w:val="22"/>
        </w:rPr>
      </w:pPr>
      <w:r w:rsidRPr="0063119B">
        <w:rPr>
          <w:b/>
          <w:noProof/>
          <w:szCs w:val="22"/>
        </w:rPr>
        <w:t>6.5</w:t>
      </w:r>
      <w:r w:rsidRPr="0063119B">
        <w:rPr>
          <w:b/>
          <w:noProof/>
          <w:szCs w:val="22"/>
        </w:rPr>
        <w:tab/>
        <w:t>Natureza e conteúdo do recipiente</w:t>
      </w:r>
    </w:p>
    <w:p w14:paraId="18729D99" w14:textId="77777777" w:rsidR="00337111" w:rsidRPr="0063119B" w:rsidRDefault="00337111" w:rsidP="00337111">
      <w:pPr>
        <w:suppressAutoHyphens/>
        <w:rPr>
          <w:noProof/>
          <w:szCs w:val="22"/>
        </w:rPr>
      </w:pPr>
    </w:p>
    <w:p w14:paraId="0014C363" w14:textId="77777777" w:rsidR="00337111" w:rsidRPr="0063119B" w:rsidRDefault="00337111" w:rsidP="00337111">
      <w:pPr>
        <w:suppressAutoHyphens/>
        <w:rPr>
          <w:noProof/>
          <w:szCs w:val="22"/>
        </w:rPr>
      </w:pPr>
      <w:r w:rsidRPr="0063119B">
        <w:rPr>
          <w:noProof/>
          <w:szCs w:val="22"/>
        </w:rPr>
        <w:t xml:space="preserve">Blisters de </w:t>
      </w:r>
      <w:r w:rsidR="00215DC7" w:rsidRPr="0063119B">
        <w:rPr>
          <w:noProof/>
          <w:szCs w:val="22"/>
        </w:rPr>
        <w:t>PVC transparente</w:t>
      </w:r>
      <w:r w:rsidRPr="0063119B">
        <w:rPr>
          <w:noProof/>
          <w:szCs w:val="22"/>
        </w:rPr>
        <w:t xml:space="preserve">/alumínio em embalagens de </w:t>
      </w:r>
      <w:r w:rsidR="00943737" w:rsidRPr="0063119B">
        <w:rPr>
          <w:noProof/>
          <w:szCs w:val="22"/>
        </w:rPr>
        <w:t xml:space="preserve">10, </w:t>
      </w:r>
      <w:r w:rsidRPr="0063119B">
        <w:rPr>
          <w:noProof/>
          <w:szCs w:val="22"/>
        </w:rPr>
        <w:t xml:space="preserve">14, 28, </w:t>
      </w:r>
      <w:r w:rsidR="00411161" w:rsidRPr="0063119B">
        <w:rPr>
          <w:noProof/>
          <w:szCs w:val="22"/>
        </w:rPr>
        <w:t xml:space="preserve">30, </w:t>
      </w:r>
      <w:r w:rsidRPr="0063119B">
        <w:rPr>
          <w:noProof/>
          <w:szCs w:val="22"/>
        </w:rPr>
        <w:t>42</w:t>
      </w:r>
      <w:r w:rsidR="00411161" w:rsidRPr="0063119B">
        <w:rPr>
          <w:noProof/>
          <w:szCs w:val="22"/>
        </w:rPr>
        <w:t>,</w:t>
      </w:r>
      <w:r w:rsidRPr="0063119B">
        <w:rPr>
          <w:noProof/>
          <w:szCs w:val="22"/>
        </w:rPr>
        <w:t xml:space="preserve"> </w:t>
      </w:r>
      <w:r w:rsidR="00411161" w:rsidRPr="0063119B">
        <w:rPr>
          <w:noProof/>
          <w:szCs w:val="22"/>
        </w:rPr>
        <w:t xml:space="preserve">48, 56, 90, </w:t>
      </w:r>
      <w:r w:rsidRPr="0063119B">
        <w:rPr>
          <w:noProof/>
          <w:szCs w:val="22"/>
        </w:rPr>
        <w:t>98</w:t>
      </w:r>
      <w:r w:rsidR="00411161" w:rsidRPr="0063119B">
        <w:rPr>
          <w:noProof/>
          <w:szCs w:val="22"/>
        </w:rPr>
        <w:t xml:space="preserve"> ou 100</w:t>
      </w:r>
      <w:r w:rsidRPr="0063119B">
        <w:rPr>
          <w:noProof/>
          <w:szCs w:val="22"/>
        </w:rPr>
        <w:t xml:space="preserve"> comprimidos revestidos por película ou blisters </w:t>
      </w:r>
      <w:r w:rsidR="00411161" w:rsidRPr="0063119B">
        <w:rPr>
          <w:noProof/>
          <w:szCs w:val="22"/>
        </w:rPr>
        <w:t xml:space="preserve">perfurados </w:t>
      </w:r>
      <w:r w:rsidRPr="0063119B">
        <w:rPr>
          <w:noProof/>
          <w:szCs w:val="22"/>
        </w:rPr>
        <w:t>para dose unitária em embalagens de 10 x 1</w:t>
      </w:r>
      <w:r w:rsidR="00411161" w:rsidRPr="0063119B">
        <w:rPr>
          <w:noProof/>
          <w:szCs w:val="22"/>
        </w:rPr>
        <w:t xml:space="preserve"> ou</w:t>
      </w:r>
      <w:r w:rsidRPr="0063119B">
        <w:rPr>
          <w:noProof/>
          <w:szCs w:val="22"/>
        </w:rPr>
        <w:t xml:space="preserve"> 100 x 1  comprimidos revestidos por película.</w:t>
      </w:r>
    </w:p>
    <w:p w14:paraId="37986769" w14:textId="77777777" w:rsidR="00411161" w:rsidRPr="0063119B" w:rsidRDefault="00411161" w:rsidP="00411161">
      <w:pPr>
        <w:suppressAutoHyphens/>
        <w:rPr>
          <w:szCs w:val="22"/>
        </w:rPr>
      </w:pPr>
      <w:r w:rsidRPr="0063119B">
        <w:rPr>
          <w:noProof/>
          <w:szCs w:val="22"/>
        </w:rPr>
        <w:t>Frascos de PEAD com um fecho</w:t>
      </w:r>
      <w:r w:rsidRPr="0063119B">
        <w:rPr>
          <w:szCs w:val="22"/>
        </w:rPr>
        <w:t xml:space="preserve"> de polipropileno branco opaco, resistente à abertura por crianças, revestido com um selo de indução. Apresentação de 30 ou 90 comprimidos revestidos por película.</w:t>
      </w:r>
    </w:p>
    <w:p w14:paraId="6CC3F4B2" w14:textId="77777777" w:rsidR="00411161" w:rsidRPr="0063119B" w:rsidRDefault="00411161" w:rsidP="00411161">
      <w:pPr>
        <w:suppressAutoHyphens/>
        <w:rPr>
          <w:szCs w:val="22"/>
        </w:rPr>
      </w:pPr>
      <w:r w:rsidRPr="0063119B">
        <w:rPr>
          <w:noProof/>
          <w:szCs w:val="22"/>
        </w:rPr>
        <w:t>Frascos de PEAD com um fecho</w:t>
      </w:r>
      <w:r w:rsidRPr="0063119B">
        <w:rPr>
          <w:szCs w:val="22"/>
        </w:rPr>
        <w:t xml:space="preserve"> de rosca contínua de polipropileno branco opaco, resistente à abertura por crianças, revestido com um selo de indução. Apresentação de 500 comprimidos revestidos por película.</w:t>
      </w:r>
    </w:p>
    <w:p w14:paraId="348F3811" w14:textId="77777777" w:rsidR="00337111" w:rsidRPr="0063119B" w:rsidRDefault="00337111" w:rsidP="00337111">
      <w:pPr>
        <w:suppressAutoHyphens/>
        <w:rPr>
          <w:noProof/>
          <w:szCs w:val="22"/>
        </w:rPr>
      </w:pPr>
    </w:p>
    <w:p w14:paraId="7566B120" w14:textId="77777777" w:rsidR="00337111" w:rsidRPr="0063119B" w:rsidRDefault="00337111" w:rsidP="00337111">
      <w:pPr>
        <w:suppressAutoHyphens/>
        <w:rPr>
          <w:noProof/>
          <w:szCs w:val="22"/>
        </w:rPr>
      </w:pPr>
      <w:r w:rsidRPr="0063119B">
        <w:rPr>
          <w:noProof/>
          <w:szCs w:val="22"/>
        </w:rPr>
        <w:t>É possível que não sejam comercializadas todas as apresentações.</w:t>
      </w:r>
    </w:p>
    <w:p w14:paraId="7FA6075E" w14:textId="77777777" w:rsidR="00337111" w:rsidRPr="0063119B" w:rsidRDefault="00337111" w:rsidP="00337111">
      <w:pPr>
        <w:suppressAutoHyphens/>
        <w:rPr>
          <w:noProof/>
          <w:szCs w:val="22"/>
        </w:rPr>
      </w:pPr>
    </w:p>
    <w:p w14:paraId="1F758CF9" w14:textId="77777777" w:rsidR="00337111" w:rsidRPr="0063119B" w:rsidRDefault="00337111" w:rsidP="00337111">
      <w:pPr>
        <w:suppressAutoHyphens/>
        <w:ind w:left="567" w:hanging="567"/>
        <w:rPr>
          <w:noProof/>
          <w:szCs w:val="22"/>
        </w:rPr>
      </w:pPr>
      <w:r w:rsidRPr="0063119B">
        <w:rPr>
          <w:b/>
          <w:noProof/>
          <w:szCs w:val="22"/>
        </w:rPr>
        <w:t>6.6</w:t>
      </w:r>
      <w:r w:rsidRPr="0063119B">
        <w:rPr>
          <w:b/>
          <w:noProof/>
          <w:szCs w:val="22"/>
        </w:rPr>
        <w:tab/>
        <w:t xml:space="preserve">Precauções especiais de eliminação </w:t>
      </w:r>
      <w:r w:rsidR="00411161" w:rsidRPr="0063119B">
        <w:rPr>
          <w:b/>
          <w:noProof/>
          <w:szCs w:val="22"/>
        </w:rPr>
        <w:t>e manuseamento</w:t>
      </w:r>
    </w:p>
    <w:p w14:paraId="7BADEE9E" w14:textId="77777777" w:rsidR="00337111" w:rsidRPr="0063119B" w:rsidRDefault="00337111" w:rsidP="00337111">
      <w:pPr>
        <w:suppressAutoHyphens/>
        <w:rPr>
          <w:noProof/>
          <w:szCs w:val="22"/>
        </w:rPr>
      </w:pPr>
    </w:p>
    <w:p w14:paraId="5AA80C26" w14:textId="77777777" w:rsidR="00337111" w:rsidRPr="0063119B" w:rsidRDefault="003E1D5A" w:rsidP="00CD1F30">
      <w:pPr>
        <w:suppressAutoHyphens/>
        <w:rPr>
          <w:noProof/>
          <w:szCs w:val="22"/>
        </w:rPr>
      </w:pPr>
      <w:r w:rsidRPr="0063119B">
        <w:rPr>
          <w:noProof/>
          <w:szCs w:val="22"/>
        </w:rPr>
        <w:t>Qualquer medicamento não utilizado ou resíduos devem ser eliminados de acordo com as exigências locais.</w:t>
      </w:r>
    </w:p>
    <w:p w14:paraId="7BE6E53E" w14:textId="77777777" w:rsidR="00337111" w:rsidRDefault="00337111" w:rsidP="00337111">
      <w:pPr>
        <w:suppressAutoHyphens/>
        <w:rPr>
          <w:noProof/>
          <w:szCs w:val="22"/>
        </w:rPr>
      </w:pPr>
    </w:p>
    <w:p w14:paraId="63F57AC0" w14:textId="77777777" w:rsidR="003362F2" w:rsidRPr="003362F2" w:rsidRDefault="003362F2" w:rsidP="003362F2">
      <w:pPr>
        <w:autoSpaceDE w:val="0"/>
        <w:autoSpaceDN w:val="0"/>
        <w:adjustRightInd w:val="0"/>
        <w:rPr>
          <w:color w:val="000000"/>
          <w:szCs w:val="22"/>
          <w:lang w:eastAsia="pt-PT"/>
        </w:rPr>
      </w:pPr>
      <w:r w:rsidRPr="003362F2">
        <w:rPr>
          <w:color w:val="000000"/>
          <w:szCs w:val="22"/>
          <w:lang w:eastAsia="pt-PT"/>
        </w:rPr>
        <w:t xml:space="preserve">Trituração dos comprimidos </w:t>
      </w:r>
    </w:p>
    <w:p w14:paraId="5B730212" w14:textId="77777777" w:rsidR="003362F2" w:rsidRPr="0063119B" w:rsidRDefault="003362F2" w:rsidP="003362F2">
      <w:pPr>
        <w:suppressAutoHyphens/>
        <w:rPr>
          <w:noProof/>
          <w:szCs w:val="22"/>
        </w:rPr>
      </w:pPr>
      <w:r w:rsidRPr="003362F2">
        <w:rPr>
          <w:color w:val="000000"/>
          <w:szCs w:val="22"/>
          <w:lang w:eastAsia="pt-PT"/>
        </w:rPr>
        <w:t>Os comprimidos de rivaroxabano podem ser esmagados e suspensos em 50 ml de água e administrados através de uma sonda nasogástrica ou uma sonda de alimentação gástrica após confirmação da colocação gástrica da sonda. Em seguida, a sonda deve ser irrigada com água. Uma vez que a absorção do rivaroxabano depende do local de libertação da substância ativa, deverá evitar-se a administração do rivaroxabano em posição distal em relação ao estômago, o que pode resultar numa absorção reduzida e, por conseguinte, numa exposição reduzida à substância ativa. Após a administração de um comprimido esmagado de rivaroxabano15 mg ou 20 mg, a dose deve ser imediatamente seguida de nutrição entérica.</w:t>
      </w:r>
    </w:p>
    <w:p w14:paraId="66236313" w14:textId="77777777" w:rsidR="00337111" w:rsidRPr="0063119B" w:rsidRDefault="00337111" w:rsidP="00337111">
      <w:pPr>
        <w:suppressAutoHyphens/>
        <w:rPr>
          <w:noProof/>
          <w:szCs w:val="22"/>
        </w:rPr>
      </w:pPr>
    </w:p>
    <w:p w14:paraId="769CB760" w14:textId="77777777" w:rsidR="00337111" w:rsidRPr="0063119B" w:rsidRDefault="00337111" w:rsidP="003345A8">
      <w:pPr>
        <w:keepNext/>
        <w:suppressAutoHyphens/>
        <w:ind w:left="567" w:hanging="567"/>
        <w:rPr>
          <w:noProof/>
          <w:szCs w:val="22"/>
        </w:rPr>
      </w:pPr>
      <w:r w:rsidRPr="0063119B">
        <w:rPr>
          <w:b/>
          <w:noProof/>
          <w:szCs w:val="22"/>
        </w:rPr>
        <w:t>7.</w:t>
      </w:r>
      <w:r w:rsidRPr="0063119B">
        <w:rPr>
          <w:b/>
          <w:noProof/>
          <w:szCs w:val="22"/>
        </w:rPr>
        <w:tab/>
        <w:t>TITULAR DA AUTORIZAÇÃO DE INTRODUÇÃO NO MERCADO</w:t>
      </w:r>
    </w:p>
    <w:p w14:paraId="7533D828" w14:textId="77777777" w:rsidR="00337111" w:rsidRPr="0063119B" w:rsidRDefault="00337111" w:rsidP="00337111">
      <w:pPr>
        <w:suppressAutoHyphens/>
        <w:rPr>
          <w:noProof/>
          <w:szCs w:val="22"/>
        </w:rPr>
      </w:pPr>
    </w:p>
    <w:p w14:paraId="60F86127" w14:textId="77777777" w:rsidR="00411161" w:rsidRPr="0063119B" w:rsidRDefault="00411161" w:rsidP="00411161">
      <w:pPr>
        <w:rPr>
          <w:szCs w:val="22"/>
          <w:lang w:val="en-GB"/>
        </w:rPr>
      </w:pPr>
      <w:r w:rsidRPr="0063119B">
        <w:rPr>
          <w:szCs w:val="22"/>
          <w:lang w:val="en-GB"/>
        </w:rPr>
        <w:t>Accord Healthcare S.L.U.</w:t>
      </w:r>
    </w:p>
    <w:p w14:paraId="33B4014A" w14:textId="77777777" w:rsidR="00411161" w:rsidRPr="0063119B" w:rsidRDefault="00411161" w:rsidP="00411161">
      <w:pPr>
        <w:rPr>
          <w:szCs w:val="22"/>
        </w:rPr>
      </w:pPr>
      <w:r w:rsidRPr="0063119B">
        <w:rPr>
          <w:szCs w:val="22"/>
        </w:rPr>
        <w:t xml:space="preserve">World Trade Center, Moll de Barcelona, s/n, Edifici Est 6ª planta, </w:t>
      </w:r>
    </w:p>
    <w:p w14:paraId="1BA251D8" w14:textId="77777777" w:rsidR="00411161" w:rsidRPr="0063119B" w:rsidRDefault="00411161" w:rsidP="00411161">
      <w:pPr>
        <w:rPr>
          <w:szCs w:val="22"/>
        </w:rPr>
      </w:pPr>
      <w:r w:rsidRPr="0063119B">
        <w:rPr>
          <w:szCs w:val="22"/>
        </w:rPr>
        <w:t>Barcelona, 08039</w:t>
      </w:r>
    </w:p>
    <w:p w14:paraId="3D2A9CC4" w14:textId="77777777" w:rsidR="00411161" w:rsidRPr="0063119B" w:rsidRDefault="00411161" w:rsidP="00411161">
      <w:pPr>
        <w:rPr>
          <w:szCs w:val="22"/>
        </w:rPr>
      </w:pPr>
      <w:r w:rsidRPr="0063119B">
        <w:rPr>
          <w:szCs w:val="22"/>
        </w:rPr>
        <w:t>Espanha</w:t>
      </w:r>
    </w:p>
    <w:p w14:paraId="26CCE81E" w14:textId="77777777" w:rsidR="00337111" w:rsidRPr="0063119B" w:rsidRDefault="00337111" w:rsidP="00337111">
      <w:pPr>
        <w:suppressAutoHyphens/>
        <w:rPr>
          <w:noProof/>
          <w:szCs w:val="22"/>
        </w:rPr>
      </w:pPr>
    </w:p>
    <w:p w14:paraId="1DF1835E" w14:textId="77777777" w:rsidR="00337111" w:rsidRPr="0063119B" w:rsidRDefault="00337111" w:rsidP="00337111">
      <w:pPr>
        <w:suppressAutoHyphens/>
        <w:rPr>
          <w:noProof/>
          <w:szCs w:val="22"/>
        </w:rPr>
      </w:pPr>
    </w:p>
    <w:p w14:paraId="55497707" w14:textId="77777777" w:rsidR="00337111" w:rsidRPr="0063119B" w:rsidRDefault="00337111" w:rsidP="003311FD">
      <w:pPr>
        <w:keepNext/>
        <w:suppressAutoHyphens/>
        <w:ind w:left="567" w:hanging="567"/>
        <w:rPr>
          <w:b/>
          <w:noProof/>
          <w:szCs w:val="22"/>
        </w:rPr>
      </w:pPr>
      <w:r w:rsidRPr="0063119B">
        <w:rPr>
          <w:b/>
          <w:noProof/>
          <w:szCs w:val="22"/>
        </w:rPr>
        <w:t>8.</w:t>
      </w:r>
      <w:r w:rsidRPr="0063119B">
        <w:rPr>
          <w:b/>
          <w:noProof/>
          <w:szCs w:val="22"/>
        </w:rPr>
        <w:tab/>
        <w:t>NÚMERO(S) DA AUTORIZAÇÃO DE INTRODUÇÃO NO MERCADO</w:t>
      </w:r>
    </w:p>
    <w:p w14:paraId="7E682520" w14:textId="77777777" w:rsidR="00337111" w:rsidRPr="0063119B" w:rsidRDefault="00337111" w:rsidP="003311FD">
      <w:pPr>
        <w:keepNext/>
        <w:suppressAutoHyphens/>
        <w:rPr>
          <w:noProof/>
          <w:szCs w:val="22"/>
        </w:rPr>
      </w:pPr>
    </w:p>
    <w:p w14:paraId="7C6537CE" w14:textId="77777777" w:rsidR="00337111" w:rsidRDefault="00F00CF2" w:rsidP="00337111">
      <w:pPr>
        <w:suppressAutoHyphens/>
        <w:rPr>
          <w:szCs w:val="22"/>
        </w:rPr>
      </w:pPr>
      <w:r w:rsidRPr="0063119B">
        <w:rPr>
          <w:szCs w:val="22"/>
        </w:rPr>
        <w:t>EU/1/20/1488/0</w:t>
      </w:r>
      <w:r w:rsidR="000C03A0" w:rsidRPr="0063119B">
        <w:rPr>
          <w:szCs w:val="22"/>
        </w:rPr>
        <w:t>24</w:t>
      </w:r>
      <w:r w:rsidRPr="0063119B">
        <w:rPr>
          <w:szCs w:val="22"/>
        </w:rPr>
        <w:t>-0</w:t>
      </w:r>
      <w:r w:rsidR="000C03A0" w:rsidRPr="0063119B">
        <w:rPr>
          <w:szCs w:val="22"/>
        </w:rPr>
        <w:t>38</w:t>
      </w:r>
    </w:p>
    <w:p w14:paraId="521ACB5A" w14:textId="77777777" w:rsidR="00453DA7" w:rsidRPr="0063119B" w:rsidRDefault="00453DA7" w:rsidP="00337111">
      <w:pPr>
        <w:suppressAutoHyphens/>
        <w:rPr>
          <w:noProof/>
          <w:szCs w:val="22"/>
        </w:rPr>
      </w:pPr>
    </w:p>
    <w:p w14:paraId="68F81CBA" w14:textId="77777777" w:rsidR="00337111" w:rsidRPr="0063119B" w:rsidRDefault="00337111" w:rsidP="00337111">
      <w:pPr>
        <w:suppressAutoHyphens/>
        <w:rPr>
          <w:noProof/>
          <w:szCs w:val="22"/>
        </w:rPr>
      </w:pPr>
    </w:p>
    <w:p w14:paraId="1172EE07" w14:textId="77777777" w:rsidR="00337111" w:rsidRPr="0063119B" w:rsidRDefault="00337111" w:rsidP="00337111">
      <w:pPr>
        <w:keepNext/>
        <w:suppressAutoHyphens/>
        <w:ind w:left="567" w:hanging="567"/>
        <w:rPr>
          <w:b/>
          <w:noProof/>
          <w:szCs w:val="22"/>
        </w:rPr>
      </w:pPr>
      <w:r w:rsidRPr="0063119B">
        <w:rPr>
          <w:b/>
          <w:noProof/>
          <w:szCs w:val="22"/>
        </w:rPr>
        <w:lastRenderedPageBreak/>
        <w:t>9.</w:t>
      </w:r>
      <w:r w:rsidRPr="0063119B">
        <w:rPr>
          <w:b/>
          <w:noProof/>
          <w:szCs w:val="22"/>
        </w:rPr>
        <w:tab/>
        <w:t>DATA DA PRIMEIRA AUTORIZAÇÃO/RENOVAÇÃO DA AUTORIZAÇÃO DE INTRODUÇÃO NO MERCADO</w:t>
      </w:r>
    </w:p>
    <w:p w14:paraId="01224FF3" w14:textId="77777777" w:rsidR="00337111" w:rsidRPr="0063119B" w:rsidRDefault="00337111" w:rsidP="00337111">
      <w:pPr>
        <w:keepNext/>
        <w:suppressAutoHyphens/>
        <w:rPr>
          <w:noProof/>
          <w:szCs w:val="22"/>
        </w:rPr>
      </w:pPr>
    </w:p>
    <w:p w14:paraId="1C61C2BE" w14:textId="77777777" w:rsidR="00337111" w:rsidRDefault="00337111" w:rsidP="000B293C">
      <w:pPr>
        <w:keepNext/>
        <w:suppressAutoHyphens/>
        <w:rPr>
          <w:noProof/>
          <w:szCs w:val="22"/>
        </w:rPr>
      </w:pPr>
      <w:r w:rsidRPr="0063119B">
        <w:rPr>
          <w:noProof/>
          <w:szCs w:val="22"/>
        </w:rPr>
        <w:t xml:space="preserve">Data da primeira autorização: </w:t>
      </w:r>
      <w:r w:rsidR="0052614A" w:rsidRPr="0052614A">
        <w:rPr>
          <w:noProof/>
          <w:szCs w:val="22"/>
        </w:rPr>
        <w:t>16 de novembro de 2020</w:t>
      </w:r>
    </w:p>
    <w:p w14:paraId="7BA27B3E" w14:textId="7B25F2E8" w:rsidR="00E01960" w:rsidRPr="0063119B" w:rsidRDefault="00E01960" w:rsidP="000B293C">
      <w:pPr>
        <w:keepNext/>
        <w:suppressAutoHyphens/>
        <w:rPr>
          <w:noProof/>
          <w:szCs w:val="22"/>
        </w:rPr>
      </w:pPr>
      <w:r w:rsidRPr="00E01960">
        <w:rPr>
          <w:noProof/>
          <w:szCs w:val="22"/>
        </w:rPr>
        <w:t>Data da última renovação: 6 de agosto de 2025</w:t>
      </w:r>
    </w:p>
    <w:p w14:paraId="6D78C5F8" w14:textId="77777777" w:rsidR="00337111" w:rsidRPr="0063119B" w:rsidRDefault="00337111" w:rsidP="00337111">
      <w:pPr>
        <w:suppressAutoHyphens/>
        <w:rPr>
          <w:noProof/>
          <w:szCs w:val="22"/>
        </w:rPr>
      </w:pPr>
    </w:p>
    <w:p w14:paraId="4D4FA35B" w14:textId="77777777" w:rsidR="00B84E15" w:rsidRPr="0063119B" w:rsidRDefault="00B84E15" w:rsidP="00337111">
      <w:pPr>
        <w:suppressAutoHyphens/>
        <w:rPr>
          <w:noProof/>
          <w:szCs w:val="22"/>
        </w:rPr>
      </w:pPr>
    </w:p>
    <w:p w14:paraId="033ABDA4" w14:textId="77777777" w:rsidR="00337111" w:rsidRDefault="00337111" w:rsidP="00337111">
      <w:pPr>
        <w:suppressAutoHyphens/>
        <w:rPr>
          <w:b/>
          <w:noProof/>
          <w:szCs w:val="22"/>
        </w:rPr>
      </w:pPr>
      <w:r w:rsidRPr="0063119B">
        <w:rPr>
          <w:b/>
          <w:noProof/>
          <w:szCs w:val="22"/>
        </w:rPr>
        <w:t>10.</w:t>
      </w:r>
      <w:r w:rsidRPr="0063119B">
        <w:rPr>
          <w:b/>
          <w:noProof/>
          <w:szCs w:val="22"/>
        </w:rPr>
        <w:tab/>
        <w:t>DATA DA REVISÃO DO TEXTO</w:t>
      </w:r>
    </w:p>
    <w:p w14:paraId="7F89FF69" w14:textId="77777777" w:rsidR="00453DA7" w:rsidRPr="0063119B" w:rsidRDefault="00453DA7" w:rsidP="00337111">
      <w:pPr>
        <w:suppressAutoHyphens/>
        <w:rPr>
          <w:b/>
          <w:noProof/>
          <w:szCs w:val="22"/>
        </w:rPr>
      </w:pPr>
    </w:p>
    <w:p w14:paraId="6C18603F" w14:textId="77777777" w:rsidR="00337111" w:rsidRPr="0063119B" w:rsidRDefault="00337111" w:rsidP="00337111">
      <w:pPr>
        <w:suppressAutoHyphens/>
        <w:rPr>
          <w:noProof/>
          <w:szCs w:val="22"/>
        </w:rPr>
      </w:pPr>
    </w:p>
    <w:p w14:paraId="7E314074" w14:textId="77777777" w:rsidR="00337111" w:rsidRPr="0063119B" w:rsidRDefault="00337111" w:rsidP="00337111">
      <w:pPr>
        <w:suppressAutoHyphens/>
        <w:ind w:right="14"/>
        <w:rPr>
          <w:b/>
          <w:noProof/>
          <w:szCs w:val="22"/>
        </w:rPr>
      </w:pPr>
      <w:r w:rsidRPr="0063119B">
        <w:rPr>
          <w:noProof/>
          <w:szCs w:val="22"/>
        </w:rPr>
        <w:t xml:space="preserve">Está disponível informação pormenorizada sobre este medicamento no sítio da internet da Agência Europeia de Medicamentos: </w:t>
      </w:r>
      <w:hyperlink r:id="rId19" w:history="1">
        <w:r w:rsidR="00767D16" w:rsidRPr="0063119B">
          <w:rPr>
            <w:rStyle w:val="Hyperlink"/>
            <w:noProof/>
            <w:szCs w:val="22"/>
          </w:rPr>
          <w:t>http://www.ema.europa.eu</w:t>
        </w:r>
      </w:hyperlink>
      <w:r w:rsidRPr="0063119B">
        <w:rPr>
          <w:noProof/>
          <w:szCs w:val="22"/>
        </w:rPr>
        <w:t>.</w:t>
      </w:r>
    </w:p>
    <w:p w14:paraId="42828DD0" w14:textId="77777777" w:rsidR="00337111" w:rsidRPr="0063119B" w:rsidRDefault="00337111" w:rsidP="00453DA7">
      <w:pPr>
        <w:suppressAutoHyphens/>
        <w:jc w:val="both"/>
        <w:rPr>
          <w:noProof/>
          <w:szCs w:val="22"/>
        </w:rPr>
      </w:pPr>
      <w:r w:rsidRPr="0063119B">
        <w:rPr>
          <w:b/>
          <w:noProof/>
          <w:szCs w:val="22"/>
        </w:rPr>
        <w:br w:type="page"/>
      </w:r>
      <w:r w:rsidRPr="0063119B">
        <w:rPr>
          <w:b/>
          <w:noProof/>
          <w:szCs w:val="22"/>
        </w:rPr>
        <w:lastRenderedPageBreak/>
        <w:t>1.</w:t>
      </w:r>
      <w:r w:rsidRPr="0063119B">
        <w:rPr>
          <w:b/>
          <w:noProof/>
          <w:szCs w:val="22"/>
        </w:rPr>
        <w:tab/>
        <w:t>NOME DO MEDICAMENTO</w:t>
      </w:r>
    </w:p>
    <w:p w14:paraId="25873F27" w14:textId="77777777" w:rsidR="00337111" w:rsidRPr="0063119B" w:rsidRDefault="00337111" w:rsidP="00337111">
      <w:pPr>
        <w:suppressAutoHyphens/>
        <w:rPr>
          <w:noProof/>
          <w:szCs w:val="22"/>
        </w:rPr>
      </w:pPr>
    </w:p>
    <w:p w14:paraId="508E85CC" w14:textId="77777777" w:rsidR="00337111" w:rsidRPr="0063119B" w:rsidRDefault="00607DE4" w:rsidP="005500AB">
      <w:pPr>
        <w:outlineLvl w:val="2"/>
        <w:rPr>
          <w:noProof/>
          <w:szCs w:val="22"/>
        </w:rPr>
      </w:pPr>
      <w:r>
        <w:rPr>
          <w:noProof/>
          <w:szCs w:val="22"/>
        </w:rPr>
        <w:t>Rivaroxabano</w:t>
      </w:r>
      <w:r w:rsidR="00B37D0C" w:rsidRPr="0063119B">
        <w:rPr>
          <w:noProof/>
          <w:szCs w:val="22"/>
        </w:rPr>
        <w:t xml:space="preserve"> Accord</w:t>
      </w:r>
      <w:r w:rsidR="00337111" w:rsidRPr="0063119B">
        <w:rPr>
          <w:noProof/>
          <w:szCs w:val="22"/>
        </w:rPr>
        <w:t xml:space="preserve"> 20 mg comprimidos revestidos por película</w:t>
      </w:r>
    </w:p>
    <w:p w14:paraId="06AFB9A8" w14:textId="77777777" w:rsidR="00337111" w:rsidRPr="0063119B" w:rsidRDefault="00337111" w:rsidP="00337111">
      <w:pPr>
        <w:suppressAutoHyphens/>
        <w:rPr>
          <w:noProof/>
          <w:szCs w:val="22"/>
        </w:rPr>
      </w:pPr>
    </w:p>
    <w:p w14:paraId="1E720DA4" w14:textId="77777777" w:rsidR="00337111" w:rsidRPr="0063119B" w:rsidRDefault="00337111" w:rsidP="00337111">
      <w:pPr>
        <w:suppressAutoHyphens/>
        <w:rPr>
          <w:noProof/>
          <w:szCs w:val="22"/>
        </w:rPr>
      </w:pPr>
    </w:p>
    <w:p w14:paraId="18821B7B" w14:textId="77777777" w:rsidR="00337111" w:rsidRPr="0063119B" w:rsidRDefault="00337111" w:rsidP="00337111">
      <w:pPr>
        <w:suppressAutoHyphens/>
        <w:ind w:left="567" w:hanging="567"/>
        <w:rPr>
          <w:noProof/>
          <w:szCs w:val="22"/>
        </w:rPr>
      </w:pPr>
      <w:r w:rsidRPr="0063119B">
        <w:rPr>
          <w:b/>
          <w:noProof/>
          <w:szCs w:val="22"/>
        </w:rPr>
        <w:t>2.</w:t>
      </w:r>
      <w:r w:rsidRPr="0063119B">
        <w:rPr>
          <w:b/>
          <w:noProof/>
          <w:szCs w:val="22"/>
        </w:rPr>
        <w:tab/>
        <w:t>COMPOSIÇÃO QUALITATIVA E QUANTITATIVA</w:t>
      </w:r>
    </w:p>
    <w:p w14:paraId="5264FB6C" w14:textId="77777777" w:rsidR="00337111" w:rsidRPr="0063119B" w:rsidRDefault="00337111" w:rsidP="00337111">
      <w:pPr>
        <w:suppressAutoHyphens/>
        <w:rPr>
          <w:noProof/>
          <w:szCs w:val="22"/>
        </w:rPr>
      </w:pPr>
    </w:p>
    <w:p w14:paraId="070E51DA" w14:textId="77777777" w:rsidR="00337111" w:rsidRPr="0063119B" w:rsidRDefault="00337111" w:rsidP="00337111">
      <w:pPr>
        <w:suppressAutoHyphens/>
        <w:rPr>
          <w:noProof/>
          <w:szCs w:val="22"/>
        </w:rPr>
      </w:pPr>
      <w:r w:rsidRPr="0063119B">
        <w:rPr>
          <w:noProof/>
          <w:szCs w:val="22"/>
        </w:rPr>
        <w:t>Cada comprimido revestido por película contém 20 mg de rivaroxabano.</w:t>
      </w:r>
    </w:p>
    <w:p w14:paraId="4B66D616" w14:textId="77777777" w:rsidR="00337111" w:rsidRPr="0063119B" w:rsidRDefault="00337111" w:rsidP="00337111">
      <w:pPr>
        <w:suppressAutoHyphens/>
        <w:rPr>
          <w:noProof/>
          <w:szCs w:val="22"/>
        </w:rPr>
      </w:pPr>
    </w:p>
    <w:p w14:paraId="432FE52E" w14:textId="77777777" w:rsidR="00337111" w:rsidRDefault="00337111" w:rsidP="00337111">
      <w:pPr>
        <w:suppressAutoHyphens/>
        <w:rPr>
          <w:noProof/>
          <w:szCs w:val="22"/>
          <w:u w:val="single"/>
        </w:rPr>
      </w:pPr>
      <w:r w:rsidRPr="0063119B">
        <w:rPr>
          <w:noProof/>
          <w:szCs w:val="22"/>
          <w:u w:val="single"/>
        </w:rPr>
        <w:t>Excipiente com efeito conhecido</w:t>
      </w:r>
    </w:p>
    <w:p w14:paraId="1F77F1BA" w14:textId="77777777" w:rsidR="006A2CEB" w:rsidRPr="0063119B" w:rsidRDefault="006A2CEB" w:rsidP="00337111">
      <w:pPr>
        <w:suppressAutoHyphens/>
        <w:rPr>
          <w:noProof/>
          <w:szCs w:val="22"/>
          <w:u w:val="single"/>
        </w:rPr>
      </w:pPr>
    </w:p>
    <w:p w14:paraId="57812225" w14:textId="77777777" w:rsidR="00337111" w:rsidRPr="0063119B" w:rsidRDefault="00337111" w:rsidP="00337111">
      <w:pPr>
        <w:suppressAutoHyphens/>
        <w:rPr>
          <w:noProof/>
          <w:szCs w:val="22"/>
        </w:rPr>
      </w:pPr>
      <w:r w:rsidRPr="0063119B">
        <w:rPr>
          <w:noProof/>
          <w:szCs w:val="22"/>
        </w:rPr>
        <w:t xml:space="preserve">Cada comprimido revestido por película contém </w:t>
      </w:r>
      <w:r w:rsidR="00B37D0C" w:rsidRPr="0063119B">
        <w:rPr>
          <w:noProof/>
          <w:szCs w:val="22"/>
        </w:rPr>
        <w:t>27,90</w:t>
      </w:r>
      <w:r w:rsidRPr="0063119B">
        <w:rPr>
          <w:noProof/>
          <w:szCs w:val="22"/>
        </w:rPr>
        <w:t xml:space="preserve"> mg de lactose </w:t>
      </w:r>
      <w:r w:rsidR="00E42985" w:rsidRPr="0063119B">
        <w:rPr>
          <w:szCs w:val="22"/>
        </w:rPr>
        <w:t xml:space="preserve">(na forma de </w:t>
      </w:r>
      <w:r w:rsidRPr="0063119B">
        <w:rPr>
          <w:noProof/>
          <w:szCs w:val="22"/>
        </w:rPr>
        <w:t>mono</w:t>
      </w:r>
      <w:r w:rsidR="00E42985" w:rsidRPr="0063119B">
        <w:rPr>
          <w:noProof/>
          <w:szCs w:val="22"/>
        </w:rPr>
        <w:t>-</w:t>
      </w:r>
      <w:r w:rsidRPr="0063119B">
        <w:rPr>
          <w:noProof/>
          <w:szCs w:val="22"/>
        </w:rPr>
        <w:t>hidrat</w:t>
      </w:r>
      <w:r w:rsidR="00E42985" w:rsidRPr="0063119B">
        <w:rPr>
          <w:noProof/>
          <w:szCs w:val="22"/>
        </w:rPr>
        <w:t>o)</w:t>
      </w:r>
      <w:r w:rsidRPr="0063119B">
        <w:rPr>
          <w:noProof/>
          <w:szCs w:val="22"/>
        </w:rPr>
        <w:t>, ver secção 4.4.</w:t>
      </w:r>
    </w:p>
    <w:p w14:paraId="1007BA6A" w14:textId="77777777" w:rsidR="00337111" w:rsidRPr="0063119B" w:rsidRDefault="00337111" w:rsidP="00337111">
      <w:pPr>
        <w:suppressAutoHyphens/>
        <w:rPr>
          <w:noProof/>
          <w:szCs w:val="22"/>
        </w:rPr>
      </w:pPr>
    </w:p>
    <w:p w14:paraId="1387273D" w14:textId="77777777" w:rsidR="00337111" w:rsidRPr="0063119B" w:rsidRDefault="00337111" w:rsidP="00337111">
      <w:pPr>
        <w:suppressAutoHyphens/>
        <w:rPr>
          <w:noProof/>
          <w:szCs w:val="22"/>
        </w:rPr>
      </w:pPr>
      <w:r w:rsidRPr="0063119B">
        <w:rPr>
          <w:noProof/>
          <w:szCs w:val="22"/>
        </w:rPr>
        <w:t>Lista completa de excipientes, ver secção 6.1.</w:t>
      </w:r>
    </w:p>
    <w:p w14:paraId="42F90183" w14:textId="77777777" w:rsidR="00337111" w:rsidRPr="0063119B" w:rsidRDefault="00337111" w:rsidP="00337111">
      <w:pPr>
        <w:suppressAutoHyphens/>
        <w:rPr>
          <w:noProof/>
          <w:szCs w:val="22"/>
        </w:rPr>
      </w:pPr>
    </w:p>
    <w:p w14:paraId="65BBDAD3" w14:textId="77777777" w:rsidR="00337111" w:rsidRPr="0063119B" w:rsidRDefault="00337111" w:rsidP="00337111">
      <w:pPr>
        <w:suppressAutoHyphens/>
        <w:rPr>
          <w:noProof/>
          <w:szCs w:val="22"/>
        </w:rPr>
      </w:pPr>
    </w:p>
    <w:p w14:paraId="72C6C17E" w14:textId="77777777" w:rsidR="00337111" w:rsidRPr="0063119B" w:rsidRDefault="00337111" w:rsidP="00337111">
      <w:pPr>
        <w:suppressAutoHyphens/>
        <w:ind w:left="567" w:hanging="567"/>
        <w:rPr>
          <w:noProof/>
          <w:szCs w:val="22"/>
        </w:rPr>
      </w:pPr>
      <w:r w:rsidRPr="0063119B">
        <w:rPr>
          <w:b/>
          <w:noProof/>
          <w:szCs w:val="22"/>
        </w:rPr>
        <w:t>3.</w:t>
      </w:r>
      <w:r w:rsidRPr="0063119B">
        <w:rPr>
          <w:b/>
          <w:noProof/>
          <w:szCs w:val="22"/>
        </w:rPr>
        <w:tab/>
        <w:t>FORMA FARMACÊUTICA</w:t>
      </w:r>
    </w:p>
    <w:p w14:paraId="4DF9EDBE" w14:textId="77777777" w:rsidR="00337111" w:rsidRPr="0063119B" w:rsidRDefault="00337111" w:rsidP="00337111">
      <w:pPr>
        <w:suppressAutoHyphens/>
        <w:rPr>
          <w:noProof/>
          <w:szCs w:val="22"/>
        </w:rPr>
      </w:pPr>
    </w:p>
    <w:p w14:paraId="08226C51" w14:textId="77777777" w:rsidR="00337111" w:rsidRDefault="00337111" w:rsidP="00337111">
      <w:pPr>
        <w:suppressAutoHyphens/>
        <w:rPr>
          <w:noProof/>
          <w:szCs w:val="22"/>
        </w:rPr>
      </w:pPr>
      <w:r w:rsidRPr="0063119B">
        <w:rPr>
          <w:noProof/>
          <w:szCs w:val="22"/>
        </w:rPr>
        <w:t>Comprimido revestido por película (comprimido)</w:t>
      </w:r>
    </w:p>
    <w:p w14:paraId="2BA20E2F" w14:textId="77777777" w:rsidR="006A2CEB" w:rsidRPr="0063119B" w:rsidRDefault="006A2CEB" w:rsidP="00337111">
      <w:pPr>
        <w:suppressAutoHyphens/>
        <w:rPr>
          <w:noProof/>
          <w:szCs w:val="22"/>
        </w:rPr>
      </w:pPr>
    </w:p>
    <w:p w14:paraId="0306E1BE" w14:textId="77777777" w:rsidR="00337111" w:rsidRPr="0063119B" w:rsidRDefault="00337111" w:rsidP="00337111">
      <w:pPr>
        <w:suppressAutoHyphens/>
        <w:rPr>
          <w:noProof/>
          <w:szCs w:val="22"/>
        </w:rPr>
      </w:pPr>
      <w:r w:rsidRPr="0063119B">
        <w:rPr>
          <w:noProof/>
          <w:szCs w:val="22"/>
        </w:rPr>
        <w:t>Comprimidos</w:t>
      </w:r>
      <w:r w:rsidR="00B37D0C" w:rsidRPr="0063119B">
        <w:rPr>
          <w:noProof/>
          <w:szCs w:val="22"/>
        </w:rPr>
        <w:t xml:space="preserve"> revestidos por película,</w:t>
      </w:r>
      <w:r w:rsidRPr="0063119B">
        <w:rPr>
          <w:noProof/>
          <w:szCs w:val="22"/>
        </w:rPr>
        <w:t xml:space="preserve"> biconvexos, redondos</w:t>
      </w:r>
      <w:r w:rsidR="00B37D0C" w:rsidRPr="0063119B">
        <w:rPr>
          <w:noProof/>
          <w:szCs w:val="22"/>
        </w:rPr>
        <w:t xml:space="preserve">, com aproximadamente </w:t>
      </w:r>
      <w:r w:rsidRPr="0063119B">
        <w:rPr>
          <w:noProof/>
          <w:szCs w:val="22"/>
        </w:rPr>
        <w:t>6</w:t>
      </w:r>
      <w:r w:rsidR="00B37D0C" w:rsidRPr="0063119B">
        <w:rPr>
          <w:noProof/>
          <w:szCs w:val="22"/>
        </w:rPr>
        <w:t>,00</w:t>
      </w:r>
      <w:r w:rsidRPr="0063119B">
        <w:rPr>
          <w:noProof/>
          <w:szCs w:val="22"/>
        </w:rPr>
        <w:t xml:space="preserve"> mm de diâmetro, de cor vermelho </w:t>
      </w:r>
      <w:r w:rsidR="00B37D0C" w:rsidRPr="0063119B">
        <w:rPr>
          <w:noProof/>
          <w:szCs w:val="22"/>
        </w:rPr>
        <w:t>escuro</w:t>
      </w:r>
      <w:r w:rsidRPr="0063119B">
        <w:rPr>
          <w:noProof/>
          <w:szCs w:val="22"/>
        </w:rPr>
        <w:t xml:space="preserve">, </w:t>
      </w:r>
      <w:r w:rsidR="00B37D0C" w:rsidRPr="0063119B">
        <w:rPr>
          <w:noProof/>
          <w:szCs w:val="22"/>
        </w:rPr>
        <w:t xml:space="preserve">com a gravação “IL3” </w:t>
      </w:r>
      <w:r w:rsidRPr="0063119B">
        <w:rPr>
          <w:noProof/>
          <w:szCs w:val="22"/>
        </w:rPr>
        <w:t xml:space="preserve">numa das faces e </w:t>
      </w:r>
      <w:r w:rsidR="00B37D0C" w:rsidRPr="0063119B">
        <w:rPr>
          <w:noProof/>
          <w:szCs w:val="22"/>
        </w:rPr>
        <w:t>lisos</w:t>
      </w:r>
      <w:r w:rsidRPr="0063119B">
        <w:rPr>
          <w:noProof/>
          <w:szCs w:val="22"/>
        </w:rPr>
        <w:t xml:space="preserve"> na outra face.</w:t>
      </w:r>
    </w:p>
    <w:p w14:paraId="3A0EE022" w14:textId="77777777" w:rsidR="00337111" w:rsidRPr="0063119B" w:rsidRDefault="00337111" w:rsidP="00337111">
      <w:pPr>
        <w:suppressAutoHyphens/>
        <w:rPr>
          <w:noProof/>
          <w:szCs w:val="22"/>
        </w:rPr>
      </w:pPr>
    </w:p>
    <w:p w14:paraId="67B95556" w14:textId="77777777" w:rsidR="00337111" w:rsidRPr="0063119B" w:rsidRDefault="00337111" w:rsidP="00337111">
      <w:pPr>
        <w:suppressAutoHyphens/>
        <w:rPr>
          <w:noProof/>
          <w:szCs w:val="22"/>
        </w:rPr>
      </w:pPr>
    </w:p>
    <w:p w14:paraId="4C0BC50B" w14:textId="77777777" w:rsidR="00337111" w:rsidRPr="0063119B" w:rsidRDefault="00337111" w:rsidP="00337111">
      <w:pPr>
        <w:suppressAutoHyphens/>
        <w:ind w:left="567" w:hanging="567"/>
        <w:rPr>
          <w:noProof/>
          <w:szCs w:val="22"/>
        </w:rPr>
      </w:pPr>
      <w:r w:rsidRPr="0063119B">
        <w:rPr>
          <w:b/>
          <w:noProof/>
          <w:szCs w:val="22"/>
        </w:rPr>
        <w:t>4.</w:t>
      </w:r>
      <w:r w:rsidRPr="0063119B">
        <w:rPr>
          <w:b/>
          <w:noProof/>
          <w:szCs w:val="22"/>
        </w:rPr>
        <w:tab/>
        <w:t>INFORMAÇÕES CLÍNICAS</w:t>
      </w:r>
    </w:p>
    <w:p w14:paraId="7A931A0C" w14:textId="77777777" w:rsidR="00337111" w:rsidRPr="0063119B" w:rsidRDefault="00337111" w:rsidP="00337111">
      <w:pPr>
        <w:suppressAutoHyphens/>
        <w:rPr>
          <w:noProof/>
          <w:szCs w:val="22"/>
        </w:rPr>
      </w:pPr>
    </w:p>
    <w:p w14:paraId="785B4381" w14:textId="77777777" w:rsidR="00337111" w:rsidRPr="0063119B" w:rsidRDefault="00337111" w:rsidP="00337111">
      <w:pPr>
        <w:suppressAutoHyphens/>
        <w:ind w:left="567" w:hanging="567"/>
        <w:rPr>
          <w:noProof/>
          <w:szCs w:val="22"/>
        </w:rPr>
      </w:pPr>
      <w:r w:rsidRPr="0063119B">
        <w:rPr>
          <w:b/>
          <w:noProof/>
          <w:szCs w:val="22"/>
        </w:rPr>
        <w:t>4.1</w:t>
      </w:r>
      <w:r w:rsidRPr="0063119B">
        <w:rPr>
          <w:b/>
          <w:noProof/>
          <w:szCs w:val="22"/>
        </w:rPr>
        <w:tab/>
        <w:t>Indicações terapêuticas</w:t>
      </w:r>
    </w:p>
    <w:p w14:paraId="6039A386" w14:textId="77777777" w:rsidR="00337111" w:rsidRDefault="00337111" w:rsidP="00337111">
      <w:pPr>
        <w:suppressAutoHyphens/>
        <w:rPr>
          <w:noProof/>
          <w:szCs w:val="22"/>
        </w:rPr>
      </w:pPr>
    </w:p>
    <w:p w14:paraId="1E4328AB" w14:textId="77777777" w:rsidR="003362F2" w:rsidRPr="00EF3721" w:rsidRDefault="003362F2" w:rsidP="00337111">
      <w:pPr>
        <w:suppressAutoHyphens/>
        <w:rPr>
          <w:noProof/>
          <w:szCs w:val="22"/>
          <w:u w:val="single"/>
        </w:rPr>
      </w:pPr>
      <w:r w:rsidRPr="00EF3721">
        <w:rPr>
          <w:noProof/>
          <w:szCs w:val="22"/>
          <w:u w:val="single"/>
        </w:rPr>
        <w:t>Adultos</w:t>
      </w:r>
    </w:p>
    <w:p w14:paraId="117BEB8F" w14:textId="77777777" w:rsidR="00337111" w:rsidRPr="0063119B" w:rsidRDefault="00337111" w:rsidP="00337111">
      <w:pPr>
        <w:tabs>
          <w:tab w:val="left" w:pos="5529"/>
        </w:tabs>
        <w:suppressAutoHyphens/>
        <w:rPr>
          <w:noProof/>
          <w:szCs w:val="22"/>
        </w:rPr>
      </w:pPr>
      <w:r w:rsidRPr="0063119B">
        <w:rPr>
          <w:noProof/>
          <w:szCs w:val="22"/>
        </w:rPr>
        <w:t>Prevenção do acidente vascular cerebral e do embolismo sistémico em doentes adultos com fibrilhação auricular não-valvular com um ou mais fatores de risco, tais como insuficiência cardíaca congestiva, hipertensão, idade ≥ 75 anos, diabetes mellitus, antecedentes de acidente vascular cerebral ou acidente isquémico transitório.</w:t>
      </w:r>
    </w:p>
    <w:p w14:paraId="5A0892B5" w14:textId="77777777" w:rsidR="00337111" w:rsidRPr="0063119B" w:rsidRDefault="00337111" w:rsidP="00337111">
      <w:pPr>
        <w:suppressAutoHyphens/>
        <w:rPr>
          <w:noProof/>
          <w:szCs w:val="22"/>
        </w:rPr>
      </w:pPr>
    </w:p>
    <w:p w14:paraId="15F107B8" w14:textId="77777777" w:rsidR="00337111" w:rsidRPr="0063119B" w:rsidRDefault="00337111" w:rsidP="00337111">
      <w:pPr>
        <w:suppressAutoHyphens/>
        <w:rPr>
          <w:noProof/>
          <w:szCs w:val="22"/>
        </w:rPr>
      </w:pPr>
      <w:r w:rsidRPr="0063119B">
        <w:rPr>
          <w:noProof/>
          <w:szCs w:val="22"/>
        </w:rPr>
        <w:t>Tratamento da trombose venosa profunda (TVP) e embolismo pulmonar (EP) e prevenção da TVP recorrente e EP em adultos (Ver secção 4.4 para doentes com EP hemodinamicamente instáveis).</w:t>
      </w:r>
    </w:p>
    <w:p w14:paraId="5AC1C8C7" w14:textId="77777777" w:rsidR="00337111" w:rsidRDefault="00337111" w:rsidP="00337111">
      <w:pPr>
        <w:suppressAutoHyphens/>
        <w:rPr>
          <w:noProof/>
          <w:szCs w:val="22"/>
        </w:rPr>
      </w:pPr>
    </w:p>
    <w:p w14:paraId="57405734" w14:textId="77777777" w:rsidR="003362F2" w:rsidRPr="003362F2" w:rsidRDefault="003362F2" w:rsidP="003362F2">
      <w:pPr>
        <w:autoSpaceDE w:val="0"/>
        <w:autoSpaceDN w:val="0"/>
        <w:adjustRightInd w:val="0"/>
        <w:rPr>
          <w:color w:val="000000"/>
          <w:szCs w:val="22"/>
          <w:lang w:eastAsia="pt-PT"/>
        </w:rPr>
      </w:pPr>
      <w:r w:rsidRPr="003362F2">
        <w:rPr>
          <w:i/>
          <w:iCs/>
          <w:color w:val="000000"/>
          <w:szCs w:val="22"/>
          <w:lang w:eastAsia="pt-PT"/>
        </w:rPr>
        <w:t xml:space="preserve">População pediátrica </w:t>
      </w:r>
    </w:p>
    <w:p w14:paraId="5A5E48B8" w14:textId="77777777" w:rsidR="003362F2" w:rsidRDefault="003362F2" w:rsidP="003362F2">
      <w:pPr>
        <w:suppressAutoHyphens/>
        <w:rPr>
          <w:color w:val="000000"/>
          <w:szCs w:val="22"/>
          <w:lang w:eastAsia="pt-PT"/>
        </w:rPr>
      </w:pPr>
      <w:r w:rsidRPr="003362F2">
        <w:rPr>
          <w:color w:val="000000"/>
          <w:szCs w:val="22"/>
          <w:lang w:eastAsia="pt-PT"/>
        </w:rPr>
        <w:t>Tratamento do tromboembolismo venoso (TEV) e prevenção da recorrência de TEV em crianças e adolescentes com idade inferior a 18 anos e com um peso superior a 50 kg após, pelo menos, 5 dias de tratamento anticoagulante parentérico inicial.</w:t>
      </w:r>
    </w:p>
    <w:p w14:paraId="6E18AB15" w14:textId="77777777" w:rsidR="003362F2" w:rsidRPr="0063119B" w:rsidRDefault="003362F2" w:rsidP="003362F2">
      <w:pPr>
        <w:suppressAutoHyphens/>
        <w:rPr>
          <w:noProof/>
          <w:szCs w:val="22"/>
        </w:rPr>
      </w:pPr>
    </w:p>
    <w:p w14:paraId="43684894" w14:textId="77777777" w:rsidR="00337111" w:rsidRPr="0063119B" w:rsidRDefault="00337111" w:rsidP="00337111">
      <w:pPr>
        <w:suppressAutoHyphens/>
        <w:ind w:left="567" w:hanging="567"/>
        <w:rPr>
          <w:noProof/>
          <w:szCs w:val="22"/>
        </w:rPr>
      </w:pPr>
      <w:r w:rsidRPr="0063119B">
        <w:rPr>
          <w:b/>
          <w:noProof/>
          <w:szCs w:val="22"/>
        </w:rPr>
        <w:t>4.2</w:t>
      </w:r>
      <w:r w:rsidRPr="0063119B">
        <w:rPr>
          <w:b/>
          <w:noProof/>
          <w:szCs w:val="22"/>
        </w:rPr>
        <w:tab/>
        <w:t>Posologia e modo de administração</w:t>
      </w:r>
    </w:p>
    <w:p w14:paraId="12B52AAA" w14:textId="77777777" w:rsidR="00337111" w:rsidRPr="0063119B" w:rsidRDefault="00337111" w:rsidP="00337111">
      <w:pPr>
        <w:suppressAutoHyphens/>
        <w:rPr>
          <w:noProof/>
          <w:szCs w:val="22"/>
        </w:rPr>
      </w:pPr>
    </w:p>
    <w:p w14:paraId="4B326784" w14:textId="77777777" w:rsidR="00337111" w:rsidRDefault="00337111" w:rsidP="00337111">
      <w:pPr>
        <w:suppressAutoHyphens/>
        <w:rPr>
          <w:noProof/>
          <w:szCs w:val="22"/>
          <w:u w:val="single"/>
        </w:rPr>
      </w:pPr>
      <w:r w:rsidRPr="0063119B">
        <w:rPr>
          <w:noProof/>
          <w:szCs w:val="22"/>
          <w:u w:val="single"/>
        </w:rPr>
        <w:t>Posologia</w:t>
      </w:r>
    </w:p>
    <w:p w14:paraId="67BA0FCA" w14:textId="77777777" w:rsidR="006A2CEB" w:rsidRPr="0063119B" w:rsidRDefault="006A2CEB" w:rsidP="00337111">
      <w:pPr>
        <w:suppressAutoHyphens/>
        <w:rPr>
          <w:noProof/>
          <w:szCs w:val="22"/>
          <w:u w:val="single"/>
        </w:rPr>
      </w:pPr>
    </w:p>
    <w:p w14:paraId="67FC943E" w14:textId="77777777" w:rsidR="00337111" w:rsidRPr="0063119B" w:rsidRDefault="00337111" w:rsidP="00337111">
      <w:pPr>
        <w:suppressAutoHyphens/>
        <w:rPr>
          <w:i/>
          <w:szCs w:val="22"/>
        </w:rPr>
      </w:pPr>
      <w:r w:rsidRPr="0063119B">
        <w:rPr>
          <w:i/>
          <w:szCs w:val="22"/>
        </w:rPr>
        <w:t>Prevenção do acidente vascular cerebral e do embolismo sistémico</w:t>
      </w:r>
      <w:r w:rsidR="003362F2">
        <w:rPr>
          <w:i/>
          <w:szCs w:val="22"/>
        </w:rPr>
        <w:t xml:space="preserve"> em adultos</w:t>
      </w:r>
    </w:p>
    <w:p w14:paraId="5FD002E3" w14:textId="77777777" w:rsidR="00337111" w:rsidRPr="0063119B" w:rsidRDefault="00337111" w:rsidP="00337111">
      <w:pPr>
        <w:rPr>
          <w:szCs w:val="22"/>
        </w:rPr>
      </w:pPr>
      <w:r w:rsidRPr="0063119B">
        <w:rPr>
          <w:szCs w:val="22"/>
        </w:rPr>
        <w:t>A dose recomendada, que também é a dose máxima recomendada, é de 20 mg uma vez por dia.</w:t>
      </w:r>
    </w:p>
    <w:p w14:paraId="4A0B9BAD" w14:textId="77777777" w:rsidR="00337111" w:rsidRPr="0063119B" w:rsidRDefault="00337111" w:rsidP="00337111">
      <w:pPr>
        <w:rPr>
          <w:szCs w:val="22"/>
        </w:rPr>
      </w:pPr>
    </w:p>
    <w:p w14:paraId="3A601430" w14:textId="77777777" w:rsidR="00337111" w:rsidRPr="0063119B" w:rsidRDefault="00337111" w:rsidP="00337111">
      <w:pPr>
        <w:rPr>
          <w:szCs w:val="22"/>
        </w:rPr>
      </w:pPr>
      <w:r w:rsidRPr="0063119B">
        <w:rPr>
          <w:szCs w:val="22"/>
        </w:rPr>
        <w:t xml:space="preserve">A terapêutica com </w:t>
      </w:r>
      <w:r w:rsidR="00607DE4">
        <w:rPr>
          <w:szCs w:val="22"/>
        </w:rPr>
        <w:t>Rivaroxabano</w:t>
      </w:r>
      <w:r w:rsidR="00B37D0C" w:rsidRPr="0063119B">
        <w:rPr>
          <w:szCs w:val="22"/>
        </w:rPr>
        <w:t xml:space="preserve"> Accord</w:t>
      </w:r>
      <w:r w:rsidRPr="0063119B">
        <w:rPr>
          <w:szCs w:val="22"/>
        </w:rPr>
        <w:t xml:space="preserve"> deve continuar durante um período prolongado, desde que o benefício da prevenção do acidente vascular cerebral e do embolismo sistémico supere o risco de hemorragia (ver secção 4.4).</w:t>
      </w:r>
    </w:p>
    <w:p w14:paraId="12F35533" w14:textId="77777777" w:rsidR="00337111" w:rsidRPr="0063119B" w:rsidRDefault="00337111" w:rsidP="00337111">
      <w:pPr>
        <w:rPr>
          <w:szCs w:val="22"/>
        </w:rPr>
      </w:pPr>
    </w:p>
    <w:p w14:paraId="1C183E40" w14:textId="77777777" w:rsidR="00337111" w:rsidRPr="0063119B" w:rsidRDefault="00337111" w:rsidP="00337111">
      <w:pPr>
        <w:rPr>
          <w:szCs w:val="22"/>
        </w:rPr>
      </w:pPr>
      <w:r w:rsidRPr="0063119B">
        <w:rPr>
          <w:szCs w:val="22"/>
        </w:rPr>
        <w:t xml:space="preserve">No caso de esquecimento de uma dose, o doente deve tomar imediatamente </w:t>
      </w:r>
      <w:r w:rsidR="00607DE4">
        <w:rPr>
          <w:szCs w:val="22"/>
        </w:rPr>
        <w:t>Rivaroxabano</w:t>
      </w:r>
      <w:r w:rsidR="00B37D0C" w:rsidRPr="0063119B">
        <w:rPr>
          <w:szCs w:val="22"/>
        </w:rPr>
        <w:t xml:space="preserve"> Accord</w:t>
      </w:r>
      <w:r w:rsidRPr="0063119B">
        <w:rPr>
          <w:szCs w:val="22"/>
        </w:rPr>
        <w:t xml:space="preserve"> e continuar no dia seguinte com a toma uma vez ao dia, conforme recomendado. Não deve ser tomada uma dose a dobrar no mesmo dia para compensar uma dose esquecida.</w:t>
      </w:r>
    </w:p>
    <w:p w14:paraId="6918E3FB" w14:textId="77777777" w:rsidR="00337111" w:rsidRPr="0063119B" w:rsidRDefault="00337111" w:rsidP="00337111">
      <w:pPr>
        <w:rPr>
          <w:szCs w:val="22"/>
        </w:rPr>
      </w:pPr>
    </w:p>
    <w:p w14:paraId="7AEF0001" w14:textId="77777777" w:rsidR="00337111" w:rsidRPr="0063119B" w:rsidRDefault="00337111" w:rsidP="003311FD">
      <w:pPr>
        <w:keepNext/>
        <w:rPr>
          <w:i/>
          <w:szCs w:val="22"/>
        </w:rPr>
      </w:pPr>
      <w:r w:rsidRPr="0063119B">
        <w:rPr>
          <w:i/>
          <w:szCs w:val="22"/>
        </w:rPr>
        <w:t>Tratamento da TVP, tratamento do EP e prevenção da TVP recorrente e EP</w:t>
      </w:r>
      <w:r w:rsidR="003362F2">
        <w:rPr>
          <w:i/>
          <w:szCs w:val="22"/>
        </w:rPr>
        <w:t xml:space="preserve"> em adultos</w:t>
      </w:r>
    </w:p>
    <w:p w14:paraId="3DE00ED0" w14:textId="77777777" w:rsidR="00337111" w:rsidRPr="0063119B" w:rsidRDefault="00337111" w:rsidP="00337111">
      <w:pPr>
        <w:rPr>
          <w:szCs w:val="22"/>
        </w:rPr>
      </w:pPr>
      <w:r w:rsidRPr="0063119B">
        <w:rPr>
          <w:szCs w:val="22"/>
        </w:rPr>
        <w:t>A dose recomendada para o tratamento inicial da TVP aguda ou EP é de 15 mg duas vezes por dia durante as primeiras três semanas, seguida de 20 mg uma vez por dia para continuação do tratamento e prevenção da TVP recorrente e EP.</w:t>
      </w:r>
    </w:p>
    <w:p w14:paraId="57A5237E" w14:textId="77777777" w:rsidR="00B37D0C" w:rsidRPr="0063119B" w:rsidRDefault="00B37D0C" w:rsidP="00337111">
      <w:pPr>
        <w:rPr>
          <w:szCs w:val="22"/>
        </w:rPr>
      </w:pPr>
    </w:p>
    <w:p w14:paraId="754F821F" w14:textId="77777777" w:rsidR="00B84E15" w:rsidRPr="0063119B" w:rsidRDefault="00B84E15" w:rsidP="00B84E15">
      <w:pPr>
        <w:suppressAutoHyphens/>
        <w:rPr>
          <w:szCs w:val="22"/>
        </w:rPr>
      </w:pPr>
      <w:r w:rsidRPr="0063119B">
        <w:rPr>
          <w:szCs w:val="22"/>
        </w:rPr>
        <w:t xml:space="preserve">Deve considerar-se uma terapêutica de curta duração (pelo menos 3 meses) em doentes com TVP ou EP provocados por fatores de riscos </w:t>
      </w:r>
      <w:r w:rsidR="00F009F5" w:rsidRPr="0063119B">
        <w:rPr>
          <w:szCs w:val="22"/>
        </w:rPr>
        <w:t>principais</w:t>
      </w:r>
      <w:r w:rsidRPr="0063119B">
        <w:rPr>
          <w:szCs w:val="22"/>
        </w:rPr>
        <w:t>, transitórios (</w:t>
      </w:r>
      <w:r w:rsidR="007B517A" w:rsidRPr="0063119B">
        <w:rPr>
          <w:szCs w:val="22"/>
        </w:rPr>
        <w:t>ex.:</w:t>
      </w:r>
      <w:r w:rsidRPr="0063119B">
        <w:rPr>
          <w:szCs w:val="22"/>
        </w:rPr>
        <w:t xml:space="preserve"> </w:t>
      </w:r>
      <w:r w:rsidR="007B517A" w:rsidRPr="0063119B">
        <w:rPr>
          <w:szCs w:val="22"/>
        </w:rPr>
        <w:t xml:space="preserve">grande </w:t>
      </w:r>
      <w:r w:rsidRPr="0063119B">
        <w:rPr>
          <w:szCs w:val="22"/>
        </w:rPr>
        <w:t>cirurgia</w:t>
      </w:r>
      <w:r w:rsidR="007B517A" w:rsidRPr="0063119B">
        <w:rPr>
          <w:szCs w:val="22"/>
        </w:rPr>
        <w:t xml:space="preserve"> </w:t>
      </w:r>
      <w:r w:rsidRPr="0063119B">
        <w:rPr>
          <w:szCs w:val="22"/>
        </w:rPr>
        <w:t xml:space="preserve">ou trauma recentes). Deve considerar-se uma maior duração da terapêutica em doentes com TVP ou EP provocados, não relacionados com fatores de risco </w:t>
      </w:r>
      <w:r w:rsidR="00F009F5" w:rsidRPr="0063119B">
        <w:rPr>
          <w:szCs w:val="22"/>
        </w:rPr>
        <w:t>principais</w:t>
      </w:r>
      <w:r w:rsidRPr="0063119B">
        <w:rPr>
          <w:szCs w:val="22"/>
        </w:rPr>
        <w:t>, transitórios, TVP ou EP não provocados ou antecedentes de TVP ou EP recorrente.</w:t>
      </w:r>
    </w:p>
    <w:p w14:paraId="063FC7F1" w14:textId="77777777" w:rsidR="00B84E15" w:rsidRPr="0063119B" w:rsidRDefault="00B84E15" w:rsidP="00B84E15">
      <w:pPr>
        <w:rPr>
          <w:szCs w:val="22"/>
        </w:rPr>
      </w:pPr>
    </w:p>
    <w:p w14:paraId="57E61296" w14:textId="77777777" w:rsidR="00B84E15" w:rsidRPr="0063119B" w:rsidRDefault="00B84E15" w:rsidP="00B84E15">
      <w:pPr>
        <w:rPr>
          <w:szCs w:val="22"/>
        </w:rPr>
      </w:pPr>
      <w:r w:rsidRPr="0063119B">
        <w:rPr>
          <w:szCs w:val="22"/>
        </w:rPr>
        <w:t>Quando há indicação para a extensão da p</w:t>
      </w:r>
      <w:r w:rsidRPr="0063119B">
        <w:rPr>
          <w:rFonts w:eastAsia="Malgun Gothic"/>
          <w:szCs w:val="22"/>
          <w:lang w:eastAsia="de-DE"/>
        </w:rPr>
        <w:t>revenção da TVP e EP recorrentes (depois de se completar, pelo menos, 6 meses de terapêutica para a TVP ou EP</w:t>
      </w:r>
      <w:r w:rsidRPr="0063119B">
        <w:rPr>
          <w:szCs w:val="22"/>
        </w:rPr>
        <w:t xml:space="preserve">), a dose recomendada é de 10 mg uma vez por dia. </w:t>
      </w:r>
      <w:r w:rsidR="002160EF" w:rsidRPr="0063119B">
        <w:rPr>
          <w:szCs w:val="22"/>
        </w:rPr>
        <w:t>E</w:t>
      </w:r>
      <w:r w:rsidRPr="0063119B">
        <w:rPr>
          <w:szCs w:val="22"/>
        </w:rPr>
        <w:t>m doentes nos quais o</w:t>
      </w:r>
      <w:r w:rsidRPr="0063119B">
        <w:rPr>
          <w:rFonts w:eastAsia="Malgun Gothic"/>
          <w:szCs w:val="22"/>
          <w:lang w:eastAsia="de-DE"/>
        </w:rPr>
        <w:t xml:space="preserve"> risco de TVP ou EP recorrente é considerado elevado, tal como naqueles com comorbilidades </w:t>
      </w:r>
      <w:r w:rsidRPr="0063119B">
        <w:rPr>
          <w:szCs w:val="22"/>
        </w:rPr>
        <w:t>complicadas, ou que desenvolveram TVP ou EP recorrente durante a extensão da prevenção</w:t>
      </w:r>
      <w:r w:rsidR="00E07D24" w:rsidRPr="0063119B">
        <w:rPr>
          <w:szCs w:val="22"/>
        </w:rPr>
        <w:t xml:space="preserve"> com </w:t>
      </w:r>
      <w:r w:rsidR="00607DE4">
        <w:rPr>
          <w:szCs w:val="22"/>
        </w:rPr>
        <w:t>Rivaroxabano</w:t>
      </w:r>
      <w:r w:rsidR="00B37D0C" w:rsidRPr="0063119B">
        <w:rPr>
          <w:szCs w:val="22"/>
        </w:rPr>
        <w:t xml:space="preserve"> Accord</w:t>
      </w:r>
      <w:r w:rsidR="00E07D24" w:rsidRPr="0063119B">
        <w:rPr>
          <w:szCs w:val="22"/>
        </w:rPr>
        <w:t xml:space="preserve"> 10</w:t>
      </w:r>
      <w:r w:rsidR="00B37D0C" w:rsidRPr="0063119B">
        <w:rPr>
          <w:szCs w:val="22"/>
        </w:rPr>
        <w:t> </w:t>
      </w:r>
      <w:r w:rsidR="00E07D24" w:rsidRPr="0063119B">
        <w:rPr>
          <w:szCs w:val="22"/>
        </w:rPr>
        <w:t>mg uma vez por dia</w:t>
      </w:r>
      <w:r w:rsidR="002160EF" w:rsidRPr="0063119B">
        <w:rPr>
          <w:szCs w:val="22"/>
        </w:rPr>
        <w:t xml:space="preserve">, deve considerar-se uma dose de </w:t>
      </w:r>
      <w:r w:rsidR="00607DE4">
        <w:rPr>
          <w:szCs w:val="22"/>
        </w:rPr>
        <w:t>Rivaroxabano</w:t>
      </w:r>
      <w:r w:rsidR="00B37D0C" w:rsidRPr="0063119B">
        <w:rPr>
          <w:szCs w:val="22"/>
        </w:rPr>
        <w:t xml:space="preserve"> Accord </w:t>
      </w:r>
      <w:r w:rsidR="002160EF" w:rsidRPr="0063119B">
        <w:rPr>
          <w:szCs w:val="22"/>
        </w:rPr>
        <w:t>20 mg, uma vez por dia,</w:t>
      </w:r>
    </w:p>
    <w:p w14:paraId="3063DA83" w14:textId="77777777" w:rsidR="00B84E15" w:rsidRPr="0063119B" w:rsidRDefault="00B84E15" w:rsidP="00B84E15">
      <w:pPr>
        <w:rPr>
          <w:szCs w:val="22"/>
        </w:rPr>
      </w:pPr>
    </w:p>
    <w:p w14:paraId="01C29B27" w14:textId="77777777" w:rsidR="00B84E15" w:rsidRPr="0063119B" w:rsidRDefault="00B84E15" w:rsidP="00B84E15">
      <w:pPr>
        <w:rPr>
          <w:szCs w:val="22"/>
        </w:rPr>
      </w:pPr>
      <w:r w:rsidRPr="0063119B">
        <w:rPr>
          <w:szCs w:val="22"/>
        </w:rPr>
        <w:t>A duração da terapêutica e a seleção da dose devem ser individualizadas após cuidadosa avaliação do benefício do tratamento em relação ao risco de hemorragia (ver secção 4.4)</w:t>
      </w:r>
      <w:r w:rsidR="006D2317" w:rsidRPr="0063119B">
        <w:rPr>
          <w:szCs w:val="22"/>
        </w:rPr>
        <w:t>.</w:t>
      </w:r>
    </w:p>
    <w:p w14:paraId="21C6C631" w14:textId="77777777" w:rsidR="00B84E15" w:rsidRPr="0063119B" w:rsidRDefault="00B84E15" w:rsidP="00B84E15">
      <w:pPr>
        <w:tabs>
          <w:tab w:val="left" w:pos="708"/>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B84E15" w:rsidRPr="0063119B" w14:paraId="6BA8204A" w14:textId="77777777" w:rsidTr="00DE537C">
        <w:trPr>
          <w:trHeight w:val="315"/>
        </w:trPr>
        <w:tc>
          <w:tcPr>
            <w:tcW w:w="2339" w:type="dxa"/>
          </w:tcPr>
          <w:p w14:paraId="61AE00EB" w14:textId="77777777" w:rsidR="00B84E15" w:rsidRPr="0063119B" w:rsidRDefault="00B84E15" w:rsidP="00DE537C">
            <w:pPr>
              <w:spacing w:line="260" w:lineRule="exact"/>
              <w:rPr>
                <w:szCs w:val="22"/>
              </w:rPr>
            </w:pPr>
          </w:p>
        </w:tc>
        <w:tc>
          <w:tcPr>
            <w:tcW w:w="2371" w:type="dxa"/>
          </w:tcPr>
          <w:p w14:paraId="6B663446" w14:textId="77777777" w:rsidR="00B84E15" w:rsidRPr="001B6FEC" w:rsidRDefault="00B84E15" w:rsidP="00DE537C">
            <w:pPr>
              <w:spacing w:line="260" w:lineRule="exact"/>
              <w:rPr>
                <w:b/>
                <w:bCs/>
                <w:szCs w:val="22"/>
              </w:rPr>
            </w:pPr>
            <w:r w:rsidRPr="001B6FEC">
              <w:rPr>
                <w:b/>
                <w:bCs/>
                <w:szCs w:val="22"/>
              </w:rPr>
              <w:t>Período de tempo</w:t>
            </w:r>
          </w:p>
        </w:tc>
        <w:tc>
          <w:tcPr>
            <w:tcW w:w="2371" w:type="dxa"/>
          </w:tcPr>
          <w:p w14:paraId="4AF059C4" w14:textId="77777777" w:rsidR="00B84E15" w:rsidRPr="001B6FEC" w:rsidRDefault="00B84E15" w:rsidP="00DE537C">
            <w:pPr>
              <w:spacing w:line="260" w:lineRule="exact"/>
              <w:rPr>
                <w:b/>
                <w:bCs/>
                <w:szCs w:val="22"/>
              </w:rPr>
            </w:pPr>
            <w:r w:rsidRPr="001B6FEC">
              <w:rPr>
                <w:b/>
                <w:bCs/>
                <w:szCs w:val="22"/>
              </w:rPr>
              <w:t>Esquema posológico</w:t>
            </w:r>
          </w:p>
        </w:tc>
        <w:tc>
          <w:tcPr>
            <w:tcW w:w="2143" w:type="dxa"/>
          </w:tcPr>
          <w:p w14:paraId="01B08342" w14:textId="77777777" w:rsidR="00B84E15" w:rsidRPr="001B6FEC" w:rsidRDefault="00B84E15" w:rsidP="00DE537C">
            <w:pPr>
              <w:spacing w:line="260" w:lineRule="exact"/>
              <w:rPr>
                <w:b/>
                <w:bCs/>
                <w:szCs w:val="22"/>
              </w:rPr>
            </w:pPr>
            <w:r w:rsidRPr="001B6FEC">
              <w:rPr>
                <w:b/>
                <w:bCs/>
                <w:szCs w:val="22"/>
              </w:rPr>
              <w:t>Dose diária total</w:t>
            </w:r>
          </w:p>
        </w:tc>
      </w:tr>
      <w:tr w:rsidR="00B84E15" w:rsidRPr="0063119B" w14:paraId="1208EF55" w14:textId="77777777" w:rsidTr="00DE537C">
        <w:trPr>
          <w:trHeight w:val="575"/>
        </w:trPr>
        <w:tc>
          <w:tcPr>
            <w:tcW w:w="2339" w:type="dxa"/>
            <w:vMerge w:val="restart"/>
          </w:tcPr>
          <w:p w14:paraId="2BEBA242" w14:textId="77777777" w:rsidR="00B84E15" w:rsidRPr="0063119B" w:rsidRDefault="00B84E15" w:rsidP="00DE537C">
            <w:pPr>
              <w:spacing w:line="260" w:lineRule="exact"/>
              <w:rPr>
                <w:szCs w:val="22"/>
              </w:rPr>
            </w:pPr>
            <w:r w:rsidRPr="0063119B">
              <w:rPr>
                <w:szCs w:val="22"/>
              </w:rPr>
              <w:t>Tratamento e prevenção da TVP e EP recorrentes</w:t>
            </w:r>
          </w:p>
        </w:tc>
        <w:tc>
          <w:tcPr>
            <w:tcW w:w="2371" w:type="dxa"/>
          </w:tcPr>
          <w:p w14:paraId="09BC93A0" w14:textId="77777777" w:rsidR="00B84E15" w:rsidRPr="0063119B" w:rsidRDefault="00B84E15" w:rsidP="00DE537C">
            <w:pPr>
              <w:spacing w:line="260" w:lineRule="exact"/>
              <w:rPr>
                <w:szCs w:val="22"/>
              </w:rPr>
            </w:pPr>
            <w:r w:rsidRPr="0063119B">
              <w:rPr>
                <w:szCs w:val="22"/>
              </w:rPr>
              <w:t>Dia 1-21</w:t>
            </w:r>
          </w:p>
        </w:tc>
        <w:tc>
          <w:tcPr>
            <w:tcW w:w="2371" w:type="dxa"/>
          </w:tcPr>
          <w:p w14:paraId="227805D8" w14:textId="77777777" w:rsidR="00B84E15" w:rsidRPr="0063119B" w:rsidRDefault="00B84E15" w:rsidP="00DE537C">
            <w:pPr>
              <w:spacing w:line="260" w:lineRule="exact"/>
              <w:rPr>
                <w:szCs w:val="22"/>
              </w:rPr>
            </w:pPr>
            <w:r w:rsidRPr="0063119B">
              <w:rPr>
                <w:szCs w:val="22"/>
              </w:rPr>
              <w:t>15 mg duas vezes por dia</w:t>
            </w:r>
          </w:p>
        </w:tc>
        <w:tc>
          <w:tcPr>
            <w:tcW w:w="2143" w:type="dxa"/>
          </w:tcPr>
          <w:p w14:paraId="7184E317" w14:textId="77777777" w:rsidR="00B84E15" w:rsidRPr="0063119B" w:rsidRDefault="00B84E15" w:rsidP="00DE537C">
            <w:pPr>
              <w:spacing w:line="260" w:lineRule="exact"/>
              <w:rPr>
                <w:szCs w:val="22"/>
              </w:rPr>
            </w:pPr>
            <w:r w:rsidRPr="0063119B">
              <w:rPr>
                <w:szCs w:val="22"/>
              </w:rPr>
              <w:t>30 mg</w:t>
            </w:r>
          </w:p>
        </w:tc>
      </w:tr>
      <w:tr w:rsidR="00B84E15" w:rsidRPr="0063119B" w14:paraId="4CA225F8" w14:textId="77777777" w:rsidTr="00DE537C">
        <w:trPr>
          <w:trHeight w:val="479"/>
        </w:trPr>
        <w:tc>
          <w:tcPr>
            <w:tcW w:w="2339" w:type="dxa"/>
            <w:vMerge/>
          </w:tcPr>
          <w:p w14:paraId="7BD23AA9" w14:textId="77777777" w:rsidR="00B84E15" w:rsidRPr="0063119B" w:rsidRDefault="00B84E15" w:rsidP="00DE537C">
            <w:pPr>
              <w:spacing w:line="260" w:lineRule="exact"/>
              <w:rPr>
                <w:szCs w:val="22"/>
              </w:rPr>
            </w:pPr>
          </w:p>
        </w:tc>
        <w:tc>
          <w:tcPr>
            <w:tcW w:w="2371" w:type="dxa"/>
          </w:tcPr>
          <w:p w14:paraId="4B215ABB" w14:textId="77777777" w:rsidR="00B84E15" w:rsidRPr="0063119B" w:rsidRDefault="00B84E15" w:rsidP="00DE537C">
            <w:pPr>
              <w:spacing w:line="260" w:lineRule="exact"/>
              <w:rPr>
                <w:szCs w:val="22"/>
              </w:rPr>
            </w:pPr>
            <w:r w:rsidRPr="0063119B">
              <w:rPr>
                <w:szCs w:val="22"/>
              </w:rPr>
              <w:t>Dia 22 e seguintes</w:t>
            </w:r>
          </w:p>
        </w:tc>
        <w:tc>
          <w:tcPr>
            <w:tcW w:w="2371" w:type="dxa"/>
          </w:tcPr>
          <w:p w14:paraId="59A2A328" w14:textId="77777777" w:rsidR="00B84E15" w:rsidRPr="0063119B" w:rsidRDefault="00B84E15" w:rsidP="00DE537C">
            <w:pPr>
              <w:spacing w:line="260" w:lineRule="exact"/>
              <w:rPr>
                <w:szCs w:val="22"/>
              </w:rPr>
            </w:pPr>
            <w:r w:rsidRPr="0063119B">
              <w:rPr>
                <w:szCs w:val="22"/>
              </w:rPr>
              <w:t>20 mg uma vez por dia</w:t>
            </w:r>
          </w:p>
        </w:tc>
        <w:tc>
          <w:tcPr>
            <w:tcW w:w="2143" w:type="dxa"/>
          </w:tcPr>
          <w:p w14:paraId="4F5A0C99" w14:textId="77777777" w:rsidR="00B84E15" w:rsidRPr="0063119B" w:rsidRDefault="00B84E15" w:rsidP="00DE537C">
            <w:pPr>
              <w:spacing w:line="260" w:lineRule="exact"/>
              <w:rPr>
                <w:szCs w:val="22"/>
              </w:rPr>
            </w:pPr>
            <w:r w:rsidRPr="0063119B">
              <w:rPr>
                <w:szCs w:val="22"/>
              </w:rPr>
              <w:t>20 mg</w:t>
            </w:r>
          </w:p>
        </w:tc>
      </w:tr>
      <w:tr w:rsidR="00B84E15" w:rsidRPr="0063119B" w14:paraId="264060BA" w14:textId="77777777" w:rsidTr="00DE537C">
        <w:trPr>
          <w:trHeight w:val="814"/>
        </w:trPr>
        <w:tc>
          <w:tcPr>
            <w:tcW w:w="2339" w:type="dxa"/>
          </w:tcPr>
          <w:p w14:paraId="03977383" w14:textId="77777777" w:rsidR="00B84E15" w:rsidRPr="0063119B" w:rsidRDefault="00B84E15" w:rsidP="00DE537C">
            <w:pPr>
              <w:spacing w:line="260" w:lineRule="exact"/>
              <w:rPr>
                <w:szCs w:val="22"/>
              </w:rPr>
            </w:pPr>
            <w:r w:rsidRPr="0063119B">
              <w:rPr>
                <w:szCs w:val="22"/>
              </w:rPr>
              <w:t>Prevenção da TVP e EP recorrentes</w:t>
            </w:r>
          </w:p>
        </w:tc>
        <w:tc>
          <w:tcPr>
            <w:tcW w:w="2371" w:type="dxa"/>
          </w:tcPr>
          <w:p w14:paraId="643728F4" w14:textId="77777777" w:rsidR="00B84E15" w:rsidRPr="0063119B" w:rsidRDefault="00B84E15" w:rsidP="00DE537C">
            <w:pPr>
              <w:spacing w:line="260" w:lineRule="exact"/>
              <w:rPr>
                <w:szCs w:val="22"/>
              </w:rPr>
            </w:pPr>
            <w:r w:rsidRPr="0063119B">
              <w:rPr>
                <w:szCs w:val="22"/>
              </w:rPr>
              <w:t>Depois de se ter completado, pelo menos, 6 meses de terapêutica para a TVP ou EP</w:t>
            </w:r>
          </w:p>
        </w:tc>
        <w:tc>
          <w:tcPr>
            <w:tcW w:w="2371" w:type="dxa"/>
          </w:tcPr>
          <w:p w14:paraId="332AF39B" w14:textId="77777777" w:rsidR="00B84E15" w:rsidRPr="0063119B" w:rsidRDefault="00B84E15" w:rsidP="00DE537C">
            <w:pPr>
              <w:spacing w:line="260" w:lineRule="exact"/>
              <w:rPr>
                <w:szCs w:val="22"/>
              </w:rPr>
            </w:pPr>
            <w:r w:rsidRPr="0063119B">
              <w:rPr>
                <w:szCs w:val="22"/>
              </w:rPr>
              <w:t>10 mg uma vez por dia ou</w:t>
            </w:r>
          </w:p>
          <w:p w14:paraId="11D0486B" w14:textId="77777777" w:rsidR="00B84E15" w:rsidRPr="0063119B" w:rsidRDefault="00B84E15" w:rsidP="00DE537C">
            <w:pPr>
              <w:spacing w:line="260" w:lineRule="exact"/>
              <w:rPr>
                <w:szCs w:val="22"/>
              </w:rPr>
            </w:pPr>
            <w:r w:rsidRPr="0063119B">
              <w:rPr>
                <w:szCs w:val="22"/>
              </w:rPr>
              <w:t>20 mg uma vez por dia</w:t>
            </w:r>
          </w:p>
        </w:tc>
        <w:tc>
          <w:tcPr>
            <w:tcW w:w="2143" w:type="dxa"/>
          </w:tcPr>
          <w:p w14:paraId="7E76F2CE" w14:textId="77777777" w:rsidR="00B84E15" w:rsidRPr="0063119B" w:rsidRDefault="00B84E15" w:rsidP="00DE537C">
            <w:pPr>
              <w:spacing w:line="260" w:lineRule="exact"/>
              <w:rPr>
                <w:szCs w:val="22"/>
              </w:rPr>
            </w:pPr>
            <w:r w:rsidRPr="0063119B">
              <w:rPr>
                <w:szCs w:val="22"/>
              </w:rPr>
              <w:t>10 </w:t>
            </w:r>
            <w:r w:rsidR="006D2317" w:rsidRPr="0063119B">
              <w:rPr>
                <w:szCs w:val="22"/>
              </w:rPr>
              <w:t>mg</w:t>
            </w:r>
          </w:p>
          <w:p w14:paraId="344DC30C" w14:textId="77777777" w:rsidR="00B84E15" w:rsidRPr="0063119B" w:rsidRDefault="00B84E15" w:rsidP="00DE537C">
            <w:pPr>
              <w:spacing w:line="260" w:lineRule="exact"/>
              <w:rPr>
                <w:szCs w:val="22"/>
              </w:rPr>
            </w:pPr>
            <w:r w:rsidRPr="0063119B">
              <w:rPr>
                <w:szCs w:val="22"/>
              </w:rPr>
              <w:t>ou 20 mg</w:t>
            </w:r>
          </w:p>
        </w:tc>
      </w:tr>
    </w:tbl>
    <w:p w14:paraId="0ECB9059" w14:textId="77777777" w:rsidR="00337111" w:rsidRPr="0063119B" w:rsidRDefault="00337111" w:rsidP="00337111">
      <w:pPr>
        <w:rPr>
          <w:szCs w:val="22"/>
        </w:rPr>
      </w:pPr>
    </w:p>
    <w:p w14:paraId="326D5277" w14:textId="77777777" w:rsidR="00AC6AAC" w:rsidRPr="0063119B" w:rsidRDefault="00AC6AAC" w:rsidP="00337111">
      <w:pPr>
        <w:rPr>
          <w:szCs w:val="22"/>
        </w:rPr>
      </w:pPr>
      <w:r w:rsidRPr="0063119B">
        <w:rPr>
          <w:szCs w:val="22"/>
        </w:rPr>
        <w:t xml:space="preserve">Está disponível uma embalagem de </w:t>
      </w:r>
      <w:r w:rsidR="008A2552" w:rsidRPr="0063119B">
        <w:rPr>
          <w:szCs w:val="22"/>
        </w:rPr>
        <w:t xml:space="preserve">tratamento inicial </w:t>
      </w:r>
      <w:r w:rsidRPr="0063119B">
        <w:rPr>
          <w:szCs w:val="22"/>
        </w:rPr>
        <w:t xml:space="preserve">de </w:t>
      </w:r>
      <w:r w:rsidR="00607DE4">
        <w:rPr>
          <w:szCs w:val="22"/>
        </w:rPr>
        <w:t>Rivaroxabano</w:t>
      </w:r>
      <w:r w:rsidR="00B37D0C" w:rsidRPr="0063119B">
        <w:rPr>
          <w:szCs w:val="22"/>
        </w:rPr>
        <w:t xml:space="preserve"> Accord</w:t>
      </w:r>
      <w:r w:rsidRPr="0063119B">
        <w:rPr>
          <w:szCs w:val="22"/>
        </w:rPr>
        <w:t xml:space="preserve"> para 4</w:t>
      </w:r>
      <w:r w:rsidR="00B37D0C" w:rsidRPr="0063119B">
        <w:rPr>
          <w:szCs w:val="22"/>
        </w:rPr>
        <w:t> </w:t>
      </w:r>
      <w:r w:rsidRPr="0063119B">
        <w:rPr>
          <w:szCs w:val="22"/>
        </w:rPr>
        <w:t>semanas de modo a facilitar a alteração de dose de 15</w:t>
      </w:r>
      <w:r w:rsidR="00B37D0C" w:rsidRPr="0063119B">
        <w:rPr>
          <w:szCs w:val="22"/>
        </w:rPr>
        <w:t> </w:t>
      </w:r>
      <w:r w:rsidRPr="0063119B">
        <w:rPr>
          <w:szCs w:val="22"/>
        </w:rPr>
        <w:t>mg para 20</w:t>
      </w:r>
      <w:r w:rsidR="00B37D0C" w:rsidRPr="0063119B">
        <w:rPr>
          <w:szCs w:val="22"/>
        </w:rPr>
        <w:t> </w:t>
      </w:r>
      <w:r w:rsidRPr="0063119B">
        <w:rPr>
          <w:szCs w:val="22"/>
        </w:rPr>
        <w:t>mg após o Dia 21 no tratamento do TVP/EP</w:t>
      </w:r>
    </w:p>
    <w:p w14:paraId="2701788C" w14:textId="77777777" w:rsidR="00337111" w:rsidRPr="0063119B" w:rsidRDefault="00337111" w:rsidP="00337111">
      <w:pPr>
        <w:rPr>
          <w:szCs w:val="22"/>
        </w:rPr>
      </w:pPr>
    </w:p>
    <w:p w14:paraId="7E7A5A1D" w14:textId="77777777" w:rsidR="00337111" w:rsidRPr="0063119B" w:rsidRDefault="00337111" w:rsidP="00337111">
      <w:pPr>
        <w:rPr>
          <w:szCs w:val="22"/>
        </w:rPr>
      </w:pPr>
      <w:r w:rsidRPr="0063119B">
        <w:rPr>
          <w:szCs w:val="22"/>
        </w:rPr>
        <w:t>No caso de esquecimento de uma dose durante a fase de tratamento de 15 mg duas vezes por dia (dia 1 </w:t>
      </w:r>
      <w:r w:rsidRPr="0063119B">
        <w:rPr>
          <w:szCs w:val="22"/>
        </w:rPr>
        <w:noBreakHyphen/>
        <w:t xml:space="preserve"> 21), o doente deve tomar imediatamente </w:t>
      </w:r>
      <w:r w:rsidR="00607DE4">
        <w:rPr>
          <w:szCs w:val="22"/>
        </w:rPr>
        <w:t>Rivaroxabano</w:t>
      </w:r>
      <w:r w:rsidR="00B37D0C" w:rsidRPr="0063119B">
        <w:rPr>
          <w:szCs w:val="22"/>
        </w:rPr>
        <w:t xml:space="preserve"> Accord</w:t>
      </w:r>
      <w:r w:rsidRPr="0063119B">
        <w:rPr>
          <w:szCs w:val="22"/>
        </w:rPr>
        <w:t xml:space="preserve"> para assegurar a toma de 30 mg de </w:t>
      </w:r>
      <w:r w:rsidR="00B37D0C" w:rsidRPr="0063119B">
        <w:rPr>
          <w:szCs w:val="22"/>
        </w:rPr>
        <w:t>rivar</w:t>
      </w:r>
      <w:r w:rsidR="009A6E6E" w:rsidRPr="0063119B">
        <w:rPr>
          <w:szCs w:val="22"/>
        </w:rPr>
        <w:t>oxabano</w:t>
      </w:r>
      <w:r w:rsidR="00B37D0C" w:rsidRPr="0063119B">
        <w:rPr>
          <w:szCs w:val="22"/>
        </w:rPr>
        <w:t xml:space="preserve"> </w:t>
      </w:r>
      <w:r w:rsidRPr="0063119B">
        <w:rPr>
          <w:szCs w:val="22"/>
        </w:rPr>
        <w:t>por dia. Neste caso podem tomar</w:t>
      </w:r>
      <w:r w:rsidRPr="0063119B">
        <w:rPr>
          <w:szCs w:val="22"/>
        </w:rPr>
        <w:noBreakHyphen/>
        <w:t>se dois comprimidos de 15 mg ao mesmo tempo. O doente deve continuar no dia seguinte a toma diária e regular de 15 mg duas vezes por dia, conforme recomendado.</w:t>
      </w:r>
    </w:p>
    <w:p w14:paraId="36E000C6" w14:textId="77777777" w:rsidR="00337111" w:rsidRPr="0063119B" w:rsidRDefault="00337111" w:rsidP="00337111">
      <w:pPr>
        <w:rPr>
          <w:szCs w:val="22"/>
        </w:rPr>
      </w:pPr>
    </w:p>
    <w:p w14:paraId="4A8A77AF" w14:textId="77777777" w:rsidR="00337111" w:rsidRPr="0063119B" w:rsidRDefault="00337111" w:rsidP="00337111">
      <w:pPr>
        <w:rPr>
          <w:szCs w:val="22"/>
        </w:rPr>
      </w:pPr>
      <w:r w:rsidRPr="0063119B">
        <w:rPr>
          <w:szCs w:val="22"/>
        </w:rPr>
        <w:t xml:space="preserve">No caso de esquecimento de uma dose durante a fase de tratamento de uma toma diária, o doente deve tomar imediatamente </w:t>
      </w:r>
      <w:r w:rsidR="00607DE4">
        <w:rPr>
          <w:szCs w:val="22"/>
        </w:rPr>
        <w:t>Rivaroxabano</w:t>
      </w:r>
      <w:r w:rsidR="009A6E6E" w:rsidRPr="0063119B">
        <w:rPr>
          <w:szCs w:val="22"/>
        </w:rPr>
        <w:t xml:space="preserve"> Accord</w:t>
      </w:r>
      <w:r w:rsidRPr="0063119B">
        <w:rPr>
          <w:szCs w:val="22"/>
        </w:rPr>
        <w:t xml:space="preserve"> e continuar no dia seguinte com a toma diária, conforme recomendado. Não deve ser tomada uma dose a dobrar no mesmo dia para compensar uma dose esquecida.</w:t>
      </w:r>
    </w:p>
    <w:p w14:paraId="3D1E408D" w14:textId="77777777" w:rsidR="00337111" w:rsidRDefault="00337111" w:rsidP="00337111">
      <w:pPr>
        <w:rPr>
          <w:szCs w:val="22"/>
        </w:rPr>
      </w:pPr>
    </w:p>
    <w:p w14:paraId="4C9F421B" w14:textId="77777777" w:rsidR="003362F2" w:rsidRPr="003362F2" w:rsidRDefault="003362F2" w:rsidP="003362F2">
      <w:pPr>
        <w:autoSpaceDE w:val="0"/>
        <w:autoSpaceDN w:val="0"/>
        <w:adjustRightInd w:val="0"/>
        <w:rPr>
          <w:color w:val="000000"/>
          <w:szCs w:val="22"/>
          <w:lang w:eastAsia="pt-PT"/>
        </w:rPr>
      </w:pPr>
      <w:r w:rsidRPr="003362F2">
        <w:rPr>
          <w:i/>
          <w:iCs/>
          <w:color w:val="000000"/>
          <w:szCs w:val="22"/>
          <w:lang w:eastAsia="pt-PT"/>
        </w:rPr>
        <w:t xml:space="preserve">Tratamento do TEV e prevenção da recorrência de TEV em crianças e adolescentes </w:t>
      </w:r>
    </w:p>
    <w:p w14:paraId="14B7DA55" w14:textId="77777777" w:rsidR="003362F2" w:rsidRDefault="003362F2" w:rsidP="003362F2">
      <w:pPr>
        <w:autoSpaceDE w:val="0"/>
        <w:autoSpaceDN w:val="0"/>
        <w:adjustRightInd w:val="0"/>
        <w:rPr>
          <w:color w:val="000000"/>
          <w:szCs w:val="22"/>
          <w:lang w:eastAsia="pt-PT"/>
        </w:rPr>
      </w:pPr>
      <w:r w:rsidRPr="003362F2">
        <w:rPr>
          <w:color w:val="000000"/>
          <w:szCs w:val="22"/>
          <w:lang w:eastAsia="pt-PT"/>
        </w:rPr>
        <w:t xml:space="preserve">O tratamento com </w:t>
      </w:r>
      <w:r w:rsidRPr="00807554">
        <w:rPr>
          <w:iCs/>
          <w:szCs w:val="22"/>
        </w:rPr>
        <w:t>Rivaroxaban</w:t>
      </w:r>
      <w:r>
        <w:rPr>
          <w:iCs/>
          <w:szCs w:val="22"/>
        </w:rPr>
        <w:t>o</w:t>
      </w:r>
      <w:r w:rsidRPr="00807554">
        <w:rPr>
          <w:iCs/>
          <w:szCs w:val="22"/>
        </w:rPr>
        <w:t xml:space="preserve"> Accord</w:t>
      </w:r>
      <w:r w:rsidRPr="00EF3721" w:rsidDel="005B19AF">
        <w:rPr>
          <w:szCs w:val="22"/>
        </w:rPr>
        <w:t xml:space="preserve"> </w:t>
      </w:r>
      <w:r w:rsidRPr="003362F2">
        <w:rPr>
          <w:color w:val="000000"/>
          <w:szCs w:val="22"/>
          <w:lang w:eastAsia="pt-PT"/>
        </w:rPr>
        <w:t xml:space="preserve">em crianças e adolescentes com idade inferior a18 anos de idade deve ser iniciado após, pelo menos, 5 dias de tratamento anticoagulante parentérico inicial (ver secção 5.1). </w:t>
      </w:r>
    </w:p>
    <w:p w14:paraId="6C3F9E28" w14:textId="77777777" w:rsidR="003362F2" w:rsidRPr="003362F2" w:rsidRDefault="003362F2" w:rsidP="003362F2">
      <w:pPr>
        <w:autoSpaceDE w:val="0"/>
        <w:autoSpaceDN w:val="0"/>
        <w:adjustRightInd w:val="0"/>
        <w:rPr>
          <w:color w:val="000000"/>
          <w:szCs w:val="22"/>
          <w:lang w:eastAsia="pt-PT"/>
        </w:rPr>
      </w:pPr>
    </w:p>
    <w:p w14:paraId="5FA355F9" w14:textId="77777777" w:rsidR="003362F2" w:rsidRPr="003362F2" w:rsidRDefault="003362F2" w:rsidP="003362F2">
      <w:pPr>
        <w:autoSpaceDE w:val="0"/>
        <w:autoSpaceDN w:val="0"/>
        <w:adjustRightInd w:val="0"/>
        <w:rPr>
          <w:color w:val="000000"/>
          <w:szCs w:val="22"/>
          <w:lang w:eastAsia="pt-PT"/>
        </w:rPr>
      </w:pPr>
      <w:r w:rsidRPr="003362F2">
        <w:rPr>
          <w:color w:val="000000"/>
          <w:szCs w:val="22"/>
          <w:lang w:eastAsia="pt-PT"/>
        </w:rPr>
        <w:t xml:space="preserve">A dose para crianças e adolescentes é calculada com base no peso corporal. </w:t>
      </w:r>
    </w:p>
    <w:p w14:paraId="18260B99" w14:textId="77777777" w:rsidR="003362F2" w:rsidRDefault="003362F2" w:rsidP="003362F2">
      <w:pPr>
        <w:autoSpaceDE w:val="0"/>
        <w:autoSpaceDN w:val="0"/>
        <w:adjustRightInd w:val="0"/>
        <w:rPr>
          <w:color w:val="000000"/>
          <w:szCs w:val="22"/>
          <w:lang w:eastAsia="pt-PT"/>
        </w:rPr>
      </w:pPr>
      <w:r w:rsidRPr="003362F2">
        <w:rPr>
          <w:rFonts w:ascii="Arial" w:hAnsi="Arial" w:cs="Arial"/>
          <w:color w:val="000000"/>
          <w:szCs w:val="22"/>
          <w:lang w:eastAsia="pt-PT"/>
        </w:rPr>
        <w:t>-</w:t>
      </w:r>
      <w:r>
        <w:rPr>
          <w:rFonts w:ascii="Arial" w:hAnsi="Arial" w:cs="Arial"/>
          <w:color w:val="000000"/>
          <w:szCs w:val="22"/>
          <w:lang w:eastAsia="pt-PT"/>
        </w:rPr>
        <w:tab/>
      </w:r>
      <w:r w:rsidRPr="003362F2">
        <w:rPr>
          <w:color w:val="000000"/>
          <w:szCs w:val="22"/>
          <w:lang w:eastAsia="pt-PT"/>
        </w:rPr>
        <w:t xml:space="preserve">Peso corporal igual ou superior a 50 kg: </w:t>
      </w:r>
    </w:p>
    <w:p w14:paraId="0697B3C5" w14:textId="77777777" w:rsidR="003362F2" w:rsidRPr="003362F2" w:rsidRDefault="003362F2" w:rsidP="00EF3721">
      <w:pPr>
        <w:autoSpaceDE w:val="0"/>
        <w:autoSpaceDN w:val="0"/>
        <w:adjustRightInd w:val="0"/>
        <w:ind w:left="720"/>
        <w:rPr>
          <w:color w:val="000000"/>
          <w:szCs w:val="22"/>
          <w:lang w:eastAsia="pt-PT"/>
        </w:rPr>
      </w:pPr>
      <w:r w:rsidRPr="003362F2">
        <w:rPr>
          <w:color w:val="000000"/>
          <w:szCs w:val="22"/>
          <w:lang w:eastAsia="pt-PT"/>
        </w:rPr>
        <w:t xml:space="preserve">recomenda-se uma dose de 20 mg de rivaroxabano uma vez por dia. Esta é a dose máxima diária. </w:t>
      </w:r>
    </w:p>
    <w:p w14:paraId="04D82F1D" w14:textId="77777777" w:rsidR="003362F2" w:rsidRPr="003362F2" w:rsidRDefault="003362F2" w:rsidP="003362F2">
      <w:pPr>
        <w:autoSpaceDE w:val="0"/>
        <w:autoSpaceDN w:val="0"/>
        <w:adjustRightInd w:val="0"/>
        <w:rPr>
          <w:color w:val="000000"/>
          <w:sz w:val="24"/>
          <w:szCs w:val="24"/>
          <w:lang w:eastAsia="pt-PT"/>
        </w:rPr>
      </w:pPr>
    </w:p>
    <w:p w14:paraId="749414E5" w14:textId="77777777" w:rsidR="003362F2" w:rsidRDefault="003362F2" w:rsidP="003362F2">
      <w:pPr>
        <w:autoSpaceDE w:val="0"/>
        <w:autoSpaceDN w:val="0"/>
        <w:adjustRightInd w:val="0"/>
        <w:rPr>
          <w:color w:val="000000"/>
          <w:szCs w:val="22"/>
          <w:lang w:eastAsia="pt-PT"/>
        </w:rPr>
      </w:pPr>
      <w:r>
        <w:rPr>
          <w:color w:val="000000"/>
          <w:szCs w:val="22"/>
          <w:lang w:eastAsia="pt-PT"/>
        </w:rPr>
        <w:t>-</w:t>
      </w:r>
      <w:r>
        <w:rPr>
          <w:color w:val="000000"/>
          <w:szCs w:val="22"/>
          <w:lang w:eastAsia="pt-PT"/>
        </w:rPr>
        <w:tab/>
      </w:r>
      <w:r w:rsidRPr="003362F2">
        <w:rPr>
          <w:color w:val="000000"/>
          <w:szCs w:val="22"/>
          <w:lang w:eastAsia="pt-PT"/>
        </w:rPr>
        <w:t xml:space="preserve">Peso corporal entre 30 kg e 50 kg: </w:t>
      </w:r>
    </w:p>
    <w:p w14:paraId="6FF27938" w14:textId="77777777" w:rsidR="00F73C2E" w:rsidRDefault="003362F2" w:rsidP="00EF3721">
      <w:pPr>
        <w:autoSpaceDE w:val="0"/>
        <w:autoSpaceDN w:val="0"/>
        <w:adjustRightInd w:val="0"/>
        <w:ind w:left="720"/>
        <w:rPr>
          <w:color w:val="000000"/>
          <w:szCs w:val="22"/>
          <w:lang w:eastAsia="pt-PT"/>
        </w:rPr>
      </w:pPr>
      <w:r w:rsidRPr="003362F2">
        <w:rPr>
          <w:color w:val="000000"/>
          <w:szCs w:val="22"/>
          <w:lang w:eastAsia="pt-PT"/>
        </w:rPr>
        <w:t>recomenda-se uma dose de 15 mg de rivaroxabano uma vez por dia. Esta é a dose máxima diária.</w:t>
      </w:r>
    </w:p>
    <w:p w14:paraId="44214611" w14:textId="77777777" w:rsidR="003362F2" w:rsidRPr="003362F2" w:rsidRDefault="00A35BCA" w:rsidP="0024081D">
      <w:pPr>
        <w:autoSpaceDE w:val="0"/>
        <w:autoSpaceDN w:val="0"/>
        <w:adjustRightInd w:val="0"/>
        <w:ind w:left="709" w:hanging="709"/>
        <w:rPr>
          <w:color w:val="000000"/>
          <w:szCs w:val="22"/>
          <w:lang w:eastAsia="pt-PT"/>
        </w:rPr>
      </w:pPr>
      <w:r>
        <w:rPr>
          <w:color w:val="000000"/>
          <w:szCs w:val="22"/>
          <w:lang w:eastAsia="pt-PT"/>
        </w:rPr>
        <w:t>-</w:t>
      </w:r>
      <w:r>
        <w:rPr>
          <w:color w:val="000000"/>
          <w:szCs w:val="22"/>
          <w:lang w:eastAsia="pt-PT"/>
        </w:rPr>
        <w:tab/>
      </w:r>
      <w:r w:rsidR="00F73C2E">
        <w:t>Para doentes com peso corporal inferior a 30 kg, consultar o Resumo das Características do Medicamento de outros medicamentos contendo rivaroxabano granulado para suspensão oral disponíveis no mercado.</w:t>
      </w:r>
      <w:r w:rsidR="003362F2" w:rsidRPr="003362F2">
        <w:rPr>
          <w:color w:val="000000"/>
          <w:szCs w:val="22"/>
          <w:lang w:eastAsia="pt-PT"/>
        </w:rPr>
        <w:t xml:space="preserve"> </w:t>
      </w:r>
    </w:p>
    <w:p w14:paraId="4B89C33B" w14:textId="77777777" w:rsidR="003362F2" w:rsidRDefault="003362F2" w:rsidP="003362F2">
      <w:pPr>
        <w:autoSpaceDE w:val="0"/>
        <w:autoSpaceDN w:val="0"/>
        <w:adjustRightInd w:val="0"/>
        <w:rPr>
          <w:rFonts w:ascii="Arial" w:hAnsi="Arial" w:cs="Arial"/>
          <w:color w:val="000000"/>
          <w:szCs w:val="22"/>
          <w:lang w:eastAsia="pt-PT"/>
        </w:rPr>
      </w:pPr>
    </w:p>
    <w:p w14:paraId="7F138C17" w14:textId="77777777" w:rsidR="003362F2" w:rsidRPr="003362F2" w:rsidRDefault="003362F2" w:rsidP="003362F2">
      <w:pPr>
        <w:autoSpaceDE w:val="0"/>
        <w:autoSpaceDN w:val="0"/>
        <w:adjustRightInd w:val="0"/>
        <w:rPr>
          <w:color w:val="000000"/>
          <w:szCs w:val="22"/>
          <w:lang w:eastAsia="pt-PT"/>
        </w:rPr>
      </w:pPr>
      <w:r w:rsidRPr="003362F2">
        <w:rPr>
          <w:color w:val="000000"/>
          <w:szCs w:val="22"/>
          <w:lang w:eastAsia="pt-PT"/>
        </w:rPr>
        <w:t xml:space="preserve">O peso da criança deve ser monitorizado e a dose deve ser revista regularmente. Isto é para assegurar que se mantém uma dose terapêutica. Os ajustes da dose devem ser </w:t>
      </w:r>
      <w:r>
        <w:rPr>
          <w:color w:val="000000"/>
          <w:szCs w:val="22"/>
          <w:lang w:eastAsia="pt-PT"/>
        </w:rPr>
        <w:t>a</w:t>
      </w:r>
      <w:r w:rsidRPr="003362F2">
        <w:rPr>
          <w:color w:val="000000"/>
          <w:szCs w:val="22"/>
          <w:lang w:eastAsia="pt-PT"/>
        </w:rPr>
        <w:t>penas feito</w:t>
      </w:r>
      <w:r>
        <w:rPr>
          <w:color w:val="000000"/>
          <w:szCs w:val="22"/>
          <w:lang w:eastAsia="pt-PT"/>
        </w:rPr>
        <w:t>s</w:t>
      </w:r>
      <w:r w:rsidRPr="003362F2">
        <w:rPr>
          <w:color w:val="000000"/>
          <w:szCs w:val="22"/>
          <w:lang w:eastAsia="pt-PT"/>
        </w:rPr>
        <w:t xml:space="preserve"> com base nas alterações no peso corporal. </w:t>
      </w:r>
    </w:p>
    <w:p w14:paraId="2BF25082" w14:textId="77777777" w:rsidR="003362F2" w:rsidRDefault="003362F2" w:rsidP="003362F2">
      <w:pPr>
        <w:autoSpaceDE w:val="0"/>
        <w:autoSpaceDN w:val="0"/>
        <w:adjustRightInd w:val="0"/>
        <w:rPr>
          <w:color w:val="000000"/>
          <w:szCs w:val="22"/>
          <w:lang w:eastAsia="pt-PT"/>
        </w:rPr>
      </w:pPr>
      <w:r w:rsidRPr="003362F2">
        <w:rPr>
          <w:color w:val="000000"/>
          <w:szCs w:val="22"/>
          <w:lang w:eastAsia="pt-PT"/>
        </w:rPr>
        <w:t xml:space="preserve">O tratamento deve continuar durante, pelo menos, 3 meses em crianças e adolescentes. O tratamento pode ser prolongado até 12 meses quando clinicamente necessário. Não existem dados disponíveis em crianças para apoiar uma redução da dose após seis meses de tratamento. Deve avaliar-se o benefício-risco da terapêutica continuada após 3 meses numa base individual, tendo em conta o risco de trombose recorrente versus o potencial risco de hemorragia. </w:t>
      </w:r>
    </w:p>
    <w:p w14:paraId="0A075256" w14:textId="77777777" w:rsidR="003362F2" w:rsidRPr="003362F2" w:rsidRDefault="003362F2" w:rsidP="003362F2">
      <w:pPr>
        <w:autoSpaceDE w:val="0"/>
        <w:autoSpaceDN w:val="0"/>
        <w:adjustRightInd w:val="0"/>
        <w:rPr>
          <w:color w:val="000000"/>
          <w:szCs w:val="22"/>
          <w:lang w:eastAsia="pt-PT"/>
        </w:rPr>
      </w:pPr>
    </w:p>
    <w:p w14:paraId="55EE6F2E" w14:textId="77777777" w:rsidR="003362F2" w:rsidRDefault="003362F2" w:rsidP="003362F2">
      <w:pPr>
        <w:rPr>
          <w:szCs w:val="22"/>
        </w:rPr>
      </w:pPr>
      <w:r w:rsidRPr="003362F2">
        <w:rPr>
          <w:color w:val="000000"/>
          <w:szCs w:val="22"/>
          <w:lang w:eastAsia="pt-PT"/>
        </w:rPr>
        <w:t>Se houver esquecimento de uma dose, a dose esquecida deve ser tomada assim que possível uma vez detetada, mas apenas no mesmo dia. Se isto não for possível, o doente deve saltar a dose e continuar com a dose seguinte, conforme prescrito. O doente não deve tomar duas doses para compensar uma dose que se esqueceu de tomar</w:t>
      </w:r>
      <w:r w:rsidRPr="003362F2">
        <w:rPr>
          <w:color w:val="000000"/>
          <w:sz w:val="20"/>
          <w:lang w:eastAsia="pt-PT"/>
        </w:rPr>
        <w:t>.</w:t>
      </w:r>
    </w:p>
    <w:p w14:paraId="372C0B8E" w14:textId="77777777" w:rsidR="003362F2" w:rsidRPr="0063119B" w:rsidRDefault="003362F2" w:rsidP="00337111">
      <w:pPr>
        <w:rPr>
          <w:szCs w:val="22"/>
        </w:rPr>
      </w:pPr>
    </w:p>
    <w:p w14:paraId="2FC42A3E" w14:textId="77777777" w:rsidR="00337111" w:rsidRPr="0063119B" w:rsidRDefault="00337111" w:rsidP="00337111">
      <w:pPr>
        <w:rPr>
          <w:i/>
          <w:szCs w:val="22"/>
        </w:rPr>
      </w:pPr>
      <w:r w:rsidRPr="0063119B">
        <w:rPr>
          <w:i/>
          <w:szCs w:val="22"/>
        </w:rPr>
        <w:t xml:space="preserve">Passagem de </w:t>
      </w:r>
      <w:r w:rsidR="009A6E6E" w:rsidRPr="0063119B">
        <w:rPr>
          <w:i/>
          <w:szCs w:val="22"/>
        </w:rPr>
        <w:t>a</w:t>
      </w:r>
      <w:r w:rsidRPr="0063119B">
        <w:rPr>
          <w:i/>
          <w:szCs w:val="22"/>
        </w:rPr>
        <w:t xml:space="preserve">ntagonistas da Vitamina K (AVK) para </w:t>
      </w:r>
      <w:r w:rsidR="009A6E6E" w:rsidRPr="0063119B">
        <w:rPr>
          <w:i/>
          <w:szCs w:val="22"/>
        </w:rPr>
        <w:t>rivaroxabano</w:t>
      </w:r>
    </w:p>
    <w:p w14:paraId="13955655" w14:textId="77777777" w:rsidR="00337111" w:rsidRPr="0063119B" w:rsidRDefault="003362F2" w:rsidP="00EF3721">
      <w:pPr>
        <w:ind w:firstLine="720"/>
        <w:rPr>
          <w:iCs/>
          <w:szCs w:val="22"/>
        </w:rPr>
      </w:pPr>
      <w:r>
        <w:rPr>
          <w:iCs/>
          <w:szCs w:val="22"/>
        </w:rPr>
        <w:t>- P</w:t>
      </w:r>
      <w:r w:rsidR="00337111" w:rsidRPr="0063119B">
        <w:rPr>
          <w:iCs/>
          <w:szCs w:val="22"/>
        </w:rPr>
        <w:t xml:space="preserve">revenção do acidente vascular cerebral e embolismo sistémico, o tratamento com AVK deve ser interrompido e a terapêutica com </w:t>
      </w:r>
      <w:r w:rsidR="00607DE4">
        <w:rPr>
          <w:iCs/>
          <w:szCs w:val="22"/>
        </w:rPr>
        <w:t>Rivaroxabano</w:t>
      </w:r>
      <w:r w:rsidR="009A6E6E" w:rsidRPr="0063119B">
        <w:rPr>
          <w:iCs/>
          <w:szCs w:val="22"/>
        </w:rPr>
        <w:t xml:space="preserve"> Accord</w:t>
      </w:r>
      <w:r w:rsidR="00337111" w:rsidRPr="0063119B">
        <w:rPr>
          <w:iCs/>
          <w:szCs w:val="22"/>
        </w:rPr>
        <w:t xml:space="preserve"> deve ser iniciada quando o </w:t>
      </w:r>
      <w:r w:rsidR="00E42985" w:rsidRPr="0063119B">
        <w:rPr>
          <w:i/>
          <w:iCs/>
          <w:szCs w:val="22"/>
        </w:rPr>
        <w:t>International Normali</w:t>
      </w:r>
      <w:r w:rsidR="004D7C05" w:rsidRPr="0063119B">
        <w:rPr>
          <w:i/>
          <w:iCs/>
          <w:szCs w:val="22"/>
        </w:rPr>
        <w:t>s</w:t>
      </w:r>
      <w:r w:rsidR="00E42985" w:rsidRPr="0063119B">
        <w:rPr>
          <w:i/>
          <w:iCs/>
          <w:szCs w:val="22"/>
        </w:rPr>
        <w:t xml:space="preserve">ed Ratio </w:t>
      </w:r>
      <w:r w:rsidR="00E42985" w:rsidRPr="0063119B">
        <w:rPr>
          <w:iCs/>
          <w:szCs w:val="22"/>
        </w:rPr>
        <w:t>(</w:t>
      </w:r>
      <w:r w:rsidR="00337111" w:rsidRPr="0063119B">
        <w:rPr>
          <w:iCs/>
          <w:szCs w:val="22"/>
        </w:rPr>
        <w:t>INR</w:t>
      </w:r>
      <w:r w:rsidR="00E42985" w:rsidRPr="0063119B">
        <w:rPr>
          <w:iCs/>
          <w:szCs w:val="22"/>
        </w:rPr>
        <w:t>)</w:t>
      </w:r>
      <w:r w:rsidR="00337111" w:rsidRPr="0063119B">
        <w:rPr>
          <w:iCs/>
          <w:szCs w:val="22"/>
        </w:rPr>
        <w:t xml:space="preserve"> for ≤ 3,0.</w:t>
      </w:r>
    </w:p>
    <w:p w14:paraId="631DAB22" w14:textId="77777777" w:rsidR="003362F2" w:rsidRDefault="003362F2" w:rsidP="003362F2">
      <w:pPr>
        <w:ind w:firstLine="720"/>
        <w:rPr>
          <w:iCs/>
          <w:szCs w:val="22"/>
        </w:rPr>
      </w:pPr>
      <w:r>
        <w:rPr>
          <w:iCs/>
          <w:szCs w:val="22"/>
        </w:rPr>
        <w:t>- Tratamento da</w:t>
      </w:r>
      <w:r w:rsidR="00337111" w:rsidRPr="0063119B">
        <w:rPr>
          <w:iCs/>
          <w:szCs w:val="22"/>
        </w:rPr>
        <w:t xml:space="preserve"> TVP, EP e na prevenção da recorrência</w:t>
      </w:r>
      <w:r>
        <w:rPr>
          <w:iCs/>
          <w:szCs w:val="22"/>
        </w:rPr>
        <w:t xml:space="preserve"> </w:t>
      </w:r>
      <w:r>
        <w:rPr>
          <w:szCs w:val="22"/>
        </w:rPr>
        <w:t>em adultos e tratamento do TEV e prevenção da sua recorrência em doentes pediátricos</w:t>
      </w:r>
      <w:r>
        <w:rPr>
          <w:iCs/>
          <w:szCs w:val="22"/>
        </w:rPr>
        <w:t>:</w:t>
      </w:r>
    </w:p>
    <w:p w14:paraId="043B104C" w14:textId="77777777" w:rsidR="00337111" w:rsidRPr="0063119B" w:rsidRDefault="003362F2" w:rsidP="00EF3721">
      <w:pPr>
        <w:ind w:firstLine="720"/>
        <w:rPr>
          <w:iCs/>
          <w:szCs w:val="22"/>
        </w:rPr>
      </w:pPr>
      <w:r>
        <w:rPr>
          <w:iCs/>
          <w:szCs w:val="22"/>
        </w:rPr>
        <w:t>O</w:t>
      </w:r>
      <w:r w:rsidR="00337111" w:rsidRPr="0063119B">
        <w:rPr>
          <w:iCs/>
          <w:szCs w:val="22"/>
        </w:rPr>
        <w:t xml:space="preserve"> tratamento com AVK deve ser interrompido e a terapêutica com </w:t>
      </w:r>
      <w:r w:rsidR="00607DE4">
        <w:rPr>
          <w:iCs/>
          <w:szCs w:val="22"/>
        </w:rPr>
        <w:t>Rivaroxabano</w:t>
      </w:r>
      <w:r w:rsidR="009A6E6E" w:rsidRPr="0063119B">
        <w:rPr>
          <w:iCs/>
          <w:szCs w:val="22"/>
        </w:rPr>
        <w:t xml:space="preserve"> Accord</w:t>
      </w:r>
      <w:r w:rsidR="00337111" w:rsidRPr="0063119B">
        <w:rPr>
          <w:iCs/>
          <w:szCs w:val="22"/>
        </w:rPr>
        <w:t xml:space="preserve"> deve ser iniciada assim que o INR for ≤ 2,5.</w:t>
      </w:r>
    </w:p>
    <w:p w14:paraId="68ECD806" w14:textId="77777777" w:rsidR="00337111" w:rsidRPr="0063119B" w:rsidRDefault="00337111" w:rsidP="00337111">
      <w:pPr>
        <w:rPr>
          <w:iCs/>
          <w:szCs w:val="22"/>
        </w:rPr>
      </w:pPr>
      <w:r w:rsidRPr="0063119B">
        <w:rPr>
          <w:iCs/>
          <w:szCs w:val="22"/>
        </w:rPr>
        <w:t xml:space="preserve">Durante a passagem de doentes de AVK para </w:t>
      </w:r>
      <w:r w:rsidR="009A6E6E" w:rsidRPr="0063119B">
        <w:rPr>
          <w:iCs/>
          <w:szCs w:val="22"/>
        </w:rPr>
        <w:t>rivaroxabano</w:t>
      </w:r>
      <w:r w:rsidRPr="0063119B">
        <w:rPr>
          <w:iCs/>
          <w:szCs w:val="22"/>
        </w:rPr>
        <w:t xml:space="preserve">, os valores do INR estarão falsamente elevados após a toma de </w:t>
      </w:r>
      <w:r w:rsidR="009A6E6E" w:rsidRPr="0063119B">
        <w:rPr>
          <w:iCs/>
          <w:szCs w:val="22"/>
        </w:rPr>
        <w:t>rivaroxabano</w:t>
      </w:r>
      <w:r w:rsidRPr="0063119B">
        <w:rPr>
          <w:iCs/>
          <w:szCs w:val="22"/>
        </w:rPr>
        <w:t xml:space="preserve">. O INR não é uma medida válida para determinar a atividade anticoagulante de </w:t>
      </w:r>
      <w:r w:rsidR="009A6E6E" w:rsidRPr="0063119B">
        <w:rPr>
          <w:iCs/>
          <w:szCs w:val="22"/>
        </w:rPr>
        <w:t>rivaroxabano</w:t>
      </w:r>
      <w:r w:rsidRPr="0063119B">
        <w:rPr>
          <w:iCs/>
          <w:szCs w:val="22"/>
        </w:rPr>
        <w:t xml:space="preserve"> e, portanto, não deve ser utilizado (ver secção 4.5).</w:t>
      </w:r>
    </w:p>
    <w:p w14:paraId="612842A8" w14:textId="77777777" w:rsidR="00337111" w:rsidRPr="0063119B" w:rsidRDefault="00337111" w:rsidP="00337111">
      <w:pPr>
        <w:rPr>
          <w:iCs/>
          <w:szCs w:val="22"/>
        </w:rPr>
      </w:pPr>
    </w:p>
    <w:p w14:paraId="6092171F" w14:textId="77777777" w:rsidR="00337111" w:rsidRPr="0063119B" w:rsidRDefault="00337111" w:rsidP="003311FD">
      <w:pPr>
        <w:keepNext/>
        <w:rPr>
          <w:i/>
          <w:iCs/>
          <w:szCs w:val="22"/>
        </w:rPr>
      </w:pPr>
      <w:r w:rsidRPr="0063119B">
        <w:rPr>
          <w:i/>
          <w:iCs/>
          <w:szCs w:val="22"/>
        </w:rPr>
        <w:t xml:space="preserve">Passagem de </w:t>
      </w:r>
      <w:r w:rsidR="009A6E6E" w:rsidRPr="0063119B">
        <w:rPr>
          <w:i/>
          <w:iCs/>
          <w:szCs w:val="22"/>
        </w:rPr>
        <w:t xml:space="preserve">rivaroxabano </w:t>
      </w:r>
      <w:r w:rsidRPr="0063119B">
        <w:rPr>
          <w:i/>
          <w:iCs/>
          <w:szCs w:val="22"/>
        </w:rPr>
        <w:t xml:space="preserve">para os </w:t>
      </w:r>
      <w:r w:rsidR="009A6E6E" w:rsidRPr="0063119B">
        <w:rPr>
          <w:i/>
          <w:iCs/>
          <w:szCs w:val="22"/>
        </w:rPr>
        <w:t>a</w:t>
      </w:r>
      <w:r w:rsidRPr="0063119B">
        <w:rPr>
          <w:i/>
          <w:iCs/>
          <w:szCs w:val="22"/>
        </w:rPr>
        <w:t>ntagonistas da Vitamina K (AVK)</w:t>
      </w:r>
    </w:p>
    <w:p w14:paraId="5F8DF646" w14:textId="77777777" w:rsidR="00337111" w:rsidRPr="0063119B" w:rsidRDefault="00337111" w:rsidP="00337111">
      <w:pPr>
        <w:autoSpaceDE w:val="0"/>
        <w:autoSpaceDN w:val="0"/>
        <w:adjustRightInd w:val="0"/>
        <w:rPr>
          <w:rFonts w:eastAsia="MS Mincho"/>
          <w:szCs w:val="22"/>
          <w:lang w:eastAsia="ja-JP"/>
        </w:rPr>
      </w:pPr>
      <w:r w:rsidRPr="0063119B">
        <w:rPr>
          <w:szCs w:val="22"/>
        </w:rPr>
        <w:t xml:space="preserve">Existe um potencial de anticoagulação inadequado durante a transição de </w:t>
      </w:r>
      <w:r w:rsidR="009A6E6E" w:rsidRPr="0063119B">
        <w:rPr>
          <w:iCs/>
          <w:szCs w:val="22"/>
        </w:rPr>
        <w:t>rivaroxabano</w:t>
      </w:r>
      <w:r w:rsidRPr="0063119B">
        <w:rPr>
          <w:szCs w:val="22"/>
        </w:rPr>
        <w:t xml:space="preserve"> para os AVK. Deve ser assegurada uma anticoagulação contínua adequada durante a transição para um anticoagulante alternativo. Deve salientar</w:t>
      </w:r>
      <w:r w:rsidRPr="0063119B">
        <w:rPr>
          <w:szCs w:val="22"/>
        </w:rPr>
        <w:noBreakHyphen/>
        <w:t xml:space="preserve">se que </w:t>
      </w:r>
      <w:r w:rsidR="009A6E6E" w:rsidRPr="0063119B">
        <w:rPr>
          <w:szCs w:val="22"/>
        </w:rPr>
        <w:t xml:space="preserve">o </w:t>
      </w:r>
      <w:r w:rsidR="009A6E6E" w:rsidRPr="0063119B">
        <w:rPr>
          <w:iCs/>
          <w:szCs w:val="22"/>
        </w:rPr>
        <w:t>rivaroxabano</w:t>
      </w:r>
      <w:r w:rsidR="009A6E6E" w:rsidRPr="0063119B">
        <w:rPr>
          <w:szCs w:val="22"/>
        </w:rPr>
        <w:t xml:space="preserve"> </w:t>
      </w:r>
      <w:r w:rsidRPr="0063119B">
        <w:rPr>
          <w:szCs w:val="22"/>
        </w:rPr>
        <w:t>pode contribuir para um INR elevado.</w:t>
      </w:r>
    </w:p>
    <w:p w14:paraId="642DB87D" w14:textId="77777777" w:rsidR="009A6E6E" w:rsidRPr="0063119B" w:rsidRDefault="00337111" w:rsidP="00337111">
      <w:pPr>
        <w:autoSpaceDE w:val="0"/>
        <w:autoSpaceDN w:val="0"/>
        <w:adjustRightInd w:val="0"/>
        <w:rPr>
          <w:rFonts w:eastAsia="MS Mincho"/>
          <w:szCs w:val="22"/>
          <w:lang w:eastAsia="ja-JP"/>
        </w:rPr>
      </w:pPr>
      <w:r w:rsidRPr="0063119B">
        <w:rPr>
          <w:rFonts w:eastAsia="MS Mincho"/>
          <w:szCs w:val="22"/>
          <w:lang w:eastAsia="ja-JP"/>
        </w:rPr>
        <w:t xml:space="preserve">Em doentes que passam de </w:t>
      </w:r>
      <w:r w:rsidR="009A6E6E" w:rsidRPr="0063119B">
        <w:rPr>
          <w:iCs/>
          <w:szCs w:val="22"/>
        </w:rPr>
        <w:t>rivaroxabano</w:t>
      </w:r>
      <w:r w:rsidRPr="0063119B">
        <w:rPr>
          <w:rFonts w:eastAsia="MS Mincho"/>
          <w:szCs w:val="22"/>
          <w:lang w:eastAsia="ja-JP"/>
        </w:rPr>
        <w:t xml:space="preserve"> para um AVK, o AVK deve ser administrado simultaneamente até o INR ser ≥ 2,0. </w:t>
      </w:r>
    </w:p>
    <w:p w14:paraId="490B842D" w14:textId="77777777" w:rsidR="00337111" w:rsidRPr="0063119B" w:rsidRDefault="00337111" w:rsidP="00337111">
      <w:pPr>
        <w:autoSpaceDE w:val="0"/>
        <w:autoSpaceDN w:val="0"/>
        <w:adjustRightInd w:val="0"/>
        <w:rPr>
          <w:rFonts w:eastAsia="MS Mincho"/>
          <w:szCs w:val="22"/>
          <w:lang w:eastAsia="ja-JP"/>
        </w:rPr>
      </w:pPr>
      <w:r w:rsidRPr="0063119B">
        <w:rPr>
          <w:rFonts w:eastAsia="MS Mincho"/>
          <w:szCs w:val="22"/>
          <w:lang w:eastAsia="ja-JP"/>
        </w:rPr>
        <w:t>Durante os dois primeiros dias do período de passagem, deve utilizar</w:t>
      </w:r>
      <w:r w:rsidRPr="0063119B">
        <w:rPr>
          <w:rFonts w:eastAsia="MS Mincho"/>
          <w:szCs w:val="22"/>
          <w:lang w:eastAsia="ja-JP"/>
        </w:rPr>
        <w:noBreakHyphen/>
        <w:t>se a dose inicial padrão do AVK, seguida de uma dose do AVK</w:t>
      </w:r>
      <w:r w:rsidR="00317EE7" w:rsidRPr="0063119B">
        <w:rPr>
          <w:rFonts w:eastAsia="MS Mincho"/>
          <w:szCs w:val="22"/>
          <w:lang w:eastAsia="ja-JP"/>
        </w:rPr>
        <w:t>, com</w:t>
      </w:r>
      <w:r w:rsidRPr="0063119B">
        <w:rPr>
          <w:rFonts w:eastAsia="MS Mincho"/>
          <w:szCs w:val="22"/>
          <w:lang w:eastAsia="ja-JP"/>
        </w:rPr>
        <w:t xml:space="preserve"> base nas determinações do INR. Enquanto os doentes estiverem a tomar simultaneamente </w:t>
      </w:r>
      <w:r w:rsidR="009A6E6E" w:rsidRPr="0063119B">
        <w:rPr>
          <w:rFonts w:eastAsia="MS Mincho"/>
          <w:szCs w:val="22"/>
          <w:lang w:eastAsia="ja-JP"/>
        </w:rPr>
        <w:t xml:space="preserve">o </w:t>
      </w:r>
      <w:r w:rsidR="009A6E6E" w:rsidRPr="0063119B">
        <w:rPr>
          <w:iCs/>
          <w:szCs w:val="22"/>
        </w:rPr>
        <w:t>rivaroxabano</w:t>
      </w:r>
      <w:r w:rsidR="009A6E6E" w:rsidRPr="0063119B">
        <w:rPr>
          <w:rFonts w:eastAsia="MS Mincho"/>
          <w:szCs w:val="22"/>
          <w:lang w:eastAsia="ja-JP"/>
        </w:rPr>
        <w:t xml:space="preserve"> </w:t>
      </w:r>
      <w:r w:rsidRPr="0063119B">
        <w:rPr>
          <w:rFonts w:eastAsia="MS Mincho"/>
          <w:szCs w:val="22"/>
          <w:lang w:eastAsia="ja-JP"/>
        </w:rPr>
        <w:t xml:space="preserve">e o AVK, o INR não deve ser determinado antes das 24 horas após a dose precedente de </w:t>
      </w:r>
      <w:r w:rsidR="009A6E6E" w:rsidRPr="0063119B">
        <w:rPr>
          <w:iCs/>
          <w:szCs w:val="22"/>
        </w:rPr>
        <w:t>rivaroxabano</w:t>
      </w:r>
      <w:r w:rsidRPr="0063119B">
        <w:rPr>
          <w:rFonts w:eastAsia="MS Mincho"/>
          <w:szCs w:val="22"/>
          <w:lang w:eastAsia="ja-JP"/>
        </w:rPr>
        <w:t xml:space="preserve"> e antes da dose seguinte. Assim que </w:t>
      </w:r>
      <w:r w:rsidR="00607DE4">
        <w:rPr>
          <w:rFonts w:eastAsia="MS Mincho"/>
          <w:szCs w:val="22"/>
          <w:lang w:eastAsia="ja-JP"/>
        </w:rPr>
        <w:t>Rivaroxabano</w:t>
      </w:r>
      <w:r w:rsidR="009A6E6E" w:rsidRPr="0063119B">
        <w:rPr>
          <w:rFonts w:eastAsia="MS Mincho"/>
          <w:szCs w:val="22"/>
          <w:lang w:eastAsia="ja-JP"/>
        </w:rPr>
        <w:t xml:space="preserve"> Accord</w:t>
      </w:r>
      <w:r w:rsidRPr="0063119B">
        <w:rPr>
          <w:rFonts w:eastAsia="MS Mincho"/>
          <w:szCs w:val="22"/>
          <w:lang w:eastAsia="ja-JP"/>
        </w:rPr>
        <w:t xml:space="preserve"> for interrompido, a determinação do INR pode ser efetuada com fiabilidade pelo menos 24 horas após a última dose (ver secções 4.5 e 5.2).</w:t>
      </w:r>
    </w:p>
    <w:p w14:paraId="59DA9A59" w14:textId="77777777" w:rsidR="003362F2" w:rsidRDefault="003362F2" w:rsidP="00337111">
      <w:pPr>
        <w:rPr>
          <w:iCs/>
          <w:szCs w:val="22"/>
        </w:rPr>
      </w:pPr>
    </w:p>
    <w:p w14:paraId="326026AB" w14:textId="77777777" w:rsidR="003362F2" w:rsidRPr="003362F2" w:rsidRDefault="003362F2" w:rsidP="003362F2">
      <w:pPr>
        <w:autoSpaceDE w:val="0"/>
        <w:autoSpaceDN w:val="0"/>
        <w:adjustRightInd w:val="0"/>
        <w:rPr>
          <w:color w:val="000000"/>
          <w:szCs w:val="22"/>
          <w:lang w:eastAsia="pt-PT"/>
        </w:rPr>
      </w:pPr>
      <w:r w:rsidRPr="003362F2">
        <w:rPr>
          <w:color w:val="000000"/>
          <w:szCs w:val="22"/>
          <w:lang w:eastAsia="pt-PT"/>
        </w:rPr>
        <w:t xml:space="preserve">Doentes pediátricos: </w:t>
      </w:r>
    </w:p>
    <w:p w14:paraId="2DB83BE6" w14:textId="77777777" w:rsidR="003362F2" w:rsidRDefault="003362F2" w:rsidP="003362F2">
      <w:pPr>
        <w:rPr>
          <w:color w:val="000000"/>
          <w:szCs w:val="22"/>
          <w:lang w:eastAsia="pt-PT"/>
        </w:rPr>
      </w:pPr>
      <w:r w:rsidRPr="003362F2">
        <w:rPr>
          <w:color w:val="000000"/>
          <w:szCs w:val="22"/>
          <w:lang w:eastAsia="pt-PT"/>
        </w:rPr>
        <w:t xml:space="preserve">As crianças que passam de </w:t>
      </w:r>
      <w:r>
        <w:rPr>
          <w:noProof/>
          <w:szCs w:val="22"/>
        </w:rPr>
        <w:t>Rivaroxabano</w:t>
      </w:r>
      <w:r w:rsidRPr="0063119B">
        <w:rPr>
          <w:noProof/>
          <w:szCs w:val="22"/>
        </w:rPr>
        <w:t xml:space="preserve"> Accord </w:t>
      </w:r>
      <w:r w:rsidRPr="003362F2">
        <w:rPr>
          <w:color w:val="000000"/>
          <w:szCs w:val="22"/>
          <w:lang w:eastAsia="pt-PT"/>
        </w:rPr>
        <w:t xml:space="preserve">para AVK têm de continuar com </w:t>
      </w:r>
      <w:r>
        <w:rPr>
          <w:noProof/>
          <w:szCs w:val="22"/>
        </w:rPr>
        <w:t>Rivaroxabano</w:t>
      </w:r>
      <w:r w:rsidRPr="0063119B">
        <w:rPr>
          <w:noProof/>
          <w:szCs w:val="22"/>
        </w:rPr>
        <w:t xml:space="preserve"> Accord </w:t>
      </w:r>
      <w:r w:rsidRPr="003362F2">
        <w:rPr>
          <w:color w:val="000000"/>
          <w:szCs w:val="22"/>
          <w:lang w:eastAsia="pt-PT"/>
        </w:rPr>
        <w:t xml:space="preserve">durante 48 horas após a primeira dose de AVK. Após 2 dias de coadministração, deve efetuar-se a determinação do INR antes da dose seguinte de </w:t>
      </w:r>
      <w:r w:rsidR="00684E89">
        <w:rPr>
          <w:noProof/>
          <w:szCs w:val="22"/>
        </w:rPr>
        <w:t>Rivaroxabano</w:t>
      </w:r>
      <w:r w:rsidR="00684E89" w:rsidRPr="0063119B">
        <w:rPr>
          <w:noProof/>
          <w:szCs w:val="22"/>
        </w:rPr>
        <w:t xml:space="preserve"> Accord </w:t>
      </w:r>
      <w:r w:rsidRPr="003362F2">
        <w:rPr>
          <w:color w:val="000000"/>
          <w:szCs w:val="22"/>
          <w:lang w:eastAsia="pt-PT"/>
        </w:rPr>
        <w:t xml:space="preserve">programada. Aconselha-se que se continue com a coadministração de </w:t>
      </w:r>
      <w:r>
        <w:rPr>
          <w:noProof/>
          <w:szCs w:val="22"/>
        </w:rPr>
        <w:t>Rivaroxabano</w:t>
      </w:r>
      <w:r w:rsidRPr="0063119B">
        <w:rPr>
          <w:noProof/>
          <w:szCs w:val="22"/>
        </w:rPr>
        <w:t xml:space="preserve"> Accord </w:t>
      </w:r>
      <w:r w:rsidRPr="003362F2">
        <w:rPr>
          <w:color w:val="000000"/>
          <w:szCs w:val="22"/>
          <w:lang w:eastAsia="pt-PT"/>
        </w:rPr>
        <w:t xml:space="preserve">e AVK até o INR ser ≥ 2,0. Assim que </w:t>
      </w:r>
      <w:r>
        <w:rPr>
          <w:noProof/>
          <w:szCs w:val="22"/>
        </w:rPr>
        <w:t>Rivaroxabano</w:t>
      </w:r>
      <w:r w:rsidRPr="0063119B">
        <w:rPr>
          <w:noProof/>
          <w:szCs w:val="22"/>
        </w:rPr>
        <w:t xml:space="preserve"> Accord </w:t>
      </w:r>
      <w:r w:rsidRPr="003362F2">
        <w:rPr>
          <w:color w:val="000000"/>
          <w:szCs w:val="22"/>
          <w:lang w:eastAsia="pt-PT"/>
        </w:rPr>
        <w:t>for descontinuado, a determinação do INR poderá ser efetuada de forma fiável 24 horas após a última dose (ver acima e secção 4.5).</w:t>
      </w:r>
    </w:p>
    <w:p w14:paraId="0FDEAEDD" w14:textId="77777777" w:rsidR="003362F2" w:rsidRPr="0063119B" w:rsidRDefault="003362F2" w:rsidP="003362F2">
      <w:pPr>
        <w:rPr>
          <w:iCs/>
          <w:szCs w:val="22"/>
        </w:rPr>
      </w:pPr>
    </w:p>
    <w:p w14:paraId="6CE712A0" w14:textId="77777777" w:rsidR="00337111" w:rsidRPr="0063119B" w:rsidRDefault="00337111" w:rsidP="00337111">
      <w:pPr>
        <w:rPr>
          <w:i/>
          <w:iCs/>
          <w:szCs w:val="22"/>
        </w:rPr>
      </w:pPr>
      <w:r w:rsidRPr="0063119B">
        <w:rPr>
          <w:i/>
          <w:iCs/>
          <w:szCs w:val="22"/>
        </w:rPr>
        <w:t xml:space="preserve">Passagem de anticoagulantes parentéricos para </w:t>
      </w:r>
      <w:r w:rsidR="009A6E6E" w:rsidRPr="0063119B">
        <w:rPr>
          <w:i/>
          <w:iCs/>
          <w:szCs w:val="22"/>
        </w:rPr>
        <w:t>rivaroxabano</w:t>
      </w:r>
    </w:p>
    <w:p w14:paraId="77C262C2" w14:textId="77777777" w:rsidR="00337111" w:rsidRPr="0063119B" w:rsidRDefault="00337111" w:rsidP="00337111">
      <w:pPr>
        <w:autoSpaceDE w:val="0"/>
        <w:autoSpaceDN w:val="0"/>
        <w:adjustRightInd w:val="0"/>
        <w:rPr>
          <w:rFonts w:eastAsia="MS Mincho"/>
          <w:bCs/>
          <w:szCs w:val="22"/>
          <w:lang w:eastAsia="ja-JP"/>
        </w:rPr>
      </w:pPr>
      <w:r w:rsidRPr="0063119B">
        <w:rPr>
          <w:rFonts w:eastAsia="MS Mincho"/>
          <w:bCs/>
          <w:szCs w:val="22"/>
          <w:lang w:eastAsia="ja-JP"/>
        </w:rPr>
        <w:lastRenderedPageBreak/>
        <w:t xml:space="preserve">Em doentes </w:t>
      </w:r>
      <w:r w:rsidR="00684E89">
        <w:rPr>
          <w:szCs w:val="22"/>
        </w:rPr>
        <w:t xml:space="preserve">adultos e pediátricos </w:t>
      </w:r>
      <w:r w:rsidRPr="0063119B">
        <w:rPr>
          <w:rFonts w:eastAsia="MS Mincho"/>
          <w:bCs/>
          <w:szCs w:val="22"/>
          <w:lang w:eastAsia="ja-JP"/>
        </w:rPr>
        <w:t xml:space="preserve">atualmente a serem tratados com um anticoagulante parentérico, </w:t>
      </w:r>
      <w:r w:rsidR="00FE6C18" w:rsidRPr="0063119B">
        <w:rPr>
          <w:rFonts w:eastAsia="MS Mincho"/>
          <w:bCs/>
          <w:szCs w:val="22"/>
          <w:lang w:eastAsia="ja-JP"/>
        </w:rPr>
        <w:t xml:space="preserve">interromper o anticoagulante parentérico e iniciar </w:t>
      </w:r>
      <w:r w:rsidR="009A6E6E" w:rsidRPr="0063119B">
        <w:rPr>
          <w:rFonts w:eastAsia="MS Mincho"/>
          <w:bCs/>
          <w:szCs w:val="22"/>
          <w:lang w:eastAsia="ja-JP"/>
        </w:rPr>
        <w:t xml:space="preserve">o </w:t>
      </w:r>
      <w:r w:rsidR="009A6E6E" w:rsidRPr="0063119B">
        <w:rPr>
          <w:iCs/>
          <w:szCs w:val="22"/>
        </w:rPr>
        <w:t>rivaroxabano</w:t>
      </w:r>
      <w:r w:rsidR="009A6E6E" w:rsidRPr="0063119B">
        <w:rPr>
          <w:rFonts w:eastAsia="MS Mincho"/>
          <w:bCs/>
          <w:szCs w:val="22"/>
          <w:lang w:eastAsia="ja-JP"/>
        </w:rPr>
        <w:t xml:space="preserve"> </w:t>
      </w:r>
      <w:r w:rsidRPr="0063119B">
        <w:rPr>
          <w:rFonts w:eastAsia="MS Mincho"/>
          <w:bCs/>
          <w:szCs w:val="22"/>
          <w:lang w:eastAsia="ja-JP"/>
        </w:rPr>
        <w:t xml:space="preserve">0 a 2 horas antes da hora prevista para a administração seguinte do medicamento parentérico (ex.: </w:t>
      </w:r>
      <w:r w:rsidR="00E42985" w:rsidRPr="0063119B">
        <w:rPr>
          <w:rFonts w:eastAsia="MS Mincho"/>
          <w:bCs/>
          <w:szCs w:val="22"/>
          <w:lang w:eastAsia="ja-JP"/>
        </w:rPr>
        <w:t>heparinas de baixo peso molecular</w:t>
      </w:r>
      <w:r w:rsidRPr="0063119B">
        <w:rPr>
          <w:rFonts w:eastAsia="MS Mincho"/>
          <w:bCs/>
          <w:szCs w:val="22"/>
          <w:lang w:eastAsia="ja-JP"/>
        </w:rPr>
        <w:t>) ou na altura da interrupção de um medicamento parentérico em administração contínua (ex.: heparina não fracionada intravenosa).</w:t>
      </w:r>
    </w:p>
    <w:p w14:paraId="77539633" w14:textId="77777777" w:rsidR="00337111" w:rsidRPr="0063119B" w:rsidRDefault="00337111" w:rsidP="00337111">
      <w:pPr>
        <w:autoSpaceDE w:val="0"/>
        <w:autoSpaceDN w:val="0"/>
        <w:adjustRightInd w:val="0"/>
        <w:rPr>
          <w:rFonts w:eastAsia="MS Mincho"/>
          <w:bCs/>
          <w:szCs w:val="22"/>
          <w:lang w:eastAsia="ja-JP"/>
        </w:rPr>
      </w:pPr>
    </w:p>
    <w:p w14:paraId="5CB607C1" w14:textId="77777777" w:rsidR="00337111" w:rsidRPr="0063119B" w:rsidRDefault="00337111" w:rsidP="00337111">
      <w:pPr>
        <w:autoSpaceDE w:val="0"/>
        <w:autoSpaceDN w:val="0"/>
        <w:adjustRightInd w:val="0"/>
        <w:rPr>
          <w:rFonts w:eastAsia="MS Mincho"/>
          <w:bCs/>
          <w:i/>
          <w:szCs w:val="22"/>
          <w:lang w:eastAsia="ja-JP"/>
        </w:rPr>
      </w:pPr>
      <w:r w:rsidRPr="0063119B">
        <w:rPr>
          <w:rFonts w:eastAsia="MS Mincho"/>
          <w:bCs/>
          <w:i/>
          <w:szCs w:val="22"/>
          <w:lang w:eastAsia="ja-JP"/>
        </w:rPr>
        <w:t xml:space="preserve">Passagem de </w:t>
      </w:r>
      <w:r w:rsidR="009A6E6E" w:rsidRPr="0063119B">
        <w:rPr>
          <w:rFonts w:eastAsia="MS Mincho"/>
          <w:bCs/>
          <w:i/>
          <w:szCs w:val="22"/>
          <w:lang w:eastAsia="ja-JP"/>
        </w:rPr>
        <w:t xml:space="preserve">rivaroxabano </w:t>
      </w:r>
      <w:r w:rsidRPr="0063119B">
        <w:rPr>
          <w:rFonts w:eastAsia="MS Mincho"/>
          <w:bCs/>
          <w:i/>
          <w:szCs w:val="22"/>
          <w:lang w:eastAsia="ja-JP"/>
        </w:rPr>
        <w:t>para anticoagulantes parentéricos</w:t>
      </w:r>
    </w:p>
    <w:p w14:paraId="4E54603D" w14:textId="77777777" w:rsidR="00337111" w:rsidRPr="0063119B" w:rsidRDefault="006E160F" w:rsidP="00337111">
      <w:pPr>
        <w:rPr>
          <w:szCs w:val="22"/>
        </w:rPr>
      </w:pPr>
      <w:r>
        <w:rPr>
          <w:rFonts w:eastAsia="MS Mincho"/>
          <w:szCs w:val="22"/>
          <w:lang w:eastAsia="ja-JP"/>
        </w:rPr>
        <w:t>Descontinuar rivaroxabano e a</w:t>
      </w:r>
      <w:r w:rsidR="00337111" w:rsidRPr="0063119B">
        <w:rPr>
          <w:rFonts w:eastAsia="MS Mincho"/>
          <w:szCs w:val="22"/>
          <w:lang w:eastAsia="ja-JP"/>
        </w:rPr>
        <w:t xml:space="preserve">dministrar a primeira dose do anticoagulante parentérico na altura em que deve ser tomada a dose seguinte de </w:t>
      </w:r>
      <w:r w:rsidR="009A6E6E" w:rsidRPr="0063119B">
        <w:rPr>
          <w:iCs/>
          <w:szCs w:val="22"/>
        </w:rPr>
        <w:t>rivaroxabano</w:t>
      </w:r>
      <w:r w:rsidR="00337111" w:rsidRPr="0063119B">
        <w:rPr>
          <w:rFonts w:eastAsia="MS Mincho"/>
          <w:szCs w:val="22"/>
          <w:lang w:eastAsia="ja-JP"/>
        </w:rPr>
        <w:t>.</w:t>
      </w:r>
    </w:p>
    <w:p w14:paraId="15FCD7EF" w14:textId="77777777" w:rsidR="00E73152" w:rsidRPr="0063119B" w:rsidRDefault="00E73152" w:rsidP="00337111">
      <w:pPr>
        <w:keepNext/>
        <w:suppressAutoHyphens/>
        <w:rPr>
          <w:szCs w:val="22"/>
          <w:u w:val="single"/>
        </w:rPr>
      </w:pPr>
    </w:p>
    <w:p w14:paraId="1FF4A226" w14:textId="77777777" w:rsidR="00337111" w:rsidRDefault="00337111" w:rsidP="00337111">
      <w:pPr>
        <w:keepNext/>
        <w:suppressAutoHyphens/>
        <w:rPr>
          <w:szCs w:val="22"/>
          <w:u w:val="single"/>
        </w:rPr>
      </w:pPr>
      <w:r w:rsidRPr="0063119B">
        <w:rPr>
          <w:szCs w:val="22"/>
          <w:u w:val="single"/>
        </w:rPr>
        <w:t>Populações especiais</w:t>
      </w:r>
    </w:p>
    <w:p w14:paraId="06FD59BC" w14:textId="77777777" w:rsidR="006A2CEB" w:rsidRPr="0063119B" w:rsidRDefault="006A2CEB" w:rsidP="00337111">
      <w:pPr>
        <w:keepNext/>
        <w:suppressAutoHyphens/>
        <w:rPr>
          <w:szCs w:val="22"/>
          <w:u w:val="single"/>
        </w:rPr>
      </w:pPr>
    </w:p>
    <w:p w14:paraId="4068312D" w14:textId="77777777" w:rsidR="00337111" w:rsidRDefault="00337111" w:rsidP="00337111">
      <w:pPr>
        <w:keepNext/>
        <w:suppressAutoHyphens/>
        <w:rPr>
          <w:i/>
          <w:noProof/>
          <w:szCs w:val="22"/>
        </w:rPr>
      </w:pPr>
      <w:r w:rsidRPr="0063119B">
        <w:rPr>
          <w:i/>
          <w:noProof/>
          <w:szCs w:val="22"/>
        </w:rPr>
        <w:t>Compromisso renal</w:t>
      </w:r>
    </w:p>
    <w:p w14:paraId="783367CE" w14:textId="77777777" w:rsidR="00164B57" w:rsidRPr="00EF3721" w:rsidRDefault="00164B57" w:rsidP="00337111">
      <w:pPr>
        <w:keepNext/>
        <w:suppressAutoHyphens/>
        <w:rPr>
          <w:iCs/>
          <w:noProof/>
          <w:szCs w:val="22"/>
        </w:rPr>
      </w:pPr>
      <w:r w:rsidRPr="00EF3721">
        <w:rPr>
          <w:iCs/>
          <w:noProof/>
          <w:szCs w:val="22"/>
        </w:rPr>
        <w:t>Adultos:</w:t>
      </w:r>
    </w:p>
    <w:p w14:paraId="67224F95" w14:textId="77777777" w:rsidR="00E42985" w:rsidRPr="0063119B" w:rsidRDefault="00E42985" w:rsidP="00E42985">
      <w:pPr>
        <w:suppressAutoHyphens/>
        <w:rPr>
          <w:noProof/>
          <w:szCs w:val="22"/>
        </w:rPr>
      </w:pPr>
      <w:r w:rsidRPr="0063119B">
        <w:rPr>
          <w:noProof/>
          <w:szCs w:val="22"/>
        </w:rPr>
        <w:t>Dados clínicos limitados em doentes com compromisso renal grave (taxa de depuração da creatinina 15 - 29 ml/min) indicam que as concentrações plasmáticas de rivaroxabano estão significativamente aumentadas</w:t>
      </w:r>
      <w:r w:rsidR="00817F0A" w:rsidRPr="0063119B">
        <w:rPr>
          <w:noProof/>
          <w:szCs w:val="22"/>
        </w:rPr>
        <w:t>. Assim</w:t>
      </w:r>
      <w:r w:rsidRPr="0063119B">
        <w:rPr>
          <w:noProof/>
          <w:szCs w:val="22"/>
        </w:rPr>
        <w:t xml:space="preserve">, </w:t>
      </w:r>
      <w:r w:rsidR="00607DE4">
        <w:rPr>
          <w:noProof/>
          <w:szCs w:val="22"/>
        </w:rPr>
        <w:t>Rivaroxabano</w:t>
      </w:r>
      <w:r w:rsidR="009A6E6E" w:rsidRPr="0063119B">
        <w:rPr>
          <w:noProof/>
          <w:szCs w:val="22"/>
        </w:rPr>
        <w:t xml:space="preserve"> Accord</w:t>
      </w:r>
      <w:r w:rsidRPr="0063119B">
        <w:rPr>
          <w:noProof/>
          <w:szCs w:val="22"/>
        </w:rPr>
        <w:t xml:space="preserve"> deve ser utilizado com precaução nestes doentes. Não é recomendada a utilização em doentes com taxa de depuração da creatinina &lt; 15 ml/min (ver secções 4.4 e 5.2).</w:t>
      </w:r>
    </w:p>
    <w:p w14:paraId="2A53E9D0" w14:textId="77777777" w:rsidR="00337111" w:rsidRPr="0063119B" w:rsidRDefault="00337111" w:rsidP="00A9161F">
      <w:pPr>
        <w:suppressAutoHyphens/>
        <w:rPr>
          <w:noProof/>
          <w:szCs w:val="22"/>
        </w:rPr>
      </w:pPr>
    </w:p>
    <w:p w14:paraId="703D8C81" w14:textId="77777777" w:rsidR="00337111" w:rsidRPr="0063119B" w:rsidRDefault="00337111" w:rsidP="00337111">
      <w:pPr>
        <w:rPr>
          <w:szCs w:val="22"/>
        </w:rPr>
      </w:pPr>
      <w:r w:rsidRPr="0063119B">
        <w:rPr>
          <w:szCs w:val="22"/>
        </w:rPr>
        <w:t>Em doentes com compromisso renal moderado (taxa de depuração da creatinina de 30 </w:t>
      </w:r>
      <w:r w:rsidRPr="0063119B">
        <w:rPr>
          <w:szCs w:val="22"/>
        </w:rPr>
        <w:noBreakHyphen/>
        <w:t> 49 ml/min) ou grave (taxa de depuração da creatinina de 15 </w:t>
      </w:r>
      <w:r w:rsidRPr="0063119B">
        <w:rPr>
          <w:szCs w:val="22"/>
        </w:rPr>
        <w:noBreakHyphen/>
        <w:t> 29 ml/min) devem ser seguidas as seguintes recomendações posológicas:</w:t>
      </w:r>
    </w:p>
    <w:p w14:paraId="044416B2" w14:textId="77777777" w:rsidR="00337111" w:rsidRPr="0063119B" w:rsidRDefault="00337111" w:rsidP="00337111">
      <w:pPr>
        <w:rPr>
          <w:szCs w:val="22"/>
        </w:rPr>
      </w:pPr>
    </w:p>
    <w:p w14:paraId="43275872" w14:textId="77777777" w:rsidR="00337111" w:rsidRPr="0063119B" w:rsidRDefault="00337111" w:rsidP="00FF261B">
      <w:pPr>
        <w:numPr>
          <w:ilvl w:val="0"/>
          <w:numId w:val="7"/>
        </w:numPr>
        <w:rPr>
          <w:szCs w:val="22"/>
        </w:rPr>
      </w:pPr>
      <w:r w:rsidRPr="0063119B">
        <w:rPr>
          <w:szCs w:val="22"/>
        </w:rPr>
        <w:t>Na prevenção do acidente vascular cerebral e do embolismo sistémico em doentes com fibrilhação auricular não-valvular, a dose recomendada é de 15 mg uma vez por dia (ver secção 5.2).</w:t>
      </w:r>
    </w:p>
    <w:p w14:paraId="5778E694" w14:textId="77777777" w:rsidR="00337111" w:rsidRPr="0063119B" w:rsidRDefault="00337111" w:rsidP="00337111">
      <w:pPr>
        <w:ind w:left="567"/>
        <w:rPr>
          <w:szCs w:val="22"/>
        </w:rPr>
      </w:pPr>
    </w:p>
    <w:p w14:paraId="54329B73" w14:textId="77777777" w:rsidR="00337111" w:rsidRPr="0063119B" w:rsidRDefault="00337111" w:rsidP="00337111">
      <w:pPr>
        <w:suppressAutoHyphens/>
        <w:ind w:left="567" w:hanging="567"/>
        <w:rPr>
          <w:szCs w:val="22"/>
        </w:rPr>
      </w:pPr>
      <w:r w:rsidRPr="0063119B">
        <w:rPr>
          <w:szCs w:val="22"/>
        </w:rPr>
        <w:noBreakHyphen/>
      </w:r>
      <w:r w:rsidRPr="0063119B">
        <w:rPr>
          <w:szCs w:val="22"/>
        </w:rPr>
        <w:tab/>
        <w:t xml:space="preserve">No tratamento da TVP, tratamento do EP e prevenção da TVP recorrente e EP: os doentes devem ser tratados com 15 mg duas vezes por dia durante as primeiras 3 semanas. </w:t>
      </w:r>
    </w:p>
    <w:p w14:paraId="348262E5" w14:textId="77777777" w:rsidR="00337111" w:rsidRPr="0063119B" w:rsidRDefault="00337111" w:rsidP="00337111">
      <w:pPr>
        <w:suppressAutoHyphens/>
        <w:ind w:left="567"/>
        <w:rPr>
          <w:szCs w:val="22"/>
        </w:rPr>
      </w:pPr>
      <w:r w:rsidRPr="0063119B">
        <w:rPr>
          <w:szCs w:val="22"/>
        </w:rPr>
        <w:t xml:space="preserve">Após isto, </w:t>
      </w:r>
      <w:r w:rsidR="00B84E15" w:rsidRPr="0063119B">
        <w:rPr>
          <w:szCs w:val="22"/>
        </w:rPr>
        <w:t xml:space="preserve">quando </w:t>
      </w:r>
      <w:r w:rsidRPr="0063119B">
        <w:rPr>
          <w:szCs w:val="22"/>
        </w:rPr>
        <w:t>a dose recomendada é de 20 mg uma vez por dia</w:t>
      </w:r>
      <w:r w:rsidR="00B84E15" w:rsidRPr="0063119B">
        <w:rPr>
          <w:szCs w:val="22"/>
        </w:rPr>
        <w:t>, deve considerar-se uma</w:t>
      </w:r>
      <w:r w:rsidRPr="0063119B">
        <w:rPr>
          <w:szCs w:val="22"/>
        </w:rPr>
        <w:t xml:space="preserve"> redução da dose de 20 mg uma vez por dia para 15 mg uma vez por dia se o risco avaliado de hemorragia do doente se sobrepõe ao risco de TVP recorrente e EP. A recomendação para utilização de 15 mg tem por base modelos farmacocinéticos, não tendo sido estudada neste contexto clínico (ver secções 4.4, 5.1 e 5.2).</w:t>
      </w:r>
    </w:p>
    <w:p w14:paraId="0918B60C" w14:textId="77777777" w:rsidR="00B84E15" w:rsidRPr="0063119B" w:rsidRDefault="00B84E15" w:rsidP="00CB69AB">
      <w:pPr>
        <w:suppressAutoHyphens/>
        <w:ind w:left="567"/>
        <w:rPr>
          <w:noProof/>
          <w:szCs w:val="22"/>
        </w:rPr>
      </w:pPr>
      <w:r w:rsidRPr="0063119B">
        <w:rPr>
          <w:szCs w:val="22"/>
        </w:rPr>
        <w:t xml:space="preserve">Quando a dose recomendada é de 10 mg uma vez por dia, </w:t>
      </w:r>
      <w:r w:rsidRPr="0063119B">
        <w:rPr>
          <w:noProof/>
          <w:szCs w:val="22"/>
        </w:rPr>
        <w:t>não é necessário ajuste posológico da dose recomendada.</w:t>
      </w:r>
    </w:p>
    <w:p w14:paraId="140CAF72" w14:textId="77777777" w:rsidR="00337111" w:rsidRPr="0063119B" w:rsidRDefault="00337111" w:rsidP="00337111">
      <w:pPr>
        <w:suppressAutoHyphens/>
        <w:ind w:left="567" w:hanging="567"/>
        <w:rPr>
          <w:szCs w:val="22"/>
        </w:rPr>
      </w:pPr>
    </w:p>
    <w:p w14:paraId="45B36E06" w14:textId="77777777" w:rsidR="00E42985" w:rsidRPr="0063119B" w:rsidRDefault="00E42985" w:rsidP="00E42985">
      <w:pPr>
        <w:keepNext/>
        <w:suppressAutoHyphens/>
        <w:rPr>
          <w:noProof/>
          <w:szCs w:val="22"/>
        </w:rPr>
      </w:pPr>
      <w:r w:rsidRPr="0063119B">
        <w:rPr>
          <w:noProof/>
          <w:szCs w:val="22"/>
        </w:rPr>
        <w:t>Não é necessário ajuste posológico em doentes com compromisso renal ligeiro (taxa de depuração da creatinina 50 </w:t>
      </w:r>
      <w:r w:rsidRPr="0063119B">
        <w:rPr>
          <w:noProof/>
          <w:szCs w:val="22"/>
        </w:rPr>
        <w:noBreakHyphen/>
        <w:t> 80 ml/min) (ver secção 5.2).</w:t>
      </w:r>
    </w:p>
    <w:p w14:paraId="0F90AC35" w14:textId="77777777" w:rsidR="00A43028" w:rsidRDefault="00A43028" w:rsidP="00337111">
      <w:pPr>
        <w:suppressAutoHyphens/>
        <w:rPr>
          <w:noProof/>
          <w:szCs w:val="22"/>
        </w:rPr>
      </w:pPr>
    </w:p>
    <w:p w14:paraId="3C2B206E" w14:textId="77777777" w:rsidR="00F542FD" w:rsidRDefault="00F542FD" w:rsidP="00F542FD">
      <w:pPr>
        <w:autoSpaceDE w:val="0"/>
        <w:autoSpaceDN w:val="0"/>
        <w:adjustRightInd w:val="0"/>
        <w:rPr>
          <w:i/>
          <w:iCs/>
          <w:szCs w:val="22"/>
          <w:lang w:eastAsia="pt-PT"/>
        </w:rPr>
      </w:pPr>
      <w:r>
        <w:rPr>
          <w:i/>
          <w:iCs/>
          <w:szCs w:val="22"/>
          <w:lang w:eastAsia="pt-PT"/>
        </w:rPr>
        <w:t>População pediátrica</w:t>
      </w:r>
    </w:p>
    <w:p w14:paraId="5D87F81F" w14:textId="77777777" w:rsidR="00F542FD" w:rsidRDefault="00F542FD" w:rsidP="00F542FD">
      <w:pPr>
        <w:autoSpaceDE w:val="0"/>
        <w:autoSpaceDN w:val="0"/>
        <w:adjustRightInd w:val="0"/>
        <w:rPr>
          <w:szCs w:val="22"/>
          <w:lang w:eastAsia="pt-PT"/>
        </w:rPr>
      </w:pPr>
      <w:r>
        <w:rPr>
          <w:szCs w:val="22"/>
          <w:lang w:eastAsia="pt-PT"/>
        </w:rPr>
        <w:t>- Crianças e adolescentes com compromisso renal ligeiro (taxa de filtração glomerular entre</w:t>
      </w:r>
    </w:p>
    <w:p w14:paraId="4446A723" w14:textId="77777777" w:rsidR="00F542FD" w:rsidRDefault="00F542FD" w:rsidP="00F542FD">
      <w:pPr>
        <w:autoSpaceDE w:val="0"/>
        <w:autoSpaceDN w:val="0"/>
        <w:adjustRightInd w:val="0"/>
        <w:rPr>
          <w:szCs w:val="22"/>
          <w:lang w:eastAsia="pt-PT"/>
        </w:rPr>
      </w:pPr>
      <w:r>
        <w:rPr>
          <w:szCs w:val="22"/>
          <w:lang w:eastAsia="pt-PT"/>
        </w:rPr>
        <w:t>50 - 80 ml/min/1,73 m</w:t>
      </w:r>
      <w:r w:rsidRPr="00EF3721">
        <w:rPr>
          <w:sz w:val="14"/>
          <w:szCs w:val="14"/>
          <w:vertAlign w:val="superscript"/>
          <w:lang w:eastAsia="pt-PT"/>
        </w:rPr>
        <w:t>2</w:t>
      </w:r>
      <w:r>
        <w:rPr>
          <w:szCs w:val="22"/>
          <w:lang w:eastAsia="pt-PT"/>
        </w:rPr>
        <w:t>): não é necessário qualquer ajuste posológico, com base nos dados</w:t>
      </w:r>
    </w:p>
    <w:p w14:paraId="6586B670" w14:textId="77777777" w:rsidR="00F542FD" w:rsidRDefault="00F542FD" w:rsidP="00F542FD">
      <w:pPr>
        <w:autoSpaceDE w:val="0"/>
        <w:autoSpaceDN w:val="0"/>
        <w:adjustRightInd w:val="0"/>
        <w:rPr>
          <w:szCs w:val="22"/>
          <w:lang w:eastAsia="pt-PT"/>
        </w:rPr>
      </w:pPr>
      <w:r>
        <w:rPr>
          <w:szCs w:val="22"/>
          <w:lang w:eastAsia="pt-PT"/>
        </w:rPr>
        <w:t>obtidos em adultos e em dados limitados obtidos em doentes pediátricos (ver secção 5.2).</w:t>
      </w:r>
    </w:p>
    <w:p w14:paraId="7C11E6E3" w14:textId="77777777" w:rsidR="00F542FD" w:rsidRDefault="00F542FD" w:rsidP="00F542FD">
      <w:pPr>
        <w:autoSpaceDE w:val="0"/>
        <w:autoSpaceDN w:val="0"/>
        <w:adjustRightInd w:val="0"/>
        <w:rPr>
          <w:szCs w:val="22"/>
          <w:lang w:eastAsia="pt-PT"/>
        </w:rPr>
      </w:pPr>
      <w:r>
        <w:rPr>
          <w:szCs w:val="22"/>
          <w:lang w:eastAsia="pt-PT"/>
        </w:rPr>
        <w:t>- Crianças e adolescentes com compromisso renal moderado ou grave (taxa de filtração glomerular</w:t>
      </w:r>
    </w:p>
    <w:p w14:paraId="55D38A80" w14:textId="77777777" w:rsidR="00F542FD" w:rsidRDefault="00F542FD" w:rsidP="00EF3721">
      <w:pPr>
        <w:autoSpaceDE w:val="0"/>
        <w:autoSpaceDN w:val="0"/>
        <w:adjustRightInd w:val="0"/>
        <w:rPr>
          <w:szCs w:val="22"/>
          <w:lang w:eastAsia="pt-PT"/>
        </w:rPr>
      </w:pPr>
      <w:r>
        <w:rPr>
          <w:szCs w:val="22"/>
          <w:lang w:eastAsia="pt-PT"/>
        </w:rPr>
        <w:t xml:space="preserve">&lt; 50 ml/min/1,73 </w:t>
      </w:r>
      <w:r w:rsidR="007B5AF6">
        <w:rPr>
          <w:szCs w:val="22"/>
          <w:lang w:eastAsia="pt-PT"/>
        </w:rPr>
        <w:t>m</w:t>
      </w:r>
      <w:r w:rsidR="007B5AF6" w:rsidRPr="00EE62F3">
        <w:rPr>
          <w:sz w:val="14"/>
          <w:szCs w:val="14"/>
          <w:vertAlign w:val="superscript"/>
          <w:lang w:eastAsia="pt-PT"/>
        </w:rPr>
        <w:t>2</w:t>
      </w:r>
      <w:r>
        <w:rPr>
          <w:szCs w:val="22"/>
          <w:lang w:eastAsia="pt-PT"/>
        </w:rPr>
        <w:t xml:space="preserve">): </w:t>
      </w:r>
      <w:r w:rsidR="007B5AF6">
        <w:rPr>
          <w:noProof/>
          <w:szCs w:val="22"/>
        </w:rPr>
        <w:t>Rivaroxabano</w:t>
      </w:r>
      <w:r w:rsidR="007B5AF6" w:rsidRPr="0063119B">
        <w:rPr>
          <w:noProof/>
          <w:szCs w:val="22"/>
        </w:rPr>
        <w:t xml:space="preserve"> Accord </w:t>
      </w:r>
      <w:r>
        <w:rPr>
          <w:szCs w:val="22"/>
          <w:lang w:eastAsia="pt-PT"/>
        </w:rPr>
        <w:t>não é recomendado dado não existirem dados clínicos disponíveis</w:t>
      </w:r>
      <w:r w:rsidR="007B5AF6">
        <w:rPr>
          <w:szCs w:val="22"/>
          <w:lang w:eastAsia="pt-PT"/>
        </w:rPr>
        <w:t xml:space="preserve"> </w:t>
      </w:r>
      <w:r>
        <w:rPr>
          <w:szCs w:val="22"/>
          <w:lang w:eastAsia="pt-PT"/>
        </w:rPr>
        <w:t>(ver secção 4.4).</w:t>
      </w:r>
    </w:p>
    <w:p w14:paraId="2F752A0A" w14:textId="77777777" w:rsidR="00F542FD" w:rsidRPr="0063119B" w:rsidRDefault="00F542FD" w:rsidP="00F542FD">
      <w:pPr>
        <w:suppressAutoHyphens/>
        <w:rPr>
          <w:noProof/>
          <w:szCs w:val="22"/>
        </w:rPr>
      </w:pPr>
    </w:p>
    <w:p w14:paraId="3CDA9DCC" w14:textId="77777777" w:rsidR="00337111" w:rsidRPr="0063119B" w:rsidRDefault="0054678E" w:rsidP="00337111">
      <w:pPr>
        <w:suppressAutoHyphens/>
        <w:rPr>
          <w:i/>
          <w:noProof/>
          <w:szCs w:val="22"/>
        </w:rPr>
      </w:pPr>
      <w:r w:rsidRPr="0063119B">
        <w:rPr>
          <w:i/>
          <w:noProof/>
          <w:szCs w:val="22"/>
        </w:rPr>
        <w:t>Compromisso</w:t>
      </w:r>
      <w:r w:rsidR="00337111" w:rsidRPr="0063119B">
        <w:rPr>
          <w:i/>
          <w:noProof/>
          <w:szCs w:val="22"/>
        </w:rPr>
        <w:t xml:space="preserve"> hepátic</w:t>
      </w:r>
      <w:r w:rsidRPr="0063119B">
        <w:rPr>
          <w:i/>
          <w:noProof/>
          <w:szCs w:val="22"/>
        </w:rPr>
        <w:t>o</w:t>
      </w:r>
    </w:p>
    <w:p w14:paraId="29E45E9F" w14:textId="77777777" w:rsidR="00337111" w:rsidRPr="0063119B" w:rsidRDefault="00607DE4" w:rsidP="00337111">
      <w:pPr>
        <w:suppressAutoHyphens/>
        <w:rPr>
          <w:noProof/>
          <w:szCs w:val="22"/>
        </w:rPr>
      </w:pPr>
      <w:r>
        <w:rPr>
          <w:noProof/>
          <w:szCs w:val="22"/>
        </w:rPr>
        <w:t>Rivaroxabano</w:t>
      </w:r>
      <w:r w:rsidR="009A6E6E" w:rsidRPr="0063119B">
        <w:rPr>
          <w:noProof/>
          <w:szCs w:val="22"/>
        </w:rPr>
        <w:t xml:space="preserve"> Accord</w:t>
      </w:r>
      <w:r w:rsidR="00337111" w:rsidRPr="0063119B">
        <w:rPr>
          <w:noProof/>
          <w:szCs w:val="22"/>
        </w:rPr>
        <w:t xml:space="preserve"> está contraindicado em doentes com doença hepática associada a coagulopatia e risco de hemorragia clinicamente relevante, incluindo doentes com cirrose com Child Pugh B e C (ver secções 4.3 e 5.2).</w:t>
      </w:r>
      <w:r w:rsidR="007B5AF6">
        <w:rPr>
          <w:noProof/>
          <w:szCs w:val="22"/>
        </w:rPr>
        <w:t xml:space="preserve"> </w:t>
      </w:r>
      <w:r w:rsidR="007B5AF6">
        <w:rPr>
          <w:szCs w:val="22"/>
          <w:lang w:eastAsia="pt-PT"/>
        </w:rPr>
        <w:t>Não estão disponíveis dados clínicos em crianças com compromisso hepático.</w:t>
      </w:r>
    </w:p>
    <w:p w14:paraId="390EC67D" w14:textId="77777777" w:rsidR="00337111" w:rsidRPr="0063119B" w:rsidRDefault="00337111" w:rsidP="00337111">
      <w:pPr>
        <w:suppressAutoHyphens/>
        <w:rPr>
          <w:noProof/>
          <w:szCs w:val="22"/>
        </w:rPr>
      </w:pPr>
    </w:p>
    <w:p w14:paraId="06E18341" w14:textId="77777777" w:rsidR="00337111" w:rsidRPr="0063119B" w:rsidRDefault="00337111" w:rsidP="00337111">
      <w:pPr>
        <w:suppressAutoHyphens/>
        <w:rPr>
          <w:i/>
          <w:noProof/>
          <w:szCs w:val="22"/>
        </w:rPr>
      </w:pPr>
      <w:r w:rsidRPr="0063119B">
        <w:rPr>
          <w:i/>
          <w:noProof/>
          <w:szCs w:val="22"/>
        </w:rPr>
        <w:t>População idosa</w:t>
      </w:r>
    </w:p>
    <w:p w14:paraId="1474FFED" w14:textId="77777777" w:rsidR="00337111" w:rsidRPr="0063119B" w:rsidRDefault="00337111" w:rsidP="00337111">
      <w:pPr>
        <w:suppressAutoHyphens/>
        <w:rPr>
          <w:noProof/>
          <w:szCs w:val="22"/>
        </w:rPr>
      </w:pPr>
      <w:r w:rsidRPr="0063119B">
        <w:rPr>
          <w:noProof/>
          <w:szCs w:val="22"/>
        </w:rPr>
        <w:t>Não é necessário ajuste posológico (ver secção 5.2)</w:t>
      </w:r>
    </w:p>
    <w:p w14:paraId="678ADA1F" w14:textId="77777777" w:rsidR="00337111" w:rsidRPr="0063119B" w:rsidRDefault="00337111" w:rsidP="00337111">
      <w:pPr>
        <w:suppressAutoHyphens/>
        <w:rPr>
          <w:noProof/>
          <w:szCs w:val="22"/>
        </w:rPr>
      </w:pPr>
    </w:p>
    <w:p w14:paraId="54DECBD9" w14:textId="77777777" w:rsidR="00337111" w:rsidRPr="0063119B" w:rsidRDefault="00337111" w:rsidP="00337111">
      <w:pPr>
        <w:suppressAutoHyphens/>
        <w:rPr>
          <w:i/>
          <w:noProof/>
          <w:szCs w:val="22"/>
        </w:rPr>
      </w:pPr>
      <w:r w:rsidRPr="0063119B">
        <w:rPr>
          <w:i/>
          <w:noProof/>
          <w:szCs w:val="22"/>
        </w:rPr>
        <w:lastRenderedPageBreak/>
        <w:t>Peso corporal</w:t>
      </w:r>
    </w:p>
    <w:p w14:paraId="023F35F4" w14:textId="77777777" w:rsidR="00337111" w:rsidRDefault="00337111" w:rsidP="00337111">
      <w:pPr>
        <w:suppressAutoHyphens/>
        <w:rPr>
          <w:noProof/>
          <w:szCs w:val="22"/>
        </w:rPr>
      </w:pPr>
      <w:r w:rsidRPr="0063119B">
        <w:rPr>
          <w:noProof/>
          <w:szCs w:val="22"/>
        </w:rPr>
        <w:t xml:space="preserve">Não é necessário ajuste posológico </w:t>
      </w:r>
      <w:r w:rsidR="007B5AF6">
        <w:rPr>
          <w:noProof/>
          <w:szCs w:val="22"/>
        </w:rPr>
        <w:t xml:space="preserve">nos adultos </w:t>
      </w:r>
      <w:r w:rsidRPr="0063119B">
        <w:rPr>
          <w:noProof/>
          <w:szCs w:val="22"/>
        </w:rPr>
        <w:t>(ver secção 5.2)</w:t>
      </w:r>
      <w:r w:rsidR="007B5AF6">
        <w:rPr>
          <w:noProof/>
          <w:szCs w:val="22"/>
        </w:rPr>
        <w:t>.</w:t>
      </w:r>
    </w:p>
    <w:p w14:paraId="4E057741" w14:textId="77777777" w:rsidR="007B5AF6" w:rsidRPr="0063119B" w:rsidRDefault="007B5AF6" w:rsidP="00337111">
      <w:pPr>
        <w:suppressAutoHyphens/>
        <w:rPr>
          <w:noProof/>
          <w:szCs w:val="22"/>
        </w:rPr>
      </w:pPr>
      <w:r>
        <w:rPr>
          <w:szCs w:val="22"/>
          <w:lang w:eastAsia="pt-PT"/>
        </w:rPr>
        <w:t>Nos doentes pediátricos, a dose é determinada com base no peso corporal.</w:t>
      </w:r>
    </w:p>
    <w:p w14:paraId="42BCD980" w14:textId="77777777" w:rsidR="00337111" w:rsidRPr="0063119B" w:rsidRDefault="00337111" w:rsidP="00337111">
      <w:pPr>
        <w:suppressAutoHyphens/>
        <w:rPr>
          <w:noProof/>
          <w:szCs w:val="22"/>
        </w:rPr>
      </w:pPr>
    </w:p>
    <w:p w14:paraId="61F0C8A8" w14:textId="77777777" w:rsidR="00337111" w:rsidRPr="0063119B" w:rsidRDefault="00337111" w:rsidP="00DE7D95">
      <w:pPr>
        <w:keepNext/>
        <w:suppressAutoHyphens/>
        <w:rPr>
          <w:i/>
          <w:noProof/>
          <w:szCs w:val="22"/>
        </w:rPr>
      </w:pPr>
      <w:r w:rsidRPr="0063119B">
        <w:rPr>
          <w:i/>
          <w:noProof/>
          <w:szCs w:val="22"/>
        </w:rPr>
        <w:t>Sexo</w:t>
      </w:r>
    </w:p>
    <w:p w14:paraId="6D4EC7F8" w14:textId="77777777" w:rsidR="00337111" w:rsidRPr="0063119B" w:rsidRDefault="00337111" w:rsidP="00337111">
      <w:pPr>
        <w:suppressAutoHyphens/>
        <w:rPr>
          <w:noProof/>
          <w:szCs w:val="22"/>
        </w:rPr>
      </w:pPr>
      <w:r w:rsidRPr="0063119B">
        <w:rPr>
          <w:noProof/>
          <w:szCs w:val="22"/>
        </w:rPr>
        <w:t>Não é necessário ajuste posológico (ver secção 5.2)</w:t>
      </w:r>
    </w:p>
    <w:p w14:paraId="025A675D" w14:textId="77777777" w:rsidR="00337111" w:rsidRPr="0063119B" w:rsidRDefault="00337111" w:rsidP="00337111">
      <w:pPr>
        <w:suppressAutoHyphens/>
        <w:rPr>
          <w:noProof/>
          <w:szCs w:val="22"/>
        </w:rPr>
      </w:pPr>
    </w:p>
    <w:p w14:paraId="613C0E69" w14:textId="77777777" w:rsidR="000D3CDF" w:rsidRPr="0063119B" w:rsidRDefault="000D3CDF" w:rsidP="000D3CDF">
      <w:pPr>
        <w:suppressAutoHyphens/>
        <w:rPr>
          <w:i/>
          <w:noProof/>
          <w:szCs w:val="22"/>
        </w:rPr>
      </w:pPr>
      <w:r w:rsidRPr="0063119B">
        <w:rPr>
          <w:i/>
          <w:noProof/>
          <w:szCs w:val="22"/>
        </w:rPr>
        <w:t>Doentes submetidos a cardioversão</w:t>
      </w:r>
    </w:p>
    <w:p w14:paraId="5801B1C1" w14:textId="77777777" w:rsidR="000D3CDF" w:rsidRPr="0063119B" w:rsidRDefault="00607DE4" w:rsidP="000D3CDF">
      <w:pPr>
        <w:suppressAutoHyphens/>
        <w:rPr>
          <w:noProof/>
          <w:szCs w:val="22"/>
        </w:rPr>
      </w:pPr>
      <w:r>
        <w:rPr>
          <w:noProof/>
          <w:szCs w:val="22"/>
        </w:rPr>
        <w:t>Rivaroxabano</w:t>
      </w:r>
      <w:r w:rsidR="009A6E6E" w:rsidRPr="0063119B">
        <w:rPr>
          <w:noProof/>
          <w:szCs w:val="22"/>
        </w:rPr>
        <w:t xml:space="preserve"> Accord</w:t>
      </w:r>
      <w:r w:rsidR="000D3CDF" w:rsidRPr="0063119B">
        <w:rPr>
          <w:noProof/>
          <w:szCs w:val="22"/>
        </w:rPr>
        <w:t xml:space="preserve"> pode ser iniciado  ou continuado em doentes que possam necessitar de cardioversão.</w:t>
      </w:r>
    </w:p>
    <w:p w14:paraId="540D2143" w14:textId="77777777" w:rsidR="000D3CDF" w:rsidRPr="0063119B" w:rsidRDefault="000D3CDF" w:rsidP="000D3CDF">
      <w:pPr>
        <w:suppressAutoHyphens/>
        <w:rPr>
          <w:noProof/>
          <w:szCs w:val="22"/>
        </w:rPr>
      </w:pPr>
      <w:r w:rsidRPr="0063119B">
        <w:rPr>
          <w:noProof/>
          <w:szCs w:val="22"/>
        </w:rPr>
        <w:t xml:space="preserve">Na cardioversão orientada por ecocardiograma transesofágico (ETE), em doentes não tratados anteriormente com anticoagulantes, </w:t>
      </w:r>
      <w:r w:rsidR="0089294A" w:rsidRPr="0063119B">
        <w:rPr>
          <w:noProof/>
          <w:szCs w:val="22"/>
        </w:rPr>
        <w:t xml:space="preserve">o tratamento com </w:t>
      </w:r>
      <w:r w:rsidR="00607DE4">
        <w:rPr>
          <w:noProof/>
          <w:szCs w:val="22"/>
        </w:rPr>
        <w:t>Rivaroxabano</w:t>
      </w:r>
      <w:r w:rsidR="009A6E6E" w:rsidRPr="0063119B">
        <w:rPr>
          <w:noProof/>
          <w:szCs w:val="22"/>
        </w:rPr>
        <w:t xml:space="preserve"> Accord</w:t>
      </w:r>
      <w:r w:rsidRPr="0063119B">
        <w:rPr>
          <w:noProof/>
          <w:szCs w:val="22"/>
        </w:rPr>
        <w:t xml:space="preserve"> deve ser iniciado pelo menos 4</w:t>
      </w:r>
      <w:r w:rsidR="009A6E6E" w:rsidRPr="0063119B">
        <w:rPr>
          <w:noProof/>
          <w:szCs w:val="22"/>
        </w:rPr>
        <w:t> </w:t>
      </w:r>
      <w:r w:rsidRPr="0063119B">
        <w:rPr>
          <w:noProof/>
          <w:szCs w:val="22"/>
        </w:rPr>
        <w:t xml:space="preserve">horas antes da cardioversão para assegurar uma anticoagulação adequada (ver secções 5.1 e 5.2). Antes da cardioversão deve obter-se  para todos os doentes a confirmação de que os doentes tomaram </w:t>
      </w:r>
      <w:r w:rsidR="00607DE4">
        <w:rPr>
          <w:noProof/>
          <w:szCs w:val="22"/>
        </w:rPr>
        <w:t>Rivaroxabano</w:t>
      </w:r>
      <w:r w:rsidR="009A6E6E" w:rsidRPr="0063119B">
        <w:rPr>
          <w:noProof/>
          <w:szCs w:val="22"/>
        </w:rPr>
        <w:t xml:space="preserve"> Accord</w:t>
      </w:r>
      <w:r w:rsidRPr="0063119B">
        <w:rPr>
          <w:noProof/>
          <w:szCs w:val="22"/>
        </w:rPr>
        <w:t xml:space="preserve"> tal como prescrito. As decisões  sobre o início e duração do tratamento devem ter em consideração  as normas de recomendação estabelecidas  para o tratamento anticoagulante em doentes  submetidos a cardioversão.</w:t>
      </w:r>
    </w:p>
    <w:p w14:paraId="16C1F39D" w14:textId="77777777" w:rsidR="00BC6356" w:rsidRPr="0063119B" w:rsidRDefault="00BC6356" w:rsidP="00F824AF">
      <w:pPr>
        <w:suppressAutoHyphens/>
        <w:rPr>
          <w:i/>
          <w:szCs w:val="22"/>
        </w:rPr>
      </w:pPr>
    </w:p>
    <w:p w14:paraId="29AB9392" w14:textId="77777777" w:rsidR="00F824AF" w:rsidRPr="0063119B" w:rsidRDefault="00F824AF" w:rsidP="00F824AF">
      <w:pPr>
        <w:suppressAutoHyphens/>
        <w:rPr>
          <w:i/>
          <w:noProof/>
          <w:szCs w:val="22"/>
        </w:rPr>
      </w:pPr>
      <w:r w:rsidRPr="0063119B">
        <w:rPr>
          <w:i/>
          <w:szCs w:val="22"/>
        </w:rPr>
        <w:t>Doentes com fibrilhação auricular não-valvular submetidos a ICP (intervenção coronária percutânea) com colocação de stent</w:t>
      </w:r>
    </w:p>
    <w:p w14:paraId="36491118" w14:textId="77777777" w:rsidR="00F824AF" w:rsidRPr="0063119B" w:rsidRDefault="00F824AF" w:rsidP="00F824AF">
      <w:pPr>
        <w:suppressAutoHyphens/>
        <w:rPr>
          <w:szCs w:val="22"/>
        </w:rPr>
      </w:pPr>
      <w:r w:rsidRPr="0063119B">
        <w:rPr>
          <w:noProof/>
          <w:szCs w:val="22"/>
        </w:rPr>
        <w:t>Existe uma experiência limitada da dose redu</w:t>
      </w:r>
      <w:r w:rsidR="00BC6356" w:rsidRPr="0063119B">
        <w:rPr>
          <w:noProof/>
          <w:szCs w:val="22"/>
        </w:rPr>
        <w:t xml:space="preserve">zida de </w:t>
      </w:r>
      <w:r w:rsidR="009A6E6E" w:rsidRPr="0063119B">
        <w:rPr>
          <w:noProof/>
          <w:szCs w:val="22"/>
        </w:rPr>
        <w:t xml:space="preserve">15 mg de </w:t>
      </w:r>
      <w:r w:rsidR="009A6E6E" w:rsidRPr="0063119B">
        <w:rPr>
          <w:iCs/>
          <w:szCs w:val="22"/>
        </w:rPr>
        <w:t>rivaroxabano</w:t>
      </w:r>
      <w:r w:rsidR="00BC6356" w:rsidRPr="0063119B">
        <w:rPr>
          <w:noProof/>
          <w:szCs w:val="22"/>
        </w:rPr>
        <w:t xml:space="preserve"> uma vez por dia (ou 10 mg </w:t>
      </w:r>
      <w:r w:rsidR="009A6E6E" w:rsidRPr="0063119B">
        <w:rPr>
          <w:noProof/>
          <w:szCs w:val="22"/>
        </w:rPr>
        <w:t xml:space="preserve">de </w:t>
      </w:r>
      <w:r w:rsidR="009A6E6E" w:rsidRPr="0063119B">
        <w:rPr>
          <w:iCs/>
          <w:szCs w:val="22"/>
        </w:rPr>
        <w:t xml:space="preserve">rivaroxabano </w:t>
      </w:r>
      <w:r w:rsidR="00BC6356" w:rsidRPr="0063119B">
        <w:rPr>
          <w:noProof/>
          <w:szCs w:val="22"/>
        </w:rPr>
        <w:t>uma vez por</w:t>
      </w:r>
      <w:r w:rsidRPr="0063119B">
        <w:rPr>
          <w:noProof/>
          <w:szCs w:val="22"/>
        </w:rPr>
        <w:t xml:space="preserve"> dia em doentes com compromisso renal moderado [</w:t>
      </w:r>
      <w:r w:rsidR="00BC6356" w:rsidRPr="0063119B">
        <w:rPr>
          <w:noProof/>
          <w:szCs w:val="22"/>
        </w:rPr>
        <w:t xml:space="preserve">taxa de </w:t>
      </w:r>
      <w:r w:rsidRPr="0063119B">
        <w:rPr>
          <w:noProof/>
          <w:szCs w:val="22"/>
        </w:rPr>
        <w:t xml:space="preserve">depuração da creatinina </w:t>
      </w:r>
      <w:r w:rsidR="00BC6356" w:rsidRPr="0063119B">
        <w:rPr>
          <w:noProof/>
          <w:szCs w:val="22"/>
        </w:rPr>
        <w:t>30 </w:t>
      </w:r>
      <w:r w:rsidRPr="0063119B">
        <w:rPr>
          <w:noProof/>
          <w:szCs w:val="22"/>
        </w:rPr>
        <w:t>- 49  ml/min])</w:t>
      </w:r>
      <w:r w:rsidRPr="0063119B">
        <w:rPr>
          <w:szCs w:val="22"/>
        </w:rPr>
        <w:t xml:space="preserve"> em adição a um inibidor P2Y12 por um período máximo de 12</w:t>
      </w:r>
      <w:r w:rsidR="009A6E6E" w:rsidRPr="0063119B">
        <w:rPr>
          <w:szCs w:val="22"/>
        </w:rPr>
        <w:t> </w:t>
      </w:r>
      <w:r w:rsidRPr="0063119B">
        <w:rPr>
          <w:szCs w:val="22"/>
        </w:rPr>
        <w:t xml:space="preserve">meses em doentes com fibrilação auricular não-valvular que requerem anticoagulação oral e </w:t>
      </w:r>
      <w:r w:rsidR="00BC6356" w:rsidRPr="0063119B">
        <w:rPr>
          <w:szCs w:val="22"/>
        </w:rPr>
        <w:t xml:space="preserve">que </w:t>
      </w:r>
      <w:r w:rsidRPr="0063119B">
        <w:rPr>
          <w:szCs w:val="22"/>
        </w:rPr>
        <w:t xml:space="preserve">são submetidos a ICP com colocação de </w:t>
      </w:r>
      <w:r w:rsidRPr="0063119B">
        <w:rPr>
          <w:i/>
          <w:szCs w:val="22"/>
        </w:rPr>
        <w:t>stent</w:t>
      </w:r>
      <w:r w:rsidRPr="0063119B">
        <w:rPr>
          <w:szCs w:val="22"/>
        </w:rPr>
        <w:t xml:space="preserve"> (ver secções</w:t>
      </w:r>
      <w:r w:rsidR="00650AF1" w:rsidRPr="0063119B">
        <w:rPr>
          <w:szCs w:val="22"/>
        </w:rPr>
        <w:t> </w:t>
      </w:r>
      <w:r w:rsidRPr="0063119B">
        <w:rPr>
          <w:szCs w:val="22"/>
        </w:rPr>
        <w:t>4.4 e 5.1).</w:t>
      </w:r>
    </w:p>
    <w:p w14:paraId="2C21A361" w14:textId="77777777" w:rsidR="00F824AF" w:rsidRDefault="00F824AF" w:rsidP="00337111">
      <w:pPr>
        <w:suppressAutoHyphens/>
        <w:rPr>
          <w:noProof/>
          <w:szCs w:val="22"/>
          <w:u w:val="single"/>
        </w:rPr>
      </w:pPr>
    </w:p>
    <w:p w14:paraId="21859C07" w14:textId="77777777" w:rsidR="007B5AF6" w:rsidRDefault="007B5AF6" w:rsidP="007B5AF6">
      <w:pPr>
        <w:autoSpaceDE w:val="0"/>
        <w:autoSpaceDN w:val="0"/>
        <w:adjustRightInd w:val="0"/>
        <w:rPr>
          <w:i/>
          <w:iCs/>
          <w:szCs w:val="22"/>
          <w:lang w:eastAsia="pt-PT"/>
        </w:rPr>
      </w:pPr>
      <w:r>
        <w:rPr>
          <w:i/>
          <w:iCs/>
          <w:szCs w:val="22"/>
          <w:lang w:eastAsia="pt-PT"/>
        </w:rPr>
        <w:t>População pediátrica</w:t>
      </w:r>
    </w:p>
    <w:p w14:paraId="1DBF7F94" w14:textId="77777777" w:rsidR="007B5AF6" w:rsidRDefault="007B5AF6" w:rsidP="00EF3721">
      <w:pPr>
        <w:autoSpaceDE w:val="0"/>
        <w:autoSpaceDN w:val="0"/>
        <w:adjustRightInd w:val="0"/>
        <w:rPr>
          <w:szCs w:val="22"/>
          <w:lang w:eastAsia="pt-PT"/>
        </w:rPr>
      </w:pPr>
      <w:r>
        <w:rPr>
          <w:szCs w:val="22"/>
          <w:lang w:eastAsia="pt-PT"/>
        </w:rPr>
        <w:t xml:space="preserve">A segurança e eficácia de </w:t>
      </w:r>
      <w:r>
        <w:rPr>
          <w:noProof/>
          <w:szCs w:val="22"/>
        </w:rPr>
        <w:t>Rivaroxabano</w:t>
      </w:r>
      <w:r w:rsidRPr="0063119B">
        <w:rPr>
          <w:noProof/>
          <w:szCs w:val="22"/>
        </w:rPr>
        <w:t xml:space="preserve"> Accord </w:t>
      </w:r>
      <w:r>
        <w:rPr>
          <w:szCs w:val="22"/>
          <w:lang w:eastAsia="pt-PT"/>
        </w:rPr>
        <w:t>em crianças dos 0 a 18 anos de idade não foram estabelecidas na indicação da prevenção do acidente vascular cerebral e no embolismo sistémico, em doentes com fibrilhação auricular não valvular. Não existem dados disponíveis. Por conseguinte, não é recomendado para utilização em crianças com idade inferior a 18 anos em indicações que não o tratamento do TEV e na prevenção da recorrência de TEV.</w:t>
      </w:r>
    </w:p>
    <w:p w14:paraId="568E0BBC" w14:textId="77777777" w:rsidR="007B5AF6" w:rsidRPr="0063119B" w:rsidRDefault="007B5AF6" w:rsidP="007B5AF6">
      <w:pPr>
        <w:suppressAutoHyphens/>
        <w:rPr>
          <w:noProof/>
          <w:szCs w:val="22"/>
          <w:u w:val="single"/>
        </w:rPr>
      </w:pPr>
    </w:p>
    <w:p w14:paraId="22650344" w14:textId="77777777" w:rsidR="00337111" w:rsidRDefault="00337111" w:rsidP="00337111">
      <w:pPr>
        <w:suppressAutoHyphens/>
        <w:rPr>
          <w:noProof/>
          <w:szCs w:val="22"/>
          <w:u w:val="single"/>
        </w:rPr>
      </w:pPr>
      <w:r w:rsidRPr="0063119B">
        <w:rPr>
          <w:noProof/>
          <w:szCs w:val="22"/>
          <w:u w:val="single"/>
        </w:rPr>
        <w:t>Modo de administração</w:t>
      </w:r>
    </w:p>
    <w:p w14:paraId="183B049F" w14:textId="77777777" w:rsidR="006A2CEB" w:rsidRDefault="006A2CEB" w:rsidP="00337111">
      <w:pPr>
        <w:suppressAutoHyphens/>
        <w:rPr>
          <w:noProof/>
          <w:szCs w:val="22"/>
          <w:u w:val="single"/>
        </w:rPr>
      </w:pPr>
    </w:p>
    <w:p w14:paraId="2B2D1517" w14:textId="77777777" w:rsidR="007B5AF6" w:rsidRPr="00EF3721" w:rsidRDefault="007B5AF6" w:rsidP="00337111">
      <w:pPr>
        <w:suppressAutoHyphens/>
        <w:rPr>
          <w:i/>
          <w:iCs/>
          <w:noProof/>
          <w:szCs w:val="22"/>
          <w:u w:val="single"/>
        </w:rPr>
      </w:pPr>
      <w:r w:rsidRPr="00EF3721">
        <w:rPr>
          <w:i/>
          <w:iCs/>
          <w:noProof/>
          <w:szCs w:val="22"/>
          <w:u w:val="single"/>
        </w:rPr>
        <w:t>Adultos</w:t>
      </w:r>
    </w:p>
    <w:p w14:paraId="7B8ED836" w14:textId="77777777" w:rsidR="00E42985" w:rsidRPr="0063119B" w:rsidRDefault="00607DE4" w:rsidP="00337111">
      <w:pPr>
        <w:rPr>
          <w:noProof/>
          <w:szCs w:val="22"/>
        </w:rPr>
      </w:pPr>
      <w:r>
        <w:rPr>
          <w:noProof/>
          <w:szCs w:val="22"/>
        </w:rPr>
        <w:t>Rivaroxabano</w:t>
      </w:r>
      <w:r w:rsidR="009A6E6E" w:rsidRPr="0063119B">
        <w:rPr>
          <w:noProof/>
          <w:szCs w:val="22"/>
        </w:rPr>
        <w:t xml:space="preserve"> Accord</w:t>
      </w:r>
      <w:r w:rsidR="004D7C05" w:rsidRPr="0063119B">
        <w:rPr>
          <w:noProof/>
          <w:szCs w:val="22"/>
        </w:rPr>
        <w:t xml:space="preserve"> é para </w:t>
      </w:r>
      <w:r w:rsidR="00591027" w:rsidRPr="0063119B">
        <w:rPr>
          <w:noProof/>
          <w:szCs w:val="22"/>
        </w:rPr>
        <w:t xml:space="preserve">utilização por via </w:t>
      </w:r>
      <w:r w:rsidR="00337111" w:rsidRPr="0063119B">
        <w:rPr>
          <w:noProof/>
          <w:szCs w:val="22"/>
        </w:rPr>
        <w:t xml:space="preserve">oral. </w:t>
      </w:r>
    </w:p>
    <w:p w14:paraId="32098D0C" w14:textId="77777777" w:rsidR="00337111" w:rsidRPr="0063119B" w:rsidRDefault="004D7C05" w:rsidP="00337111">
      <w:pPr>
        <w:rPr>
          <w:szCs w:val="22"/>
        </w:rPr>
      </w:pPr>
      <w:r w:rsidRPr="0063119B">
        <w:rPr>
          <w:noProof/>
          <w:szCs w:val="22"/>
        </w:rPr>
        <w:t>Os</w:t>
      </w:r>
      <w:r w:rsidR="00B84E15" w:rsidRPr="0063119B">
        <w:rPr>
          <w:noProof/>
          <w:szCs w:val="22"/>
        </w:rPr>
        <w:t xml:space="preserve"> </w:t>
      </w:r>
      <w:r w:rsidR="00337111" w:rsidRPr="0063119B">
        <w:rPr>
          <w:szCs w:val="22"/>
        </w:rPr>
        <w:t>comprimidos devem ser tomados com alimentos (ver secção</w:t>
      </w:r>
      <w:r w:rsidR="00650AF1" w:rsidRPr="0063119B">
        <w:rPr>
          <w:szCs w:val="22"/>
        </w:rPr>
        <w:t> </w:t>
      </w:r>
      <w:r w:rsidR="00337111" w:rsidRPr="0063119B">
        <w:rPr>
          <w:szCs w:val="22"/>
        </w:rPr>
        <w:t>5.2).</w:t>
      </w:r>
    </w:p>
    <w:p w14:paraId="3374E1E6" w14:textId="77777777" w:rsidR="001C6ED5" w:rsidRDefault="001C6ED5" w:rsidP="001C6ED5">
      <w:pPr>
        <w:suppressAutoHyphens/>
        <w:rPr>
          <w:noProof/>
          <w:szCs w:val="22"/>
        </w:rPr>
      </w:pPr>
    </w:p>
    <w:p w14:paraId="260AF48C" w14:textId="77777777" w:rsidR="007B5AF6" w:rsidRPr="0063119B" w:rsidRDefault="007B5AF6" w:rsidP="001C6ED5">
      <w:pPr>
        <w:suppressAutoHyphens/>
        <w:rPr>
          <w:noProof/>
          <w:szCs w:val="22"/>
        </w:rPr>
      </w:pPr>
      <w:r>
        <w:rPr>
          <w:i/>
          <w:iCs/>
          <w:szCs w:val="22"/>
          <w:lang w:eastAsia="pt-PT"/>
        </w:rPr>
        <w:t>Trituração dos comprimidos</w:t>
      </w:r>
    </w:p>
    <w:p w14:paraId="0D5456FC" w14:textId="77777777" w:rsidR="001C6ED5" w:rsidRPr="0063119B" w:rsidRDefault="001C6ED5" w:rsidP="001C6ED5">
      <w:pPr>
        <w:suppressAutoHyphens/>
        <w:rPr>
          <w:noProof/>
          <w:szCs w:val="22"/>
        </w:rPr>
      </w:pPr>
      <w:r w:rsidRPr="0063119B">
        <w:rPr>
          <w:noProof/>
          <w:szCs w:val="22"/>
        </w:rPr>
        <w:t xml:space="preserve">Em doentes incapazes de engolir comprimidos inteiros, o comprimido </w:t>
      </w:r>
      <w:r w:rsidR="00591027" w:rsidRPr="0063119B">
        <w:rPr>
          <w:noProof/>
          <w:szCs w:val="22"/>
        </w:rPr>
        <w:t xml:space="preserve">de </w:t>
      </w:r>
      <w:r w:rsidR="00607DE4">
        <w:rPr>
          <w:noProof/>
          <w:szCs w:val="22"/>
        </w:rPr>
        <w:t>Rivaroxabano</w:t>
      </w:r>
      <w:r w:rsidR="009A6E6E" w:rsidRPr="0063119B">
        <w:rPr>
          <w:noProof/>
          <w:szCs w:val="22"/>
        </w:rPr>
        <w:t xml:space="preserve"> Accord</w:t>
      </w:r>
      <w:r w:rsidRPr="0063119B">
        <w:rPr>
          <w:noProof/>
          <w:szCs w:val="22"/>
        </w:rPr>
        <w:t xml:space="preserve"> pode ser esmagado e misturado com água ou como puré de maçã imediatamente antes da utilização e administrado por via ora</w:t>
      </w:r>
      <w:r w:rsidR="00874742" w:rsidRPr="0063119B">
        <w:rPr>
          <w:noProof/>
          <w:szCs w:val="22"/>
        </w:rPr>
        <w:t>l</w:t>
      </w:r>
      <w:r w:rsidRPr="0063119B">
        <w:rPr>
          <w:noProof/>
          <w:szCs w:val="22"/>
        </w:rPr>
        <w:t>.</w:t>
      </w:r>
      <w:r w:rsidR="00874742" w:rsidRPr="0063119B">
        <w:rPr>
          <w:noProof/>
          <w:szCs w:val="22"/>
        </w:rPr>
        <w:t xml:space="preserve"> Após a administração de </w:t>
      </w:r>
      <w:r w:rsidR="00607DE4">
        <w:rPr>
          <w:noProof/>
          <w:szCs w:val="22"/>
        </w:rPr>
        <w:t>Rivaroxabano</w:t>
      </w:r>
      <w:r w:rsidR="009A6E6E" w:rsidRPr="0063119B">
        <w:rPr>
          <w:noProof/>
          <w:szCs w:val="22"/>
        </w:rPr>
        <w:t xml:space="preserve"> Accord</w:t>
      </w:r>
      <w:r w:rsidR="00874742" w:rsidRPr="0063119B">
        <w:rPr>
          <w:noProof/>
          <w:szCs w:val="22"/>
        </w:rPr>
        <w:t xml:space="preserve"> 15 mg ou 20 mg comprimidos revestidos por película esmagados, a dose deve ser imediatamente </w:t>
      </w:r>
      <w:r w:rsidR="00606E52" w:rsidRPr="0063119B">
        <w:rPr>
          <w:noProof/>
          <w:szCs w:val="22"/>
        </w:rPr>
        <w:t>seguida por</w:t>
      </w:r>
      <w:r w:rsidR="00874742" w:rsidRPr="0063119B">
        <w:rPr>
          <w:noProof/>
          <w:szCs w:val="22"/>
        </w:rPr>
        <w:t xml:space="preserve"> alimentos.</w:t>
      </w:r>
    </w:p>
    <w:p w14:paraId="7799B6E5" w14:textId="77777777" w:rsidR="001C6ED5" w:rsidRPr="0063119B" w:rsidRDefault="001C6ED5" w:rsidP="001C6ED5">
      <w:pPr>
        <w:suppressAutoHyphens/>
        <w:rPr>
          <w:noProof/>
          <w:szCs w:val="22"/>
        </w:rPr>
      </w:pPr>
      <w:r w:rsidRPr="0063119B">
        <w:rPr>
          <w:noProof/>
          <w:szCs w:val="22"/>
        </w:rPr>
        <w:t xml:space="preserve">O comprimido </w:t>
      </w:r>
      <w:r w:rsidR="00591027" w:rsidRPr="0063119B">
        <w:rPr>
          <w:noProof/>
          <w:szCs w:val="22"/>
        </w:rPr>
        <w:t xml:space="preserve">de </w:t>
      </w:r>
      <w:r w:rsidR="00607DE4">
        <w:rPr>
          <w:noProof/>
          <w:szCs w:val="22"/>
        </w:rPr>
        <w:t>Rivaroxabano</w:t>
      </w:r>
      <w:r w:rsidR="009A6E6E" w:rsidRPr="0063119B">
        <w:rPr>
          <w:noProof/>
          <w:szCs w:val="22"/>
        </w:rPr>
        <w:t xml:space="preserve"> Accord</w:t>
      </w:r>
      <w:r w:rsidRPr="0063119B">
        <w:rPr>
          <w:noProof/>
          <w:szCs w:val="22"/>
        </w:rPr>
        <w:t xml:space="preserve"> esmagado pode </w:t>
      </w:r>
      <w:r w:rsidR="0080565C" w:rsidRPr="0063119B">
        <w:rPr>
          <w:noProof/>
          <w:szCs w:val="22"/>
        </w:rPr>
        <w:t xml:space="preserve">também </w:t>
      </w:r>
      <w:r w:rsidRPr="0063119B">
        <w:rPr>
          <w:noProof/>
          <w:szCs w:val="22"/>
        </w:rPr>
        <w:t>ser administrado através de sondas gástricas</w:t>
      </w:r>
      <w:r w:rsidR="0080565C" w:rsidRPr="0063119B">
        <w:rPr>
          <w:noProof/>
          <w:szCs w:val="22"/>
        </w:rPr>
        <w:t xml:space="preserve"> </w:t>
      </w:r>
      <w:r w:rsidRPr="0063119B">
        <w:rPr>
          <w:noProof/>
          <w:szCs w:val="22"/>
        </w:rPr>
        <w:t>(ver secç</w:t>
      </w:r>
      <w:r w:rsidR="007B5AF6">
        <w:rPr>
          <w:noProof/>
          <w:szCs w:val="22"/>
        </w:rPr>
        <w:t>ões</w:t>
      </w:r>
      <w:r w:rsidRPr="0063119B">
        <w:rPr>
          <w:noProof/>
          <w:szCs w:val="22"/>
        </w:rPr>
        <w:t> 5.2</w:t>
      </w:r>
      <w:r w:rsidR="007B5AF6">
        <w:rPr>
          <w:noProof/>
          <w:szCs w:val="22"/>
        </w:rPr>
        <w:t xml:space="preserve"> e 6.6</w:t>
      </w:r>
      <w:r w:rsidRPr="0063119B">
        <w:rPr>
          <w:noProof/>
          <w:szCs w:val="22"/>
        </w:rPr>
        <w:t>).</w:t>
      </w:r>
    </w:p>
    <w:p w14:paraId="5F0A559E" w14:textId="77777777" w:rsidR="00794B90" w:rsidRDefault="00794B90" w:rsidP="00337111">
      <w:pPr>
        <w:suppressAutoHyphens/>
        <w:ind w:left="567" w:hanging="567"/>
        <w:rPr>
          <w:b/>
          <w:noProof/>
          <w:szCs w:val="22"/>
        </w:rPr>
      </w:pPr>
    </w:p>
    <w:p w14:paraId="2A8373EE" w14:textId="77777777" w:rsidR="007B5AF6" w:rsidRDefault="007B5AF6" w:rsidP="007B5AF6">
      <w:pPr>
        <w:autoSpaceDE w:val="0"/>
        <w:autoSpaceDN w:val="0"/>
        <w:adjustRightInd w:val="0"/>
        <w:rPr>
          <w:i/>
          <w:iCs/>
          <w:szCs w:val="22"/>
          <w:lang w:eastAsia="pt-PT"/>
        </w:rPr>
      </w:pPr>
      <w:r>
        <w:rPr>
          <w:i/>
          <w:iCs/>
          <w:szCs w:val="22"/>
          <w:lang w:eastAsia="pt-PT"/>
        </w:rPr>
        <w:t>Crianças e adolescentes com peso superior a 50 kg</w:t>
      </w:r>
    </w:p>
    <w:p w14:paraId="100329A9" w14:textId="77777777" w:rsidR="007B5AF6" w:rsidRDefault="00440AB9" w:rsidP="007B5AF6">
      <w:pPr>
        <w:autoSpaceDE w:val="0"/>
        <w:autoSpaceDN w:val="0"/>
        <w:adjustRightInd w:val="0"/>
        <w:rPr>
          <w:szCs w:val="22"/>
          <w:lang w:eastAsia="pt-PT"/>
        </w:rPr>
      </w:pPr>
      <w:r w:rsidRPr="00E74A2E">
        <w:rPr>
          <w:iCs/>
          <w:szCs w:val="22"/>
        </w:rPr>
        <w:t>Rivaroxaban</w:t>
      </w:r>
      <w:r>
        <w:rPr>
          <w:iCs/>
          <w:szCs w:val="22"/>
        </w:rPr>
        <w:t>o</w:t>
      </w:r>
      <w:r w:rsidRPr="00E74A2E">
        <w:rPr>
          <w:iCs/>
          <w:szCs w:val="22"/>
        </w:rPr>
        <w:t xml:space="preserve"> Accord</w:t>
      </w:r>
      <w:r w:rsidRPr="00807554">
        <w:rPr>
          <w:szCs w:val="22"/>
        </w:rPr>
        <w:t xml:space="preserve"> </w:t>
      </w:r>
      <w:r w:rsidR="007B5AF6">
        <w:rPr>
          <w:szCs w:val="22"/>
          <w:lang w:eastAsia="pt-PT"/>
        </w:rPr>
        <w:t>é para uso oral.</w:t>
      </w:r>
    </w:p>
    <w:p w14:paraId="6461F4B6" w14:textId="77777777" w:rsidR="007B5AF6" w:rsidRDefault="007B5AF6" w:rsidP="007B5AF6">
      <w:pPr>
        <w:autoSpaceDE w:val="0"/>
        <w:autoSpaceDN w:val="0"/>
        <w:adjustRightInd w:val="0"/>
        <w:rPr>
          <w:szCs w:val="22"/>
          <w:lang w:eastAsia="pt-PT"/>
        </w:rPr>
      </w:pPr>
      <w:r>
        <w:rPr>
          <w:szCs w:val="22"/>
          <w:lang w:eastAsia="pt-PT"/>
        </w:rPr>
        <w:t>O doente deve ser aconselhado a engolir o comprimido com um líquido. O comprimido deve também ser</w:t>
      </w:r>
      <w:r w:rsidR="00440AB9">
        <w:rPr>
          <w:szCs w:val="22"/>
          <w:lang w:eastAsia="pt-PT"/>
        </w:rPr>
        <w:t xml:space="preserve"> </w:t>
      </w:r>
      <w:r>
        <w:rPr>
          <w:szCs w:val="22"/>
          <w:lang w:eastAsia="pt-PT"/>
        </w:rPr>
        <w:t>tomado com alimentos (ver secção 5.2). Os comprimidos devem ser tomados com um intervalo de,</w:t>
      </w:r>
    </w:p>
    <w:p w14:paraId="1CF5CC6D" w14:textId="77777777" w:rsidR="007B5AF6" w:rsidRDefault="007B5AF6" w:rsidP="007B5AF6">
      <w:pPr>
        <w:autoSpaceDE w:val="0"/>
        <w:autoSpaceDN w:val="0"/>
        <w:adjustRightInd w:val="0"/>
        <w:rPr>
          <w:szCs w:val="22"/>
          <w:lang w:eastAsia="pt-PT"/>
        </w:rPr>
      </w:pPr>
      <w:r>
        <w:rPr>
          <w:szCs w:val="22"/>
          <w:lang w:eastAsia="pt-PT"/>
        </w:rPr>
        <w:t>aproximadamente, 24 horas.</w:t>
      </w:r>
    </w:p>
    <w:p w14:paraId="1CB03110" w14:textId="77777777" w:rsidR="00440AB9" w:rsidRDefault="00440AB9" w:rsidP="007B5AF6">
      <w:pPr>
        <w:autoSpaceDE w:val="0"/>
        <w:autoSpaceDN w:val="0"/>
        <w:adjustRightInd w:val="0"/>
        <w:rPr>
          <w:szCs w:val="22"/>
          <w:lang w:eastAsia="pt-PT"/>
        </w:rPr>
      </w:pPr>
    </w:p>
    <w:p w14:paraId="2E5706E2" w14:textId="77777777" w:rsidR="007B5AF6" w:rsidRDefault="007B5AF6" w:rsidP="007B5AF6">
      <w:pPr>
        <w:autoSpaceDE w:val="0"/>
        <w:autoSpaceDN w:val="0"/>
        <w:adjustRightInd w:val="0"/>
        <w:rPr>
          <w:szCs w:val="22"/>
          <w:lang w:eastAsia="pt-PT"/>
        </w:rPr>
      </w:pPr>
      <w:r>
        <w:rPr>
          <w:szCs w:val="22"/>
          <w:lang w:eastAsia="pt-PT"/>
        </w:rPr>
        <w:t>Deverá administrar-se uma nova dose no caso de o doente cuspir ou vomitar a dose imediatamente no</w:t>
      </w:r>
    </w:p>
    <w:p w14:paraId="5BAFDE4C" w14:textId="77777777" w:rsidR="007B5AF6" w:rsidRDefault="007B5AF6" w:rsidP="007B5AF6">
      <w:pPr>
        <w:autoSpaceDE w:val="0"/>
        <w:autoSpaceDN w:val="0"/>
        <w:adjustRightInd w:val="0"/>
        <w:rPr>
          <w:szCs w:val="22"/>
          <w:lang w:eastAsia="pt-PT"/>
        </w:rPr>
      </w:pPr>
      <w:r>
        <w:rPr>
          <w:szCs w:val="22"/>
          <w:lang w:eastAsia="pt-PT"/>
        </w:rPr>
        <w:t>período de 30 minutos após ter recebido a dose. Contudo, se o doente vomitar decorridos mais de 30 minutos após a dose, a dose não deverá ser readministrada e a dose seguinte deverá ser tomada</w:t>
      </w:r>
    </w:p>
    <w:p w14:paraId="04EFED6B" w14:textId="77777777" w:rsidR="007B5AF6" w:rsidRDefault="007B5AF6" w:rsidP="007B5AF6">
      <w:pPr>
        <w:autoSpaceDE w:val="0"/>
        <w:autoSpaceDN w:val="0"/>
        <w:adjustRightInd w:val="0"/>
        <w:rPr>
          <w:szCs w:val="22"/>
          <w:lang w:eastAsia="pt-PT"/>
        </w:rPr>
      </w:pPr>
      <w:r>
        <w:rPr>
          <w:szCs w:val="22"/>
          <w:lang w:eastAsia="pt-PT"/>
        </w:rPr>
        <w:t xml:space="preserve">conforme programado. </w:t>
      </w:r>
    </w:p>
    <w:p w14:paraId="0373D341" w14:textId="77777777" w:rsidR="00440AB9" w:rsidRDefault="00440AB9" w:rsidP="007B5AF6">
      <w:pPr>
        <w:autoSpaceDE w:val="0"/>
        <w:autoSpaceDN w:val="0"/>
        <w:adjustRightInd w:val="0"/>
        <w:rPr>
          <w:szCs w:val="22"/>
          <w:lang w:eastAsia="pt-PT"/>
        </w:rPr>
      </w:pPr>
    </w:p>
    <w:p w14:paraId="0D7C0CA1" w14:textId="77777777" w:rsidR="007B5AF6" w:rsidRDefault="007B5AF6" w:rsidP="00EF3721">
      <w:pPr>
        <w:autoSpaceDE w:val="0"/>
        <w:autoSpaceDN w:val="0"/>
        <w:adjustRightInd w:val="0"/>
        <w:rPr>
          <w:szCs w:val="22"/>
          <w:lang w:eastAsia="pt-PT"/>
        </w:rPr>
      </w:pPr>
      <w:r>
        <w:rPr>
          <w:szCs w:val="22"/>
          <w:lang w:eastAsia="pt-PT"/>
        </w:rPr>
        <w:t>O comprimido não pode ser dividido numa tentativa de se obter uma fração de uma dose do comprimido.</w:t>
      </w:r>
    </w:p>
    <w:p w14:paraId="6AFD2FD0" w14:textId="77777777" w:rsidR="00F73C2E" w:rsidRDefault="00F73C2E" w:rsidP="00EF3721">
      <w:pPr>
        <w:autoSpaceDE w:val="0"/>
        <w:autoSpaceDN w:val="0"/>
        <w:adjustRightInd w:val="0"/>
        <w:rPr>
          <w:szCs w:val="22"/>
          <w:lang w:eastAsia="pt-PT"/>
        </w:rPr>
      </w:pPr>
    </w:p>
    <w:p w14:paraId="0E2028AA" w14:textId="77777777" w:rsidR="00F73C2E" w:rsidRPr="0024081D" w:rsidRDefault="00F73C2E" w:rsidP="00F73C2E">
      <w:pPr>
        <w:autoSpaceDE w:val="0"/>
        <w:autoSpaceDN w:val="0"/>
        <w:adjustRightInd w:val="0"/>
        <w:rPr>
          <w:u w:val="single"/>
        </w:rPr>
      </w:pPr>
      <w:r w:rsidRPr="0024081D">
        <w:rPr>
          <w:i/>
          <w:iCs/>
          <w:u w:val="single"/>
        </w:rPr>
        <w:t>Trituração dos comprimidos</w:t>
      </w:r>
      <w:r w:rsidRPr="0024081D">
        <w:rPr>
          <w:u w:val="single"/>
        </w:rPr>
        <w:t xml:space="preserve"> </w:t>
      </w:r>
    </w:p>
    <w:p w14:paraId="02C4BD08" w14:textId="77777777" w:rsidR="00F73C2E" w:rsidRDefault="00F73C2E" w:rsidP="00F73C2E">
      <w:pPr>
        <w:autoSpaceDE w:val="0"/>
        <w:autoSpaceDN w:val="0"/>
        <w:adjustRightInd w:val="0"/>
      </w:pPr>
      <w:r>
        <w:t xml:space="preserve">Nos doentes que não são capazes de engolir os comprimidos inteiros, deverá utilizar-se outro medicamento contendo rivaroxabano granulado para suspensão oral disponível no mercado. Se a suspensão oral não estiver imediatamente disponível quando se prescrevem doses de 15 mg ou 20 mg de rivaroxabano, estas podem ser obtidas esmagando-se o comprimido de 15 mg ou 20 mg e misturando-o com água ou com puré de maçã imediatamente antes de utilizar e administrar por via oral. </w:t>
      </w:r>
    </w:p>
    <w:p w14:paraId="50948305" w14:textId="77777777" w:rsidR="00F73C2E" w:rsidRDefault="00F73C2E" w:rsidP="00EF3721">
      <w:pPr>
        <w:autoSpaceDE w:val="0"/>
        <w:autoSpaceDN w:val="0"/>
        <w:adjustRightInd w:val="0"/>
        <w:rPr>
          <w:szCs w:val="22"/>
          <w:lang w:eastAsia="pt-PT"/>
        </w:rPr>
      </w:pPr>
      <w:r>
        <w:t>O comprimido esmagado poderá ser administrado através de uma sonda nasogástrica ou de uma sonda de alimentação gástrica (ver secções 5.2 e 6.6)</w:t>
      </w:r>
    </w:p>
    <w:p w14:paraId="6C73299D" w14:textId="77777777" w:rsidR="007B5AF6" w:rsidRPr="0063119B" w:rsidRDefault="007B5AF6" w:rsidP="007B5AF6">
      <w:pPr>
        <w:suppressAutoHyphens/>
        <w:ind w:left="567" w:hanging="567"/>
        <w:rPr>
          <w:b/>
          <w:noProof/>
          <w:szCs w:val="22"/>
        </w:rPr>
      </w:pPr>
    </w:p>
    <w:p w14:paraId="191051DE" w14:textId="77777777" w:rsidR="00337111" w:rsidRPr="0063119B" w:rsidRDefault="00337111" w:rsidP="00337111">
      <w:pPr>
        <w:suppressAutoHyphens/>
        <w:ind w:left="567" w:hanging="567"/>
        <w:rPr>
          <w:noProof/>
          <w:szCs w:val="22"/>
        </w:rPr>
      </w:pPr>
      <w:r w:rsidRPr="00EF1183">
        <w:rPr>
          <w:b/>
          <w:noProof/>
          <w:szCs w:val="22"/>
        </w:rPr>
        <w:t>4.3</w:t>
      </w:r>
      <w:r w:rsidRPr="00EF1183">
        <w:rPr>
          <w:b/>
          <w:noProof/>
          <w:szCs w:val="22"/>
        </w:rPr>
        <w:tab/>
        <w:t>Contraindicações</w:t>
      </w:r>
    </w:p>
    <w:p w14:paraId="22215F6F" w14:textId="77777777" w:rsidR="00337111" w:rsidRPr="0063119B" w:rsidRDefault="00337111" w:rsidP="00337111">
      <w:pPr>
        <w:suppressAutoHyphens/>
        <w:rPr>
          <w:noProof/>
          <w:szCs w:val="22"/>
        </w:rPr>
      </w:pPr>
    </w:p>
    <w:p w14:paraId="7556D81F" w14:textId="77777777" w:rsidR="00337111" w:rsidRPr="0063119B" w:rsidRDefault="00337111" w:rsidP="00337111">
      <w:pPr>
        <w:suppressAutoHyphens/>
        <w:rPr>
          <w:noProof/>
          <w:szCs w:val="22"/>
        </w:rPr>
      </w:pPr>
      <w:r w:rsidRPr="0063119B">
        <w:rPr>
          <w:noProof/>
          <w:szCs w:val="22"/>
        </w:rPr>
        <w:t>Hipersensibilidade à substância ativa ou a qualquer um dos excipientes mencionados na secção 6.1.</w:t>
      </w:r>
    </w:p>
    <w:p w14:paraId="1FAE2350" w14:textId="77777777" w:rsidR="00337111" w:rsidRPr="0063119B" w:rsidRDefault="00337111" w:rsidP="00337111">
      <w:pPr>
        <w:suppressAutoHyphens/>
        <w:rPr>
          <w:noProof/>
          <w:szCs w:val="22"/>
        </w:rPr>
      </w:pPr>
    </w:p>
    <w:p w14:paraId="768D65E3" w14:textId="77777777" w:rsidR="00B57E5A" w:rsidRPr="0063119B" w:rsidRDefault="00FF2099" w:rsidP="00337111">
      <w:pPr>
        <w:suppressAutoHyphens/>
        <w:rPr>
          <w:noProof/>
          <w:szCs w:val="22"/>
        </w:rPr>
      </w:pPr>
      <w:r w:rsidRPr="0063119B">
        <w:rPr>
          <w:noProof/>
          <w:szCs w:val="22"/>
        </w:rPr>
        <w:t>Hemorragia ativa clinicamente significativa.</w:t>
      </w:r>
    </w:p>
    <w:p w14:paraId="298AADA7" w14:textId="77777777" w:rsidR="00337111" w:rsidRPr="0063119B" w:rsidRDefault="00337111" w:rsidP="00337111">
      <w:pPr>
        <w:suppressAutoHyphens/>
        <w:rPr>
          <w:noProof/>
          <w:szCs w:val="22"/>
        </w:rPr>
      </w:pPr>
    </w:p>
    <w:p w14:paraId="4834A0A1" w14:textId="77777777" w:rsidR="00337111" w:rsidRPr="0063119B" w:rsidRDefault="00337111" w:rsidP="00337111">
      <w:pPr>
        <w:autoSpaceDE w:val="0"/>
        <w:autoSpaceDN w:val="0"/>
        <w:adjustRightInd w:val="0"/>
        <w:rPr>
          <w:szCs w:val="22"/>
          <w:lang w:eastAsia="pt-PT"/>
        </w:rPr>
      </w:pPr>
      <w:r w:rsidRPr="0063119B">
        <w:rPr>
          <w:szCs w:val="22"/>
          <w:lang w:eastAsia="pt-PT"/>
        </w:rPr>
        <w:t>Lesões ou condições</w:t>
      </w:r>
      <w:r w:rsidR="00F60FDA" w:rsidRPr="0063119B">
        <w:rPr>
          <w:noProof/>
          <w:szCs w:val="22"/>
        </w:rPr>
        <w:t xml:space="preserve">, se consideradas como </w:t>
      </w:r>
      <w:r w:rsidR="00A43A76" w:rsidRPr="0063119B">
        <w:rPr>
          <w:noProof/>
          <w:szCs w:val="22"/>
        </w:rPr>
        <w:t>apresentando</w:t>
      </w:r>
      <w:r w:rsidRPr="0063119B">
        <w:rPr>
          <w:szCs w:val="22"/>
          <w:lang w:eastAsia="pt-PT"/>
        </w:rPr>
        <w:t xml:space="preserve"> </w:t>
      </w:r>
      <w:r w:rsidR="00F60FDA" w:rsidRPr="0063119B">
        <w:rPr>
          <w:szCs w:val="22"/>
          <w:lang w:eastAsia="pt-PT"/>
        </w:rPr>
        <w:t xml:space="preserve">um </w:t>
      </w:r>
      <w:r w:rsidRPr="0063119B">
        <w:rPr>
          <w:szCs w:val="22"/>
          <w:lang w:eastAsia="pt-PT"/>
        </w:rPr>
        <w:t>risco significativo de grande hemorragia</w:t>
      </w:r>
      <w:r w:rsidR="00F60FDA" w:rsidRPr="0063119B">
        <w:rPr>
          <w:szCs w:val="22"/>
          <w:lang w:eastAsia="pt-PT"/>
        </w:rPr>
        <w:t>. Estas podem incluir</w:t>
      </w:r>
      <w:r w:rsidRPr="0063119B">
        <w:rPr>
          <w:szCs w:val="22"/>
          <w:lang w:eastAsia="pt-PT"/>
        </w:rPr>
        <w:t xml:space="preserve"> úlceras gastrointestinais atuais ou recentes, presença de neoplasias malignas com elevado risco de hemorragia, lesão recente no cérebro ou na espinal medula, cirurgia cerebral, espinal ou oftálmica recente, hemorragia intracraniana recente, suspeita ou conhecimento de varizes esofágicas, malformações arteriovenosas, aneurismas vasculares ou grandes anomalias vasculares</w:t>
      </w:r>
      <w:r w:rsidRPr="0063119B">
        <w:rPr>
          <w:i/>
          <w:iCs/>
          <w:szCs w:val="22"/>
          <w:lang w:eastAsia="pt-PT"/>
        </w:rPr>
        <w:t xml:space="preserve"> </w:t>
      </w:r>
      <w:r w:rsidRPr="0063119B">
        <w:rPr>
          <w:szCs w:val="22"/>
          <w:lang w:eastAsia="pt-PT"/>
        </w:rPr>
        <w:t>intraespinais ou intracerebrais.</w:t>
      </w:r>
    </w:p>
    <w:p w14:paraId="26032CD6" w14:textId="77777777" w:rsidR="00337111" w:rsidRPr="0063119B" w:rsidRDefault="00337111" w:rsidP="00337111">
      <w:pPr>
        <w:suppressAutoHyphens/>
        <w:rPr>
          <w:noProof/>
          <w:szCs w:val="22"/>
        </w:rPr>
      </w:pPr>
    </w:p>
    <w:p w14:paraId="62DBDA3E" w14:textId="77777777" w:rsidR="00337111" w:rsidRPr="0063119B" w:rsidRDefault="00337111" w:rsidP="00337111">
      <w:pPr>
        <w:autoSpaceDE w:val="0"/>
        <w:autoSpaceDN w:val="0"/>
        <w:adjustRightInd w:val="0"/>
        <w:rPr>
          <w:szCs w:val="22"/>
          <w:lang w:eastAsia="pt-PT"/>
        </w:rPr>
      </w:pPr>
      <w:r w:rsidRPr="0063119B">
        <w:rPr>
          <w:noProof/>
          <w:szCs w:val="22"/>
        </w:rPr>
        <w:t>O tr</w:t>
      </w:r>
      <w:r w:rsidRPr="0063119B">
        <w:rPr>
          <w:szCs w:val="22"/>
          <w:lang w:eastAsia="pt-PT"/>
        </w:rPr>
        <w:t>atamento concomitante com qua</w:t>
      </w:r>
      <w:r w:rsidR="00F60FDA" w:rsidRPr="0063119B">
        <w:rPr>
          <w:szCs w:val="22"/>
          <w:lang w:eastAsia="pt-PT"/>
        </w:rPr>
        <w:t>is</w:t>
      </w:r>
      <w:r w:rsidRPr="0063119B">
        <w:rPr>
          <w:szCs w:val="22"/>
          <w:lang w:eastAsia="pt-PT"/>
        </w:rPr>
        <w:t>quer outro</w:t>
      </w:r>
      <w:r w:rsidR="00F60FDA" w:rsidRPr="0063119B">
        <w:rPr>
          <w:szCs w:val="22"/>
          <w:lang w:eastAsia="pt-PT"/>
        </w:rPr>
        <w:t>s</w:t>
      </w:r>
      <w:r w:rsidRPr="0063119B">
        <w:rPr>
          <w:szCs w:val="22"/>
          <w:lang w:eastAsia="pt-PT"/>
        </w:rPr>
        <w:t xml:space="preserve"> anticoagulante</w:t>
      </w:r>
      <w:r w:rsidR="00F60FDA" w:rsidRPr="0063119B">
        <w:rPr>
          <w:szCs w:val="22"/>
          <w:lang w:eastAsia="pt-PT"/>
        </w:rPr>
        <w:t>s</w:t>
      </w:r>
      <w:r w:rsidRPr="0063119B">
        <w:rPr>
          <w:szCs w:val="22"/>
          <w:lang w:eastAsia="pt-PT"/>
        </w:rPr>
        <w:t>, ex.: heparina não fracionada (HNF), heparinas de baixo peso molecular (enoxaparina, dalteparina, etc.), derivados da heparina</w:t>
      </w:r>
    </w:p>
    <w:p w14:paraId="275067D3" w14:textId="77777777" w:rsidR="00337111" w:rsidRPr="0063119B" w:rsidRDefault="00337111" w:rsidP="00337111">
      <w:pPr>
        <w:autoSpaceDE w:val="0"/>
        <w:autoSpaceDN w:val="0"/>
        <w:adjustRightInd w:val="0"/>
        <w:rPr>
          <w:szCs w:val="22"/>
          <w:lang w:eastAsia="pt-PT"/>
        </w:rPr>
      </w:pPr>
      <w:r w:rsidRPr="0063119B">
        <w:rPr>
          <w:szCs w:val="22"/>
          <w:lang w:eastAsia="pt-PT"/>
        </w:rPr>
        <w:t xml:space="preserve">(fondaparinux, etc.), anticoagulantes orais (varfarina, dabigatrano </w:t>
      </w:r>
      <w:r w:rsidR="00F60FDA" w:rsidRPr="0063119B">
        <w:rPr>
          <w:szCs w:val="22"/>
          <w:lang w:eastAsia="pt-PT"/>
        </w:rPr>
        <w:t xml:space="preserve">etexilato, apixabano, </w:t>
      </w:r>
      <w:r w:rsidRPr="0063119B">
        <w:rPr>
          <w:szCs w:val="22"/>
          <w:lang w:eastAsia="pt-PT"/>
        </w:rPr>
        <w:t>etc.), exceto nas</w:t>
      </w:r>
      <w:r w:rsidR="007C52E3" w:rsidRPr="0063119B">
        <w:rPr>
          <w:szCs w:val="22"/>
          <w:lang w:eastAsia="pt-PT"/>
        </w:rPr>
        <w:t xml:space="preserve"> </w:t>
      </w:r>
      <w:r w:rsidRPr="0063119B">
        <w:rPr>
          <w:szCs w:val="22"/>
          <w:lang w:eastAsia="pt-PT"/>
        </w:rPr>
        <w:t xml:space="preserve">circunstâncias </w:t>
      </w:r>
      <w:r w:rsidR="00FE6C18" w:rsidRPr="0063119B">
        <w:rPr>
          <w:szCs w:val="22"/>
          <w:lang w:eastAsia="pt-PT"/>
        </w:rPr>
        <w:t xml:space="preserve">específicas </w:t>
      </w:r>
      <w:r w:rsidRPr="0063119B">
        <w:rPr>
          <w:szCs w:val="22"/>
          <w:lang w:eastAsia="pt-PT"/>
        </w:rPr>
        <w:t xml:space="preserve">de mudança de terapêutica </w:t>
      </w:r>
      <w:r w:rsidR="00FE6C18" w:rsidRPr="0063119B">
        <w:rPr>
          <w:szCs w:val="22"/>
          <w:lang w:eastAsia="pt-PT"/>
        </w:rPr>
        <w:t>anticoagulante</w:t>
      </w:r>
      <w:r w:rsidRPr="0063119B">
        <w:rPr>
          <w:szCs w:val="22"/>
          <w:lang w:eastAsia="pt-PT"/>
        </w:rPr>
        <w:t xml:space="preserve"> (ver secção</w:t>
      </w:r>
      <w:r w:rsidR="00591027" w:rsidRPr="0063119B">
        <w:rPr>
          <w:szCs w:val="22"/>
          <w:lang w:eastAsia="pt-PT"/>
        </w:rPr>
        <w:t> </w:t>
      </w:r>
      <w:r w:rsidRPr="0063119B">
        <w:rPr>
          <w:szCs w:val="22"/>
          <w:lang w:eastAsia="pt-PT"/>
        </w:rPr>
        <w:t>4.2) ou quando são</w:t>
      </w:r>
      <w:r w:rsidR="00492294" w:rsidRPr="0063119B">
        <w:rPr>
          <w:szCs w:val="22"/>
          <w:lang w:eastAsia="pt-PT"/>
        </w:rPr>
        <w:t xml:space="preserve"> </w:t>
      </w:r>
      <w:r w:rsidRPr="0063119B">
        <w:rPr>
          <w:szCs w:val="22"/>
          <w:lang w:eastAsia="pt-PT"/>
        </w:rPr>
        <w:t xml:space="preserve">administradas doses de HNF necessárias para manter </w:t>
      </w:r>
      <w:r w:rsidR="00835276" w:rsidRPr="0063119B">
        <w:rPr>
          <w:szCs w:val="22"/>
          <w:lang w:eastAsia="pt-PT"/>
        </w:rPr>
        <w:t xml:space="preserve">aberto </w:t>
      </w:r>
      <w:r w:rsidRPr="0063119B">
        <w:rPr>
          <w:szCs w:val="22"/>
          <w:lang w:eastAsia="pt-PT"/>
        </w:rPr>
        <w:t>um acesso venoso central ou um cateter arteri</w:t>
      </w:r>
      <w:r w:rsidR="00835276" w:rsidRPr="0063119B">
        <w:rPr>
          <w:szCs w:val="22"/>
          <w:lang w:eastAsia="pt-PT"/>
        </w:rPr>
        <w:t>al</w:t>
      </w:r>
      <w:r w:rsidR="00F60FDA" w:rsidRPr="0063119B">
        <w:rPr>
          <w:szCs w:val="22"/>
          <w:lang w:eastAsia="pt-PT"/>
        </w:rPr>
        <w:t xml:space="preserve"> (ver secção 4.5)</w:t>
      </w:r>
      <w:r w:rsidRPr="0063119B">
        <w:rPr>
          <w:szCs w:val="22"/>
          <w:lang w:eastAsia="pt-PT"/>
        </w:rPr>
        <w:t>.</w:t>
      </w:r>
    </w:p>
    <w:p w14:paraId="52ABC153" w14:textId="77777777" w:rsidR="00337111" w:rsidRPr="0063119B" w:rsidRDefault="00337111" w:rsidP="00337111">
      <w:pPr>
        <w:suppressAutoHyphens/>
        <w:rPr>
          <w:noProof/>
          <w:szCs w:val="22"/>
        </w:rPr>
      </w:pPr>
    </w:p>
    <w:p w14:paraId="2224656C" w14:textId="77777777" w:rsidR="00337111" w:rsidRPr="0063119B" w:rsidRDefault="00337111" w:rsidP="00337111">
      <w:pPr>
        <w:suppressAutoHyphens/>
        <w:rPr>
          <w:noProof/>
          <w:szCs w:val="22"/>
        </w:rPr>
      </w:pPr>
      <w:r w:rsidRPr="0063119B">
        <w:rPr>
          <w:noProof/>
          <w:szCs w:val="22"/>
        </w:rPr>
        <w:t>Doença hepática associada a coagulopatia e risco de hemorragia clinicamente relevante, incluindo doentes com cirrose com Child Pugh B e C (ver secção 5.2).</w:t>
      </w:r>
    </w:p>
    <w:p w14:paraId="695392A9" w14:textId="77777777" w:rsidR="00337111" w:rsidRPr="0063119B" w:rsidRDefault="00337111" w:rsidP="00337111">
      <w:pPr>
        <w:suppressAutoHyphens/>
        <w:rPr>
          <w:noProof/>
          <w:szCs w:val="22"/>
        </w:rPr>
      </w:pPr>
    </w:p>
    <w:p w14:paraId="462E4099" w14:textId="77777777" w:rsidR="00337111" w:rsidRPr="0063119B" w:rsidRDefault="00337111" w:rsidP="00337111">
      <w:pPr>
        <w:suppressAutoHyphens/>
        <w:rPr>
          <w:noProof/>
          <w:szCs w:val="22"/>
        </w:rPr>
      </w:pPr>
      <w:r w:rsidRPr="0063119B">
        <w:rPr>
          <w:noProof/>
          <w:szCs w:val="22"/>
        </w:rPr>
        <w:t>Gravidez e amamentação (ver secção 4.6).</w:t>
      </w:r>
    </w:p>
    <w:p w14:paraId="77711A4D" w14:textId="77777777" w:rsidR="00337111" w:rsidRPr="0063119B" w:rsidRDefault="00337111" w:rsidP="00337111">
      <w:pPr>
        <w:suppressAutoHyphens/>
        <w:rPr>
          <w:noProof/>
          <w:szCs w:val="22"/>
        </w:rPr>
      </w:pPr>
    </w:p>
    <w:p w14:paraId="490AEB51" w14:textId="77777777" w:rsidR="00337111" w:rsidRPr="0063119B" w:rsidRDefault="00337111" w:rsidP="00337111">
      <w:pPr>
        <w:keepNext/>
        <w:suppressAutoHyphens/>
        <w:ind w:left="567" w:hanging="567"/>
        <w:rPr>
          <w:noProof/>
          <w:szCs w:val="22"/>
        </w:rPr>
      </w:pPr>
      <w:r w:rsidRPr="0063119B">
        <w:rPr>
          <w:b/>
          <w:noProof/>
          <w:szCs w:val="22"/>
        </w:rPr>
        <w:t>4.4</w:t>
      </w:r>
      <w:r w:rsidRPr="0063119B">
        <w:rPr>
          <w:b/>
          <w:noProof/>
          <w:szCs w:val="22"/>
        </w:rPr>
        <w:tab/>
        <w:t>Advertências e precauções especiais de utilização</w:t>
      </w:r>
    </w:p>
    <w:p w14:paraId="42F25945" w14:textId="77777777" w:rsidR="00337111" w:rsidRPr="0063119B" w:rsidRDefault="00337111" w:rsidP="00337111">
      <w:pPr>
        <w:keepNext/>
        <w:suppressAutoHyphens/>
        <w:rPr>
          <w:noProof/>
          <w:szCs w:val="22"/>
        </w:rPr>
      </w:pPr>
    </w:p>
    <w:p w14:paraId="6657738C" w14:textId="77777777" w:rsidR="00337111" w:rsidRPr="0063119B" w:rsidRDefault="00337111" w:rsidP="00337111">
      <w:pPr>
        <w:keepNext/>
        <w:rPr>
          <w:szCs w:val="22"/>
        </w:rPr>
      </w:pPr>
      <w:r w:rsidRPr="0063119B">
        <w:rPr>
          <w:szCs w:val="22"/>
        </w:rPr>
        <w:t>Recomenda</w:t>
      </w:r>
      <w:r w:rsidRPr="0063119B">
        <w:rPr>
          <w:szCs w:val="22"/>
        </w:rPr>
        <w:noBreakHyphen/>
        <w:t>se vigilância clínica, de acordo com as práticas de anticoagulação, durante todo o período de tratamento.</w:t>
      </w:r>
    </w:p>
    <w:p w14:paraId="43F8A6A3" w14:textId="77777777" w:rsidR="00337111" w:rsidRPr="0063119B" w:rsidRDefault="00337111" w:rsidP="00337111">
      <w:pPr>
        <w:suppressAutoHyphens/>
        <w:rPr>
          <w:noProof/>
          <w:szCs w:val="22"/>
        </w:rPr>
      </w:pPr>
    </w:p>
    <w:p w14:paraId="351DA0D2" w14:textId="77777777" w:rsidR="00337111" w:rsidRDefault="00337111" w:rsidP="00337111">
      <w:pPr>
        <w:suppressAutoHyphens/>
        <w:rPr>
          <w:noProof/>
          <w:szCs w:val="22"/>
          <w:u w:val="single"/>
        </w:rPr>
      </w:pPr>
      <w:r w:rsidRPr="0063119B">
        <w:rPr>
          <w:noProof/>
          <w:szCs w:val="22"/>
          <w:u w:val="single"/>
        </w:rPr>
        <w:t>Risco hemorrágico</w:t>
      </w:r>
    </w:p>
    <w:p w14:paraId="4CAF5774" w14:textId="77777777" w:rsidR="006A2CEB" w:rsidRPr="0063119B" w:rsidRDefault="006A2CEB" w:rsidP="00337111">
      <w:pPr>
        <w:suppressAutoHyphens/>
        <w:rPr>
          <w:noProof/>
          <w:szCs w:val="22"/>
          <w:u w:val="single"/>
        </w:rPr>
      </w:pPr>
    </w:p>
    <w:p w14:paraId="7DBADBB2" w14:textId="77777777" w:rsidR="00337111" w:rsidRPr="0063119B" w:rsidRDefault="00337111" w:rsidP="00337111">
      <w:pPr>
        <w:suppressAutoHyphens/>
        <w:rPr>
          <w:noProof/>
          <w:szCs w:val="22"/>
        </w:rPr>
      </w:pPr>
      <w:r w:rsidRPr="0063119B">
        <w:rPr>
          <w:noProof/>
          <w:szCs w:val="22"/>
        </w:rPr>
        <w:t xml:space="preserve">Tal como com outros anticoagulantes, os doentes que tomam </w:t>
      </w:r>
      <w:r w:rsidR="00607DE4">
        <w:rPr>
          <w:noProof/>
          <w:szCs w:val="22"/>
        </w:rPr>
        <w:t>Rivaroxabano</w:t>
      </w:r>
      <w:r w:rsidR="00591027" w:rsidRPr="0063119B">
        <w:rPr>
          <w:noProof/>
          <w:szCs w:val="22"/>
        </w:rPr>
        <w:t xml:space="preserve"> Accord</w:t>
      </w:r>
      <w:r w:rsidRPr="0063119B">
        <w:rPr>
          <w:noProof/>
          <w:szCs w:val="22"/>
        </w:rPr>
        <w:t xml:space="preserve"> devem ser cuidadosamente observados quanto a sinais de hemorragia. Recomenda-se precaução ao ser utilizado em situações com risco aumentado de hemorragia. A administração de </w:t>
      </w:r>
      <w:r w:rsidR="00607DE4">
        <w:rPr>
          <w:noProof/>
          <w:szCs w:val="22"/>
        </w:rPr>
        <w:t>Rivaroxabano</w:t>
      </w:r>
      <w:r w:rsidR="00591027" w:rsidRPr="0063119B">
        <w:rPr>
          <w:noProof/>
          <w:szCs w:val="22"/>
        </w:rPr>
        <w:t xml:space="preserve"> Accord</w:t>
      </w:r>
      <w:r w:rsidRPr="0063119B">
        <w:rPr>
          <w:noProof/>
          <w:szCs w:val="22"/>
        </w:rPr>
        <w:t xml:space="preserve"> deve ser interrompida se ocorrer hemorragia grave</w:t>
      </w:r>
      <w:r w:rsidR="0016015C" w:rsidRPr="0063119B">
        <w:rPr>
          <w:noProof/>
          <w:szCs w:val="22"/>
        </w:rPr>
        <w:t xml:space="preserve"> (ver secção 4.9)</w:t>
      </w:r>
      <w:r w:rsidRPr="0063119B">
        <w:rPr>
          <w:noProof/>
          <w:szCs w:val="22"/>
        </w:rPr>
        <w:t>.</w:t>
      </w:r>
    </w:p>
    <w:p w14:paraId="048B44B6" w14:textId="77777777" w:rsidR="0016015C" w:rsidRPr="0063119B" w:rsidRDefault="0016015C" w:rsidP="00337111">
      <w:pPr>
        <w:suppressAutoHyphens/>
        <w:rPr>
          <w:noProof/>
          <w:szCs w:val="22"/>
        </w:rPr>
      </w:pPr>
    </w:p>
    <w:p w14:paraId="6DD7B622" w14:textId="77777777" w:rsidR="00337111" w:rsidRPr="0063119B" w:rsidRDefault="00F009F5" w:rsidP="00337111">
      <w:pPr>
        <w:suppressAutoHyphens/>
        <w:rPr>
          <w:noProof/>
          <w:szCs w:val="22"/>
        </w:rPr>
      </w:pPr>
      <w:r w:rsidRPr="0063119B">
        <w:rPr>
          <w:noProof/>
          <w:szCs w:val="22"/>
        </w:rPr>
        <w:t xml:space="preserve">Nos </w:t>
      </w:r>
      <w:r w:rsidR="00337111" w:rsidRPr="0063119B">
        <w:rPr>
          <w:noProof/>
          <w:szCs w:val="22"/>
        </w:rPr>
        <w:t>estudos clínicos, foram observadas com maior frequência hemorragias das mucosas (ex.: epistaxe, gengival, gastrointestinal, genitourinária</w:t>
      </w:r>
      <w:r w:rsidR="00B84E15" w:rsidRPr="0063119B">
        <w:rPr>
          <w:noProof/>
          <w:szCs w:val="22"/>
        </w:rPr>
        <w:t xml:space="preserve"> incluindo hemorragia vaginal anormal ou menstrual aumentada</w:t>
      </w:r>
      <w:r w:rsidR="00337111" w:rsidRPr="0063119B">
        <w:rPr>
          <w:noProof/>
          <w:szCs w:val="22"/>
        </w:rPr>
        <w:t>) e anemia durante o tratamento prolongado com rivaroxabano, comparativamente ao tratamento com AVK. Assim, para além de uma vigilância clínica adequada, testes laboratoriais de hemoglobina/hematócrito podem ser uma mais</w:t>
      </w:r>
      <w:r w:rsidR="00FE6F39" w:rsidRPr="0063119B">
        <w:rPr>
          <w:noProof/>
          <w:szCs w:val="22"/>
        </w:rPr>
        <w:t>-</w:t>
      </w:r>
      <w:r w:rsidR="00337111" w:rsidRPr="0063119B">
        <w:rPr>
          <w:noProof/>
          <w:szCs w:val="22"/>
        </w:rPr>
        <w:t>valia para detetar hemorragias ocultas</w:t>
      </w:r>
      <w:r w:rsidR="00B84E15" w:rsidRPr="0063119B">
        <w:rPr>
          <w:noProof/>
          <w:szCs w:val="22"/>
        </w:rPr>
        <w:t xml:space="preserve"> e quantificar a relevância clínica de uma hemorragia óbvia</w:t>
      </w:r>
      <w:r w:rsidR="00337111" w:rsidRPr="0063119B">
        <w:rPr>
          <w:noProof/>
          <w:szCs w:val="22"/>
        </w:rPr>
        <w:t>, quando considerado necessário.</w:t>
      </w:r>
    </w:p>
    <w:p w14:paraId="07732327" w14:textId="77777777" w:rsidR="00337111" w:rsidRPr="0063119B" w:rsidRDefault="00337111" w:rsidP="00337111">
      <w:pPr>
        <w:suppressAutoHyphens/>
        <w:rPr>
          <w:noProof/>
          <w:szCs w:val="22"/>
        </w:rPr>
      </w:pPr>
    </w:p>
    <w:p w14:paraId="671838C0" w14:textId="77777777" w:rsidR="00337111" w:rsidRPr="0063119B" w:rsidRDefault="00337111" w:rsidP="00337111">
      <w:pPr>
        <w:suppressAutoHyphens/>
        <w:rPr>
          <w:noProof/>
          <w:szCs w:val="22"/>
        </w:rPr>
      </w:pPr>
      <w:r w:rsidRPr="0063119B">
        <w:rPr>
          <w:noProof/>
          <w:szCs w:val="22"/>
        </w:rPr>
        <w:t>Vários subgrupos de doentes, como abaixo detalhado, apresentam um risco aumentado de hemorragia. Estes doentes devem ser cuidadosamente monitorizados quanto a sinais e sintomas de complicações hemorrágicas e anemia após o início do tratamento (ver secção 4.8).</w:t>
      </w:r>
    </w:p>
    <w:p w14:paraId="274616B0" w14:textId="77777777" w:rsidR="00337111" w:rsidRPr="0063119B" w:rsidRDefault="00337111" w:rsidP="00337111">
      <w:pPr>
        <w:suppressAutoHyphens/>
        <w:rPr>
          <w:noProof/>
          <w:szCs w:val="22"/>
        </w:rPr>
      </w:pPr>
      <w:r w:rsidRPr="0063119B">
        <w:rPr>
          <w:noProof/>
          <w:szCs w:val="22"/>
        </w:rPr>
        <w:t>Qualquer diminuição inexplicável da hemoglobina ou da pressão sanguínea deve conduzir a uma pesquisa de um local hemorrágico.</w:t>
      </w:r>
    </w:p>
    <w:p w14:paraId="46E117DB" w14:textId="77777777" w:rsidR="00337111" w:rsidRPr="0063119B" w:rsidRDefault="00337111" w:rsidP="00337111">
      <w:pPr>
        <w:suppressAutoHyphens/>
        <w:rPr>
          <w:noProof/>
          <w:szCs w:val="22"/>
        </w:rPr>
      </w:pPr>
    </w:p>
    <w:p w14:paraId="445D160F" w14:textId="77777777" w:rsidR="00337111" w:rsidRPr="0063119B" w:rsidRDefault="00337111" w:rsidP="00337111">
      <w:pPr>
        <w:suppressAutoHyphens/>
        <w:rPr>
          <w:noProof/>
          <w:szCs w:val="22"/>
        </w:rPr>
      </w:pPr>
      <w:r w:rsidRPr="0063119B">
        <w:rPr>
          <w:noProof/>
          <w:szCs w:val="22"/>
        </w:rPr>
        <w:t>Embora o tratamento com rivaroxabano não necessite de monitorização de rotina da exposição, a medição dos níveis de rivaroxabano pelo teste quantitativo calibrado antifator</w:t>
      </w:r>
      <w:r w:rsidR="003D71B8" w:rsidRPr="0063119B">
        <w:rPr>
          <w:noProof/>
          <w:szCs w:val="22"/>
        </w:rPr>
        <w:t> </w:t>
      </w:r>
      <w:r w:rsidRPr="0063119B">
        <w:rPr>
          <w:noProof/>
          <w:szCs w:val="22"/>
        </w:rPr>
        <w:t>Xa pode ser útil em situações excecionais em que o conhecimento da exposição ao rivaroxabano pode ajudar a fundamentar decisões clínicas, ex.: sobredosagem e cirurgia de emergência (ver secções 5.1 e 5.2).</w:t>
      </w:r>
    </w:p>
    <w:p w14:paraId="42240DB3" w14:textId="77777777" w:rsidR="00337111" w:rsidRDefault="00337111" w:rsidP="00337111">
      <w:pPr>
        <w:suppressAutoHyphens/>
        <w:rPr>
          <w:noProof/>
          <w:szCs w:val="22"/>
          <w:u w:val="single"/>
        </w:rPr>
      </w:pPr>
    </w:p>
    <w:p w14:paraId="7C2E541B" w14:textId="77777777" w:rsidR="00EF1183" w:rsidRDefault="00EF1183" w:rsidP="00EF1183">
      <w:pPr>
        <w:autoSpaceDE w:val="0"/>
        <w:autoSpaceDN w:val="0"/>
        <w:adjustRightInd w:val="0"/>
        <w:rPr>
          <w:i/>
          <w:iCs/>
          <w:szCs w:val="22"/>
          <w:lang w:eastAsia="pt-PT"/>
        </w:rPr>
      </w:pPr>
      <w:r>
        <w:rPr>
          <w:i/>
          <w:iCs/>
          <w:szCs w:val="22"/>
          <w:lang w:eastAsia="pt-PT"/>
        </w:rPr>
        <w:t>População pediátrica</w:t>
      </w:r>
    </w:p>
    <w:p w14:paraId="185D85F9" w14:textId="77777777" w:rsidR="00EF1183" w:rsidRDefault="00EF1183" w:rsidP="00EF3721">
      <w:pPr>
        <w:autoSpaceDE w:val="0"/>
        <w:autoSpaceDN w:val="0"/>
        <w:adjustRightInd w:val="0"/>
        <w:rPr>
          <w:szCs w:val="22"/>
          <w:lang w:eastAsia="pt-PT"/>
        </w:rPr>
      </w:pPr>
      <w:r>
        <w:rPr>
          <w:szCs w:val="22"/>
          <w:lang w:eastAsia="pt-PT"/>
        </w:rPr>
        <w:t>Existem dados limitados em crianças com trombose dos seios e veias cerebrais que tem infeção do SNC (ver secção 5.1). O risco de hemorragia deve ser cuidadosamente avaliado antes e durante o tratamento com rivaroxabano.</w:t>
      </w:r>
    </w:p>
    <w:p w14:paraId="56E9662A" w14:textId="77777777" w:rsidR="00EF1183" w:rsidRPr="0063119B" w:rsidRDefault="00EF1183" w:rsidP="00EF1183">
      <w:pPr>
        <w:suppressAutoHyphens/>
        <w:rPr>
          <w:noProof/>
          <w:szCs w:val="22"/>
          <w:u w:val="single"/>
        </w:rPr>
      </w:pPr>
    </w:p>
    <w:p w14:paraId="530148C0" w14:textId="77777777" w:rsidR="00337111" w:rsidRDefault="00337111" w:rsidP="00337111">
      <w:pPr>
        <w:suppressAutoHyphens/>
        <w:rPr>
          <w:noProof/>
          <w:szCs w:val="22"/>
          <w:u w:val="single"/>
        </w:rPr>
      </w:pPr>
      <w:r w:rsidRPr="0063119B">
        <w:rPr>
          <w:noProof/>
          <w:szCs w:val="22"/>
          <w:u w:val="single"/>
        </w:rPr>
        <w:t>Compromisso renal</w:t>
      </w:r>
    </w:p>
    <w:p w14:paraId="7350D260" w14:textId="77777777" w:rsidR="006A2CEB" w:rsidRPr="0063119B" w:rsidRDefault="006A2CEB" w:rsidP="00337111">
      <w:pPr>
        <w:suppressAutoHyphens/>
        <w:rPr>
          <w:noProof/>
          <w:szCs w:val="22"/>
          <w:u w:val="single"/>
        </w:rPr>
      </w:pPr>
    </w:p>
    <w:p w14:paraId="7EA3AAE7" w14:textId="39235276" w:rsidR="00337111" w:rsidRPr="0063119B" w:rsidRDefault="00337111" w:rsidP="00337111">
      <w:pPr>
        <w:suppressAutoHyphens/>
        <w:rPr>
          <w:noProof/>
          <w:szCs w:val="22"/>
        </w:rPr>
      </w:pPr>
      <w:r w:rsidRPr="0063119B">
        <w:rPr>
          <w:noProof/>
          <w:szCs w:val="22"/>
        </w:rPr>
        <w:t xml:space="preserve">Em doentes </w:t>
      </w:r>
      <w:r w:rsidR="00365E1A">
        <w:rPr>
          <w:noProof/>
          <w:szCs w:val="22"/>
        </w:rPr>
        <w:t xml:space="preserve">adultos </w:t>
      </w:r>
      <w:r w:rsidRPr="0063119B">
        <w:rPr>
          <w:noProof/>
          <w:szCs w:val="22"/>
        </w:rPr>
        <w:t xml:space="preserve">com compromisso renal grave (taxa de depuração da creatinina &lt; 30 ml/min) os níveis plasmáticos de rivaroxabano podem aumentar significativamente (em média 1,6 vezes), o que pode originar um aumento do risco de hemorragia. </w:t>
      </w:r>
    </w:p>
    <w:p w14:paraId="67E04DD6" w14:textId="77777777" w:rsidR="00337111" w:rsidRPr="0063119B" w:rsidDel="00D30309" w:rsidRDefault="00607DE4" w:rsidP="00337111">
      <w:pPr>
        <w:suppressAutoHyphens/>
        <w:rPr>
          <w:noProof/>
          <w:szCs w:val="22"/>
        </w:rPr>
      </w:pPr>
      <w:r>
        <w:rPr>
          <w:noProof/>
          <w:szCs w:val="22"/>
        </w:rPr>
        <w:t>Rivaroxabano</w:t>
      </w:r>
      <w:r w:rsidR="00591027" w:rsidRPr="0063119B">
        <w:rPr>
          <w:noProof/>
          <w:szCs w:val="22"/>
        </w:rPr>
        <w:t xml:space="preserve"> Accord</w:t>
      </w:r>
      <w:r w:rsidR="00337111" w:rsidRPr="0063119B">
        <w:rPr>
          <w:noProof/>
          <w:szCs w:val="22"/>
        </w:rPr>
        <w:t xml:space="preserve"> deve ser utilizado com precaução em doentes com uma taxa de depuração de creatinina de 15 </w:t>
      </w:r>
      <w:r w:rsidR="00337111" w:rsidRPr="0063119B">
        <w:rPr>
          <w:noProof/>
          <w:szCs w:val="22"/>
        </w:rPr>
        <w:noBreakHyphen/>
        <w:t> 29 ml/min. A utilização não é recomendada em doentes com taxa de depuração de creatinina &lt; 15 ml/min (ver secções 4.2 e 5.2).</w:t>
      </w:r>
    </w:p>
    <w:p w14:paraId="2316F691" w14:textId="77777777" w:rsidR="00337111" w:rsidRPr="0063119B" w:rsidDel="00D30309" w:rsidRDefault="00607DE4" w:rsidP="00337111">
      <w:pPr>
        <w:suppressAutoHyphens/>
        <w:rPr>
          <w:noProof/>
          <w:szCs w:val="22"/>
        </w:rPr>
      </w:pPr>
      <w:r>
        <w:rPr>
          <w:noProof/>
          <w:szCs w:val="22"/>
        </w:rPr>
        <w:t>Rivaroxabano</w:t>
      </w:r>
      <w:r w:rsidR="00591027" w:rsidRPr="0063119B">
        <w:rPr>
          <w:noProof/>
          <w:szCs w:val="22"/>
        </w:rPr>
        <w:t xml:space="preserve"> Accord</w:t>
      </w:r>
      <w:r w:rsidR="00337111" w:rsidRPr="0063119B">
        <w:rPr>
          <w:noProof/>
          <w:szCs w:val="22"/>
        </w:rPr>
        <w:t xml:space="preserve"> deve ser utilizado com precaução em doentes com compromisso renal tratados concomitantemente com outros medicamentos que </w:t>
      </w:r>
      <w:r w:rsidR="003D71B8" w:rsidRPr="0063119B">
        <w:rPr>
          <w:noProof/>
          <w:szCs w:val="22"/>
        </w:rPr>
        <w:t>aument</w:t>
      </w:r>
      <w:r w:rsidR="00C86E3F" w:rsidRPr="0063119B">
        <w:rPr>
          <w:noProof/>
          <w:szCs w:val="22"/>
        </w:rPr>
        <w:t>a</w:t>
      </w:r>
      <w:r w:rsidR="003D71B8" w:rsidRPr="0063119B">
        <w:rPr>
          <w:noProof/>
          <w:szCs w:val="22"/>
        </w:rPr>
        <w:t>m as concentrações plasmáticas de rivaroxabano (ver secção 4.5)</w:t>
      </w:r>
      <w:r w:rsidR="00337111" w:rsidRPr="0063119B">
        <w:rPr>
          <w:noProof/>
          <w:szCs w:val="22"/>
        </w:rPr>
        <w:t>.</w:t>
      </w:r>
    </w:p>
    <w:p w14:paraId="42FDDAC3" w14:textId="77777777" w:rsidR="00337111" w:rsidRDefault="00EF1183" w:rsidP="00EF3721">
      <w:pPr>
        <w:autoSpaceDE w:val="0"/>
        <w:autoSpaceDN w:val="0"/>
        <w:adjustRightInd w:val="0"/>
        <w:rPr>
          <w:szCs w:val="22"/>
          <w:lang w:eastAsia="pt-PT"/>
        </w:rPr>
      </w:pPr>
      <w:r>
        <w:rPr>
          <w:noProof/>
          <w:szCs w:val="22"/>
        </w:rPr>
        <w:t>Rivaroxabano</w:t>
      </w:r>
      <w:r w:rsidRPr="0063119B">
        <w:rPr>
          <w:noProof/>
          <w:szCs w:val="22"/>
        </w:rPr>
        <w:t xml:space="preserve"> Accord </w:t>
      </w:r>
      <w:r>
        <w:rPr>
          <w:szCs w:val="22"/>
          <w:lang w:eastAsia="pt-PT"/>
        </w:rPr>
        <w:t>não é recomendado em crianças e adolescentes com compromisso renal moderado ou grave (taxa de filtração glomerular &lt; 50 ml/min/1,73 m</w:t>
      </w:r>
      <w:r w:rsidRPr="00EF3721">
        <w:rPr>
          <w:sz w:val="14"/>
          <w:szCs w:val="14"/>
          <w:vertAlign w:val="superscript"/>
          <w:lang w:eastAsia="pt-PT"/>
        </w:rPr>
        <w:t>2</w:t>
      </w:r>
      <w:r>
        <w:rPr>
          <w:szCs w:val="22"/>
          <w:lang w:eastAsia="pt-PT"/>
        </w:rPr>
        <w:t>), dado não existirem dados clínicos disponíveis.</w:t>
      </w:r>
    </w:p>
    <w:p w14:paraId="1FBE4CA0" w14:textId="77777777" w:rsidR="00EF1183" w:rsidRPr="0063119B" w:rsidRDefault="00EF1183" w:rsidP="00EF1183">
      <w:pPr>
        <w:suppressAutoHyphens/>
        <w:rPr>
          <w:i/>
          <w:noProof/>
          <w:szCs w:val="22"/>
          <w:u w:val="single"/>
        </w:rPr>
      </w:pPr>
    </w:p>
    <w:p w14:paraId="628E4B2C" w14:textId="77777777" w:rsidR="00337111" w:rsidRDefault="00337111" w:rsidP="003311FD">
      <w:pPr>
        <w:keepNext/>
        <w:suppressAutoHyphens/>
        <w:rPr>
          <w:noProof/>
          <w:szCs w:val="22"/>
          <w:u w:val="single"/>
        </w:rPr>
      </w:pPr>
      <w:r w:rsidRPr="0063119B">
        <w:rPr>
          <w:noProof/>
          <w:szCs w:val="22"/>
          <w:u w:val="single"/>
        </w:rPr>
        <w:t>Interação com outros medicamentos</w:t>
      </w:r>
    </w:p>
    <w:p w14:paraId="07E6C7E8" w14:textId="77777777" w:rsidR="006A2CEB" w:rsidRPr="0063119B" w:rsidRDefault="006A2CEB" w:rsidP="003311FD">
      <w:pPr>
        <w:keepNext/>
        <w:suppressAutoHyphens/>
        <w:rPr>
          <w:noProof/>
          <w:szCs w:val="22"/>
          <w:u w:val="single"/>
        </w:rPr>
      </w:pPr>
    </w:p>
    <w:p w14:paraId="3B8FB87E" w14:textId="77777777" w:rsidR="00337111" w:rsidRPr="0063119B" w:rsidRDefault="00337111" w:rsidP="00EF3721">
      <w:pPr>
        <w:autoSpaceDE w:val="0"/>
        <w:autoSpaceDN w:val="0"/>
        <w:adjustRightInd w:val="0"/>
        <w:rPr>
          <w:noProof/>
          <w:szCs w:val="22"/>
        </w:rPr>
      </w:pPr>
      <w:r w:rsidRPr="0063119B">
        <w:rPr>
          <w:noProof/>
          <w:szCs w:val="22"/>
        </w:rPr>
        <w:t xml:space="preserve">A utilização de </w:t>
      </w:r>
      <w:r w:rsidR="00607DE4">
        <w:rPr>
          <w:noProof/>
          <w:szCs w:val="22"/>
        </w:rPr>
        <w:t>Rivaroxabano</w:t>
      </w:r>
      <w:r w:rsidR="00591027" w:rsidRPr="0063119B">
        <w:rPr>
          <w:noProof/>
          <w:szCs w:val="22"/>
        </w:rPr>
        <w:t xml:space="preserve"> Accord</w:t>
      </w:r>
      <w:r w:rsidRPr="0063119B">
        <w:rPr>
          <w:noProof/>
          <w:szCs w:val="22"/>
        </w:rPr>
        <w:t xml:space="preserve"> não é recomendada em doentes a receber tratamento sistémico concomitante com antimicóticos azólicos (tais como cetoconazol, itraconazol, voriconazol e posaconazol) ou inibidores da protease do VIH (ex.: ritonavir). Estas substâncias ativas são potentes inibidores do CYP3A4 e da glicoproteína P (gp</w:t>
      </w:r>
      <w:r w:rsidRPr="0063119B">
        <w:rPr>
          <w:noProof/>
          <w:szCs w:val="22"/>
        </w:rPr>
        <w:noBreakHyphen/>
        <w:t xml:space="preserve">P) e por este motivo podem aumentar as concentrações plasmáticas de rivaroxabano até um grau clinicamente relevante (em média 2,6 vezes) que pode originar um risco </w:t>
      </w:r>
      <w:r w:rsidR="00F120C5" w:rsidRPr="0063119B">
        <w:rPr>
          <w:noProof/>
          <w:szCs w:val="22"/>
        </w:rPr>
        <w:t xml:space="preserve">aumentado de </w:t>
      </w:r>
      <w:r w:rsidRPr="0063119B">
        <w:rPr>
          <w:noProof/>
          <w:szCs w:val="22"/>
        </w:rPr>
        <w:t>hemorr</w:t>
      </w:r>
      <w:r w:rsidR="00F120C5" w:rsidRPr="0063119B">
        <w:rPr>
          <w:noProof/>
          <w:szCs w:val="22"/>
        </w:rPr>
        <w:t>agia</w:t>
      </w:r>
      <w:r w:rsidR="00EF1183">
        <w:rPr>
          <w:noProof/>
          <w:szCs w:val="22"/>
        </w:rPr>
        <w:t xml:space="preserve">. </w:t>
      </w:r>
      <w:r w:rsidR="00EF1183">
        <w:rPr>
          <w:szCs w:val="22"/>
          <w:lang w:eastAsia="pt-PT"/>
        </w:rPr>
        <w:t>Não existem dados clínicos disponíveis em criança às quais são administradas tratamento sistémico concomitante com potentes inibidores da CYP 3A4 e da gp-P</w:t>
      </w:r>
      <w:r w:rsidRPr="0063119B">
        <w:rPr>
          <w:noProof/>
          <w:szCs w:val="22"/>
        </w:rPr>
        <w:t xml:space="preserve"> (ver secção 4.5).</w:t>
      </w:r>
    </w:p>
    <w:p w14:paraId="13A58FDE" w14:textId="77777777" w:rsidR="00337111" w:rsidRPr="0063119B" w:rsidRDefault="00337111" w:rsidP="00337111">
      <w:pPr>
        <w:suppressAutoHyphens/>
        <w:rPr>
          <w:noProof/>
          <w:szCs w:val="22"/>
        </w:rPr>
      </w:pPr>
    </w:p>
    <w:p w14:paraId="518D062C" w14:textId="77777777" w:rsidR="00337111" w:rsidRPr="0063119B" w:rsidRDefault="00337111" w:rsidP="00337111">
      <w:pPr>
        <w:suppressAutoHyphens/>
        <w:rPr>
          <w:noProof/>
          <w:szCs w:val="22"/>
        </w:rPr>
      </w:pPr>
      <w:r w:rsidRPr="0063119B">
        <w:rPr>
          <w:noProof/>
          <w:szCs w:val="22"/>
        </w:rPr>
        <w:t>Deve ter</w:t>
      </w:r>
      <w:r w:rsidRPr="0063119B">
        <w:rPr>
          <w:noProof/>
          <w:szCs w:val="22"/>
        </w:rPr>
        <w:noBreakHyphen/>
        <w:t>se precaução se os doentes são concomitantemente tratados com medicamentos que afetem a hemostase tais como medicamentos anti</w:t>
      </w:r>
      <w:r w:rsidRPr="0063119B">
        <w:rPr>
          <w:noProof/>
          <w:szCs w:val="22"/>
        </w:rPr>
        <w:noBreakHyphen/>
        <w:t>inflamatórios não esteroides (AINEs), ácido acetilsalicílico e inibidores da agregação plaquetária</w:t>
      </w:r>
      <w:r w:rsidR="00883A30" w:rsidRPr="0063119B">
        <w:rPr>
          <w:noProof/>
          <w:szCs w:val="22"/>
        </w:rPr>
        <w:t xml:space="preserve"> ou inibidores seletivos da recaptação da serotonina (ISRS) e inibidores da recaptação da serotonina e norepinefrina (IRSN)</w:t>
      </w:r>
      <w:r w:rsidRPr="0063119B">
        <w:rPr>
          <w:noProof/>
          <w:szCs w:val="22"/>
        </w:rPr>
        <w:t>. Deve ser considerado um tratamento profilático adequado para doentes com risco de doença ulcerosa gastrointestinal (ver secção 4.5).</w:t>
      </w:r>
    </w:p>
    <w:p w14:paraId="2A32AD9D" w14:textId="77777777" w:rsidR="00337111" w:rsidRPr="0063119B" w:rsidRDefault="00337111" w:rsidP="00337111">
      <w:pPr>
        <w:suppressAutoHyphens/>
        <w:rPr>
          <w:noProof/>
          <w:szCs w:val="22"/>
        </w:rPr>
      </w:pPr>
    </w:p>
    <w:p w14:paraId="753B1B86" w14:textId="77777777" w:rsidR="00337111" w:rsidRDefault="00337111" w:rsidP="00337111">
      <w:pPr>
        <w:suppressAutoHyphens/>
        <w:rPr>
          <w:noProof/>
          <w:szCs w:val="22"/>
          <w:u w:val="single"/>
        </w:rPr>
      </w:pPr>
      <w:r w:rsidRPr="0063119B">
        <w:rPr>
          <w:noProof/>
          <w:szCs w:val="22"/>
          <w:u w:val="single"/>
        </w:rPr>
        <w:t>Outros fatores de risco hemorrágico</w:t>
      </w:r>
    </w:p>
    <w:p w14:paraId="779BEC6C" w14:textId="77777777" w:rsidR="006A2CEB" w:rsidRPr="0063119B" w:rsidRDefault="006A2CEB" w:rsidP="00337111">
      <w:pPr>
        <w:suppressAutoHyphens/>
        <w:rPr>
          <w:noProof/>
          <w:szCs w:val="22"/>
          <w:u w:val="single"/>
        </w:rPr>
      </w:pPr>
    </w:p>
    <w:p w14:paraId="33C9D81B" w14:textId="77777777" w:rsidR="00337111" w:rsidRPr="0063119B" w:rsidRDefault="00337111" w:rsidP="00337111">
      <w:pPr>
        <w:suppressAutoHyphens/>
        <w:rPr>
          <w:noProof/>
          <w:szCs w:val="22"/>
        </w:rPr>
      </w:pPr>
      <w:r w:rsidRPr="0063119B">
        <w:rPr>
          <w:noProof/>
          <w:szCs w:val="22"/>
        </w:rPr>
        <w:t>Tal como outros agentes antitrombóticos, rivaroxabano, não é recomendado em doentes com risco aumentado de hemorragia, tais como:</w:t>
      </w:r>
    </w:p>
    <w:p w14:paraId="61745ACC" w14:textId="77777777" w:rsidR="00337111" w:rsidRPr="0063119B" w:rsidRDefault="00337111" w:rsidP="00FF261B">
      <w:pPr>
        <w:numPr>
          <w:ilvl w:val="0"/>
          <w:numId w:val="4"/>
        </w:numPr>
        <w:tabs>
          <w:tab w:val="clear" w:pos="720"/>
          <w:tab w:val="num" w:pos="0"/>
        </w:tabs>
        <w:suppressAutoHyphens/>
        <w:ind w:left="0" w:firstLine="0"/>
        <w:rPr>
          <w:noProof/>
          <w:szCs w:val="22"/>
        </w:rPr>
      </w:pPr>
      <w:r w:rsidRPr="0063119B">
        <w:rPr>
          <w:noProof/>
          <w:szCs w:val="22"/>
        </w:rPr>
        <w:t>doenças hemorrágicas congénitas ou adquiridas</w:t>
      </w:r>
    </w:p>
    <w:p w14:paraId="47CC3FE4" w14:textId="77777777" w:rsidR="00337111" w:rsidRPr="0063119B" w:rsidRDefault="00337111" w:rsidP="00FF261B">
      <w:pPr>
        <w:numPr>
          <w:ilvl w:val="0"/>
          <w:numId w:val="4"/>
        </w:numPr>
        <w:tabs>
          <w:tab w:val="clear" w:pos="720"/>
          <w:tab w:val="num" w:pos="0"/>
        </w:tabs>
        <w:suppressAutoHyphens/>
        <w:ind w:left="0" w:firstLine="0"/>
        <w:rPr>
          <w:noProof/>
          <w:szCs w:val="22"/>
        </w:rPr>
      </w:pPr>
      <w:r w:rsidRPr="0063119B">
        <w:rPr>
          <w:noProof/>
          <w:szCs w:val="22"/>
        </w:rPr>
        <w:t>hipertensão arterial grave não controlada</w:t>
      </w:r>
    </w:p>
    <w:p w14:paraId="01BBEA5E" w14:textId="77777777" w:rsidR="00C86E3F" w:rsidRPr="0063119B" w:rsidRDefault="00C86E3F" w:rsidP="00FF261B">
      <w:pPr>
        <w:numPr>
          <w:ilvl w:val="0"/>
          <w:numId w:val="4"/>
        </w:numPr>
        <w:suppressAutoHyphens/>
        <w:ind w:left="709" w:hanging="709"/>
        <w:rPr>
          <w:noProof/>
          <w:szCs w:val="22"/>
        </w:rPr>
      </w:pPr>
      <w:r w:rsidRPr="0063119B">
        <w:rPr>
          <w:noProof/>
          <w:szCs w:val="22"/>
        </w:rPr>
        <w:lastRenderedPageBreak/>
        <w:t>outras doenças gastrointestinais sem ulceração ativa que podem potenciar o aparecimento de complicações hemorrágicas (ex.: doença inflamatória do intestino, esofagite, gastrite e doença de refluxo gastroesofágico)</w:t>
      </w:r>
    </w:p>
    <w:p w14:paraId="211AD824" w14:textId="77777777" w:rsidR="00337111" w:rsidRPr="0063119B" w:rsidRDefault="00337111" w:rsidP="00FF261B">
      <w:pPr>
        <w:numPr>
          <w:ilvl w:val="0"/>
          <w:numId w:val="4"/>
        </w:numPr>
        <w:tabs>
          <w:tab w:val="clear" w:pos="720"/>
          <w:tab w:val="num" w:pos="0"/>
        </w:tabs>
        <w:suppressAutoHyphens/>
        <w:ind w:left="0" w:firstLine="0"/>
        <w:rPr>
          <w:noProof/>
          <w:szCs w:val="22"/>
        </w:rPr>
      </w:pPr>
      <w:r w:rsidRPr="0063119B">
        <w:rPr>
          <w:noProof/>
          <w:szCs w:val="22"/>
        </w:rPr>
        <w:t>retinopatia vascular</w:t>
      </w:r>
    </w:p>
    <w:p w14:paraId="1DE29534" w14:textId="77777777" w:rsidR="00337111" w:rsidRPr="0063119B" w:rsidRDefault="00337111" w:rsidP="00FF261B">
      <w:pPr>
        <w:numPr>
          <w:ilvl w:val="0"/>
          <w:numId w:val="4"/>
        </w:numPr>
        <w:tabs>
          <w:tab w:val="clear" w:pos="720"/>
          <w:tab w:val="num" w:pos="0"/>
        </w:tabs>
        <w:suppressAutoHyphens/>
        <w:ind w:left="0" w:firstLine="0"/>
        <w:rPr>
          <w:noProof/>
          <w:szCs w:val="22"/>
        </w:rPr>
      </w:pPr>
      <w:r w:rsidRPr="0063119B">
        <w:rPr>
          <w:szCs w:val="22"/>
        </w:rPr>
        <w:t>bronquiectasias ou antecedentes de hemorragia pulmonar</w:t>
      </w:r>
    </w:p>
    <w:p w14:paraId="1882B83F" w14:textId="77777777" w:rsidR="00337111" w:rsidRDefault="00337111" w:rsidP="00337111">
      <w:pPr>
        <w:autoSpaceDE w:val="0"/>
        <w:autoSpaceDN w:val="0"/>
        <w:adjustRightInd w:val="0"/>
        <w:rPr>
          <w:szCs w:val="22"/>
          <w:u w:val="single"/>
        </w:rPr>
      </w:pPr>
    </w:p>
    <w:p w14:paraId="69E2FFE2" w14:textId="77777777" w:rsidR="00A35BCA" w:rsidRPr="0043610E" w:rsidRDefault="00A35BCA" w:rsidP="00A35BCA">
      <w:pPr>
        <w:suppressAutoHyphens/>
        <w:rPr>
          <w:u w:val="single"/>
        </w:rPr>
      </w:pPr>
      <w:r w:rsidRPr="0043610E">
        <w:rPr>
          <w:u w:val="single"/>
        </w:rPr>
        <w:t xml:space="preserve">Doentes com cancro </w:t>
      </w:r>
    </w:p>
    <w:p w14:paraId="447F6761" w14:textId="77777777" w:rsidR="00A35BCA" w:rsidRDefault="00A35BCA" w:rsidP="0024081D">
      <w:pPr>
        <w:suppressAutoHyphens/>
        <w:rPr>
          <w:szCs w:val="22"/>
          <w:u w:val="single"/>
        </w:rPr>
      </w:pPr>
      <w:r>
        <w:t>Doentes com doença maligna podem, simultaneamente, apresentar maior risco de hemorragia e trombose. O benefício individual do tratamento antitrombótico deve ser ponderado em relação ao risco de hemorragia em doentes com cancro ativo dependendo da localização do tumor, terapêutica antineoplásica e estadio da doença. Os tumores localizados no trato gastrointestinal ou geniturinário têm sido associados a um risco aumentado de hemorragia durante a terapêutica com rivaroxabano. A utilização de rivaroxabano está contraindicada em doentes com neoplasias malignas com elevado risco de hemorragia (ver secção 4.3).</w:t>
      </w:r>
    </w:p>
    <w:p w14:paraId="66ADCBC1" w14:textId="77777777" w:rsidR="00A35BCA" w:rsidRPr="0063119B" w:rsidRDefault="00A35BCA" w:rsidP="00337111">
      <w:pPr>
        <w:autoSpaceDE w:val="0"/>
        <w:autoSpaceDN w:val="0"/>
        <w:adjustRightInd w:val="0"/>
        <w:rPr>
          <w:szCs w:val="22"/>
          <w:u w:val="single"/>
        </w:rPr>
      </w:pPr>
    </w:p>
    <w:p w14:paraId="346E8AF3" w14:textId="77777777" w:rsidR="00337111" w:rsidRDefault="00337111" w:rsidP="00337111">
      <w:pPr>
        <w:keepNext/>
        <w:autoSpaceDE w:val="0"/>
        <w:autoSpaceDN w:val="0"/>
        <w:adjustRightInd w:val="0"/>
        <w:rPr>
          <w:szCs w:val="22"/>
          <w:u w:val="single"/>
        </w:rPr>
      </w:pPr>
      <w:r w:rsidRPr="0063119B">
        <w:rPr>
          <w:szCs w:val="22"/>
          <w:u w:val="single"/>
        </w:rPr>
        <w:t>Doentes com válvulas protésicas</w:t>
      </w:r>
    </w:p>
    <w:p w14:paraId="0FD54BF8" w14:textId="77777777" w:rsidR="006A2CEB" w:rsidRPr="0063119B" w:rsidRDefault="006A2CEB" w:rsidP="00337111">
      <w:pPr>
        <w:keepNext/>
        <w:autoSpaceDE w:val="0"/>
        <w:autoSpaceDN w:val="0"/>
        <w:adjustRightInd w:val="0"/>
        <w:rPr>
          <w:szCs w:val="22"/>
        </w:rPr>
      </w:pPr>
    </w:p>
    <w:p w14:paraId="04D02BB5" w14:textId="77777777" w:rsidR="00337111" w:rsidRPr="0063119B" w:rsidRDefault="00A0499A" w:rsidP="00337111">
      <w:pPr>
        <w:keepNext/>
        <w:autoSpaceDE w:val="0"/>
        <w:autoSpaceDN w:val="0"/>
        <w:adjustRightInd w:val="0"/>
        <w:rPr>
          <w:rFonts w:eastAsia="MS Mincho"/>
          <w:bCs/>
          <w:szCs w:val="22"/>
          <w:lang w:eastAsia="ja-JP"/>
        </w:rPr>
      </w:pPr>
      <w:r w:rsidRPr="0063119B">
        <w:rPr>
          <w:rFonts w:eastAsia="MS Mincho"/>
          <w:bCs/>
          <w:szCs w:val="22"/>
          <w:lang w:eastAsia="ja-JP"/>
        </w:rPr>
        <w:t xml:space="preserve">O rivaroxabano não deve ser utilizado como tromboprofilaxia em doentes submetidos recentemente a uma substituição percutânea da válvula aórtica (TAVR). </w:t>
      </w:r>
      <w:r w:rsidR="00337111" w:rsidRPr="0063119B">
        <w:rPr>
          <w:rFonts w:eastAsia="MS Mincho"/>
          <w:bCs/>
          <w:szCs w:val="22"/>
          <w:lang w:eastAsia="ja-JP"/>
        </w:rPr>
        <w:t xml:space="preserve">A segurança e a eficácia de </w:t>
      </w:r>
      <w:r w:rsidR="00591027" w:rsidRPr="0063119B">
        <w:rPr>
          <w:iCs/>
          <w:szCs w:val="22"/>
        </w:rPr>
        <w:t>rivaroxabano</w:t>
      </w:r>
      <w:r w:rsidR="00337111" w:rsidRPr="0063119B">
        <w:rPr>
          <w:rFonts w:eastAsia="MS Mincho"/>
          <w:bCs/>
          <w:szCs w:val="22"/>
          <w:lang w:eastAsia="ja-JP"/>
        </w:rPr>
        <w:t xml:space="preserve"> não foram estudadas em doentes com válvulas cardíacas protésicas; consequentemente, não existem dados que confirmem que </w:t>
      </w:r>
      <w:r w:rsidR="00591027" w:rsidRPr="0063119B">
        <w:rPr>
          <w:rFonts w:eastAsia="MS Mincho"/>
          <w:bCs/>
          <w:szCs w:val="22"/>
          <w:lang w:eastAsia="ja-JP"/>
        </w:rPr>
        <w:t xml:space="preserve">o </w:t>
      </w:r>
      <w:r w:rsidR="00591027" w:rsidRPr="0063119B">
        <w:rPr>
          <w:iCs/>
          <w:szCs w:val="22"/>
        </w:rPr>
        <w:t>rivaroxabano</w:t>
      </w:r>
      <w:r w:rsidR="00591027" w:rsidRPr="0063119B">
        <w:rPr>
          <w:rFonts w:eastAsia="MS Mincho"/>
          <w:bCs/>
          <w:szCs w:val="22"/>
          <w:lang w:eastAsia="ja-JP"/>
        </w:rPr>
        <w:t xml:space="preserve"> </w:t>
      </w:r>
      <w:r w:rsidR="00337111" w:rsidRPr="0063119B">
        <w:rPr>
          <w:rFonts w:eastAsia="MS Mincho"/>
          <w:bCs/>
          <w:szCs w:val="22"/>
          <w:lang w:eastAsia="ja-JP"/>
        </w:rPr>
        <w:t xml:space="preserve">assegura a anticoagulação adequada nesta população de doentes. O tratamento com </w:t>
      </w:r>
      <w:r w:rsidR="00607DE4">
        <w:rPr>
          <w:rFonts w:eastAsia="MS Mincho"/>
          <w:bCs/>
          <w:szCs w:val="22"/>
          <w:lang w:eastAsia="ja-JP"/>
        </w:rPr>
        <w:t>Rivaroxabano</w:t>
      </w:r>
      <w:r w:rsidR="00591027" w:rsidRPr="0063119B">
        <w:rPr>
          <w:rFonts w:eastAsia="MS Mincho"/>
          <w:bCs/>
          <w:szCs w:val="22"/>
          <w:lang w:eastAsia="ja-JP"/>
        </w:rPr>
        <w:t xml:space="preserve"> Accord</w:t>
      </w:r>
      <w:r w:rsidR="00337111" w:rsidRPr="0063119B">
        <w:rPr>
          <w:rFonts w:eastAsia="MS Mincho"/>
          <w:bCs/>
          <w:szCs w:val="22"/>
          <w:lang w:eastAsia="ja-JP"/>
        </w:rPr>
        <w:t xml:space="preserve"> não é recomendado nestes doentes.</w:t>
      </w:r>
    </w:p>
    <w:p w14:paraId="41298496" w14:textId="77777777" w:rsidR="00BF6A5F" w:rsidRPr="0063119B" w:rsidRDefault="00BF6A5F" w:rsidP="00337111">
      <w:pPr>
        <w:keepNext/>
        <w:autoSpaceDE w:val="0"/>
        <w:autoSpaceDN w:val="0"/>
        <w:adjustRightInd w:val="0"/>
        <w:rPr>
          <w:rFonts w:eastAsia="MS Mincho"/>
          <w:bCs/>
          <w:szCs w:val="22"/>
          <w:lang w:eastAsia="ja-JP"/>
        </w:rPr>
      </w:pPr>
    </w:p>
    <w:p w14:paraId="70D0536B" w14:textId="77777777" w:rsidR="00BF6A5F" w:rsidRDefault="00BF6A5F" w:rsidP="00BF6A5F">
      <w:pPr>
        <w:autoSpaceDE w:val="0"/>
        <w:autoSpaceDN w:val="0"/>
        <w:adjustRightInd w:val="0"/>
        <w:rPr>
          <w:i/>
          <w:szCs w:val="22"/>
          <w:u w:val="single"/>
        </w:rPr>
      </w:pPr>
      <w:r w:rsidRPr="0063119B">
        <w:rPr>
          <w:szCs w:val="22"/>
          <w:u w:val="single"/>
        </w:rPr>
        <w:t>Doentes com fibrilhação auricular não-valvular submetidos a ICP com colocação de</w:t>
      </w:r>
      <w:r w:rsidRPr="0063119B">
        <w:rPr>
          <w:i/>
          <w:szCs w:val="22"/>
          <w:u w:val="single"/>
        </w:rPr>
        <w:t xml:space="preserve"> stent</w:t>
      </w:r>
    </w:p>
    <w:p w14:paraId="031D236A" w14:textId="77777777" w:rsidR="006A2CEB" w:rsidRPr="0063119B" w:rsidRDefault="006A2CEB" w:rsidP="00BF6A5F">
      <w:pPr>
        <w:autoSpaceDE w:val="0"/>
        <w:autoSpaceDN w:val="0"/>
        <w:adjustRightInd w:val="0"/>
        <w:rPr>
          <w:rFonts w:eastAsia="MS Mincho"/>
          <w:bCs/>
          <w:szCs w:val="22"/>
          <w:u w:val="single"/>
          <w:lang w:eastAsia="ja-JP"/>
        </w:rPr>
      </w:pPr>
    </w:p>
    <w:p w14:paraId="0FE45095" w14:textId="77777777" w:rsidR="00BF6A5F" w:rsidRPr="0063119B" w:rsidRDefault="00BF6A5F" w:rsidP="00BF6A5F">
      <w:pPr>
        <w:autoSpaceDE w:val="0"/>
        <w:autoSpaceDN w:val="0"/>
        <w:adjustRightInd w:val="0"/>
        <w:jc w:val="both"/>
        <w:rPr>
          <w:szCs w:val="22"/>
        </w:rPr>
      </w:pPr>
      <w:r w:rsidRPr="0063119B">
        <w:rPr>
          <w:szCs w:val="22"/>
        </w:rPr>
        <w:t xml:space="preserve">Os dados clínicos estão disponíveis a partir de um estudo intervencional com o objetivo primário de avaliar a segurança em doentes com fibrilhação auricular não-valvular submetidos a uma ICP com colocação de </w:t>
      </w:r>
      <w:r w:rsidRPr="0063119B">
        <w:rPr>
          <w:i/>
          <w:szCs w:val="22"/>
        </w:rPr>
        <w:t>stent</w:t>
      </w:r>
      <w:r w:rsidRPr="0063119B">
        <w:rPr>
          <w:szCs w:val="22"/>
        </w:rPr>
        <w:t>. Dados sobre a eficácia nesta população são limitados (ver secções 4.2 e 5.1). Não há dados disponíveis para estes doentes com antecedentes de acidente vascular cerebral/</w:t>
      </w:r>
      <w:r w:rsidR="00591027" w:rsidRPr="0063119B">
        <w:rPr>
          <w:szCs w:val="22"/>
        </w:rPr>
        <w:t>ataque isquémico transitório (</w:t>
      </w:r>
      <w:r w:rsidRPr="0063119B">
        <w:rPr>
          <w:szCs w:val="22"/>
        </w:rPr>
        <w:t>AIT</w:t>
      </w:r>
      <w:r w:rsidR="00591027" w:rsidRPr="0063119B">
        <w:rPr>
          <w:szCs w:val="22"/>
        </w:rPr>
        <w:t>)</w:t>
      </w:r>
      <w:r w:rsidRPr="0063119B">
        <w:rPr>
          <w:szCs w:val="22"/>
        </w:rPr>
        <w:t>.</w:t>
      </w:r>
    </w:p>
    <w:p w14:paraId="44F42B03" w14:textId="77777777" w:rsidR="00BF6A5F" w:rsidRPr="0063119B" w:rsidRDefault="00BF6A5F" w:rsidP="00337111">
      <w:pPr>
        <w:autoSpaceDE w:val="0"/>
        <w:autoSpaceDN w:val="0"/>
        <w:adjustRightInd w:val="0"/>
        <w:rPr>
          <w:rFonts w:eastAsia="MS Mincho"/>
          <w:bCs/>
          <w:szCs w:val="22"/>
          <w:u w:val="single"/>
          <w:lang w:eastAsia="ja-JP"/>
        </w:rPr>
      </w:pPr>
    </w:p>
    <w:p w14:paraId="6622FC7C" w14:textId="77777777" w:rsidR="00337111" w:rsidRDefault="00337111" w:rsidP="00337111">
      <w:pPr>
        <w:autoSpaceDE w:val="0"/>
        <w:autoSpaceDN w:val="0"/>
        <w:adjustRightInd w:val="0"/>
        <w:rPr>
          <w:rFonts w:eastAsia="MS Mincho"/>
          <w:bCs/>
          <w:szCs w:val="22"/>
          <w:u w:val="single"/>
          <w:lang w:eastAsia="ja-JP"/>
        </w:rPr>
      </w:pPr>
      <w:r w:rsidRPr="0063119B">
        <w:rPr>
          <w:rFonts w:eastAsia="MS Mincho"/>
          <w:bCs/>
          <w:szCs w:val="22"/>
          <w:u w:val="single"/>
          <w:lang w:eastAsia="ja-JP"/>
        </w:rPr>
        <w:t>Doentes com EP hemodinamicamente instáveis ou doentes que necessitam de trombólise ou embolectomia pulmonar</w:t>
      </w:r>
    </w:p>
    <w:p w14:paraId="673D1E8D" w14:textId="77777777" w:rsidR="006A2CEB" w:rsidRPr="0063119B" w:rsidRDefault="006A2CEB" w:rsidP="00337111">
      <w:pPr>
        <w:autoSpaceDE w:val="0"/>
        <w:autoSpaceDN w:val="0"/>
        <w:adjustRightInd w:val="0"/>
        <w:rPr>
          <w:rFonts w:eastAsia="MS Mincho"/>
          <w:bCs/>
          <w:szCs w:val="22"/>
          <w:lang w:eastAsia="ja-JP"/>
        </w:rPr>
      </w:pPr>
    </w:p>
    <w:p w14:paraId="2EC9EA94" w14:textId="77777777" w:rsidR="00337111" w:rsidRPr="0063119B" w:rsidRDefault="00607DE4" w:rsidP="00337111">
      <w:pPr>
        <w:autoSpaceDE w:val="0"/>
        <w:autoSpaceDN w:val="0"/>
        <w:adjustRightInd w:val="0"/>
        <w:rPr>
          <w:szCs w:val="22"/>
        </w:rPr>
      </w:pPr>
      <w:r>
        <w:rPr>
          <w:szCs w:val="22"/>
        </w:rPr>
        <w:t>Rivaroxabano</w:t>
      </w:r>
      <w:r w:rsidR="00591027" w:rsidRPr="0063119B">
        <w:rPr>
          <w:szCs w:val="22"/>
        </w:rPr>
        <w:t xml:space="preserve"> Accord</w:t>
      </w:r>
      <w:r w:rsidR="00337111" w:rsidRPr="0063119B">
        <w:rPr>
          <w:szCs w:val="22"/>
        </w:rPr>
        <w:t xml:space="preserve"> não é recomendado como alternativa à heparina não fracionada em doentes com embolismo pulmonar que são hemodinamicamente instáveis ou que possam ser sujeitos a trombólise ou embolectomia pulmonar, uma vez que a segurança e a eficácia do </w:t>
      </w:r>
      <w:r w:rsidR="00591027" w:rsidRPr="0063119B">
        <w:rPr>
          <w:iCs/>
          <w:szCs w:val="22"/>
        </w:rPr>
        <w:t>rivaroxabano</w:t>
      </w:r>
      <w:r w:rsidR="00337111" w:rsidRPr="0063119B">
        <w:rPr>
          <w:szCs w:val="22"/>
        </w:rPr>
        <w:t xml:space="preserve"> nestas situações clínicas não foram estabelecidas.</w:t>
      </w:r>
    </w:p>
    <w:p w14:paraId="13390410" w14:textId="77777777" w:rsidR="00337111" w:rsidRPr="0063119B" w:rsidRDefault="00337111" w:rsidP="00337111">
      <w:pPr>
        <w:autoSpaceDE w:val="0"/>
        <w:autoSpaceDN w:val="0"/>
        <w:adjustRightInd w:val="0"/>
        <w:rPr>
          <w:i/>
          <w:szCs w:val="22"/>
          <w:u w:val="single"/>
        </w:rPr>
      </w:pPr>
    </w:p>
    <w:p w14:paraId="0D5D9A8E" w14:textId="77777777" w:rsidR="00591027" w:rsidRDefault="00591027" w:rsidP="00591027">
      <w:pPr>
        <w:autoSpaceDE w:val="0"/>
        <w:autoSpaceDN w:val="0"/>
        <w:adjustRightInd w:val="0"/>
        <w:rPr>
          <w:szCs w:val="22"/>
          <w:u w:val="single"/>
        </w:rPr>
      </w:pPr>
      <w:r w:rsidRPr="0063119B">
        <w:rPr>
          <w:szCs w:val="22"/>
          <w:u w:val="single"/>
        </w:rPr>
        <w:t xml:space="preserve">Doentes com síndrome antifosfolipídica </w:t>
      </w:r>
    </w:p>
    <w:p w14:paraId="5AFEEAAA" w14:textId="77777777" w:rsidR="006A2CEB" w:rsidRPr="0063119B" w:rsidRDefault="006A2CEB" w:rsidP="00591027">
      <w:pPr>
        <w:autoSpaceDE w:val="0"/>
        <w:autoSpaceDN w:val="0"/>
        <w:adjustRightInd w:val="0"/>
        <w:rPr>
          <w:szCs w:val="22"/>
          <w:u w:val="single"/>
        </w:rPr>
      </w:pPr>
    </w:p>
    <w:p w14:paraId="007D54A1" w14:textId="77777777" w:rsidR="00591027" w:rsidRPr="0063119B" w:rsidRDefault="00591027" w:rsidP="00591027">
      <w:pPr>
        <w:autoSpaceDE w:val="0"/>
        <w:autoSpaceDN w:val="0"/>
        <w:adjustRightInd w:val="0"/>
        <w:rPr>
          <w:rFonts w:eastAsia="MS Mincho"/>
          <w:bCs/>
          <w:szCs w:val="22"/>
          <w:lang w:eastAsia="ja-JP"/>
        </w:rPr>
      </w:pPr>
      <w:r w:rsidRPr="0063119B">
        <w:rPr>
          <w:rFonts w:eastAsia="MS Mincho"/>
          <w:bCs/>
          <w:szCs w:val="22"/>
          <w:lang w:eastAsia="ja-JP"/>
        </w:rPr>
        <w:t xml:space="preserve">Os anticoagulantes orais de ação direta (ACOaD) incluindo o rivaroxabano não são recomendados em doentes com antecedentes de trombose diagnosticados com síndrome antifosfolipídica. Em especial, no caso de doentes triplo-positivos (para a presença dos anticorpos anticoagulante lúpico, anticorpos anticardiolipina e anticorpos anti-beta2 glicoproteína I), o tratamento com ACOaD pode estar associado a um aumento das taxas de acontecimentos trombóticos recorrentes em comparação com a terapêutica com antagonistas da vitamina K </w:t>
      </w:r>
    </w:p>
    <w:p w14:paraId="632441EF" w14:textId="77777777" w:rsidR="00591027" w:rsidRPr="0063119B" w:rsidRDefault="00591027" w:rsidP="00591027">
      <w:pPr>
        <w:keepNext/>
        <w:keepLines/>
        <w:autoSpaceDE w:val="0"/>
        <w:autoSpaceDN w:val="0"/>
        <w:adjustRightInd w:val="0"/>
        <w:rPr>
          <w:szCs w:val="22"/>
          <w:u w:val="single"/>
        </w:rPr>
      </w:pPr>
    </w:p>
    <w:p w14:paraId="0102566E" w14:textId="77777777" w:rsidR="005D6299" w:rsidRDefault="005D6299" w:rsidP="00A9161F">
      <w:pPr>
        <w:keepNext/>
        <w:keepLines/>
        <w:suppressAutoHyphens/>
        <w:rPr>
          <w:noProof/>
          <w:szCs w:val="22"/>
          <w:u w:val="single"/>
        </w:rPr>
      </w:pPr>
      <w:r w:rsidRPr="0063119B">
        <w:rPr>
          <w:noProof/>
          <w:szCs w:val="22"/>
          <w:u w:val="single"/>
        </w:rPr>
        <w:t>Punção ou anestesia espinal/epidural</w:t>
      </w:r>
    </w:p>
    <w:p w14:paraId="51BA686A" w14:textId="77777777" w:rsidR="006A2CEB" w:rsidRPr="0063119B" w:rsidRDefault="006A2CEB" w:rsidP="00A9161F">
      <w:pPr>
        <w:keepNext/>
        <w:keepLines/>
        <w:suppressAutoHyphens/>
        <w:rPr>
          <w:noProof/>
          <w:szCs w:val="22"/>
          <w:u w:val="single"/>
        </w:rPr>
      </w:pPr>
    </w:p>
    <w:p w14:paraId="77449C06" w14:textId="77777777" w:rsidR="00DD4823" w:rsidRPr="0063119B" w:rsidRDefault="005D6299" w:rsidP="00DD4823">
      <w:pPr>
        <w:suppressAutoHyphens/>
        <w:rPr>
          <w:noProof/>
          <w:szCs w:val="22"/>
        </w:rPr>
      </w:pPr>
      <w:r w:rsidRPr="0063119B">
        <w:rPr>
          <w:noProof/>
          <w:szCs w:val="22"/>
        </w:rPr>
        <w:t xml:space="preserve">Quando é empregue anestesia neuraxial (anestesia epidural/espinal) ou punção epidural/espinal, os doentes tratados com agentes antitrombóticos para a prevenção de complicações tromboembólicas apresentam risco de desenvolverem um hematoma espinal ou epidural, o que pode resultar em paralisia prolongada ou permanente. O risco destes acontecimentos poderá ser aumentado pela utilização pós-operatória de cateteres epidurais internos ou pela utilização concomitante de medicamentos que afetam a hemostase. O risco pode também ser aumentado pela punção espinal ou epidural repetida ou traumática. Os doentes devem ser frequentemente monitorizados relativamente a </w:t>
      </w:r>
      <w:r w:rsidRPr="0063119B">
        <w:rPr>
          <w:noProof/>
          <w:szCs w:val="22"/>
        </w:rPr>
        <w:lastRenderedPageBreak/>
        <w:t>sinais e sintomas de alteração neurológica (ex.: dormência ou fraqueza das pernas, disfunção da bexiga ou intestino). Se for observada alteração neurológica, são necessários o diagnóstico e o tratamento urgentes. Antes da intervenção neuraxial, o médico deve considerar o potencial benefício versus o risco em doentes tratados com anticoagulantes ou em doentes que irão ser tratados com anticoagulantes para a tromboprofilaxia.</w:t>
      </w:r>
      <w:r w:rsidR="00DD4823" w:rsidRPr="0063119B">
        <w:rPr>
          <w:noProof/>
          <w:szCs w:val="22"/>
        </w:rPr>
        <w:t xml:space="preserve"> Nestas situações, não existe experiência clínica com a utilização de 20 mg de rivaroxabano. </w:t>
      </w:r>
    </w:p>
    <w:p w14:paraId="1E227E9A" w14:textId="77777777" w:rsidR="00DD4823" w:rsidRPr="0063119B" w:rsidRDefault="00DD4823" w:rsidP="00EF3721">
      <w:pPr>
        <w:autoSpaceDE w:val="0"/>
        <w:autoSpaceDN w:val="0"/>
        <w:adjustRightInd w:val="0"/>
        <w:rPr>
          <w:noProof/>
          <w:szCs w:val="22"/>
        </w:rPr>
      </w:pPr>
      <w:r w:rsidRPr="0063119B">
        <w:rPr>
          <w:noProof/>
          <w:szCs w:val="22"/>
        </w:rPr>
        <w:t>Para reduzir o risco potencial de hemorragia associado com a utilização concomitante de rivaroxabano e anestesia neuraxial (epidural/espina</w:t>
      </w:r>
      <w:r w:rsidR="002679B9" w:rsidRPr="0063119B">
        <w:rPr>
          <w:noProof/>
          <w:szCs w:val="22"/>
        </w:rPr>
        <w:t>l) ou punção epidural, considerar</w:t>
      </w:r>
      <w:r w:rsidRPr="0063119B">
        <w:rPr>
          <w:noProof/>
          <w:szCs w:val="22"/>
        </w:rPr>
        <w:t xml:space="preserve"> o perfil farmacocinético do rivaroxabano. A colocação ou remoção de um cateter epidural ou punção lombar é melhor realizada quando se estima que o efeito anticoagulante do rivaroxabano é baixo. Contudo, o momento exato para atingir um efeito anticoagulante suficientemente baixo em cada doente, não é conhecido</w:t>
      </w:r>
      <w:r w:rsidR="00EF1183">
        <w:rPr>
          <w:noProof/>
          <w:szCs w:val="22"/>
        </w:rPr>
        <w:t xml:space="preserve"> </w:t>
      </w:r>
      <w:r w:rsidR="00EF1183">
        <w:rPr>
          <w:szCs w:val="22"/>
          <w:lang w:eastAsia="pt-PT"/>
        </w:rPr>
        <w:t>e deve ser ponderado em relação à urgência de um procedimento de diagnóstico</w:t>
      </w:r>
      <w:r w:rsidRPr="0063119B">
        <w:rPr>
          <w:noProof/>
          <w:szCs w:val="22"/>
        </w:rPr>
        <w:t xml:space="preserve">. </w:t>
      </w:r>
    </w:p>
    <w:p w14:paraId="2C5FAD7E" w14:textId="77777777" w:rsidR="005D6299" w:rsidRPr="0063119B" w:rsidRDefault="00DD4823" w:rsidP="005D6299">
      <w:pPr>
        <w:suppressAutoHyphens/>
        <w:rPr>
          <w:noProof/>
          <w:szCs w:val="22"/>
        </w:rPr>
      </w:pPr>
      <w:r w:rsidRPr="0063119B">
        <w:rPr>
          <w:noProof/>
          <w:szCs w:val="22"/>
        </w:rPr>
        <w:t>Para a remoção do cateter epidural e tendo por base as características famacocinéticas gerais  devem ter decorrido pe</w:t>
      </w:r>
      <w:r w:rsidR="002679B9" w:rsidRPr="0063119B">
        <w:rPr>
          <w:noProof/>
          <w:szCs w:val="22"/>
        </w:rPr>
        <w:t>lo menos 2x a semivida, isto é,</w:t>
      </w:r>
      <w:r w:rsidRPr="0063119B">
        <w:rPr>
          <w:noProof/>
          <w:szCs w:val="22"/>
        </w:rPr>
        <w:t xml:space="preserve"> pelo  menos 18 horas em doentes </w:t>
      </w:r>
      <w:r w:rsidR="00EF1183">
        <w:rPr>
          <w:noProof/>
          <w:szCs w:val="22"/>
        </w:rPr>
        <w:t xml:space="preserve">adultos </w:t>
      </w:r>
      <w:r w:rsidRPr="0063119B">
        <w:rPr>
          <w:noProof/>
          <w:szCs w:val="22"/>
        </w:rPr>
        <w:t>jovens e 26 horas em doentes idosos, após a última administração de rivaroxabano (ver secção 5.2).</w:t>
      </w:r>
      <w:r w:rsidR="002679B9" w:rsidRPr="0063119B">
        <w:rPr>
          <w:noProof/>
          <w:szCs w:val="22"/>
        </w:rPr>
        <w:t xml:space="preserve"> </w:t>
      </w:r>
      <w:r w:rsidR="005D6299" w:rsidRPr="0063119B">
        <w:rPr>
          <w:noProof/>
          <w:szCs w:val="22"/>
        </w:rPr>
        <w:t>A seguir à remoção do cateter, devem decorrer pelo menos 6 horas antes de ser administrada a dose seguinte de rivaroxabano.</w:t>
      </w:r>
    </w:p>
    <w:p w14:paraId="6D8F828D" w14:textId="77777777" w:rsidR="005D6299" w:rsidRPr="0063119B" w:rsidRDefault="005D6299" w:rsidP="005D6299">
      <w:pPr>
        <w:suppressAutoHyphens/>
        <w:rPr>
          <w:noProof/>
          <w:szCs w:val="22"/>
        </w:rPr>
      </w:pPr>
      <w:r w:rsidRPr="0063119B">
        <w:rPr>
          <w:noProof/>
          <w:szCs w:val="22"/>
        </w:rPr>
        <w:t>Se ocorrer punção traumática, a administração do rivaroxabano deve ser adiada por 24 horas.</w:t>
      </w:r>
    </w:p>
    <w:p w14:paraId="35905BE0" w14:textId="77777777" w:rsidR="005D6299" w:rsidRDefault="00EF1183" w:rsidP="00EF1183">
      <w:pPr>
        <w:autoSpaceDE w:val="0"/>
        <w:autoSpaceDN w:val="0"/>
        <w:adjustRightInd w:val="0"/>
        <w:rPr>
          <w:szCs w:val="22"/>
          <w:lang w:eastAsia="pt-PT"/>
        </w:rPr>
      </w:pPr>
      <w:r>
        <w:rPr>
          <w:szCs w:val="22"/>
          <w:lang w:eastAsia="pt-PT"/>
        </w:rPr>
        <w:t xml:space="preserve">Não existem dados disponíveis sobre a altura em que se deve colocar ou remover o cateter neuroaxial em crianças enquanto estas estiverem a receber </w:t>
      </w:r>
      <w:r>
        <w:rPr>
          <w:szCs w:val="22"/>
        </w:rPr>
        <w:t>Rivaroxabano</w:t>
      </w:r>
      <w:r w:rsidRPr="0063119B">
        <w:rPr>
          <w:szCs w:val="22"/>
        </w:rPr>
        <w:t xml:space="preserve"> Accord</w:t>
      </w:r>
      <w:r>
        <w:rPr>
          <w:szCs w:val="22"/>
          <w:lang w:eastAsia="pt-PT"/>
        </w:rPr>
        <w:t>. Nestes casos, descontinuar o rivaroxabano e considerar um anticoagulante parentérico de curta duração de ação.</w:t>
      </w:r>
    </w:p>
    <w:p w14:paraId="7E217591" w14:textId="77777777" w:rsidR="00EF1183" w:rsidRPr="0063119B" w:rsidRDefault="00EF1183" w:rsidP="00EF1183">
      <w:pPr>
        <w:autoSpaceDE w:val="0"/>
        <w:autoSpaceDN w:val="0"/>
        <w:adjustRightInd w:val="0"/>
        <w:rPr>
          <w:szCs w:val="22"/>
          <w:u w:val="single"/>
        </w:rPr>
      </w:pPr>
    </w:p>
    <w:p w14:paraId="64A829AB" w14:textId="77777777" w:rsidR="00337111" w:rsidRDefault="00337111" w:rsidP="00337111">
      <w:pPr>
        <w:autoSpaceDE w:val="0"/>
        <w:autoSpaceDN w:val="0"/>
        <w:adjustRightInd w:val="0"/>
        <w:rPr>
          <w:szCs w:val="22"/>
          <w:u w:val="single"/>
        </w:rPr>
      </w:pPr>
      <w:r w:rsidRPr="0063119B">
        <w:rPr>
          <w:szCs w:val="22"/>
          <w:u w:val="single"/>
        </w:rPr>
        <w:t>Recomendações posológicas antes e depois de procedimentos invasivos e intervenções cirúrgicas</w:t>
      </w:r>
    </w:p>
    <w:p w14:paraId="225377D7" w14:textId="77777777" w:rsidR="006A2CEB" w:rsidRPr="0063119B" w:rsidRDefault="006A2CEB" w:rsidP="00337111">
      <w:pPr>
        <w:autoSpaceDE w:val="0"/>
        <w:autoSpaceDN w:val="0"/>
        <w:adjustRightInd w:val="0"/>
        <w:rPr>
          <w:szCs w:val="22"/>
        </w:rPr>
      </w:pPr>
    </w:p>
    <w:p w14:paraId="77292A1A" w14:textId="77777777" w:rsidR="00337111" w:rsidRPr="0063119B" w:rsidRDefault="00337111" w:rsidP="00337111">
      <w:pPr>
        <w:rPr>
          <w:szCs w:val="22"/>
        </w:rPr>
      </w:pPr>
      <w:r w:rsidRPr="0063119B">
        <w:rPr>
          <w:szCs w:val="22"/>
        </w:rPr>
        <w:t xml:space="preserve">No caso de ser necessário um procedimento invasivo ou uma intervenção cirúrgica, </w:t>
      </w:r>
      <w:r w:rsidR="00607DE4">
        <w:rPr>
          <w:szCs w:val="22"/>
        </w:rPr>
        <w:t>Rivaroxabano</w:t>
      </w:r>
      <w:r w:rsidR="00591027" w:rsidRPr="0063119B">
        <w:rPr>
          <w:szCs w:val="22"/>
        </w:rPr>
        <w:t xml:space="preserve"> Accord</w:t>
      </w:r>
      <w:r w:rsidRPr="0063119B">
        <w:rPr>
          <w:szCs w:val="22"/>
        </w:rPr>
        <w:t xml:space="preserve"> </w:t>
      </w:r>
      <w:r w:rsidR="005D6299" w:rsidRPr="0063119B">
        <w:rPr>
          <w:szCs w:val="22"/>
        </w:rPr>
        <w:t>20</w:t>
      </w:r>
      <w:r w:rsidR="006501D5" w:rsidRPr="0063119B">
        <w:rPr>
          <w:szCs w:val="22"/>
        </w:rPr>
        <w:t> </w:t>
      </w:r>
      <w:r w:rsidR="005D6299" w:rsidRPr="0063119B">
        <w:rPr>
          <w:szCs w:val="22"/>
        </w:rPr>
        <w:t xml:space="preserve">mg </w:t>
      </w:r>
      <w:r w:rsidRPr="0063119B">
        <w:rPr>
          <w:szCs w:val="22"/>
        </w:rPr>
        <w:t>deve ser interrompido pelo menos 24 horas antes da intervenção, se possível, e de acordo com o critério clínico do médico.</w:t>
      </w:r>
    </w:p>
    <w:p w14:paraId="01410DBA" w14:textId="77777777" w:rsidR="00337111" w:rsidRPr="0063119B" w:rsidRDefault="00337111" w:rsidP="00337111">
      <w:pPr>
        <w:rPr>
          <w:szCs w:val="22"/>
        </w:rPr>
      </w:pPr>
      <w:r w:rsidRPr="0063119B">
        <w:rPr>
          <w:bCs/>
          <w:szCs w:val="22"/>
        </w:rPr>
        <w:t>Se o procedimento não puder ser adiado, o risco acrescido de hemorragia deve ser avaliado em relação à urgência da intervenção.</w:t>
      </w:r>
    </w:p>
    <w:p w14:paraId="37B849CD" w14:textId="77777777" w:rsidR="00337111" w:rsidRPr="0063119B" w:rsidRDefault="00607DE4" w:rsidP="00337111">
      <w:pPr>
        <w:suppressAutoHyphens/>
        <w:rPr>
          <w:noProof/>
          <w:szCs w:val="22"/>
        </w:rPr>
      </w:pPr>
      <w:r>
        <w:rPr>
          <w:bCs/>
          <w:szCs w:val="22"/>
        </w:rPr>
        <w:t>Rivaroxabano</w:t>
      </w:r>
      <w:r w:rsidR="00591027" w:rsidRPr="0063119B">
        <w:rPr>
          <w:bCs/>
          <w:szCs w:val="22"/>
        </w:rPr>
        <w:t xml:space="preserve"> Accord</w:t>
      </w:r>
      <w:r w:rsidR="00337111" w:rsidRPr="0063119B">
        <w:rPr>
          <w:bCs/>
          <w:szCs w:val="22"/>
        </w:rPr>
        <w:t xml:space="preserve"> deve ser reiniciado </w:t>
      </w:r>
      <w:r w:rsidR="005D6299" w:rsidRPr="0063119B">
        <w:rPr>
          <w:bCs/>
          <w:szCs w:val="22"/>
        </w:rPr>
        <w:t xml:space="preserve">logo que possível </w:t>
      </w:r>
      <w:r w:rsidR="00337111" w:rsidRPr="0063119B">
        <w:rPr>
          <w:bCs/>
          <w:szCs w:val="22"/>
        </w:rPr>
        <w:t xml:space="preserve">após o procedimento invasivo ou a intervenção cirúrgica logo, desde que a situação clínica o permita e a hemostase adequada tenha sido estabelecida </w:t>
      </w:r>
      <w:r w:rsidR="00D051B5" w:rsidRPr="0063119B">
        <w:rPr>
          <w:bCs/>
          <w:szCs w:val="22"/>
        </w:rPr>
        <w:t>conforme determinad</w:t>
      </w:r>
      <w:r w:rsidR="00061192" w:rsidRPr="0063119B">
        <w:rPr>
          <w:bCs/>
          <w:szCs w:val="22"/>
        </w:rPr>
        <w:t>o</w:t>
      </w:r>
      <w:r w:rsidR="00D051B5" w:rsidRPr="0063119B">
        <w:rPr>
          <w:bCs/>
          <w:szCs w:val="22"/>
        </w:rPr>
        <w:t xml:space="preserve"> pelo médico assistente </w:t>
      </w:r>
      <w:r w:rsidR="00337111" w:rsidRPr="0063119B">
        <w:rPr>
          <w:bCs/>
          <w:szCs w:val="22"/>
        </w:rPr>
        <w:t>(ver secção 5.2).</w:t>
      </w:r>
    </w:p>
    <w:p w14:paraId="33F3FDEA" w14:textId="77777777" w:rsidR="00337111" w:rsidRPr="0063119B" w:rsidRDefault="00337111" w:rsidP="00337111">
      <w:pPr>
        <w:suppressAutoHyphens/>
        <w:rPr>
          <w:noProof/>
          <w:szCs w:val="22"/>
        </w:rPr>
      </w:pPr>
    </w:p>
    <w:p w14:paraId="3260C10A" w14:textId="77777777" w:rsidR="00EA7415" w:rsidRDefault="00EA7415" w:rsidP="00EA7415">
      <w:pPr>
        <w:autoSpaceDE w:val="0"/>
        <w:autoSpaceDN w:val="0"/>
        <w:adjustRightInd w:val="0"/>
        <w:rPr>
          <w:noProof/>
          <w:szCs w:val="22"/>
          <w:u w:val="single"/>
        </w:rPr>
      </w:pPr>
      <w:r w:rsidRPr="0063119B">
        <w:rPr>
          <w:noProof/>
          <w:szCs w:val="22"/>
          <w:u w:val="single"/>
        </w:rPr>
        <w:t>População idosa</w:t>
      </w:r>
    </w:p>
    <w:p w14:paraId="44DA7DF7" w14:textId="77777777" w:rsidR="006A2CEB" w:rsidRPr="0063119B" w:rsidRDefault="006A2CEB" w:rsidP="00EA7415">
      <w:pPr>
        <w:autoSpaceDE w:val="0"/>
        <w:autoSpaceDN w:val="0"/>
        <w:adjustRightInd w:val="0"/>
        <w:rPr>
          <w:noProof/>
          <w:szCs w:val="22"/>
        </w:rPr>
      </w:pPr>
    </w:p>
    <w:p w14:paraId="0D1F44B3" w14:textId="77777777" w:rsidR="00EA7415" w:rsidRPr="0063119B" w:rsidRDefault="00EA7415" w:rsidP="00EA7415">
      <w:pPr>
        <w:autoSpaceDE w:val="0"/>
        <w:autoSpaceDN w:val="0"/>
        <w:adjustRightInd w:val="0"/>
        <w:rPr>
          <w:szCs w:val="22"/>
        </w:rPr>
      </w:pPr>
      <w:r w:rsidRPr="0063119B">
        <w:rPr>
          <w:szCs w:val="22"/>
        </w:rPr>
        <w:t>A idade avançada pode aumentar o risco de hemorragia (ver secção 5.2).</w:t>
      </w:r>
    </w:p>
    <w:p w14:paraId="039B43F3" w14:textId="77777777" w:rsidR="00EA7415" w:rsidRPr="0063119B" w:rsidRDefault="00EA7415" w:rsidP="00EA7415">
      <w:pPr>
        <w:autoSpaceDE w:val="0"/>
        <w:autoSpaceDN w:val="0"/>
        <w:adjustRightInd w:val="0"/>
        <w:rPr>
          <w:szCs w:val="22"/>
          <w:u w:val="single"/>
        </w:rPr>
      </w:pPr>
    </w:p>
    <w:p w14:paraId="768A683D" w14:textId="77777777" w:rsidR="00C92B39" w:rsidRDefault="00C92B39" w:rsidP="00C92B39">
      <w:pPr>
        <w:autoSpaceDE w:val="0"/>
        <w:autoSpaceDN w:val="0"/>
        <w:adjustRightInd w:val="0"/>
        <w:rPr>
          <w:szCs w:val="22"/>
          <w:u w:val="single"/>
        </w:rPr>
      </w:pPr>
      <w:r w:rsidRPr="0063119B">
        <w:rPr>
          <w:szCs w:val="22"/>
          <w:u w:val="single"/>
        </w:rPr>
        <w:t>Reações dermatológicas</w:t>
      </w:r>
    </w:p>
    <w:p w14:paraId="36CDD762" w14:textId="77777777" w:rsidR="006A2CEB" w:rsidRPr="0063119B" w:rsidRDefault="006A2CEB" w:rsidP="00C92B39">
      <w:pPr>
        <w:autoSpaceDE w:val="0"/>
        <w:autoSpaceDN w:val="0"/>
        <w:adjustRightInd w:val="0"/>
        <w:rPr>
          <w:szCs w:val="22"/>
          <w:u w:val="single"/>
        </w:rPr>
      </w:pPr>
    </w:p>
    <w:p w14:paraId="11CCA1BF" w14:textId="77777777" w:rsidR="00C92B39" w:rsidRPr="0063119B" w:rsidRDefault="00C92B39" w:rsidP="00C92B39">
      <w:pPr>
        <w:autoSpaceDE w:val="0"/>
        <w:autoSpaceDN w:val="0"/>
        <w:adjustRightInd w:val="0"/>
        <w:rPr>
          <w:szCs w:val="22"/>
        </w:rPr>
      </w:pPr>
      <w:r w:rsidRPr="0063119B">
        <w:rPr>
          <w:szCs w:val="22"/>
        </w:rPr>
        <w:t>Foram notificadas reações cutâneas graves, incluindo síndrome de Stevens-Johnson/</w:t>
      </w:r>
      <w:r w:rsidR="004D7C05" w:rsidRPr="0063119B">
        <w:rPr>
          <w:szCs w:val="22"/>
        </w:rPr>
        <w:t>n</w:t>
      </w:r>
      <w:r w:rsidRPr="0063119B">
        <w:rPr>
          <w:szCs w:val="22"/>
        </w:rPr>
        <w:t xml:space="preserve">ecrólise </w:t>
      </w:r>
      <w:r w:rsidR="004D7C05" w:rsidRPr="0063119B">
        <w:rPr>
          <w:szCs w:val="22"/>
        </w:rPr>
        <w:t>e</w:t>
      </w:r>
      <w:r w:rsidRPr="0063119B">
        <w:rPr>
          <w:szCs w:val="22"/>
        </w:rPr>
        <w:t xml:space="preserve">pidérmica </w:t>
      </w:r>
      <w:r w:rsidR="004D7C05" w:rsidRPr="0063119B">
        <w:rPr>
          <w:szCs w:val="22"/>
        </w:rPr>
        <w:t>t</w:t>
      </w:r>
      <w:r w:rsidRPr="0063119B">
        <w:rPr>
          <w:szCs w:val="22"/>
        </w:rPr>
        <w:t>óxica</w:t>
      </w:r>
      <w:r w:rsidR="005E7788" w:rsidRPr="0063119B">
        <w:rPr>
          <w:szCs w:val="22"/>
        </w:rPr>
        <w:t xml:space="preserve"> e síndrome de DRESS</w:t>
      </w:r>
      <w:r w:rsidRPr="0063119B">
        <w:rPr>
          <w:szCs w:val="22"/>
        </w:rPr>
        <w:t>, durante a vigilância pós-comercialização</w:t>
      </w:r>
      <w:r w:rsidR="00EC173D" w:rsidRPr="0063119B">
        <w:rPr>
          <w:szCs w:val="22"/>
        </w:rPr>
        <w:t>,</w:t>
      </w:r>
      <w:r w:rsidRPr="0063119B">
        <w:rPr>
          <w:szCs w:val="22"/>
        </w:rPr>
        <w:t xml:space="preserve"> associadas à utilização de rivaroxabano (ver secção 4.8). Os doentes parecem estar em maior risco para estas reações no início da terapêutica: o início da reação ocorre na maioria dos casos nas primeiras semanas de tratamento. O  rivaroxabano deve ser interrompido na primeira manifestação de uma erupção cutânea grave (ex.:</w:t>
      </w:r>
      <w:r w:rsidR="00EC173D" w:rsidRPr="0063119B">
        <w:rPr>
          <w:szCs w:val="22"/>
        </w:rPr>
        <w:t xml:space="preserve"> </w:t>
      </w:r>
      <w:r w:rsidRPr="0063119B">
        <w:rPr>
          <w:szCs w:val="22"/>
        </w:rPr>
        <w:t xml:space="preserve">disseminação intensa e/ou formação de bolhas) ou qualquer outro sinal de hipersensibilidade em associação com lesões da mucosa.  </w:t>
      </w:r>
    </w:p>
    <w:p w14:paraId="7265D960" w14:textId="77777777" w:rsidR="00A4560F" w:rsidRPr="0063119B" w:rsidRDefault="00A4560F" w:rsidP="00337111">
      <w:pPr>
        <w:suppressAutoHyphens/>
        <w:rPr>
          <w:noProof/>
          <w:szCs w:val="22"/>
          <w:u w:val="single"/>
        </w:rPr>
      </w:pPr>
    </w:p>
    <w:p w14:paraId="48513288" w14:textId="77777777" w:rsidR="00337111" w:rsidRDefault="00337111" w:rsidP="00337111">
      <w:pPr>
        <w:suppressAutoHyphens/>
        <w:rPr>
          <w:noProof/>
          <w:szCs w:val="22"/>
          <w:u w:val="single"/>
        </w:rPr>
      </w:pPr>
      <w:r w:rsidRPr="0063119B">
        <w:rPr>
          <w:noProof/>
          <w:szCs w:val="22"/>
          <w:u w:val="single"/>
        </w:rPr>
        <w:t>Informação sobre excipientes</w:t>
      </w:r>
    </w:p>
    <w:p w14:paraId="6E0C7294" w14:textId="77777777" w:rsidR="006A2CEB" w:rsidRPr="0063119B" w:rsidRDefault="006A2CEB" w:rsidP="00337111">
      <w:pPr>
        <w:suppressAutoHyphens/>
        <w:rPr>
          <w:noProof/>
          <w:szCs w:val="22"/>
          <w:u w:val="single"/>
        </w:rPr>
      </w:pPr>
    </w:p>
    <w:p w14:paraId="6E949C89" w14:textId="77777777" w:rsidR="00337111" w:rsidRPr="0063119B" w:rsidRDefault="00607DE4" w:rsidP="00337111">
      <w:pPr>
        <w:suppressAutoHyphens/>
        <w:rPr>
          <w:noProof/>
          <w:szCs w:val="22"/>
        </w:rPr>
      </w:pPr>
      <w:r>
        <w:rPr>
          <w:noProof/>
          <w:szCs w:val="22"/>
        </w:rPr>
        <w:t>Rivaroxabano</w:t>
      </w:r>
      <w:r w:rsidR="00591027" w:rsidRPr="0063119B">
        <w:rPr>
          <w:noProof/>
          <w:szCs w:val="22"/>
        </w:rPr>
        <w:t xml:space="preserve"> Accord</w:t>
      </w:r>
      <w:r w:rsidR="00337111" w:rsidRPr="0063119B">
        <w:rPr>
          <w:noProof/>
          <w:szCs w:val="22"/>
        </w:rPr>
        <w:t xml:space="preserve"> contém lactose. Doentes com problemas hereditários raros de intolerância à galactose, deficiência </w:t>
      </w:r>
      <w:r w:rsidR="004D7C05" w:rsidRPr="0063119B">
        <w:rPr>
          <w:noProof/>
          <w:szCs w:val="22"/>
        </w:rPr>
        <w:t xml:space="preserve">total </w:t>
      </w:r>
      <w:r w:rsidR="00337111" w:rsidRPr="0063119B">
        <w:rPr>
          <w:noProof/>
          <w:szCs w:val="22"/>
        </w:rPr>
        <w:t>de lactase ou malabsorção de glucose</w:t>
      </w:r>
      <w:r w:rsidR="00337111" w:rsidRPr="0063119B">
        <w:rPr>
          <w:noProof/>
          <w:szCs w:val="22"/>
        </w:rPr>
        <w:noBreakHyphen/>
        <w:t>galactose não devem tomar este medicamento.</w:t>
      </w:r>
    </w:p>
    <w:p w14:paraId="56462EE0" w14:textId="77777777" w:rsidR="00591027" w:rsidRPr="0063119B" w:rsidRDefault="00591027" w:rsidP="00591027">
      <w:pPr>
        <w:autoSpaceDE w:val="0"/>
        <w:autoSpaceDN w:val="0"/>
        <w:adjustRightInd w:val="0"/>
        <w:rPr>
          <w:noProof/>
          <w:szCs w:val="22"/>
        </w:rPr>
      </w:pPr>
      <w:r w:rsidRPr="0063119B">
        <w:rPr>
          <w:color w:val="000000"/>
          <w:szCs w:val="22"/>
          <w:lang w:eastAsia="en-GB"/>
        </w:rPr>
        <w:t>Este medicamento contém menos do que 1 mmol (23 mg) de sódio por comprimido, ou seja, é praticamente “isento de sódio”.</w:t>
      </w:r>
    </w:p>
    <w:p w14:paraId="5D8131FF" w14:textId="77777777" w:rsidR="00337111" w:rsidRPr="0063119B" w:rsidRDefault="00337111" w:rsidP="00337111">
      <w:pPr>
        <w:suppressAutoHyphens/>
        <w:rPr>
          <w:noProof/>
          <w:szCs w:val="22"/>
          <w:u w:val="single"/>
        </w:rPr>
      </w:pPr>
    </w:p>
    <w:p w14:paraId="4067EFAF" w14:textId="77777777" w:rsidR="00337111" w:rsidRPr="0063119B" w:rsidRDefault="00337111" w:rsidP="00337111">
      <w:pPr>
        <w:suppressAutoHyphens/>
        <w:ind w:left="567" w:hanging="567"/>
        <w:rPr>
          <w:noProof/>
          <w:szCs w:val="22"/>
        </w:rPr>
      </w:pPr>
      <w:r w:rsidRPr="0063119B">
        <w:rPr>
          <w:b/>
          <w:noProof/>
          <w:szCs w:val="22"/>
        </w:rPr>
        <w:t>4.5</w:t>
      </w:r>
      <w:r w:rsidRPr="0063119B">
        <w:rPr>
          <w:b/>
          <w:noProof/>
          <w:szCs w:val="22"/>
        </w:rPr>
        <w:tab/>
        <w:t>Interações medicamentosas e outras formas de interação</w:t>
      </w:r>
    </w:p>
    <w:p w14:paraId="6E62E390" w14:textId="77777777" w:rsidR="00337111" w:rsidRDefault="00337111" w:rsidP="00337111">
      <w:pPr>
        <w:suppressAutoHyphens/>
        <w:rPr>
          <w:noProof/>
          <w:szCs w:val="22"/>
        </w:rPr>
      </w:pPr>
    </w:p>
    <w:p w14:paraId="62C10718" w14:textId="77777777" w:rsidR="00EF1183" w:rsidRDefault="00EF1183" w:rsidP="00337111">
      <w:pPr>
        <w:suppressAutoHyphens/>
        <w:rPr>
          <w:szCs w:val="22"/>
        </w:rPr>
      </w:pPr>
      <w:r>
        <w:rPr>
          <w:szCs w:val="22"/>
        </w:rPr>
        <w:lastRenderedPageBreak/>
        <w:t>Desconhece-se a extensão das interações na população pediátrica. Os dados de interação mencionados a seguir obtidos em adultos e as advertências na secção 4.4 devem ser tidos em consideração na população pediátrica.</w:t>
      </w:r>
    </w:p>
    <w:p w14:paraId="223A0042" w14:textId="77777777" w:rsidR="00EF1183" w:rsidRPr="0063119B" w:rsidRDefault="00EF1183" w:rsidP="00337111">
      <w:pPr>
        <w:suppressAutoHyphens/>
        <w:rPr>
          <w:noProof/>
          <w:szCs w:val="22"/>
        </w:rPr>
      </w:pPr>
    </w:p>
    <w:p w14:paraId="2628A3F8" w14:textId="77777777" w:rsidR="00337111" w:rsidRDefault="00337111" w:rsidP="00337111">
      <w:pPr>
        <w:suppressAutoHyphens/>
        <w:rPr>
          <w:noProof/>
          <w:szCs w:val="22"/>
          <w:u w:val="single"/>
        </w:rPr>
      </w:pPr>
      <w:r w:rsidRPr="0063119B">
        <w:rPr>
          <w:noProof/>
          <w:szCs w:val="22"/>
          <w:u w:val="single"/>
        </w:rPr>
        <w:t>Inibidores do CYP3A4 e da gp</w:t>
      </w:r>
      <w:r w:rsidRPr="0063119B">
        <w:rPr>
          <w:noProof/>
          <w:szCs w:val="22"/>
          <w:u w:val="single"/>
        </w:rPr>
        <w:noBreakHyphen/>
        <w:t>P</w:t>
      </w:r>
    </w:p>
    <w:p w14:paraId="00271938" w14:textId="77777777" w:rsidR="006A2CEB" w:rsidRPr="0063119B" w:rsidRDefault="006A2CEB" w:rsidP="00337111">
      <w:pPr>
        <w:suppressAutoHyphens/>
        <w:rPr>
          <w:noProof/>
          <w:szCs w:val="22"/>
          <w:u w:val="single"/>
        </w:rPr>
      </w:pPr>
    </w:p>
    <w:p w14:paraId="76FF2EB1" w14:textId="77777777" w:rsidR="00337111" w:rsidRPr="0063119B" w:rsidRDefault="00337111" w:rsidP="00337111">
      <w:pPr>
        <w:suppressAutoHyphens/>
        <w:rPr>
          <w:noProof/>
          <w:szCs w:val="22"/>
        </w:rPr>
      </w:pPr>
      <w:r w:rsidRPr="0063119B">
        <w:rPr>
          <w:noProof/>
          <w:szCs w:val="22"/>
        </w:rPr>
        <w:t>A coadministração de rivaroxabano com cetoconazol (400 mg uma vez ao dia) ou ritonavir</w:t>
      </w:r>
    </w:p>
    <w:p w14:paraId="36AF22BB" w14:textId="77777777" w:rsidR="00337111" w:rsidRPr="0063119B" w:rsidRDefault="00337111" w:rsidP="00337111">
      <w:pPr>
        <w:suppressAutoHyphens/>
        <w:rPr>
          <w:noProof/>
          <w:szCs w:val="22"/>
        </w:rPr>
      </w:pPr>
      <w:r w:rsidRPr="0063119B">
        <w:rPr>
          <w:noProof/>
          <w:szCs w:val="22"/>
        </w:rPr>
        <w:t>(600 mg duas vezes ao dia) originou um aumento de 2,6 vezes / 2,5 vezes da média da AUC do rivaroxabano e um aumento de 1,7 vezes / 1,6 vezes da média da C</w:t>
      </w:r>
      <w:r w:rsidRPr="0063119B">
        <w:rPr>
          <w:noProof/>
          <w:szCs w:val="22"/>
          <w:vertAlign w:val="subscript"/>
        </w:rPr>
        <w:t>max</w:t>
      </w:r>
      <w:r w:rsidRPr="0063119B">
        <w:rPr>
          <w:noProof/>
          <w:szCs w:val="22"/>
        </w:rPr>
        <w:t xml:space="preserve"> do rivaroxabano, com aumentos significativos nos efeitos farmacodinâmicos o que pode originar um </w:t>
      </w:r>
      <w:r w:rsidR="00426117" w:rsidRPr="0063119B">
        <w:rPr>
          <w:noProof/>
          <w:szCs w:val="22"/>
        </w:rPr>
        <w:t xml:space="preserve">risco </w:t>
      </w:r>
      <w:r w:rsidRPr="0063119B">
        <w:rPr>
          <w:noProof/>
          <w:szCs w:val="22"/>
        </w:rPr>
        <w:t>aument</w:t>
      </w:r>
      <w:r w:rsidR="00426117" w:rsidRPr="0063119B">
        <w:rPr>
          <w:noProof/>
          <w:szCs w:val="22"/>
        </w:rPr>
        <w:t>ad</w:t>
      </w:r>
      <w:r w:rsidRPr="0063119B">
        <w:rPr>
          <w:noProof/>
          <w:szCs w:val="22"/>
        </w:rPr>
        <w:t>o d</w:t>
      </w:r>
      <w:r w:rsidR="00426117" w:rsidRPr="0063119B">
        <w:rPr>
          <w:noProof/>
          <w:szCs w:val="22"/>
        </w:rPr>
        <w:t>e</w:t>
      </w:r>
      <w:r w:rsidRPr="0063119B">
        <w:rPr>
          <w:noProof/>
          <w:szCs w:val="22"/>
        </w:rPr>
        <w:t xml:space="preserve"> hemorr</w:t>
      </w:r>
      <w:r w:rsidR="00426117" w:rsidRPr="0063119B">
        <w:rPr>
          <w:noProof/>
          <w:szCs w:val="22"/>
        </w:rPr>
        <w:t>agia</w:t>
      </w:r>
      <w:r w:rsidRPr="0063119B">
        <w:rPr>
          <w:noProof/>
          <w:szCs w:val="22"/>
        </w:rPr>
        <w:t xml:space="preserve">. Deste modo, a utilização de </w:t>
      </w:r>
      <w:r w:rsidR="00591027" w:rsidRPr="0063119B">
        <w:rPr>
          <w:noProof/>
          <w:szCs w:val="22"/>
        </w:rPr>
        <w:t>rivaroxabano</w:t>
      </w:r>
      <w:r w:rsidRPr="0063119B">
        <w:rPr>
          <w:noProof/>
          <w:szCs w:val="22"/>
        </w:rPr>
        <w:t xml:space="preserve"> não é recomendada em doentes submetidos a tratamento sistémico concomitante com antimicóticos azólicos tais como cetoconazol, itraconazol, voriconazol, posaconazol ou inibidores da protease do VIH. Estas substâncias ativas são potentes inibidores do CYP3A4 e da gp</w:t>
      </w:r>
      <w:r w:rsidRPr="0063119B">
        <w:rPr>
          <w:noProof/>
          <w:szCs w:val="22"/>
        </w:rPr>
        <w:noBreakHyphen/>
        <w:t>P (ver secção 4.4).</w:t>
      </w:r>
    </w:p>
    <w:p w14:paraId="77D42D7B" w14:textId="77777777" w:rsidR="00337111" w:rsidRPr="0063119B" w:rsidRDefault="00337111" w:rsidP="00337111">
      <w:pPr>
        <w:suppressAutoHyphens/>
        <w:rPr>
          <w:noProof/>
          <w:szCs w:val="22"/>
        </w:rPr>
      </w:pPr>
    </w:p>
    <w:p w14:paraId="21E1C7D0" w14:textId="77777777" w:rsidR="00337111" w:rsidRPr="0063119B" w:rsidRDefault="00337111" w:rsidP="00337111">
      <w:pPr>
        <w:suppressAutoHyphens/>
        <w:rPr>
          <w:noProof/>
          <w:szCs w:val="22"/>
        </w:rPr>
      </w:pPr>
      <w:r w:rsidRPr="0063119B">
        <w:rPr>
          <w:noProof/>
          <w:szCs w:val="22"/>
        </w:rPr>
        <w:t>Prevê</w:t>
      </w:r>
      <w:r w:rsidRPr="0063119B">
        <w:rPr>
          <w:noProof/>
          <w:szCs w:val="22"/>
        </w:rPr>
        <w:noBreakHyphen/>
        <w:t>se que substâncias ativas que inibam fortemente apenas uma das vias de eliminação de rivaroxabano, quer o CYP3A4 quer a gp</w:t>
      </w:r>
      <w:r w:rsidRPr="0063119B">
        <w:rPr>
          <w:noProof/>
          <w:szCs w:val="22"/>
        </w:rPr>
        <w:noBreakHyphen/>
        <w:t>P, aumentem em menor grau as concentrações plasmáticas de rivaroxabano. A claritromicina (500 mg duas vezes ao dia), por exemplo, considerada como um potente inibidor do CYP3A4 e um inibidor moderado da gp</w:t>
      </w:r>
      <w:r w:rsidRPr="0063119B">
        <w:rPr>
          <w:noProof/>
          <w:szCs w:val="22"/>
        </w:rPr>
        <w:noBreakHyphen/>
        <w:t>P, originou um aumento de 1,5 vezes da média da AUC do rivaroxabano e um aumento de 1,4 vezes na C</w:t>
      </w:r>
      <w:r w:rsidRPr="0063119B">
        <w:rPr>
          <w:noProof/>
          <w:szCs w:val="22"/>
          <w:vertAlign w:val="subscript"/>
        </w:rPr>
        <w:t>max</w:t>
      </w:r>
      <w:r w:rsidRPr="0063119B">
        <w:rPr>
          <w:noProof/>
          <w:szCs w:val="22"/>
        </w:rPr>
        <w:t xml:space="preserve">. </w:t>
      </w:r>
      <w:r w:rsidR="005E7788" w:rsidRPr="0063119B">
        <w:rPr>
          <w:szCs w:val="22"/>
        </w:rPr>
        <w:t>Provavelmente, a</w:t>
      </w:r>
      <w:r w:rsidR="005E7788" w:rsidRPr="0063119B">
        <w:rPr>
          <w:noProof/>
          <w:szCs w:val="22"/>
        </w:rPr>
        <w:t xml:space="preserve"> interação com a claritromicina não é clinicamente relevante na maioria dos doentes, mas pode ser potencialmente significativa em doentes de alto risco</w:t>
      </w:r>
      <w:r w:rsidR="005E7788" w:rsidRPr="0063119B" w:rsidDel="009934BB">
        <w:rPr>
          <w:noProof/>
          <w:szCs w:val="22"/>
        </w:rPr>
        <w:t xml:space="preserve"> </w:t>
      </w:r>
      <w:r w:rsidR="005C3BFE" w:rsidRPr="0063119B">
        <w:rPr>
          <w:noProof/>
          <w:szCs w:val="22"/>
        </w:rPr>
        <w:t>(para doentes com compromisso renal: ver secção 4.4).</w:t>
      </w:r>
    </w:p>
    <w:p w14:paraId="6DBB416A" w14:textId="77777777" w:rsidR="00337111" w:rsidRPr="0063119B" w:rsidRDefault="00337111" w:rsidP="00337111">
      <w:pPr>
        <w:suppressAutoHyphens/>
        <w:rPr>
          <w:noProof/>
          <w:szCs w:val="22"/>
        </w:rPr>
      </w:pPr>
    </w:p>
    <w:p w14:paraId="43C96AF5" w14:textId="77777777" w:rsidR="00337111" w:rsidRPr="0063119B" w:rsidRDefault="00337111" w:rsidP="00337111">
      <w:pPr>
        <w:suppressAutoHyphens/>
        <w:rPr>
          <w:noProof/>
          <w:szCs w:val="22"/>
        </w:rPr>
      </w:pPr>
      <w:r w:rsidRPr="0063119B">
        <w:rPr>
          <w:noProof/>
          <w:szCs w:val="22"/>
        </w:rPr>
        <w:t>A eritromicina (500 mg três vezes ao dia), que inibe moderamente o CYP3A4 e a gp</w:t>
      </w:r>
      <w:r w:rsidRPr="0063119B">
        <w:rPr>
          <w:noProof/>
          <w:szCs w:val="22"/>
        </w:rPr>
        <w:noBreakHyphen/>
        <w:t>P, originou um aumento de 1,3 vezes da média da AUC e da C</w:t>
      </w:r>
      <w:r w:rsidRPr="0063119B">
        <w:rPr>
          <w:noProof/>
          <w:szCs w:val="22"/>
          <w:vertAlign w:val="subscript"/>
        </w:rPr>
        <w:t>max</w:t>
      </w:r>
      <w:r w:rsidRPr="0063119B">
        <w:rPr>
          <w:noProof/>
          <w:szCs w:val="22"/>
        </w:rPr>
        <w:t xml:space="preserve"> do rivaroxabano. </w:t>
      </w:r>
      <w:r w:rsidR="005E7788" w:rsidRPr="0063119B">
        <w:rPr>
          <w:szCs w:val="22"/>
        </w:rPr>
        <w:t>Provavelmente, a</w:t>
      </w:r>
      <w:r w:rsidR="005E7788" w:rsidRPr="0063119B">
        <w:rPr>
          <w:noProof/>
          <w:szCs w:val="22"/>
        </w:rPr>
        <w:t xml:space="preserve"> interação com a eritromicina não é clinicamente relevante na maioria dos doentes, mas pode ser potencialmente significativa em doentes de alto risco</w:t>
      </w:r>
      <w:r w:rsidRPr="0063119B">
        <w:rPr>
          <w:noProof/>
          <w:szCs w:val="22"/>
        </w:rPr>
        <w:t>.</w:t>
      </w:r>
    </w:p>
    <w:p w14:paraId="2118FEC4" w14:textId="77777777" w:rsidR="004A24BC" w:rsidRPr="0063119B" w:rsidRDefault="004A24BC" w:rsidP="004A24BC">
      <w:pPr>
        <w:suppressAutoHyphens/>
        <w:rPr>
          <w:noProof/>
          <w:szCs w:val="22"/>
        </w:rPr>
      </w:pPr>
      <w:r w:rsidRPr="0063119B">
        <w:rPr>
          <w:noProof/>
          <w:szCs w:val="22"/>
        </w:rPr>
        <w:t>A eritromicina (500 mg três vezes ao dia) originou um aumento de 1,8 vezes da média da AUC do rivaroxabano e de 1,6 vezes da C</w:t>
      </w:r>
      <w:r w:rsidRPr="0063119B">
        <w:rPr>
          <w:noProof/>
          <w:szCs w:val="22"/>
          <w:vertAlign w:val="subscript"/>
        </w:rPr>
        <w:t>max</w:t>
      </w:r>
      <w:r w:rsidRPr="0063119B">
        <w:rPr>
          <w:noProof/>
          <w:szCs w:val="22"/>
        </w:rPr>
        <w:t xml:space="preserve"> em indivíduos com </w:t>
      </w:r>
      <w:r w:rsidR="00B70ADD" w:rsidRPr="0063119B">
        <w:rPr>
          <w:noProof/>
          <w:szCs w:val="22"/>
        </w:rPr>
        <w:t>compromisso renal ligeiro</w:t>
      </w:r>
      <w:r w:rsidRPr="0063119B">
        <w:rPr>
          <w:noProof/>
          <w:szCs w:val="22"/>
        </w:rPr>
        <w:t xml:space="preserve"> quando comparados com indivíduos com função renal normal. Em indivíduos com </w:t>
      </w:r>
      <w:r w:rsidR="00B70ADD" w:rsidRPr="0063119B">
        <w:rPr>
          <w:noProof/>
          <w:szCs w:val="22"/>
        </w:rPr>
        <w:t>compromisso renal moderado</w:t>
      </w:r>
      <w:r w:rsidRPr="0063119B">
        <w:rPr>
          <w:noProof/>
          <w:szCs w:val="22"/>
        </w:rPr>
        <w:t>, a eritromicina originou um aumento de 2</w:t>
      </w:r>
      <w:r w:rsidR="002801F3" w:rsidRPr="0063119B">
        <w:rPr>
          <w:noProof/>
          <w:szCs w:val="22"/>
        </w:rPr>
        <w:t>,0</w:t>
      </w:r>
      <w:r w:rsidRPr="0063119B">
        <w:rPr>
          <w:noProof/>
          <w:szCs w:val="22"/>
        </w:rPr>
        <w:t> vezes da média da AUC do rivaroxabano e de 1,6 vezes na C</w:t>
      </w:r>
      <w:r w:rsidRPr="0063119B">
        <w:rPr>
          <w:noProof/>
          <w:szCs w:val="22"/>
          <w:vertAlign w:val="subscript"/>
        </w:rPr>
        <w:t>max</w:t>
      </w:r>
      <w:r w:rsidRPr="0063119B">
        <w:rPr>
          <w:noProof/>
          <w:szCs w:val="22"/>
        </w:rPr>
        <w:t xml:space="preserve"> quando comparados com indivíduos com função renal normal</w:t>
      </w:r>
      <w:r w:rsidR="00045030" w:rsidRPr="0063119B">
        <w:rPr>
          <w:noProof/>
          <w:szCs w:val="22"/>
        </w:rPr>
        <w:t>. O efeito da eritromicina é aditivo ao do compromisso renal</w:t>
      </w:r>
      <w:r w:rsidRPr="0063119B">
        <w:rPr>
          <w:noProof/>
          <w:szCs w:val="22"/>
        </w:rPr>
        <w:t xml:space="preserve"> (ver secção 4.4).</w:t>
      </w:r>
    </w:p>
    <w:p w14:paraId="56F25CCD" w14:textId="77777777" w:rsidR="00337111" w:rsidRPr="0063119B" w:rsidRDefault="00337111" w:rsidP="00337111">
      <w:pPr>
        <w:suppressAutoHyphens/>
        <w:rPr>
          <w:noProof/>
          <w:szCs w:val="22"/>
        </w:rPr>
      </w:pPr>
    </w:p>
    <w:p w14:paraId="2ADEF5C5" w14:textId="77777777" w:rsidR="00337111" w:rsidRPr="0063119B" w:rsidRDefault="00337111" w:rsidP="00337111">
      <w:pPr>
        <w:suppressAutoHyphens/>
        <w:rPr>
          <w:szCs w:val="22"/>
        </w:rPr>
      </w:pPr>
      <w:r w:rsidRPr="0063119B">
        <w:rPr>
          <w:szCs w:val="22"/>
        </w:rPr>
        <w:t>O fluconazol (400 mg uma vez por dia) considerado como um inibidor moderado da CYP3A4, originou um aumento de 1,4 vezes da AUC média do rivaroxabano e um aumento de 1,3 vezes da C</w:t>
      </w:r>
      <w:r w:rsidRPr="0063119B">
        <w:rPr>
          <w:szCs w:val="22"/>
          <w:vertAlign w:val="subscript"/>
        </w:rPr>
        <w:t>max</w:t>
      </w:r>
      <w:r w:rsidRPr="0063119B">
        <w:rPr>
          <w:szCs w:val="22"/>
        </w:rPr>
        <w:t xml:space="preserve"> média. </w:t>
      </w:r>
      <w:r w:rsidR="005E7788" w:rsidRPr="0063119B">
        <w:rPr>
          <w:szCs w:val="22"/>
        </w:rPr>
        <w:t>Provavelmente, a</w:t>
      </w:r>
      <w:r w:rsidR="005E7788" w:rsidRPr="0063119B">
        <w:rPr>
          <w:noProof/>
          <w:szCs w:val="22"/>
        </w:rPr>
        <w:t xml:space="preserve"> interação com o fluconazol não é clinicamente relevante na maioria dos doentes, mas pode ser potencialmente significativa em doentes de alto risco</w:t>
      </w:r>
      <w:r w:rsidR="005E7788" w:rsidRPr="0063119B" w:rsidDel="009934BB">
        <w:rPr>
          <w:noProof/>
          <w:szCs w:val="22"/>
        </w:rPr>
        <w:t xml:space="preserve"> </w:t>
      </w:r>
      <w:r w:rsidR="00045030" w:rsidRPr="0063119B">
        <w:rPr>
          <w:szCs w:val="22"/>
        </w:rPr>
        <w:t xml:space="preserve"> </w:t>
      </w:r>
      <w:r w:rsidR="00062696" w:rsidRPr="0063119B">
        <w:rPr>
          <w:szCs w:val="22"/>
        </w:rPr>
        <w:t>(para</w:t>
      </w:r>
      <w:r w:rsidR="00045030" w:rsidRPr="0063119B">
        <w:rPr>
          <w:szCs w:val="22"/>
        </w:rPr>
        <w:t xml:space="preserve"> doentes com compromisso renal</w:t>
      </w:r>
      <w:r w:rsidR="00062696" w:rsidRPr="0063119B">
        <w:rPr>
          <w:szCs w:val="22"/>
        </w:rPr>
        <w:t>:</w:t>
      </w:r>
      <w:r w:rsidR="00045030" w:rsidRPr="0063119B">
        <w:rPr>
          <w:szCs w:val="22"/>
        </w:rPr>
        <w:t xml:space="preserve"> ver secção 4.4). </w:t>
      </w:r>
    </w:p>
    <w:p w14:paraId="4687637A" w14:textId="77777777" w:rsidR="00337111" w:rsidRPr="0063119B" w:rsidRDefault="00337111" w:rsidP="00337111">
      <w:pPr>
        <w:suppressAutoHyphens/>
        <w:rPr>
          <w:noProof/>
          <w:szCs w:val="22"/>
        </w:rPr>
      </w:pPr>
      <w:r w:rsidRPr="0063119B">
        <w:rPr>
          <w:noProof/>
          <w:szCs w:val="22"/>
        </w:rPr>
        <w:br/>
        <w:t>Face aos dados clínicos disponíveis com dronedarona serem limitados, a coadministração com rivaroxabano deve ser evitada</w:t>
      </w:r>
      <w:r w:rsidRPr="0063119B" w:rsidDel="00E00B61">
        <w:rPr>
          <w:noProof/>
          <w:szCs w:val="22"/>
        </w:rPr>
        <w:t xml:space="preserve"> </w:t>
      </w:r>
    </w:p>
    <w:p w14:paraId="53002226" w14:textId="77777777" w:rsidR="00337111" w:rsidRPr="0063119B" w:rsidRDefault="00337111" w:rsidP="00337111">
      <w:pPr>
        <w:suppressAutoHyphens/>
        <w:rPr>
          <w:i/>
          <w:noProof/>
          <w:szCs w:val="22"/>
          <w:u w:val="single"/>
        </w:rPr>
      </w:pPr>
    </w:p>
    <w:p w14:paraId="472AFC0C" w14:textId="77777777" w:rsidR="006A2CEB" w:rsidRDefault="00337111" w:rsidP="00337111">
      <w:pPr>
        <w:suppressAutoHyphens/>
        <w:rPr>
          <w:noProof/>
          <w:szCs w:val="22"/>
          <w:u w:val="single"/>
        </w:rPr>
      </w:pPr>
      <w:r w:rsidRPr="0063119B">
        <w:rPr>
          <w:noProof/>
          <w:szCs w:val="22"/>
          <w:u w:val="single"/>
        </w:rPr>
        <w:t xml:space="preserve">Anticoagulantes </w:t>
      </w:r>
    </w:p>
    <w:p w14:paraId="571435F2" w14:textId="77777777" w:rsidR="00337111" w:rsidRPr="0063119B" w:rsidRDefault="00337111" w:rsidP="00337111">
      <w:pPr>
        <w:suppressAutoHyphens/>
        <w:rPr>
          <w:noProof/>
          <w:szCs w:val="22"/>
        </w:rPr>
      </w:pPr>
      <w:r w:rsidRPr="0063119B">
        <w:rPr>
          <w:noProof/>
          <w:szCs w:val="22"/>
          <w:u w:val="single"/>
        </w:rPr>
        <w:br/>
      </w:r>
      <w:r w:rsidRPr="0063119B">
        <w:rPr>
          <w:noProof/>
          <w:szCs w:val="22"/>
        </w:rPr>
        <w:t>Após a administração combinada de enoxaparina (dose única de 40 mg) com rivaroxabano (dose única de 10 mg), foi observado um efeito aditivo sobre a atividade do antifator</w:t>
      </w:r>
      <w:r w:rsidR="008312D7" w:rsidRPr="0063119B">
        <w:rPr>
          <w:noProof/>
          <w:szCs w:val="22"/>
        </w:rPr>
        <w:t xml:space="preserve"> </w:t>
      </w:r>
      <w:r w:rsidRPr="0063119B">
        <w:rPr>
          <w:noProof/>
          <w:szCs w:val="22"/>
        </w:rPr>
        <w:t>Xa, sem quaisquer efeitos adicionais sobre os testes de coagulação (TP, aPTT). A enoxaparina não afetou as propriedades farmacocinéticas do rivaroxabano.</w:t>
      </w:r>
    </w:p>
    <w:p w14:paraId="3D6659BC" w14:textId="77777777" w:rsidR="00337111" w:rsidRPr="0063119B" w:rsidRDefault="00337111" w:rsidP="00337111">
      <w:pPr>
        <w:suppressAutoHyphens/>
        <w:rPr>
          <w:noProof/>
          <w:szCs w:val="22"/>
        </w:rPr>
      </w:pPr>
      <w:r w:rsidRPr="0063119B">
        <w:rPr>
          <w:noProof/>
          <w:szCs w:val="22"/>
        </w:rPr>
        <w:t xml:space="preserve">Devido ao </w:t>
      </w:r>
      <w:r w:rsidR="001C09A3" w:rsidRPr="0063119B">
        <w:rPr>
          <w:noProof/>
          <w:szCs w:val="22"/>
        </w:rPr>
        <w:t xml:space="preserve">risco </w:t>
      </w:r>
      <w:r w:rsidRPr="0063119B">
        <w:rPr>
          <w:noProof/>
          <w:szCs w:val="22"/>
        </w:rPr>
        <w:t>aument</w:t>
      </w:r>
      <w:r w:rsidR="001C09A3" w:rsidRPr="0063119B">
        <w:rPr>
          <w:noProof/>
          <w:szCs w:val="22"/>
        </w:rPr>
        <w:t>ad</w:t>
      </w:r>
      <w:r w:rsidRPr="0063119B">
        <w:rPr>
          <w:noProof/>
          <w:szCs w:val="22"/>
        </w:rPr>
        <w:t>o de hemorragia, deve ter</w:t>
      </w:r>
      <w:r w:rsidRPr="0063119B">
        <w:rPr>
          <w:noProof/>
          <w:szCs w:val="22"/>
        </w:rPr>
        <w:noBreakHyphen/>
        <w:t>se precaução se os doentes são tratados concomitantemente com quaisquer outros anticoagulantes (ver secções 4.3 e 4.4).</w:t>
      </w:r>
    </w:p>
    <w:p w14:paraId="1A8D4C74" w14:textId="77777777" w:rsidR="00337111" w:rsidRPr="0063119B" w:rsidRDefault="00337111" w:rsidP="00337111">
      <w:pPr>
        <w:suppressAutoHyphens/>
        <w:rPr>
          <w:noProof/>
          <w:szCs w:val="22"/>
        </w:rPr>
      </w:pPr>
    </w:p>
    <w:p w14:paraId="39BAB8BC" w14:textId="77777777" w:rsidR="00337111" w:rsidRDefault="00337111" w:rsidP="00337111">
      <w:pPr>
        <w:keepNext/>
        <w:suppressAutoHyphens/>
        <w:rPr>
          <w:noProof/>
          <w:szCs w:val="22"/>
          <w:u w:val="single"/>
        </w:rPr>
      </w:pPr>
      <w:r w:rsidRPr="0063119B">
        <w:rPr>
          <w:noProof/>
          <w:szCs w:val="22"/>
          <w:u w:val="single"/>
        </w:rPr>
        <w:t>AINEs/inibidores da agregação plaquetária</w:t>
      </w:r>
    </w:p>
    <w:p w14:paraId="4B4DDFC9" w14:textId="77777777" w:rsidR="006A2CEB" w:rsidRPr="0063119B" w:rsidRDefault="006A2CEB" w:rsidP="00337111">
      <w:pPr>
        <w:keepNext/>
        <w:suppressAutoHyphens/>
        <w:rPr>
          <w:noProof/>
          <w:szCs w:val="22"/>
          <w:u w:val="single"/>
        </w:rPr>
      </w:pPr>
    </w:p>
    <w:p w14:paraId="058EF38C" w14:textId="77777777" w:rsidR="00337111" w:rsidRPr="0063119B" w:rsidRDefault="00337111" w:rsidP="00A9161F">
      <w:pPr>
        <w:suppressAutoHyphens/>
        <w:rPr>
          <w:noProof/>
          <w:szCs w:val="22"/>
        </w:rPr>
      </w:pPr>
      <w:r w:rsidRPr="0063119B">
        <w:rPr>
          <w:noProof/>
          <w:szCs w:val="22"/>
        </w:rPr>
        <w:t>Não foi observado nenhum prolongamento, clinicamente relevante, do tempo de hemorragia, após a administração concomitante de rivaroxabano (15 mg) e de 500 mg de naproxeno. Contudo, poderão existir indivíduos com uma resposta farmacodinâmica mais pronunciada.</w:t>
      </w:r>
    </w:p>
    <w:p w14:paraId="5821E6F3" w14:textId="77777777" w:rsidR="00337111" w:rsidRPr="0063119B" w:rsidRDefault="00337111" w:rsidP="00A9161F">
      <w:pPr>
        <w:suppressAutoHyphens/>
        <w:rPr>
          <w:noProof/>
          <w:szCs w:val="22"/>
        </w:rPr>
      </w:pPr>
      <w:r w:rsidRPr="0063119B">
        <w:rPr>
          <w:noProof/>
          <w:szCs w:val="22"/>
        </w:rPr>
        <w:lastRenderedPageBreak/>
        <w:t xml:space="preserve">Não foram observadas interações farmacocinéticas nem farmacodinâmicas clinicamente </w:t>
      </w:r>
      <w:r w:rsidRPr="0063119B">
        <w:rPr>
          <w:noProof/>
          <w:szCs w:val="22"/>
        </w:rPr>
        <w:br/>
        <w:t>significativas quando rivaroxabano foi coadministrado com 500 mg de ácido acetilsalicílico.</w:t>
      </w:r>
    </w:p>
    <w:p w14:paraId="27A5CEBF" w14:textId="77777777" w:rsidR="00337111" w:rsidRPr="0063119B" w:rsidRDefault="00337111" w:rsidP="00A9161F">
      <w:pPr>
        <w:suppressAutoHyphens/>
        <w:rPr>
          <w:noProof/>
          <w:szCs w:val="22"/>
        </w:rPr>
      </w:pPr>
      <w:r w:rsidRPr="0063119B">
        <w:rPr>
          <w:noProof/>
          <w:szCs w:val="22"/>
        </w:rPr>
        <w:t>O clopidogrel (dose de carga de 300 mg, seguida da dose de manutenção de 75 mg) não mostrou nenhuma interação farmacocinética com o rivaroxabano (15 mg), contudo, foi observado um aumento relevante no tempo de hemorragia num subgrupo de doentes não correlacionado com a agregação plaquetária, nem com os níveis de P</w:t>
      </w:r>
      <w:r w:rsidRPr="0063119B">
        <w:rPr>
          <w:noProof/>
          <w:szCs w:val="22"/>
        </w:rPr>
        <w:noBreakHyphen/>
        <w:t>selectina ou dos recetores GPIIb/IIIa.</w:t>
      </w:r>
    </w:p>
    <w:p w14:paraId="1EF94064" w14:textId="77777777" w:rsidR="00337111" w:rsidRPr="0063119B" w:rsidRDefault="00337111" w:rsidP="00A9161F">
      <w:pPr>
        <w:suppressAutoHyphens/>
        <w:rPr>
          <w:noProof/>
          <w:szCs w:val="22"/>
        </w:rPr>
      </w:pPr>
      <w:r w:rsidRPr="0063119B">
        <w:rPr>
          <w:noProof/>
          <w:szCs w:val="22"/>
        </w:rPr>
        <w:t>Deve ter</w:t>
      </w:r>
      <w:r w:rsidRPr="0063119B">
        <w:rPr>
          <w:noProof/>
          <w:szCs w:val="22"/>
        </w:rPr>
        <w:noBreakHyphen/>
        <w:t>se precaução nos doentes tratados concomitantemente com AINEs (incluindo ácido acetilsalicílico) e inibidores da agregação plaquetária, porque estes medicamentos aumentam, normalmente, o risco de hemorragia (ver secção 4.4).</w:t>
      </w:r>
    </w:p>
    <w:p w14:paraId="5B280F59" w14:textId="77777777" w:rsidR="00337111" w:rsidRPr="0063119B" w:rsidRDefault="00337111" w:rsidP="00A9161F">
      <w:pPr>
        <w:suppressAutoHyphens/>
        <w:rPr>
          <w:noProof/>
          <w:szCs w:val="22"/>
        </w:rPr>
      </w:pPr>
    </w:p>
    <w:p w14:paraId="2AE1AD10" w14:textId="77777777" w:rsidR="005450DB" w:rsidRDefault="005450DB" w:rsidP="005450DB">
      <w:pPr>
        <w:rPr>
          <w:szCs w:val="22"/>
          <w:u w:val="single"/>
        </w:rPr>
      </w:pPr>
      <w:r w:rsidRPr="0063119B">
        <w:rPr>
          <w:szCs w:val="22"/>
          <w:u w:val="single"/>
        </w:rPr>
        <w:t>ISRS/IRSN</w:t>
      </w:r>
    </w:p>
    <w:p w14:paraId="2EB90F96" w14:textId="77777777" w:rsidR="006A2CEB" w:rsidRPr="0063119B" w:rsidRDefault="006A2CEB" w:rsidP="005450DB">
      <w:pPr>
        <w:rPr>
          <w:szCs w:val="22"/>
          <w:u w:val="single"/>
        </w:rPr>
      </w:pPr>
    </w:p>
    <w:p w14:paraId="0C97BFFE" w14:textId="77777777" w:rsidR="005450DB" w:rsidRPr="0063119B" w:rsidRDefault="005450DB" w:rsidP="005450DB">
      <w:pPr>
        <w:suppressAutoHyphens/>
        <w:rPr>
          <w:szCs w:val="22"/>
        </w:rPr>
      </w:pPr>
      <w:r w:rsidRPr="0063119B">
        <w:rPr>
          <w:szCs w:val="22"/>
        </w:rPr>
        <w:t>Assim como com outros anticoagulantes, poderá existir a possibilidade dos doentes apresentarem um maior risco de hemorragia em caso de utilização concomitante com ISRS ou IRSN, devido ao seu efeito relatado sobre as plaquetas. Quando utilizados concomitantemente no programa clínico do rivaroxabano, observaram-se taxas numericamente superiores de hemorragias</w:t>
      </w:r>
      <w:r w:rsidR="00DE537C" w:rsidRPr="0063119B">
        <w:rPr>
          <w:szCs w:val="22"/>
        </w:rPr>
        <w:t xml:space="preserve"> </w:t>
      </w:r>
      <w:r w:rsidR="00417496" w:rsidRPr="0063119B">
        <w:rPr>
          <w:szCs w:val="22"/>
        </w:rPr>
        <w:t>principais</w:t>
      </w:r>
      <w:r w:rsidRPr="0063119B">
        <w:rPr>
          <w:szCs w:val="22"/>
        </w:rPr>
        <w:t xml:space="preserve"> ou não </w:t>
      </w:r>
      <w:r w:rsidR="00417496" w:rsidRPr="0063119B">
        <w:rPr>
          <w:szCs w:val="22"/>
        </w:rPr>
        <w:t>principais</w:t>
      </w:r>
      <w:r w:rsidRPr="0063119B">
        <w:rPr>
          <w:szCs w:val="22"/>
        </w:rPr>
        <w:t>, clinicamente relevantes, em todos os grupos de tratamento.</w:t>
      </w:r>
    </w:p>
    <w:p w14:paraId="34AD263A" w14:textId="77777777" w:rsidR="005450DB" w:rsidRPr="0063119B" w:rsidRDefault="005450DB" w:rsidP="005450DB">
      <w:pPr>
        <w:suppressAutoHyphens/>
        <w:rPr>
          <w:noProof/>
          <w:szCs w:val="22"/>
        </w:rPr>
      </w:pPr>
    </w:p>
    <w:p w14:paraId="71A04653" w14:textId="77777777" w:rsidR="00337111" w:rsidRDefault="00337111" w:rsidP="003311FD">
      <w:pPr>
        <w:keepNext/>
        <w:rPr>
          <w:szCs w:val="22"/>
          <w:u w:val="single"/>
        </w:rPr>
      </w:pPr>
      <w:r w:rsidRPr="0063119B">
        <w:rPr>
          <w:szCs w:val="22"/>
          <w:u w:val="single"/>
        </w:rPr>
        <w:t>Varfarina</w:t>
      </w:r>
    </w:p>
    <w:p w14:paraId="2CB6D464" w14:textId="77777777" w:rsidR="006A2CEB" w:rsidRPr="0063119B" w:rsidRDefault="006A2CEB" w:rsidP="003311FD">
      <w:pPr>
        <w:keepNext/>
        <w:rPr>
          <w:szCs w:val="22"/>
        </w:rPr>
      </w:pPr>
    </w:p>
    <w:p w14:paraId="7CFECC14" w14:textId="77777777" w:rsidR="00337111" w:rsidRPr="0063119B" w:rsidRDefault="00337111" w:rsidP="00337111">
      <w:pPr>
        <w:tabs>
          <w:tab w:val="left" w:pos="1080"/>
        </w:tabs>
        <w:autoSpaceDE w:val="0"/>
        <w:autoSpaceDN w:val="0"/>
        <w:adjustRightInd w:val="0"/>
        <w:rPr>
          <w:szCs w:val="22"/>
        </w:rPr>
      </w:pPr>
      <w:r w:rsidRPr="0063119B">
        <w:rPr>
          <w:szCs w:val="22"/>
        </w:rPr>
        <w:t>A passagem de doentes da varfarina, um antagonista da vitamina K (INR 2,0 a 3,0), para rivaroxabano (20 mg) ou de rivaroxabano (20 mg) para varfarina (INR 2,0 a 3,0) aumentou o tempo de protrombina/INR (Neoplastin) de forma mais do que aditiva (podem observar</w:t>
      </w:r>
      <w:r w:rsidRPr="0063119B">
        <w:rPr>
          <w:szCs w:val="22"/>
        </w:rPr>
        <w:noBreakHyphen/>
        <w:t>se valores individuais do INR até 12), enquanto que os efeitos sobre o aPTT, a inibição da atividade do fator Xa e o potencial da trombina endógena foram aditivos.</w:t>
      </w:r>
    </w:p>
    <w:p w14:paraId="55E80D9B" w14:textId="77777777" w:rsidR="00337111" w:rsidRPr="0063119B" w:rsidRDefault="00337111" w:rsidP="00337111">
      <w:pPr>
        <w:tabs>
          <w:tab w:val="left" w:pos="1080"/>
        </w:tabs>
        <w:autoSpaceDE w:val="0"/>
        <w:autoSpaceDN w:val="0"/>
        <w:adjustRightInd w:val="0"/>
        <w:rPr>
          <w:szCs w:val="22"/>
        </w:rPr>
      </w:pPr>
      <w:r w:rsidRPr="0063119B">
        <w:rPr>
          <w:szCs w:val="22"/>
        </w:rPr>
        <w:t>Se se desejar testar os efeitos farmacodinâmicos do rivaroxabano durante o período de passagem, podem utilizar</w:t>
      </w:r>
      <w:r w:rsidRPr="0063119B">
        <w:rPr>
          <w:szCs w:val="22"/>
        </w:rPr>
        <w:noBreakHyphen/>
        <w:t>se a atividade antifator Xa, PiCT e Heptest dado que estes testes não foram afetados pela varfarina. No quarto dia após a última dose de varfarina, todos os testes (incluindo TP, aPTT, inibição da atividade do fator Xa e PTE) refletiram apenas o efeito do rivaroxabano.</w:t>
      </w:r>
    </w:p>
    <w:p w14:paraId="425ED457" w14:textId="77777777" w:rsidR="00337111" w:rsidRPr="0063119B" w:rsidRDefault="00337111" w:rsidP="00337111">
      <w:pPr>
        <w:autoSpaceDE w:val="0"/>
        <w:autoSpaceDN w:val="0"/>
        <w:adjustRightInd w:val="0"/>
        <w:rPr>
          <w:szCs w:val="22"/>
        </w:rPr>
      </w:pPr>
      <w:r w:rsidRPr="0063119B">
        <w:rPr>
          <w:szCs w:val="22"/>
        </w:rPr>
        <w:t>Se se desejar testar os efeitos farmacodinâmicos da varfarina durante o período de passagem, pode utilizar</w:t>
      </w:r>
      <w:r w:rsidRPr="0063119B">
        <w:rPr>
          <w:szCs w:val="22"/>
        </w:rPr>
        <w:noBreakHyphen/>
        <w:t>se a determinação do INR na C</w:t>
      </w:r>
      <w:r w:rsidRPr="0063119B">
        <w:rPr>
          <w:szCs w:val="22"/>
          <w:vertAlign w:val="subscript"/>
        </w:rPr>
        <w:t>min</w:t>
      </w:r>
      <w:r w:rsidRPr="0063119B">
        <w:rPr>
          <w:szCs w:val="22"/>
        </w:rPr>
        <w:t xml:space="preserve"> do rivaroxabano (24 horas após a toma anterior de rivaroxabano) dado que este teste é minimamente afetado pelo rivaroxabano neste ponto.</w:t>
      </w:r>
    </w:p>
    <w:p w14:paraId="4B04F010" w14:textId="77777777" w:rsidR="00337111" w:rsidRPr="0063119B" w:rsidRDefault="00337111" w:rsidP="00337111">
      <w:pPr>
        <w:autoSpaceDE w:val="0"/>
        <w:autoSpaceDN w:val="0"/>
        <w:adjustRightInd w:val="0"/>
        <w:rPr>
          <w:szCs w:val="22"/>
        </w:rPr>
      </w:pPr>
      <w:r w:rsidRPr="0063119B">
        <w:rPr>
          <w:szCs w:val="22"/>
        </w:rPr>
        <w:t>Não se observaram interações farmacocinéticas entre a varfarina e o rivaroxabano.</w:t>
      </w:r>
    </w:p>
    <w:p w14:paraId="177A6337" w14:textId="77777777" w:rsidR="00B316E9" w:rsidRPr="0063119B" w:rsidRDefault="00B316E9" w:rsidP="00337111">
      <w:pPr>
        <w:autoSpaceDE w:val="0"/>
        <w:autoSpaceDN w:val="0"/>
        <w:adjustRightInd w:val="0"/>
        <w:rPr>
          <w:i/>
          <w:szCs w:val="22"/>
          <w:u w:val="single"/>
        </w:rPr>
      </w:pPr>
    </w:p>
    <w:p w14:paraId="4D3D00CF" w14:textId="77777777" w:rsidR="00337111" w:rsidRDefault="00337111" w:rsidP="00B316E9">
      <w:pPr>
        <w:keepNext/>
        <w:suppressAutoHyphens/>
        <w:rPr>
          <w:noProof/>
          <w:szCs w:val="22"/>
          <w:u w:val="single"/>
        </w:rPr>
      </w:pPr>
      <w:r w:rsidRPr="0063119B">
        <w:rPr>
          <w:noProof/>
          <w:szCs w:val="22"/>
          <w:u w:val="single"/>
        </w:rPr>
        <w:t>Indutores do CYP3A4</w:t>
      </w:r>
    </w:p>
    <w:p w14:paraId="3854D825" w14:textId="77777777" w:rsidR="006A2CEB" w:rsidRPr="0063119B" w:rsidRDefault="006A2CEB" w:rsidP="00B316E9">
      <w:pPr>
        <w:keepNext/>
        <w:suppressAutoHyphens/>
        <w:rPr>
          <w:noProof/>
          <w:szCs w:val="22"/>
          <w:u w:val="single"/>
        </w:rPr>
      </w:pPr>
    </w:p>
    <w:p w14:paraId="29F4E034" w14:textId="77777777" w:rsidR="00337111" w:rsidRPr="0063119B" w:rsidRDefault="00337111" w:rsidP="00B316E9">
      <w:pPr>
        <w:keepNext/>
        <w:suppressAutoHyphens/>
        <w:rPr>
          <w:noProof/>
          <w:szCs w:val="22"/>
        </w:rPr>
      </w:pPr>
      <w:r w:rsidRPr="0063119B">
        <w:rPr>
          <w:noProof/>
          <w:szCs w:val="22"/>
        </w:rPr>
        <w:t>A coadministração de rivaroxabano com rifampicina, um potente indutor do CYP3A4, originou uma diminuição aproximada de 50% da média da AUC do rivaroxabano, com diminuições paralelas nos seus efeitos farmacodinâmicos. O uso concomitante de rivaroxabano com outros indutores potentes do CYP3A4 (ex.: fenitoína, carbamazepina, fenobarbital ou hipericão</w:t>
      </w:r>
      <w:r w:rsidR="00E42985" w:rsidRPr="0063119B">
        <w:rPr>
          <w:noProof/>
          <w:szCs w:val="22"/>
        </w:rPr>
        <w:t xml:space="preserve"> </w:t>
      </w:r>
      <w:r w:rsidR="00E42985" w:rsidRPr="0063119B">
        <w:rPr>
          <w:szCs w:val="22"/>
        </w:rPr>
        <w:t>(</w:t>
      </w:r>
      <w:r w:rsidR="00E42985" w:rsidRPr="0063119B">
        <w:rPr>
          <w:i/>
          <w:szCs w:val="22"/>
        </w:rPr>
        <w:t>Hypericum perforatum</w:t>
      </w:r>
      <w:r w:rsidR="00E42985" w:rsidRPr="0063119B">
        <w:rPr>
          <w:szCs w:val="22"/>
        </w:rPr>
        <w:t>)</w:t>
      </w:r>
      <w:r w:rsidRPr="0063119B">
        <w:rPr>
          <w:noProof/>
          <w:szCs w:val="22"/>
        </w:rPr>
        <w:t xml:space="preserve">) pode originar também a redução das concentrações plasmáticas do rivaroxabano. </w:t>
      </w:r>
      <w:r w:rsidR="002B55ED" w:rsidRPr="0063119B">
        <w:rPr>
          <w:noProof/>
          <w:szCs w:val="22"/>
        </w:rPr>
        <w:t>Por este motivo, a administração concomitante de</w:t>
      </w:r>
      <w:r w:rsidRPr="0063119B">
        <w:rPr>
          <w:noProof/>
          <w:szCs w:val="22"/>
        </w:rPr>
        <w:t xml:space="preserve"> indutores potentes do CYP3A4 deve se</w:t>
      </w:r>
      <w:r w:rsidR="0037518B" w:rsidRPr="0063119B">
        <w:rPr>
          <w:noProof/>
          <w:szCs w:val="22"/>
        </w:rPr>
        <w:t>r</w:t>
      </w:r>
      <w:r w:rsidRPr="0063119B">
        <w:rPr>
          <w:noProof/>
          <w:szCs w:val="22"/>
        </w:rPr>
        <w:t xml:space="preserve"> </w:t>
      </w:r>
      <w:r w:rsidR="00F152F2" w:rsidRPr="0063119B">
        <w:rPr>
          <w:noProof/>
          <w:szCs w:val="22"/>
        </w:rPr>
        <w:t>evitad</w:t>
      </w:r>
      <w:r w:rsidR="0037518B" w:rsidRPr="0063119B">
        <w:rPr>
          <w:noProof/>
          <w:szCs w:val="22"/>
        </w:rPr>
        <w:t>a</w:t>
      </w:r>
      <w:r w:rsidR="00F152F2" w:rsidRPr="0063119B">
        <w:rPr>
          <w:noProof/>
          <w:szCs w:val="22"/>
        </w:rPr>
        <w:t xml:space="preserve"> a menos que o doente seja observado atentamente quanto a sinais e sintomas de trombose</w:t>
      </w:r>
      <w:r w:rsidRPr="0063119B">
        <w:rPr>
          <w:noProof/>
          <w:szCs w:val="22"/>
        </w:rPr>
        <w:t>.</w:t>
      </w:r>
    </w:p>
    <w:p w14:paraId="3249FFC9" w14:textId="77777777" w:rsidR="00337111" w:rsidRPr="0063119B" w:rsidRDefault="00337111" w:rsidP="00337111">
      <w:pPr>
        <w:suppressAutoHyphens/>
        <w:rPr>
          <w:noProof/>
          <w:szCs w:val="22"/>
        </w:rPr>
      </w:pPr>
    </w:p>
    <w:p w14:paraId="5BE69424" w14:textId="77777777" w:rsidR="00337111" w:rsidRDefault="00337111" w:rsidP="00337111">
      <w:pPr>
        <w:suppressAutoHyphens/>
        <w:rPr>
          <w:noProof/>
          <w:szCs w:val="22"/>
          <w:u w:val="single"/>
        </w:rPr>
      </w:pPr>
      <w:r w:rsidRPr="0063119B">
        <w:rPr>
          <w:noProof/>
          <w:szCs w:val="22"/>
          <w:u w:val="single"/>
        </w:rPr>
        <w:t>Outros tratamentos concomitantes</w:t>
      </w:r>
    </w:p>
    <w:p w14:paraId="37CE05EA" w14:textId="77777777" w:rsidR="006A2CEB" w:rsidRPr="0063119B" w:rsidRDefault="006A2CEB" w:rsidP="00337111">
      <w:pPr>
        <w:suppressAutoHyphens/>
        <w:rPr>
          <w:noProof/>
          <w:szCs w:val="22"/>
          <w:u w:val="single"/>
        </w:rPr>
      </w:pPr>
    </w:p>
    <w:p w14:paraId="75C5BDDE" w14:textId="77777777" w:rsidR="00337111" w:rsidRPr="0063119B" w:rsidRDefault="00337111" w:rsidP="00337111">
      <w:pPr>
        <w:suppressAutoHyphens/>
        <w:rPr>
          <w:noProof/>
          <w:szCs w:val="22"/>
        </w:rPr>
      </w:pPr>
      <w:r w:rsidRPr="0063119B">
        <w:rPr>
          <w:noProof/>
          <w:szCs w:val="22"/>
        </w:rPr>
        <w:t>Não foram observadas interações farmacocinéticas ou farmacodinâmicas clinicamente relevantes quando o rivaroxabano foi coadministrado com midazolam (substrato do CYP3A4), digoxina (substrato da gp</w:t>
      </w:r>
      <w:r w:rsidRPr="0063119B">
        <w:rPr>
          <w:noProof/>
          <w:szCs w:val="22"/>
        </w:rPr>
        <w:noBreakHyphen/>
        <w:t>P), atorvastatina (substrato do CYP3A4 e da gp</w:t>
      </w:r>
      <w:r w:rsidRPr="0063119B">
        <w:rPr>
          <w:noProof/>
          <w:szCs w:val="22"/>
        </w:rPr>
        <w:noBreakHyphen/>
        <w:t>P) ou omeprazol (inibidor da bomba de protões). O rivaroxabano não inibe nem induz nenhuma isoforma importante do CYP, como o CYP3A4.</w:t>
      </w:r>
    </w:p>
    <w:p w14:paraId="3E11E203" w14:textId="77777777" w:rsidR="00337111" w:rsidRPr="0063119B" w:rsidRDefault="00337111" w:rsidP="00337111">
      <w:pPr>
        <w:suppressAutoHyphens/>
        <w:rPr>
          <w:noProof/>
          <w:szCs w:val="22"/>
        </w:rPr>
      </w:pPr>
    </w:p>
    <w:p w14:paraId="4F186A60" w14:textId="77777777" w:rsidR="00337111" w:rsidRDefault="00337111" w:rsidP="00337111">
      <w:pPr>
        <w:suppressAutoHyphens/>
        <w:rPr>
          <w:noProof/>
          <w:szCs w:val="22"/>
          <w:u w:val="single"/>
        </w:rPr>
      </w:pPr>
      <w:r w:rsidRPr="0063119B">
        <w:rPr>
          <w:noProof/>
          <w:szCs w:val="22"/>
          <w:u w:val="single"/>
        </w:rPr>
        <w:t>Parâmetros laboratoriais</w:t>
      </w:r>
    </w:p>
    <w:p w14:paraId="76B5C42E" w14:textId="77777777" w:rsidR="006A2CEB" w:rsidRPr="0063119B" w:rsidRDefault="006A2CEB" w:rsidP="00337111">
      <w:pPr>
        <w:suppressAutoHyphens/>
        <w:rPr>
          <w:noProof/>
          <w:szCs w:val="22"/>
          <w:u w:val="single"/>
        </w:rPr>
      </w:pPr>
    </w:p>
    <w:p w14:paraId="36341AB6" w14:textId="77777777" w:rsidR="00337111" w:rsidRPr="0063119B" w:rsidRDefault="00337111" w:rsidP="00337111">
      <w:pPr>
        <w:suppressAutoHyphens/>
        <w:rPr>
          <w:noProof/>
          <w:szCs w:val="22"/>
        </w:rPr>
      </w:pPr>
      <w:r w:rsidRPr="0063119B">
        <w:rPr>
          <w:noProof/>
          <w:szCs w:val="22"/>
        </w:rPr>
        <w:t>Os parâmetros de coagulação (ex.: TP, aPTT, HepTest) são afetados conforme esperado pelo modo de ação do rivaroxabano (ver secção 5.1).</w:t>
      </w:r>
    </w:p>
    <w:p w14:paraId="07F197A8" w14:textId="77777777" w:rsidR="00337111" w:rsidRPr="0063119B" w:rsidRDefault="00337111" w:rsidP="00337111">
      <w:pPr>
        <w:suppressAutoHyphens/>
        <w:ind w:left="567" w:hanging="567"/>
        <w:rPr>
          <w:b/>
          <w:noProof/>
          <w:szCs w:val="22"/>
        </w:rPr>
      </w:pPr>
    </w:p>
    <w:p w14:paraId="5A53ABD8" w14:textId="77777777" w:rsidR="00337111" w:rsidRPr="0063119B" w:rsidRDefault="00337111" w:rsidP="00337111">
      <w:pPr>
        <w:keepNext/>
        <w:suppressAutoHyphens/>
        <w:ind w:left="567" w:hanging="567"/>
        <w:rPr>
          <w:b/>
          <w:noProof/>
          <w:szCs w:val="22"/>
        </w:rPr>
      </w:pPr>
      <w:r w:rsidRPr="0063119B">
        <w:rPr>
          <w:b/>
          <w:noProof/>
          <w:szCs w:val="22"/>
        </w:rPr>
        <w:lastRenderedPageBreak/>
        <w:t>4.6</w:t>
      </w:r>
      <w:r w:rsidRPr="0063119B">
        <w:rPr>
          <w:b/>
          <w:noProof/>
          <w:szCs w:val="22"/>
        </w:rPr>
        <w:tab/>
        <w:t>Fertilidade, gravidez e aleitamento</w:t>
      </w:r>
    </w:p>
    <w:p w14:paraId="56F476ED" w14:textId="77777777" w:rsidR="00337111" w:rsidRPr="0063119B" w:rsidRDefault="00337111" w:rsidP="00337111">
      <w:pPr>
        <w:keepNext/>
        <w:suppressAutoHyphens/>
        <w:rPr>
          <w:noProof/>
          <w:szCs w:val="22"/>
        </w:rPr>
      </w:pPr>
    </w:p>
    <w:p w14:paraId="7B834CCB" w14:textId="77777777" w:rsidR="00337111" w:rsidRDefault="00337111" w:rsidP="00337111">
      <w:pPr>
        <w:keepNext/>
        <w:suppressAutoHyphens/>
        <w:rPr>
          <w:noProof/>
          <w:szCs w:val="22"/>
          <w:u w:val="single"/>
        </w:rPr>
      </w:pPr>
      <w:r w:rsidRPr="0063119B">
        <w:rPr>
          <w:noProof/>
          <w:szCs w:val="22"/>
          <w:u w:val="single"/>
        </w:rPr>
        <w:t>Gravidez</w:t>
      </w:r>
    </w:p>
    <w:p w14:paraId="7725FAC2" w14:textId="77777777" w:rsidR="006A2CEB" w:rsidRPr="0063119B" w:rsidRDefault="006A2CEB" w:rsidP="00337111">
      <w:pPr>
        <w:keepNext/>
        <w:suppressAutoHyphens/>
        <w:rPr>
          <w:noProof/>
          <w:szCs w:val="22"/>
          <w:u w:val="single"/>
        </w:rPr>
      </w:pPr>
    </w:p>
    <w:p w14:paraId="0711DDCA" w14:textId="77777777" w:rsidR="00337111" w:rsidRPr="0063119B" w:rsidRDefault="00337111" w:rsidP="00337111">
      <w:pPr>
        <w:keepNext/>
        <w:suppressAutoHyphens/>
        <w:rPr>
          <w:noProof/>
          <w:szCs w:val="22"/>
        </w:rPr>
      </w:pPr>
      <w:r w:rsidRPr="0063119B">
        <w:rPr>
          <w:noProof/>
          <w:szCs w:val="22"/>
        </w:rPr>
        <w:t xml:space="preserve">A segurança e eficácia de </w:t>
      </w:r>
      <w:r w:rsidR="00591027" w:rsidRPr="0063119B">
        <w:rPr>
          <w:szCs w:val="22"/>
        </w:rPr>
        <w:t>rivaroxabano</w:t>
      </w:r>
      <w:r w:rsidRPr="0063119B">
        <w:rPr>
          <w:noProof/>
          <w:szCs w:val="22"/>
        </w:rPr>
        <w:t xml:space="preserve"> não foram estabelecidas em mulheres grávidas. Os estudos em animais revelaram toxicidade reprodutiva (ver secção 5.3). Devido à potencial toxicidade reprodutiva, ao risco intrínseco de hemorragia e à evidência de que o rivaroxabano atravessa a placenta, </w:t>
      </w:r>
      <w:r w:rsidR="00591027" w:rsidRPr="0063119B">
        <w:rPr>
          <w:noProof/>
          <w:szCs w:val="22"/>
        </w:rPr>
        <w:t xml:space="preserve">o </w:t>
      </w:r>
      <w:r w:rsidR="00591027" w:rsidRPr="0063119B">
        <w:rPr>
          <w:szCs w:val="22"/>
        </w:rPr>
        <w:t>rivaroxabano</w:t>
      </w:r>
      <w:r w:rsidR="00591027" w:rsidRPr="0063119B">
        <w:rPr>
          <w:noProof/>
          <w:szCs w:val="22"/>
        </w:rPr>
        <w:t xml:space="preserve"> </w:t>
      </w:r>
      <w:r w:rsidRPr="0063119B">
        <w:rPr>
          <w:noProof/>
          <w:szCs w:val="22"/>
        </w:rPr>
        <w:t>é contraindicado durante a gravidez (ver secção 4.3).</w:t>
      </w:r>
    </w:p>
    <w:p w14:paraId="537644DB" w14:textId="77777777" w:rsidR="00337111" w:rsidRPr="0063119B" w:rsidRDefault="00337111" w:rsidP="00337111">
      <w:pPr>
        <w:suppressAutoHyphens/>
        <w:rPr>
          <w:noProof/>
          <w:szCs w:val="22"/>
        </w:rPr>
      </w:pPr>
      <w:r w:rsidRPr="0063119B">
        <w:rPr>
          <w:noProof/>
          <w:szCs w:val="22"/>
        </w:rPr>
        <w:t>As mulheres em idade fértil devem evitar engravidar durante o tratamento com rivaroxabano.</w:t>
      </w:r>
    </w:p>
    <w:p w14:paraId="7B3C616B" w14:textId="77777777" w:rsidR="00337111" w:rsidRPr="0063119B" w:rsidRDefault="00337111" w:rsidP="00337111">
      <w:pPr>
        <w:suppressAutoHyphens/>
        <w:rPr>
          <w:noProof/>
          <w:szCs w:val="22"/>
        </w:rPr>
      </w:pPr>
    </w:p>
    <w:p w14:paraId="56723A3C" w14:textId="77777777" w:rsidR="00337111" w:rsidRDefault="00337111" w:rsidP="00337111">
      <w:pPr>
        <w:suppressAutoHyphens/>
        <w:rPr>
          <w:noProof/>
          <w:szCs w:val="22"/>
          <w:u w:val="single"/>
        </w:rPr>
      </w:pPr>
      <w:r w:rsidRPr="0063119B">
        <w:rPr>
          <w:noProof/>
          <w:szCs w:val="22"/>
          <w:u w:val="single"/>
        </w:rPr>
        <w:t>Amamentação</w:t>
      </w:r>
    </w:p>
    <w:p w14:paraId="7730ED14" w14:textId="77777777" w:rsidR="006A2CEB" w:rsidRPr="0063119B" w:rsidRDefault="006A2CEB" w:rsidP="00337111">
      <w:pPr>
        <w:suppressAutoHyphens/>
        <w:rPr>
          <w:noProof/>
          <w:szCs w:val="22"/>
          <w:u w:val="single"/>
        </w:rPr>
      </w:pPr>
    </w:p>
    <w:p w14:paraId="2B041DF0" w14:textId="77777777" w:rsidR="00337111" w:rsidRPr="0063119B" w:rsidRDefault="00337111" w:rsidP="00337111">
      <w:pPr>
        <w:suppressAutoHyphens/>
        <w:rPr>
          <w:noProof/>
          <w:szCs w:val="22"/>
        </w:rPr>
      </w:pPr>
      <w:r w:rsidRPr="0063119B">
        <w:rPr>
          <w:noProof/>
          <w:szCs w:val="22"/>
        </w:rPr>
        <w:t xml:space="preserve">A segurança e eficácia de </w:t>
      </w:r>
      <w:r w:rsidR="00591027" w:rsidRPr="0063119B">
        <w:rPr>
          <w:szCs w:val="22"/>
        </w:rPr>
        <w:t>rivaroxabano</w:t>
      </w:r>
      <w:r w:rsidRPr="0063119B">
        <w:rPr>
          <w:noProof/>
          <w:szCs w:val="22"/>
        </w:rPr>
        <w:t xml:space="preserve"> não foram estabelecidas em mães que estão a amamentar. Os dados obtidos em animais indicam que rivaroxabano é excretado no leite. Deste modo, </w:t>
      </w:r>
      <w:r w:rsidR="00591027" w:rsidRPr="0063119B">
        <w:rPr>
          <w:noProof/>
          <w:szCs w:val="22"/>
        </w:rPr>
        <w:t xml:space="preserve">o </w:t>
      </w:r>
      <w:r w:rsidR="00591027" w:rsidRPr="0063119B">
        <w:rPr>
          <w:szCs w:val="22"/>
        </w:rPr>
        <w:t>rivaroxabano</w:t>
      </w:r>
      <w:r w:rsidR="00591027" w:rsidRPr="0063119B">
        <w:rPr>
          <w:noProof/>
          <w:szCs w:val="22"/>
        </w:rPr>
        <w:t xml:space="preserve"> </w:t>
      </w:r>
      <w:r w:rsidRPr="0063119B">
        <w:rPr>
          <w:noProof/>
          <w:szCs w:val="22"/>
        </w:rPr>
        <w:t>é contraindicado durante a amamentação (ver secção 4.3). Tem de ser tomada uma decisão sobre a descontinuação da amamentação ou a descontinuação/abstenção da terapêutica.</w:t>
      </w:r>
    </w:p>
    <w:p w14:paraId="57FD5BD3" w14:textId="77777777" w:rsidR="00337111" w:rsidRPr="0063119B" w:rsidRDefault="00337111" w:rsidP="00337111">
      <w:pPr>
        <w:suppressAutoHyphens/>
        <w:rPr>
          <w:noProof/>
          <w:szCs w:val="22"/>
        </w:rPr>
      </w:pPr>
    </w:p>
    <w:p w14:paraId="2DB88D1D" w14:textId="77777777" w:rsidR="00337111" w:rsidRDefault="00337111" w:rsidP="00337111">
      <w:pPr>
        <w:keepNext/>
        <w:rPr>
          <w:szCs w:val="22"/>
          <w:u w:val="single"/>
        </w:rPr>
      </w:pPr>
      <w:r w:rsidRPr="0063119B">
        <w:rPr>
          <w:szCs w:val="22"/>
          <w:u w:val="single"/>
        </w:rPr>
        <w:t>Fertilidade</w:t>
      </w:r>
    </w:p>
    <w:p w14:paraId="1C0A54C0" w14:textId="77777777" w:rsidR="006A2CEB" w:rsidRPr="0063119B" w:rsidRDefault="006A2CEB" w:rsidP="00337111">
      <w:pPr>
        <w:keepNext/>
        <w:rPr>
          <w:szCs w:val="22"/>
        </w:rPr>
      </w:pPr>
    </w:p>
    <w:p w14:paraId="5361FA9A" w14:textId="77777777" w:rsidR="00337111" w:rsidRPr="0063119B" w:rsidRDefault="00337111" w:rsidP="00337111">
      <w:pPr>
        <w:suppressAutoHyphens/>
        <w:rPr>
          <w:noProof/>
          <w:szCs w:val="22"/>
        </w:rPr>
      </w:pPr>
      <w:r w:rsidRPr="0063119B">
        <w:rPr>
          <w:szCs w:val="22"/>
        </w:rPr>
        <w:t>Não se realizaram estudos específicos com rivaroxabano para avaliar os efeitos sobre a fertilidade no ser humano. Não se observaram quaisquer efeitos num estudo de fertilidade masculina e feminina realizado em ratos (ver secção 5.3).</w:t>
      </w:r>
    </w:p>
    <w:p w14:paraId="70D7D044" w14:textId="77777777" w:rsidR="00337111" w:rsidRPr="0063119B" w:rsidRDefault="00337111" w:rsidP="00337111">
      <w:pPr>
        <w:suppressAutoHyphens/>
        <w:ind w:left="567" w:hanging="567"/>
        <w:rPr>
          <w:noProof/>
          <w:szCs w:val="22"/>
        </w:rPr>
      </w:pPr>
    </w:p>
    <w:p w14:paraId="225DB73E" w14:textId="77777777" w:rsidR="00337111" w:rsidRPr="0063119B" w:rsidRDefault="00337111" w:rsidP="00337111">
      <w:pPr>
        <w:keepNext/>
        <w:suppressAutoHyphens/>
        <w:ind w:left="567" w:hanging="567"/>
        <w:rPr>
          <w:b/>
          <w:noProof/>
          <w:szCs w:val="22"/>
        </w:rPr>
      </w:pPr>
      <w:r w:rsidRPr="0063119B">
        <w:rPr>
          <w:b/>
          <w:noProof/>
          <w:szCs w:val="22"/>
        </w:rPr>
        <w:t>4.7</w:t>
      </w:r>
      <w:r w:rsidRPr="0063119B">
        <w:rPr>
          <w:b/>
          <w:noProof/>
          <w:szCs w:val="22"/>
        </w:rPr>
        <w:tab/>
        <w:t>Efeitos sobre a capacidade de conduzir e utilizar máquinas</w:t>
      </w:r>
    </w:p>
    <w:p w14:paraId="004B86CA" w14:textId="77777777" w:rsidR="00337111" w:rsidRPr="0063119B" w:rsidRDefault="00337111" w:rsidP="00337111">
      <w:pPr>
        <w:keepNext/>
        <w:suppressAutoHyphens/>
        <w:rPr>
          <w:b/>
          <w:noProof/>
          <w:szCs w:val="22"/>
        </w:rPr>
      </w:pPr>
    </w:p>
    <w:p w14:paraId="6C7EAEE0" w14:textId="77777777" w:rsidR="006A2CEB" w:rsidRDefault="00591027" w:rsidP="00337111">
      <w:pPr>
        <w:keepNext/>
        <w:suppressAutoHyphens/>
        <w:rPr>
          <w:noProof/>
          <w:szCs w:val="22"/>
        </w:rPr>
      </w:pPr>
      <w:r w:rsidRPr="0063119B">
        <w:rPr>
          <w:noProof/>
          <w:szCs w:val="22"/>
        </w:rPr>
        <w:t xml:space="preserve">Os efeitos do </w:t>
      </w:r>
      <w:r w:rsidRPr="0063119B">
        <w:rPr>
          <w:szCs w:val="22"/>
        </w:rPr>
        <w:t xml:space="preserve">rivaroxabano sobre </w:t>
      </w:r>
      <w:r w:rsidR="00337111" w:rsidRPr="0063119B">
        <w:rPr>
          <w:noProof/>
          <w:szCs w:val="22"/>
        </w:rPr>
        <w:t>a capacidade de conduzir e utilizar máquinas</w:t>
      </w:r>
      <w:r w:rsidRPr="0063119B">
        <w:rPr>
          <w:noProof/>
          <w:szCs w:val="22"/>
        </w:rPr>
        <w:t xml:space="preserve"> são reduzidos</w:t>
      </w:r>
      <w:r w:rsidR="00337111" w:rsidRPr="0063119B">
        <w:rPr>
          <w:noProof/>
          <w:szCs w:val="22"/>
        </w:rPr>
        <w:t>. Foram notificadas reações adversas como síncope (frequência: pouco frequentes) e tonturas (frequência: frequentes) (ver secção</w:t>
      </w:r>
      <w:r w:rsidR="006501D5" w:rsidRPr="0063119B">
        <w:rPr>
          <w:noProof/>
          <w:szCs w:val="22"/>
        </w:rPr>
        <w:t> </w:t>
      </w:r>
      <w:r w:rsidR="00337111" w:rsidRPr="0063119B">
        <w:rPr>
          <w:noProof/>
          <w:szCs w:val="22"/>
        </w:rPr>
        <w:t xml:space="preserve">4.8). </w:t>
      </w:r>
    </w:p>
    <w:p w14:paraId="5307A9C2" w14:textId="77777777" w:rsidR="00337111" w:rsidRPr="0063119B" w:rsidRDefault="00337111" w:rsidP="00337111">
      <w:pPr>
        <w:keepNext/>
        <w:suppressAutoHyphens/>
        <w:rPr>
          <w:noProof/>
          <w:szCs w:val="22"/>
        </w:rPr>
      </w:pPr>
      <w:r w:rsidRPr="0063119B">
        <w:rPr>
          <w:noProof/>
          <w:szCs w:val="22"/>
        </w:rPr>
        <w:t>Os doentes com estas reações adversas não devem conduzir ou utilizar máquinas.</w:t>
      </w:r>
    </w:p>
    <w:p w14:paraId="68084C5E" w14:textId="77777777" w:rsidR="00337111" w:rsidRPr="0063119B" w:rsidRDefault="00337111" w:rsidP="00337111">
      <w:pPr>
        <w:suppressAutoHyphens/>
        <w:ind w:left="567" w:hanging="567"/>
        <w:rPr>
          <w:b/>
          <w:noProof/>
          <w:szCs w:val="22"/>
        </w:rPr>
      </w:pPr>
    </w:p>
    <w:p w14:paraId="2166AAA3" w14:textId="77777777" w:rsidR="00337111" w:rsidRPr="0063119B" w:rsidRDefault="00337111" w:rsidP="00337111">
      <w:pPr>
        <w:suppressAutoHyphens/>
        <w:ind w:left="567" w:hanging="567"/>
        <w:rPr>
          <w:b/>
          <w:noProof/>
          <w:szCs w:val="22"/>
        </w:rPr>
      </w:pPr>
      <w:r w:rsidRPr="0063119B">
        <w:rPr>
          <w:b/>
          <w:noProof/>
          <w:szCs w:val="22"/>
        </w:rPr>
        <w:t>4.8</w:t>
      </w:r>
      <w:r w:rsidRPr="0063119B">
        <w:rPr>
          <w:b/>
          <w:noProof/>
          <w:szCs w:val="22"/>
        </w:rPr>
        <w:tab/>
        <w:t>Efeitos indesejáveis</w:t>
      </w:r>
    </w:p>
    <w:p w14:paraId="7AACE5AF" w14:textId="77777777" w:rsidR="00337111" w:rsidRPr="0063119B" w:rsidRDefault="00337111" w:rsidP="00337111">
      <w:pPr>
        <w:suppressAutoHyphens/>
        <w:rPr>
          <w:noProof/>
          <w:szCs w:val="22"/>
        </w:rPr>
      </w:pPr>
    </w:p>
    <w:p w14:paraId="55F46CCC" w14:textId="77777777" w:rsidR="00337111" w:rsidRPr="0063119B" w:rsidRDefault="00337111" w:rsidP="00337111">
      <w:pPr>
        <w:suppressAutoHyphens/>
        <w:rPr>
          <w:noProof/>
          <w:szCs w:val="22"/>
        </w:rPr>
      </w:pPr>
      <w:r w:rsidRPr="0063119B">
        <w:rPr>
          <w:noProof/>
          <w:szCs w:val="22"/>
          <w:u w:val="single"/>
        </w:rPr>
        <w:t>Resumo do perfil de segurança</w:t>
      </w:r>
    </w:p>
    <w:p w14:paraId="1CFEC2A0" w14:textId="77777777" w:rsidR="006501D5" w:rsidRPr="0063119B" w:rsidRDefault="006501D5" w:rsidP="00951279">
      <w:pPr>
        <w:rPr>
          <w:szCs w:val="22"/>
        </w:rPr>
      </w:pPr>
    </w:p>
    <w:p w14:paraId="747D38E8" w14:textId="77777777" w:rsidR="00C60883" w:rsidRDefault="00337111" w:rsidP="00951279">
      <w:pPr>
        <w:rPr>
          <w:szCs w:val="22"/>
        </w:rPr>
      </w:pPr>
      <w:r w:rsidRPr="0063119B">
        <w:rPr>
          <w:szCs w:val="22"/>
        </w:rPr>
        <w:t xml:space="preserve">A segurança do rivaroxabano foi avaliada em </w:t>
      </w:r>
      <w:r w:rsidR="003E1D5A" w:rsidRPr="0063119B">
        <w:rPr>
          <w:szCs w:val="22"/>
        </w:rPr>
        <w:t>tre</w:t>
      </w:r>
      <w:r w:rsidR="00977B6C" w:rsidRPr="0063119B">
        <w:rPr>
          <w:szCs w:val="22"/>
        </w:rPr>
        <w:t xml:space="preserve">ze </w:t>
      </w:r>
      <w:r w:rsidRPr="0063119B">
        <w:rPr>
          <w:szCs w:val="22"/>
        </w:rPr>
        <w:t xml:space="preserve">estudos </w:t>
      </w:r>
      <w:r w:rsidR="00C60883">
        <w:rPr>
          <w:szCs w:val="22"/>
        </w:rPr>
        <w:t xml:space="preserve">de referência </w:t>
      </w:r>
      <w:r w:rsidRPr="0063119B">
        <w:rPr>
          <w:szCs w:val="22"/>
        </w:rPr>
        <w:t>de fase III</w:t>
      </w:r>
      <w:r w:rsidR="00C60883">
        <w:rPr>
          <w:szCs w:val="22"/>
        </w:rPr>
        <w:t xml:space="preserve"> (ver Quadro 1).</w:t>
      </w:r>
    </w:p>
    <w:p w14:paraId="02FD12BF" w14:textId="77777777" w:rsidR="00C60883" w:rsidRDefault="00C60883" w:rsidP="00951279">
      <w:pPr>
        <w:rPr>
          <w:szCs w:val="22"/>
        </w:rPr>
      </w:pPr>
    </w:p>
    <w:p w14:paraId="41C4E39B" w14:textId="1DEECED9" w:rsidR="00337111" w:rsidRPr="0063119B" w:rsidRDefault="00C60883" w:rsidP="00951279">
      <w:pPr>
        <w:rPr>
          <w:szCs w:val="22"/>
        </w:rPr>
      </w:pPr>
      <w:r>
        <w:rPr>
          <w:szCs w:val="22"/>
        </w:rPr>
        <w:t>Globalmente</w:t>
      </w:r>
      <w:r w:rsidR="001E2E99">
        <w:rPr>
          <w:szCs w:val="22"/>
        </w:rPr>
        <w:t>,</w:t>
      </w:r>
      <w:r>
        <w:rPr>
          <w:szCs w:val="22"/>
        </w:rPr>
        <w:t xml:space="preserve"> foram expostos ao rivaroxabano </w:t>
      </w:r>
      <w:r w:rsidR="00337111" w:rsidRPr="0063119B">
        <w:rPr>
          <w:szCs w:val="22"/>
        </w:rPr>
        <w:t xml:space="preserve"> </w:t>
      </w:r>
      <w:r>
        <w:rPr>
          <w:szCs w:val="22"/>
        </w:rPr>
        <w:t>69,608</w:t>
      </w:r>
      <w:r w:rsidR="00337111" w:rsidRPr="0063119B">
        <w:rPr>
          <w:szCs w:val="22"/>
        </w:rPr>
        <w:t xml:space="preserve"> doentes </w:t>
      </w:r>
      <w:r>
        <w:rPr>
          <w:szCs w:val="22"/>
        </w:rPr>
        <w:t>adultos em dezanove estudos de fase III e 4</w:t>
      </w:r>
      <w:r w:rsidR="00123579">
        <w:rPr>
          <w:szCs w:val="22"/>
        </w:rPr>
        <w:t>88</w:t>
      </w:r>
      <w:r>
        <w:rPr>
          <w:szCs w:val="22"/>
        </w:rPr>
        <w:t xml:space="preserve"> doentes pediátricos </w:t>
      </w:r>
      <w:r w:rsidR="001E2E99">
        <w:rPr>
          <w:szCs w:val="22"/>
        </w:rPr>
        <w:t xml:space="preserve">em dois estudos pediátricos de fase II e </w:t>
      </w:r>
      <w:r w:rsidR="00123579">
        <w:rPr>
          <w:szCs w:val="22"/>
        </w:rPr>
        <w:t xml:space="preserve">dois estudos </w:t>
      </w:r>
      <w:r w:rsidR="001E2E99">
        <w:rPr>
          <w:szCs w:val="22"/>
        </w:rPr>
        <w:t>de fase III</w:t>
      </w:r>
      <w:r w:rsidR="00337111" w:rsidRPr="0063119B">
        <w:rPr>
          <w:szCs w:val="22"/>
        </w:rPr>
        <w:t>.</w:t>
      </w:r>
    </w:p>
    <w:p w14:paraId="395C9052" w14:textId="77777777" w:rsidR="00441EA2" w:rsidRPr="0063119B" w:rsidRDefault="00441EA2" w:rsidP="00951279">
      <w:pPr>
        <w:rPr>
          <w:b/>
          <w:szCs w:val="22"/>
        </w:rPr>
      </w:pPr>
    </w:p>
    <w:p w14:paraId="2F19708F" w14:textId="77777777" w:rsidR="00337111" w:rsidRDefault="00337111" w:rsidP="00951279">
      <w:pPr>
        <w:keepNext/>
        <w:keepLines/>
        <w:rPr>
          <w:b/>
          <w:bCs/>
          <w:szCs w:val="22"/>
        </w:rPr>
      </w:pPr>
      <w:r w:rsidRPr="0063119B">
        <w:rPr>
          <w:b/>
          <w:szCs w:val="22"/>
        </w:rPr>
        <w:lastRenderedPageBreak/>
        <w:t xml:space="preserve">Quadro 1: Número de doentes estudados, dose diária </w:t>
      </w:r>
      <w:r w:rsidR="00977B6C" w:rsidRPr="0063119B">
        <w:rPr>
          <w:b/>
          <w:szCs w:val="22"/>
        </w:rPr>
        <w:t xml:space="preserve">total </w:t>
      </w:r>
      <w:r w:rsidRPr="0063119B">
        <w:rPr>
          <w:b/>
          <w:szCs w:val="22"/>
        </w:rPr>
        <w:t xml:space="preserve">e duração </w:t>
      </w:r>
      <w:r w:rsidR="00977B6C" w:rsidRPr="0063119B">
        <w:rPr>
          <w:b/>
          <w:szCs w:val="22"/>
        </w:rPr>
        <w:t xml:space="preserve">máxima </w:t>
      </w:r>
      <w:r w:rsidRPr="0063119B">
        <w:rPr>
          <w:b/>
          <w:szCs w:val="22"/>
        </w:rPr>
        <w:t>do tratamento em estudos de fase III</w:t>
      </w:r>
      <w:r w:rsidR="001E2E99">
        <w:rPr>
          <w:b/>
          <w:szCs w:val="22"/>
        </w:rPr>
        <w:t xml:space="preserve"> </w:t>
      </w:r>
      <w:r w:rsidR="001E2E99">
        <w:rPr>
          <w:b/>
          <w:bCs/>
          <w:szCs w:val="22"/>
        </w:rPr>
        <w:t>em doentes adultos e pediátricos</w:t>
      </w:r>
    </w:p>
    <w:p w14:paraId="7DFFDE76" w14:textId="77777777" w:rsidR="001E2E99" w:rsidRPr="0063119B" w:rsidRDefault="001E2E99" w:rsidP="00951279">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6"/>
        <w:gridCol w:w="1195"/>
        <w:gridCol w:w="2125"/>
        <w:gridCol w:w="2045"/>
      </w:tblGrid>
      <w:tr w:rsidR="00337111" w:rsidRPr="0063119B" w14:paraId="1B9A1C61" w14:textId="77777777" w:rsidTr="0044301C">
        <w:trPr>
          <w:tblHeader/>
        </w:trPr>
        <w:tc>
          <w:tcPr>
            <w:tcW w:w="3818" w:type="dxa"/>
          </w:tcPr>
          <w:p w14:paraId="5C063DC4" w14:textId="77777777" w:rsidR="00337111" w:rsidRPr="0063119B" w:rsidRDefault="00337111" w:rsidP="003345A8">
            <w:pPr>
              <w:keepNext/>
              <w:keepLines/>
              <w:rPr>
                <w:szCs w:val="22"/>
              </w:rPr>
            </w:pPr>
            <w:r w:rsidRPr="0063119B">
              <w:rPr>
                <w:b/>
                <w:szCs w:val="22"/>
              </w:rPr>
              <w:t>Indicação</w:t>
            </w:r>
          </w:p>
        </w:tc>
        <w:tc>
          <w:tcPr>
            <w:tcW w:w="1206" w:type="dxa"/>
          </w:tcPr>
          <w:p w14:paraId="767C6D6E" w14:textId="77777777" w:rsidR="00337111" w:rsidRPr="0063119B" w:rsidRDefault="00337111" w:rsidP="003345A8">
            <w:pPr>
              <w:keepNext/>
              <w:keepLines/>
              <w:rPr>
                <w:szCs w:val="22"/>
              </w:rPr>
            </w:pPr>
            <w:r w:rsidRPr="0063119B">
              <w:rPr>
                <w:b/>
                <w:szCs w:val="22"/>
              </w:rPr>
              <w:t>Número de doentes*</w:t>
            </w:r>
          </w:p>
        </w:tc>
        <w:tc>
          <w:tcPr>
            <w:tcW w:w="2156" w:type="dxa"/>
          </w:tcPr>
          <w:p w14:paraId="1E7EFE03" w14:textId="77777777" w:rsidR="00337111" w:rsidRPr="0063119B" w:rsidRDefault="00337111" w:rsidP="003345A8">
            <w:pPr>
              <w:keepNext/>
              <w:keepLines/>
              <w:rPr>
                <w:szCs w:val="22"/>
              </w:rPr>
            </w:pPr>
            <w:r w:rsidRPr="0063119B">
              <w:rPr>
                <w:b/>
                <w:szCs w:val="22"/>
              </w:rPr>
              <w:t xml:space="preserve">Dose diária </w:t>
            </w:r>
            <w:r w:rsidR="00977B6C" w:rsidRPr="0063119B">
              <w:rPr>
                <w:b/>
                <w:szCs w:val="22"/>
              </w:rPr>
              <w:t>total</w:t>
            </w:r>
          </w:p>
        </w:tc>
        <w:tc>
          <w:tcPr>
            <w:tcW w:w="2096" w:type="dxa"/>
          </w:tcPr>
          <w:p w14:paraId="08E3860B" w14:textId="77777777" w:rsidR="00337111" w:rsidRPr="0063119B" w:rsidRDefault="00337111" w:rsidP="003345A8">
            <w:pPr>
              <w:keepNext/>
              <w:keepLines/>
              <w:rPr>
                <w:szCs w:val="22"/>
              </w:rPr>
            </w:pPr>
            <w:r w:rsidRPr="0063119B">
              <w:rPr>
                <w:b/>
                <w:szCs w:val="22"/>
              </w:rPr>
              <w:t>Duração máxima do tratamento</w:t>
            </w:r>
          </w:p>
        </w:tc>
      </w:tr>
      <w:tr w:rsidR="00337111" w:rsidRPr="0063119B" w14:paraId="40951F38" w14:textId="77777777" w:rsidTr="0044301C">
        <w:tc>
          <w:tcPr>
            <w:tcW w:w="3818" w:type="dxa"/>
          </w:tcPr>
          <w:p w14:paraId="023F7A8D" w14:textId="77777777" w:rsidR="00337111" w:rsidRPr="0063119B" w:rsidRDefault="00337111" w:rsidP="003345A8">
            <w:pPr>
              <w:keepNext/>
              <w:keepLines/>
              <w:rPr>
                <w:szCs w:val="22"/>
              </w:rPr>
            </w:pPr>
            <w:r w:rsidRPr="0063119B">
              <w:rPr>
                <w:szCs w:val="22"/>
              </w:rPr>
              <w:t>Prevenção do tromboembolismo venoso (TEV) em doentes adultos submetidos a artroplastia eletiva da anca ou joelho</w:t>
            </w:r>
          </w:p>
        </w:tc>
        <w:tc>
          <w:tcPr>
            <w:tcW w:w="1206" w:type="dxa"/>
          </w:tcPr>
          <w:p w14:paraId="584D275F" w14:textId="77777777" w:rsidR="00337111" w:rsidRPr="0063119B" w:rsidRDefault="00337111" w:rsidP="003345A8">
            <w:pPr>
              <w:keepNext/>
              <w:keepLines/>
              <w:rPr>
                <w:szCs w:val="22"/>
              </w:rPr>
            </w:pPr>
            <w:r w:rsidRPr="0063119B">
              <w:rPr>
                <w:szCs w:val="22"/>
              </w:rPr>
              <w:t>6.097</w:t>
            </w:r>
          </w:p>
        </w:tc>
        <w:tc>
          <w:tcPr>
            <w:tcW w:w="2156" w:type="dxa"/>
          </w:tcPr>
          <w:p w14:paraId="22EC518A" w14:textId="77777777" w:rsidR="00337111" w:rsidRPr="0063119B" w:rsidRDefault="00337111" w:rsidP="003345A8">
            <w:pPr>
              <w:keepNext/>
              <w:keepLines/>
              <w:rPr>
                <w:szCs w:val="22"/>
              </w:rPr>
            </w:pPr>
            <w:r w:rsidRPr="0063119B">
              <w:rPr>
                <w:szCs w:val="22"/>
              </w:rPr>
              <w:t>10 mg</w:t>
            </w:r>
          </w:p>
        </w:tc>
        <w:tc>
          <w:tcPr>
            <w:tcW w:w="2096" w:type="dxa"/>
          </w:tcPr>
          <w:p w14:paraId="5F00E66F" w14:textId="77777777" w:rsidR="00337111" w:rsidRPr="0063119B" w:rsidRDefault="00337111" w:rsidP="003345A8">
            <w:pPr>
              <w:keepNext/>
              <w:keepLines/>
              <w:rPr>
                <w:szCs w:val="22"/>
              </w:rPr>
            </w:pPr>
            <w:r w:rsidRPr="0063119B">
              <w:rPr>
                <w:szCs w:val="22"/>
              </w:rPr>
              <w:t>39 dias</w:t>
            </w:r>
          </w:p>
        </w:tc>
      </w:tr>
      <w:tr w:rsidR="00337111" w:rsidRPr="0063119B" w14:paraId="2598A69A" w14:textId="77777777" w:rsidTr="0044301C">
        <w:tc>
          <w:tcPr>
            <w:tcW w:w="3818" w:type="dxa"/>
          </w:tcPr>
          <w:p w14:paraId="33DB7A97" w14:textId="77777777" w:rsidR="00337111" w:rsidRPr="0063119B" w:rsidRDefault="00337111" w:rsidP="004D7C05">
            <w:pPr>
              <w:keepNext/>
              <w:keepLines/>
              <w:rPr>
                <w:szCs w:val="22"/>
              </w:rPr>
            </w:pPr>
            <w:r w:rsidRPr="0063119B">
              <w:rPr>
                <w:szCs w:val="22"/>
              </w:rPr>
              <w:t xml:space="preserve">Prevenção do </w:t>
            </w:r>
            <w:r w:rsidR="004D7C05" w:rsidRPr="0063119B">
              <w:rPr>
                <w:szCs w:val="22"/>
              </w:rPr>
              <w:t>VTE</w:t>
            </w:r>
            <w:r w:rsidRPr="0063119B">
              <w:rPr>
                <w:szCs w:val="22"/>
              </w:rPr>
              <w:t xml:space="preserve"> em doentes não cirúrgicos</w:t>
            </w:r>
          </w:p>
        </w:tc>
        <w:tc>
          <w:tcPr>
            <w:tcW w:w="1206" w:type="dxa"/>
          </w:tcPr>
          <w:p w14:paraId="05FAC521" w14:textId="77777777" w:rsidR="00337111" w:rsidRPr="0063119B" w:rsidRDefault="00337111" w:rsidP="003345A8">
            <w:pPr>
              <w:keepNext/>
              <w:keepLines/>
              <w:rPr>
                <w:szCs w:val="22"/>
              </w:rPr>
            </w:pPr>
            <w:r w:rsidRPr="0063119B">
              <w:rPr>
                <w:szCs w:val="22"/>
              </w:rPr>
              <w:t>3.997</w:t>
            </w:r>
          </w:p>
        </w:tc>
        <w:tc>
          <w:tcPr>
            <w:tcW w:w="2156" w:type="dxa"/>
          </w:tcPr>
          <w:p w14:paraId="00694767" w14:textId="77777777" w:rsidR="00337111" w:rsidRPr="0063119B" w:rsidRDefault="00337111" w:rsidP="003345A8">
            <w:pPr>
              <w:keepNext/>
              <w:keepLines/>
              <w:rPr>
                <w:szCs w:val="22"/>
              </w:rPr>
            </w:pPr>
            <w:r w:rsidRPr="0063119B">
              <w:rPr>
                <w:szCs w:val="22"/>
              </w:rPr>
              <w:t>10 mg</w:t>
            </w:r>
          </w:p>
        </w:tc>
        <w:tc>
          <w:tcPr>
            <w:tcW w:w="2096" w:type="dxa"/>
          </w:tcPr>
          <w:p w14:paraId="61E4E7AC" w14:textId="77777777" w:rsidR="00337111" w:rsidRPr="0063119B" w:rsidRDefault="00337111" w:rsidP="003345A8">
            <w:pPr>
              <w:keepNext/>
              <w:keepLines/>
              <w:rPr>
                <w:szCs w:val="22"/>
              </w:rPr>
            </w:pPr>
            <w:r w:rsidRPr="0063119B">
              <w:rPr>
                <w:szCs w:val="22"/>
              </w:rPr>
              <w:t>39 dias</w:t>
            </w:r>
          </w:p>
        </w:tc>
      </w:tr>
      <w:tr w:rsidR="00337111" w:rsidRPr="0063119B" w14:paraId="076FED20" w14:textId="77777777" w:rsidTr="0044301C">
        <w:tc>
          <w:tcPr>
            <w:tcW w:w="3818" w:type="dxa"/>
          </w:tcPr>
          <w:p w14:paraId="6C3C2022" w14:textId="44B96E68" w:rsidR="00337111" w:rsidRPr="0063119B" w:rsidRDefault="00337111" w:rsidP="003345A8">
            <w:pPr>
              <w:keepNext/>
              <w:keepLines/>
              <w:rPr>
                <w:szCs w:val="22"/>
              </w:rPr>
            </w:pPr>
            <w:r w:rsidRPr="0063119B">
              <w:rPr>
                <w:szCs w:val="22"/>
              </w:rPr>
              <w:t xml:space="preserve">Tratamento da </w:t>
            </w:r>
            <w:r w:rsidR="000536F1">
              <w:rPr>
                <w:szCs w:val="22"/>
              </w:rPr>
              <w:t>trombose venosa profunda (</w:t>
            </w:r>
            <w:r w:rsidRPr="0063119B">
              <w:rPr>
                <w:szCs w:val="22"/>
              </w:rPr>
              <w:t>TVP</w:t>
            </w:r>
            <w:r w:rsidR="000536F1">
              <w:rPr>
                <w:szCs w:val="22"/>
              </w:rPr>
              <w:t>)</w:t>
            </w:r>
            <w:r w:rsidRPr="0063119B">
              <w:rPr>
                <w:szCs w:val="22"/>
              </w:rPr>
              <w:t xml:space="preserve">, </w:t>
            </w:r>
            <w:r w:rsidR="000536F1">
              <w:rPr>
                <w:szCs w:val="22"/>
              </w:rPr>
              <w:t>embolia pulmonar (</w:t>
            </w:r>
            <w:r w:rsidRPr="0063119B">
              <w:rPr>
                <w:szCs w:val="22"/>
              </w:rPr>
              <w:t>EP</w:t>
            </w:r>
            <w:r w:rsidR="000536F1">
              <w:rPr>
                <w:szCs w:val="22"/>
              </w:rPr>
              <w:t>)</w:t>
            </w:r>
            <w:r w:rsidRPr="0063119B">
              <w:rPr>
                <w:szCs w:val="22"/>
              </w:rPr>
              <w:t xml:space="preserve"> e prevenção da recorrência</w:t>
            </w:r>
          </w:p>
        </w:tc>
        <w:tc>
          <w:tcPr>
            <w:tcW w:w="1206" w:type="dxa"/>
          </w:tcPr>
          <w:p w14:paraId="59A9AF69" w14:textId="77777777" w:rsidR="00337111" w:rsidRPr="0063119B" w:rsidRDefault="00337111" w:rsidP="003345A8">
            <w:pPr>
              <w:keepNext/>
              <w:keepLines/>
              <w:rPr>
                <w:szCs w:val="22"/>
              </w:rPr>
            </w:pPr>
            <w:r w:rsidRPr="0063119B">
              <w:rPr>
                <w:szCs w:val="22"/>
              </w:rPr>
              <w:t>6</w:t>
            </w:r>
            <w:r w:rsidR="00977B6C" w:rsidRPr="0063119B">
              <w:rPr>
                <w:szCs w:val="22"/>
              </w:rPr>
              <w:t>.790</w:t>
            </w:r>
          </w:p>
        </w:tc>
        <w:tc>
          <w:tcPr>
            <w:tcW w:w="2156" w:type="dxa"/>
          </w:tcPr>
          <w:p w14:paraId="5DBB411C" w14:textId="77777777" w:rsidR="00337111" w:rsidRPr="0063119B" w:rsidRDefault="00337111" w:rsidP="003345A8">
            <w:pPr>
              <w:keepNext/>
              <w:keepLines/>
              <w:rPr>
                <w:szCs w:val="22"/>
              </w:rPr>
            </w:pPr>
            <w:r w:rsidRPr="0063119B">
              <w:rPr>
                <w:szCs w:val="22"/>
              </w:rPr>
              <w:t>Dias 1 </w:t>
            </w:r>
            <w:r w:rsidRPr="0063119B">
              <w:rPr>
                <w:szCs w:val="22"/>
              </w:rPr>
              <w:noBreakHyphen/>
              <w:t> 21: 30 mg</w:t>
            </w:r>
          </w:p>
          <w:p w14:paraId="73BDB393" w14:textId="77777777" w:rsidR="00337111" w:rsidRPr="0063119B" w:rsidRDefault="00337111" w:rsidP="003345A8">
            <w:pPr>
              <w:keepNext/>
              <w:keepLines/>
              <w:rPr>
                <w:szCs w:val="22"/>
              </w:rPr>
            </w:pPr>
            <w:r w:rsidRPr="0063119B">
              <w:rPr>
                <w:szCs w:val="22"/>
              </w:rPr>
              <w:t>Dia 22 e seguintes: 20 mg</w:t>
            </w:r>
          </w:p>
          <w:p w14:paraId="4F9EF787" w14:textId="77777777" w:rsidR="00977B6C" w:rsidRPr="0063119B" w:rsidRDefault="00977B6C" w:rsidP="003345A8">
            <w:pPr>
              <w:keepNext/>
              <w:keepLines/>
              <w:rPr>
                <w:szCs w:val="22"/>
              </w:rPr>
            </w:pPr>
            <w:r w:rsidRPr="0063119B">
              <w:rPr>
                <w:szCs w:val="22"/>
              </w:rPr>
              <w:t>Depois de pelo menos 6 meses: 10 mg ou 20 mg</w:t>
            </w:r>
          </w:p>
        </w:tc>
        <w:tc>
          <w:tcPr>
            <w:tcW w:w="2096" w:type="dxa"/>
          </w:tcPr>
          <w:p w14:paraId="208AC9E4" w14:textId="77777777" w:rsidR="00337111" w:rsidRPr="0063119B" w:rsidRDefault="00337111" w:rsidP="003345A8">
            <w:pPr>
              <w:keepNext/>
              <w:keepLines/>
              <w:rPr>
                <w:szCs w:val="22"/>
              </w:rPr>
            </w:pPr>
            <w:r w:rsidRPr="0063119B">
              <w:rPr>
                <w:szCs w:val="22"/>
              </w:rPr>
              <w:t>21 meses</w:t>
            </w:r>
          </w:p>
        </w:tc>
      </w:tr>
      <w:tr w:rsidR="001E2E99" w:rsidRPr="0063119B" w14:paraId="4436E8F6" w14:textId="77777777" w:rsidTr="0044301C">
        <w:tc>
          <w:tcPr>
            <w:tcW w:w="3818" w:type="dxa"/>
          </w:tcPr>
          <w:p w14:paraId="6BE88810" w14:textId="77777777" w:rsidR="001E2E99" w:rsidRPr="00EF3721" w:rsidRDefault="001E2E99" w:rsidP="00EF3721">
            <w:pPr>
              <w:pStyle w:val="Default"/>
              <w:rPr>
                <w:szCs w:val="22"/>
                <w:lang w:val="pt-PT"/>
              </w:rPr>
            </w:pPr>
            <w:r w:rsidRPr="00EF3721">
              <w:rPr>
                <w:sz w:val="22"/>
                <w:szCs w:val="22"/>
                <w:lang w:val="pt-PT"/>
              </w:rPr>
              <w:t xml:space="preserve">Tratamento do TEV e prevenção da recorrência de TEV em recém-nascidos de termo e em crianças com menos de 18 anos de idade após o início do tratamento anticoagulante padrão </w:t>
            </w:r>
          </w:p>
        </w:tc>
        <w:tc>
          <w:tcPr>
            <w:tcW w:w="1206" w:type="dxa"/>
          </w:tcPr>
          <w:p w14:paraId="52B8CACB" w14:textId="77777777" w:rsidR="001E2E99" w:rsidRPr="0063119B" w:rsidRDefault="001E2E99" w:rsidP="003345A8">
            <w:pPr>
              <w:keepNext/>
              <w:keepLines/>
              <w:rPr>
                <w:szCs w:val="22"/>
              </w:rPr>
            </w:pPr>
            <w:r>
              <w:rPr>
                <w:szCs w:val="22"/>
              </w:rPr>
              <w:t>329</w:t>
            </w:r>
          </w:p>
        </w:tc>
        <w:tc>
          <w:tcPr>
            <w:tcW w:w="2156" w:type="dxa"/>
          </w:tcPr>
          <w:p w14:paraId="1648A6B0" w14:textId="77777777" w:rsidR="001E2E99" w:rsidRPr="00EF3721" w:rsidRDefault="001E2E99" w:rsidP="00EF3721">
            <w:pPr>
              <w:pStyle w:val="Default"/>
              <w:rPr>
                <w:szCs w:val="22"/>
                <w:lang w:val="pt-PT"/>
              </w:rPr>
            </w:pPr>
            <w:r w:rsidRPr="00EF3721">
              <w:rPr>
                <w:sz w:val="22"/>
                <w:szCs w:val="22"/>
                <w:lang w:val="pt-PT"/>
              </w:rPr>
              <w:t xml:space="preserve">Dose ajustada em função do peso corporal de modo a se atingir uma exposição semelhante à observada em adultos tratados para TVP com 20 mg de rivaroxabano uma vez por dia </w:t>
            </w:r>
          </w:p>
        </w:tc>
        <w:tc>
          <w:tcPr>
            <w:tcW w:w="2096" w:type="dxa"/>
          </w:tcPr>
          <w:p w14:paraId="7C2F78B6" w14:textId="77777777" w:rsidR="001E2E99" w:rsidRPr="0063119B" w:rsidRDefault="001E2E99" w:rsidP="003345A8">
            <w:pPr>
              <w:keepNext/>
              <w:keepLines/>
              <w:rPr>
                <w:szCs w:val="22"/>
              </w:rPr>
            </w:pPr>
            <w:r>
              <w:rPr>
                <w:szCs w:val="22"/>
              </w:rPr>
              <w:t>12 meses</w:t>
            </w:r>
          </w:p>
        </w:tc>
      </w:tr>
      <w:tr w:rsidR="00337111" w:rsidRPr="0063119B" w14:paraId="6C81F300" w14:textId="77777777" w:rsidTr="0044301C">
        <w:tc>
          <w:tcPr>
            <w:tcW w:w="3818" w:type="dxa"/>
          </w:tcPr>
          <w:p w14:paraId="0993EF2D" w14:textId="77777777" w:rsidR="00337111" w:rsidRPr="0063119B" w:rsidRDefault="00337111" w:rsidP="003345A8">
            <w:pPr>
              <w:keepNext/>
              <w:keepLines/>
              <w:rPr>
                <w:szCs w:val="22"/>
              </w:rPr>
            </w:pPr>
            <w:r w:rsidRPr="0063119B">
              <w:rPr>
                <w:szCs w:val="22"/>
              </w:rPr>
              <w:t>Prevenção do acidente vascular cerebral e do embolismo sistémico em doentes com fibrilhação auricular não-valvular</w:t>
            </w:r>
          </w:p>
        </w:tc>
        <w:tc>
          <w:tcPr>
            <w:tcW w:w="1206" w:type="dxa"/>
          </w:tcPr>
          <w:p w14:paraId="0B4B419B" w14:textId="77777777" w:rsidR="00337111" w:rsidRPr="0063119B" w:rsidRDefault="00337111" w:rsidP="003345A8">
            <w:pPr>
              <w:keepNext/>
              <w:keepLines/>
              <w:rPr>
                <w:szCs w:val="22"/>
              </w:rPr>
            </w:pPr>
            <w:r w:rsidRPr="0063119B">
              <w:rPr>
                <w:szCs w:val="22"/>
              </w:rPr>
              <w:t>7.750</w:t>
            </w:r>
          </w:p>
        </w:tc>
        <w:tc>
          <w:tcPr>
            <w:tcW w:w="2156" w:type="dxa"/>
          </w:tcPr>
          <w:p w14:paraId="612089E2" w14:textId="77777777" w:rsidR="00337111" w:rsidRPr="0063119B" w:rsidRDefault="00337111" w:rsidP="003345A8">
            <w:pPr>
              <w:keepNext/>
              <w:keepLines/>
              <w:rPr>
                <w:szCs w:val="22"/>
              </w:rPr>
            </w:pPr>
            <w:r w:rsidRPr="0063119B">
              <w:rPr>
                <w:szCs w:val="22"/>
              </w:rPr>
              <w:t>20 mg</w:t>
            </w:r>
          </w:p>
        </w:tc>
        <w:tc>
          <w:tcPr>
            <w:tcW w:w="2096" w:type="dxa"/>
          </w:tcPr>
          <w:p w14:paraId="3856943E" w14:textId="77777777" w:rsidR="00337111" w:rsidRPr="0063119B" w:rsidRDefault="00337111" w:rsidP="003345A8">
            <w:pPr>
              <w:keepNext/>
              <w:keepLines/>
              <w:rPr>
                <w:szCs w:val="22"/>
              </w:rPr>
            </w:pPr>
            <w:r w:rsidRPr="0063119B">
              <w:rPr>
                <w:szCs w:val="22"/>
              </w:rPr>
              <w:t>41 meses</w:t>
            </w:r>
          </w:p>
        </w:tc>
      </w:tr>
      <w:tr w:rsidR="00337111" w:rsidRPr="0063119B" w14:paraId="6D337BD0" w14:textId="77777777" w:rsidTr="0044301C">
        <w:tc>
          <w:tcPr>
            <w:tcW w:w="3818" w:type="dxa"/>
            <w:tcBorders>
              <w:top w:val="single" w:sz="4" w:space="0" w:color="auto"/>
              <w:left w:val="single" w:sz="4" w:space="0" w:color="auto"/>
              <w:bottom w:val="single" w:sz="4" w:space="0" w:color="auto"/>
              <w:right w:val="single" w:sz="4" w:space="0" w:color="auto"/>
            </w:tcBorders>
          </w:tcPr>
          <w:p w14:paraId="50543718" w14:textId="77777777" w:rsidR="00337111" w:rsidRPr="0063119B" w:rsidRDefault="00337111" w:rsidP="004D7C05">
            <w:pPr>
              <w:keepNext/>
              <w:keepLines/>
              <w:rPr>
                <w:szCs w:val="22"/>
              </w:rPr>
            </w:pPr>
            <w:r w:rsidRPr="0063119B">
              <w:rPr>
                <w:szCs w:val="22"/>
              </w:rPr>
              <w:t xml:space="preserve">Prevenção </w:t>
            </w:r>
            <w:r w:rsidR="00A10054" w:rsidRPr="0063119B">
              <w:rPr>
                <w:szCs w:val="22"/>
              </w:rPr>
              <w:t>de acontecimentos aterotrombóticos</w:t>
            </w:r>
            <w:r w:rsidRPr="0063119B">
              <w:rPr>
                <w:szCs w:val="22"/>
              </w:rPr>
              <w:t xml:space="preserve"> em doentes após um</w:t>
            </w:r>
            <w:r w:rsidR="00024577" w:rsidRPr="0063119B">
              <w:rPr>
                <w:szCs w:val="22"/>
              </w:rPr>
              <w:t>a</w:t>
            </w:r>
            <w:r w:rsidR="004D7C05" w:rsidRPr="0063119B">
              <w:rPr>
                <w:szCs w:val="22"/>
              </w:rPr>
              <w:t xml:space="preserve"> síndrome coronária agúda (</w:t>
            </w:r>
            <w:r w:rsidRPr="0063119B">
              <w:rPr>
                <w:szCs w:val="22"/>
              </w:rPr>
              <w:t>SCA</w:t>
            </w:r>
            <w:r w:rsidR="004D7C05" w:rsidRPr="0063119B">
              <w:rPr>
                <w:szCs w:val="22"/>
              </w:rPr>
              <w:t>)</w:t>
            </w:r>
          </w:p>
        </w:tc>
        <w:tc>
          <w:tcPr>
            <w:tcW w:w="1206" w:type="dxa"/>
            <w:tcBorders>
              <w:top w:val="single" w:sz="4" w:space="0" w:color="auto"/>
              <w:left w:val="single" w:sz="4" w:space="0" w:color="auto"/>
              <w:bottom w:val="single" w:sz="4" w:space="0" w:color="auto"/>
              <w:right w:val="single" w:sz="4" w:space="0" w:color="auto"/>
            </w:tcBorders>
          </w:tcPr>
          <w:p w14:paraId="49D2635E" w14:textId="77777777" w:rsidR="00337111" w:rsidRPr="0063119B" w:rsidRDefault="00337111" w:rsidP="003345A8">
            <w:pPr>
              <w:keepNext/>
              <w:keepLines/>
              <w:rPr>
                <w:szCs w:val="22"/>
              </w:rPr>
            </w:pPr>
            <w:r w:rsidRPr="0063119B">
              <w:rPr>
                <w:szCs w:val="22"/>
              </w:rPr>
              <w:t>10.225</w:t>
            </w:r>
          </w:p>
        </w:tc>
        <w:tc>
          <w:tcPr>
            <w:tcW w:w="2156" w:type="dxa"/>
            <w:tcBorders>
              <w:top w:val="single" w:sz="4" w:space="0" w:color="auto"/>
              <w:left w:val="single" w:sz="4" w:space="0" w:color="auto"/>
              <w:bottom w:val="single" w:sz="4" w:space="0" w:color="auto"/>
              <w:right w:val="single" w:sz="4" w:space="0" w:color="auto"/>
            </w:tcBorders>
          </w:tcPr>
          <w:p w14:paraId="273AEA36" w14:textId="77777777" w:rsidR="00337111" w:rsidRPr="0063119B" w:rsidRDefault="00337111" w:rsidP="003345A8">
            <w:pPr>
              <w:keepNext/>
              <w:keepLines/>
              <w:rPr>
                <w:szCs w:val="22"/>
              </w:rPr>
            </w:pPr>
            <w:r w:rsidRPr="0063119B">
              <w:rPr>
                <w:szCs w:val="22"/>
              </w:rPr>
              <w:t xml:space="preserve">5 mg ou 10 mg respetivamente, </w:t>
            </w:r>
            <w:r w:rsidR="00AA45D6" w:rsidRPr="0063119B">
              <w:rPr>
                <w:szCs w:val="22"/>
              </w:rPr>
              <w:t>coadministrados</w:t>
            </w:r>
            <w:r w:rsidRPr="0063119B">
              <w:rPr>
                <w:szCs w:val="22"/>
              </w:rPr>
              <w:t xml:space="preserve"> com AAS ou AAS com clopidogrel ou ticlopidina</w:t>
            </w:r>
          </w:p>
        </w:tc>
        <w:tc>
          <w:tcPr>
            <w:tcW w:w="2096" w:type="dxa"/>
            <w:tcBorders>
              <w:top w:val="single" w:sz="4" w:space="0" w:color="auto"/>
              <w:left w:val="single" w:sz="4" w:space="0" w:color="auto"/>
              <w:bottom w:val="single" w:sz="4" w:space="0" w:color="auto"/>
              <w:right w:val="single" w:sz="4" w:space="0" w:color="auto"/>
            </w:tcBorders>
          </w:tcPr>
          <w:p w14:paraId="1A37E406" w14:textId="77777777" w:rsidR="00337111" w:rsidRPr="0063119B" w:rsidRDefault="00337111" w:rsidP="003345A8">
            <w:pPr>
              <w:keepNext/>
              <w:keepLines/>
              <w:rPr>
                <w:szCs w:val="22"/>
              </w:rPr>
            </w:pPr>
            <w:r w:rsidRPr="0063119B">
              <w:rPr>
                <w:szCs w:val="22"/>
              </w:rPr>
              <w:t>31 meses</w:t>
            </w:r>
          </w:p>
        </w:tc>
      </w:tr>
      <w:tr w:rsidR="00C60883" w:rsidRPr="0063119B" w14:paraId="4FC1F8F2" w14:textId="77777777" w:rsidTr="00F03D43">
        <w:tc>
          <w:tcPr>
            <w:tcW w:w="3818" w:type="dxa"/>
            <w:vMerge w:val="restart"/>
            <w:tcBorders>
              <w:top w:val="single" w:sz="4" w:space="0" w:color="auto"/>
              <w:left w:val="single" w:sz="4" w:space="0" w:color="auto"/>
              <w:right w:val="single" w:sz="4" w:space="0" w:color="auto"/>
            </w:tcBorders>
          </w:tcPr>
          <w:p w14:paraId="6B21DF42" w14:textId="77777777" w:rsidR="00C60883" w:rsidRPr="0063119B" w:rsidRDefault="00C60883" w:rsidP="001B0380">
            <w:pPr>
              <w:keepNext/>
              <w:keepLines/>
              <w:rPr>
                <w:szCs w:val="22"/>
              </w:rPr>
            </w:pPr>
            <w:r w:rsidRPr="0063119B">
              <w:rPr>
                <w:szCs w:val="22"/>
              </w:rPr>
              <w:t>Prevenção de acontecimentos aterotrombóticos em doentes com DAC/DAP</w:t>
            </w:r>
          </w:p>
        </w:tc>
        <w:tc>
          <w:tcPr>
            <w:tcW w:w="1206" w:type="dxa"/>
            <w:tcBorders>
              <w:top w:val="single" w:sz="4" w:space="0" w:color="auto"/>
              <w:left w:val="single" w:sz="4" w:space="0" w:color="auto"/>
              <w:bottom w:val="single" w:sz="4" w:space="0" w:color="auto"/>
              <w:right w:val="single" w:sz="4" w:space="0" w:color="auto"/>
            </w:tcBorders>
          </w:tcPr>
          <w:p w14:paraId="0D7EDB32" w14:textId="77777777" w:rsidR="00C60883" w:rsidRPr="0063119B" w:rsidRDefault="00C60883" w:rsidP="003E1D5A">
            <w:pPr>
              <w:keepNext/>
              <w:keepLines/>
              <w:rPr>
                <w:szCs w:val="22"/>
              </w:rPr>
            </w:pPr>
            <w:r w:rsidRPr="0063119B">
              <w:rPr>
                <w:szCs w:val="22"/>
              </w:rPr>
              <w:t>18.244</w:t>
            </w:r>
          </w:p>
        </w:tc>
        <w:tc>
          <w:tcPr>
            <w:tcW w:w="2156" w:type="dxa"/>
            <w:tcBorders>
              <w:top w:val="single" w:sz="4" w:space="0" w:color="auto"/>
              <w:left w:val="single" w:sz="4" w:space="0" w:color="auto"/>
              <w:bottom w:val="single" w:sz="4" w:space="0" w:color="auto"/>
              <w:right w:val="single" w:sz="4" w:space="0" w:color="auto"/>
            </w:tcBorders>
          </w:tcPr>
          <w:p w14:paraId="56ABB626" w14:textId="77777777" w:rsidR="00C60883" w:rsidRPr="0063119B" w:rsidRDefault="00C60883" w:rsidP="003E1D5A">
            <w:pPr>
              <w:keepNext/>
              <w:keepLines/>
              <w:rPr>
                <w:szCs w:val="22"/>
              </w:rPr>
            </w:pPr>
            <w:r w:rsidRPr="0063119B">
              <w:rPr>
                <w:szCs w:val="22"/>
              </w:rPr>
              <w:t>5 mg coadministrados com AAS ou 10 mg isoladamente</w:t>
            </w:r>
          </w:p>
        </w:tc>
        <w:tc>
          <w:tcPr>
            <w:tcW w:w="2096" w:type="dxa"/>
            <w:tcBorders>
              <w:top w:val="single" w:sz="4" w:space="0" w:color="auto"/>
              <w:left w:val="single" w:sz="4" w:space="0" w:color="auto"/>
              <w:bottom w:val="single" w:sz="4" w:space="0" w:color="auto"/>
              <w:right w:val="single" w:sz="4" w:space="0" w:color="auto"/>
            </w:tcBorders>
          </w:tcPr>
          <w:p w14:paraId="1477B75C" w14:textId="77777777" w:rsidR="00C60883" w:rsidRPr="0063119B" w:rsidRDefault="00C60883" w:rsidP="003E1D5A">
            <w:pPr>
              <w:keepNext/>
              <w:keepLines/>
              <w:rPr>
                <w:szCs w:val="22"/>
              </w:rPr>
            </w:pPr>
            <w:r w:rsidRPr="0063119B">
              <w:rPr>
                <w:szCs w:val="22"/>
              </w:rPr>
              <w:t>47 meses</w:t>
            </w:r>
          </w:p>
        </w:tc>
      </w:tr>
      <w:tr w:rsidR="00C60883" w:rsidRPr="0063119B" w14:paraId="7FE7059F" w14:textId="77777777" w:rsidTr="00F03D43">
        <w:tc>
          <w:tcPr>
            <w:tcW w:w="3818" w:type="dxa"/>
            <w:vMerge/>
            <w:tcBorders>
              <w:left w:val="single" w:sz="4" w:space="0" w:color="auto"/>
              <w:bottom w:val="single" w:sz="4" w:space="0" w:color="auto"/>
              <w:right w:val="single" w:sz="4" w:space="0" w:color="auto"/>
            </w:tcBorders>
          </w:tcPr>
          <w:p w14:paraId="5F78426A" w14:textId="77777777" w:rsidR="00C60883" w:rsidRPr="0063119B" w:rsidRDefault="00C60883" w:rsidP="00C60883">
            <w:pPr>
              <w:keepNext/>
              <w:keepLines/>
              <w:rPr>
                <w:szCs w:val="22"/>
              </w:rPr>
            </w:pPr>
          </w:p>
        </w:tc>
        <w:tc>
          <w:tcPr>
            <w:tcW w:w="1206" w:type="dxa"/>
            <w:tcBorders>
              <w:top w:val="single" w:sz="4" w:space="0" w:color="auto"/>
              <w:left w:val="single" w:sz="4" w:space="0" w:color="auto"/>
              <w:bottom w:val="single" w:sz="4" w:space="0" w:color="auto"/>
              <w:right w:val="single" w:sz="4" w:space="0" w:color="auto"/>
            </w:tcBorders>
          </w:tcPr>
          <w:p w14:paraId="2398C8EE" w14:textId="77777777" w:rsidR="00C60883" w:rsidRPr="0063119B" w:rsidRDefault="00C60883" w:rsidP="00C60883">
            <w:pPr>
              <w:keepNext/>
              <w:keepLines/>
              <w:rPr>
                <w:szCs w:val="22"/>
              </w:rPr>
            </w:pPr>
            <w:r>
              <w:rPr>
                <w:szCs w:val="22"/>
              </w:rPr>
              <w:t>3.256**</w:t>
            </w:r>
          </w:p>
        </w:tc>
        <w:tc>
          <w:tcPr>
            <w:tcW w:w="2156" w:type="dxa"/>
            <w:tcBorders>
              <w:top w:val="single" w:sz="4" w:space="0" w:color="auto"/>
              <w:left w:val="single" w:sz="4" w:space="0" w:color="auto"/>
              <w:bottom w:val="single" w:sz="4" w:space="0" w:color="auto"/>
              <w:right w:val="single" w:sz="4" w:space="0" w:color="auto"/>
            </w:tcBorders>
          </w:tcPr>
          <w:p w14:paraId="376125EF" w14:textId="77777777" w:rsidR="00C60883" w:rsidRPr="0063119B" w:rsidRDefault="00C60883" w:rsidP="00C60883">
            <w:pPr>
              <w:keepNext/>
              <w:keepLines/>
              <w:rPr>
                <w:szCs w:val="22"/>
              </w:rPr>
            </w:pPr>
            <w:r>
              <w:rPr>
                <w:szCs w:val="22"/>
              </w:rPr>
              <w:t>5 mg coadministrados com AAS</w:t>
            </w:r>
          </w:p>
        </w:tc>
        <w:tc>
          <w:tcPr>
            <w:tcW w:w="2096" w:type="dxa"/>
            <w:tcBorders>
              <w:top w:val="single" w:sz="4" w:space="0" w:color="auto"/>
              <w:left w:val="single" w:sz="4" w:space="0" w:color="auto"/>
              <w:bottom w:val="single" w:sz="4" w:space="0" w:color="auto"/>
              <w:right w:val="single" w:sz="4" w:space="0" w:color="auto"/>
            </w:tcBorders>
          </w:tcPr>
          <w:p w14:paraId="24F902A4" w14:textId="77777777" w:rsidR="00C60883" w:rsidRPr="0063119B" w:rsidRDefault="00C60883" w:rsidP="00C60883">
            <w:pPr>
              <w:keepNext/>
              <w:keepLines/>
              <w:rPr>
                <w:szCs w:val="22"/>
              </w:rPr>
            </w:pPr>
            <w:r>
              <w:rPr>
                <w:szCs w:val="22"/>
              </w:rPr>
              <w:t>42 meses</w:t>
            </w:r>
          </w:p>
        </w:tc>
      </w:tr>
    </w:tbl>
    <w:p w14:paraId="5CCF9FDE" w14:textId="77777777" w:rsidR="00337111" w:rsidRDefault="00337111" w:rsidP="00337111">
      <w:pPr>
        <w:rPr>
          <w:szCs w:val="22"/>
        </w:rPr>
      </w:pPr>
      <w:r w:rsidRPr="0063119B">
        <w:rPr>
          <w:szCs w:val="22"/>
        </w:rPr>
        <w:t>*Doentes expostos a pelo menos uma dose de rivaroxabano</w:t>
      </w:r>
    </w:p>
    <w:p w14:paraId="2434F246" w14:textId="77777777" w:rsidR="00C60883" w:rsidRPr="0063119B" w:rsidRDefault="00C60883" w:rsidP="00337111">
      <w:pPr>
        <w:rPr>
          <w:szCs w:val="22"/>
        </w:rPr>
      </w:pPr>
      <w:r>
        <w:rPr>
          <w:szCs w:val="22"/>
        </w:rPr>
        <w:t>** Do estudo VOYAGER PAD</w:t>
      </w:r>
    </w:p>
    <w:p w14:paraId="1E3F2D1E" w14:textId="77777777" w:rsidR="00337111" w:rsidRPr="0063119B" w:rsidRDefault="00337111" w:rsidP="00337111">
      <w:pPr>
        <w:rPr>
          <w:szCs w:val="22"/>
        </w:rPr>
      </w:pPr>
    </w:p>
    <w:p w14:paraId="78B28886" w14:textId="77777777" w:rsidR="007D1A14" w:rsidRPr="0063119B" w:rsidRDefault="007D1A14" w:rsidP="007D1A14">
      <w:pPr>
        <w:suppressAutoHyphens/>
        <w:rPr>
          <w:noProof/>
          <w:szCs w:val="22"/>
          <w:u w:val="single"/>
        </w:rPr>
      </w:pPr>
      <w:r w:rsidRPr="0063119B">
        <w:rPr>
          <w:rFonts w:eastAsia="SimSun"/>
          <w:szCs w:val="22"/>
        </w:rPr>
        <w:t xml:space="preserve">As </w:t>
      </w:r>
      <w:r w:rsidR="00C9556C" w:rsidRPr="0063119B">
        <w:rPr>
          <w:rFonts w:eastAsia="SimSun"/>
          <w:szCs w:val="22"/>
        </w:rPr>
        <w:t>reações</w:t>
      </w:r>
      <w:r w:rsidRPr="0063119B">
        <w:rPr>
          <w:rFonts w:eastAsia="SimSun"/>
          <w:szCs w:val="22"/>
        </w:rPr>
        <w:t xml:space="preserve"> adversas notificadas com maior frequência em doentes a</w:t>
      </w:r>
      <w:r w:rsidR="00B67796" w:rsidRPr="0063119B">
        <w:rPr>
          <w:rFonts w:eastAsia="SimSun"/>
          <w:szCs w:val="22"/>
        </w:rPr>
        <w:t>os quais foi administrado</w:t>
      </w:r>
      <w:r w:rsidRPr="0063119B">
        <w:rPr>
          <w:rFonts w:eastAsia="SimSun"/>
          <w:szCs w:val="22"/>
        </w:rPr>
        <w:t xml:space="preserve"> rivaroxabano foram hemorragias </w:t>
      </w:r>
      <w:r w:rsidR="004D7C05" w:rsidRPr="0063119B">
        <w:rPr>
          <w:noProof/>
          <w:szCs w:val="22"/>
        </w:rPr>
        <w:t>(Quadro 2)</w:t>
      </w:r>
      <w:r w:rsidR="004D7C05" w:rsidRPr="0063119B">
        <w:rPr>
          <w:rFonts w:eastAsia="SimSun"/>
          <w:szCs w:val="22"/>
        </w:rPr>
        <w:t xml:space="preserve"> </w:t>
      </w:r>
      <w:r w:rsidRPr="0063119B">
        <w:rPr>
          <w:rFonts w:eastAsia="SimSun"/>
          <w:szCs w:val="22"/>
        </w:rPr>
        <w:t xml:space="preserve">(ver </w:t>
      </w:r>
      <w:r w:rsidR="004D7C05" w:rsidRPr="0063119B">
        <w:rPr>
          <w:rFonts w:eastAsia="SimSun"/>
          <w:szCs w:val="22"/>
        </w:rPr>
        <w:t xml:space="preserve">também </w:t>
      </w:r>
      <w:r w:rsidRPr="0063119B">
        <w:rPr>
          <w:rFonts w:eastAsia="SimSun"/>
          <w:szCs w:val="22"/>
        </w:rPr>
        <w:t xml:space="preserve">secção 4.4 e </w:t>
      </w:r>
      <w:r w:rsidR="00B67796" w:rsidRPr="0063119B">
        <w:rPr>
          <w:rFonts w:eastAsia="SimSun"/>
          <w:szCs w:val="22"/>
        </w:rPr>
        <w:t>“</w:t>
      </w:r>
      <w:r w:rsidRPr="0063119B">
        <w:rPr>
          <w:noProof/>
          <w:szCs w:val="22"/>
        </w:rPr>
        <w:t>Descrição das reações adversas selecionada</w:t>
      </w:r>
      <w:r w:rsidR="00B67796" w:rsidRPr="0063119B">
        <w:rPr>
          <w:noProof/>
          <w:szCs w:val="22"/>
        </w:rPr>
        <w:t>s”</w:t>
      </w:r>
      <w:r w:rsidRPr="0063119B">
        <w:rPr>
          <w:noProof/>
          <w:szCs w:val="22"/>
        </w:rPr>
        <w:t xml:space="preserve"> abaixo). As hemorragias notificadas com maior frequência </w:t>
      </w:r>
      <w:r w:rsidRPr="0063119B">
        <w:rPr>
          <w:szCs w:val="22"/>
        </w:rPr>
        <w:t>foram epistaxe (</w:t>
      </w:r>
      <w:r w:rsidR="003E1D5A" w:rsidRPr="0063119B">
        <w:rPr>
          <w:szCs w:val="22"/>
        </w:rPr>
        <w:t>4,5</w:t>
      </w:r>
      <w:r w:rsidRPr="0063119B">
        <w:rPr>
          <w:szCs w:val="22"/>
        </w:rPr>
        <w:t>%) e hemorragia do trato gastrointestinal (</w:t>
      </w:r>
      <w:r w:rsidR="003E1D5A" w:rsidRPr="0063119B">
        <w:rPr>
          <w:szCs w:val="22"/>
        </w:rPr>
        <w:t>3,8</w:t>
      </w:r>
      <w:r w:rsidRPr="0063119B">
        <w:rPr>
          <w:szCs w:val="22"/>
        </w:rPr>
        <w:t>%).</w:t>
      </w:r>
    </w:p>
    <w:p w14:paraId="742C7875" w14:textId="77777777" w:rsidR="00977B6C" w:rsidRPr="0063119B" w:rsidRDefault="00977B6C" w:rsidP="00337111">
      <w:pPr>
        <w:rPr>
          <w:rFonts w:eastAsia="SimSun"/>
          <w:szCs w:val="22"/>
        </w:rPr>
      </w:pPr>
    </w:p>
    <w:p w14:paraId="69162367" w14:textId="77777777" w:rsidR="002F4FE5" w:rsidRPr="0063119B" w:rsidRDefault="002F4FE5" w:rsidP="002F4FE5">
      <w:pPr>
        <w:keepNext/>
        <w:rPr>
          <w:b/>
          <w:szCs w:val="22"/>
        </w:rPr>
      </w:pPr>
      <w:r w:rsidRPr="0063119B">
        <w:rPr>
          <w:b/>
          <w:szCs w:val="22"/>
        </w:rPr>
        <w:lastRenderedPageBreak/>
        <w:t>Quadro 2</w:t>
      </w:r>
      <w:r w:rsidR="00600004" w:rsidRPr="0063119B">
        <w:rPr>
          <w:b/>
          <w:szCs w:val="22"/>
        </w:rPr>
        <w:t>:</w:t>
      </w:r>
      <w:r w:rsidRPr="0063119B">
        <w:rPr>
          <w:b/>
          <w:szCs w:val="22"/>
        </w:rPr>
        <w:t xml:space="preserve"> </w:t>
      </w:r>
      <w:r w:rsidR="00104B9D" w:rsidRPr="0063119B">
        <w:rPr>
          <w:b/>
          <w:szCs w:val="22"/>
        </w:rPr>
        <w:t>Taxas de acontecimentos hemorrá</w:t>
      </w:r>
      <w:r w:rsidRPr="0063119B">
        <w:rPr>
          <w:b/>
          <w:szCs w:val="22"/>
        </w:rPr>
        <w:t>gi</w:t>
      </w:r>
      <w:r w:rsidR="00104B9D" w:rsidRPr="0063119B">
        <w:rPr>
          <w:b/>
          <w:szCs w:val="22"/>
        </w:rPr>
        <w:t>cos</w:t>
      </w:r>
      <w:r w:rsidR="003E1D5A" w:rsidRPr="0063119B">
        <w:rPr>
          <w:b/>
          <w:szCs w:val="22"/>
        </w:rPr>
        <w:t>*</w:t>
      </w:r>
      <w:r w:rsidRPr="0063119B">
        <w:rPr>
          <w:b/>
          <w:szCs w:val="22"/>
        </w:rPr>
        <w:t xml:space="preserve"> e anemia em doentes expostos ao rivaroxabano nos estudos de fase III </w:t>
      </w:r>
      <w:r w:rsidR="001E2E99">
        <w:rPr>
          <w:b/>
          <w:bCs/>
          <w:szCs w:val="22"/>
        </w:rPr>
        <w:t xml:space="preserve">em doentes adultos e pediátricos </w:t>
      </w:r>
      <w:r w:rsidRPr="0063119B">
        <w:rPr>
          <w:b/>
          <w:szCs w:val="22"/>
        </w:rPr>
        <w:t>concluídos</w:t>
      </w:r>
    </w:p>
    <w:p w14:paraId="11590CD9" w14:textId="77777777" w:rsidR="002F4FE5" w:rsidRPr="0063119B" w:rsidRDefault="002F4FE5" w:rsidP="002F4FE5">
      <w:pPr>
        <w:keepNext/>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2F4FE5" w:rsidRPr="0063119B" w14:paraId="4BE56892" w14:textId="77777777" w:rsidTr="002F4FE5">
        <w:trPr>
          <w:tblHeader/>
        </w:trPr>
        <w:tc>
          <w:tcPr>
            <w:tcW w:w="3544" w:type="dxa"/>
          </w:tcPr>
          <w:p w14:paraId="204E9FED" w14:textId="77777777" w:rsidR="002F4FE5" w:rsidRPr="0063119B" w:rsidRDefault="002F4FE5" w:rsidP="002F4FE5">
            <w:pPr>
              <w:keepNext/>
              <w:rPr>
                <w:b/>
                <w:szCs w:val="22"/>
              </w:rPr>
            </w:pPr>
            <w:r w:rsidRPr="0063119B">
              <w:rPr>
                <w:b/>
                <w:szCs w:val="22"/>
              </w:rPr>
              <w:t>Indicação</w:t>
            </w:r>
          </w:p>
        </w:tc>
        <w:tc>
          <w:tcPr>
            <w:tcW w:w="1985" w:type="dxa"/>
          </w:tcPr>
          <w:p w14:paraId="0359F854" w14:textId="77777777" w:rsidR="002F4FE5" w:rsidRPr="0063119B" w:rsidRDefault="002F4FE5" w:rsidP="002F4FE5">
            <w:pPr>
              <w:keepNext/>
              <w:rPr>
                <w:szCs w:val="22"/>
              </w:rPr>
            </w:pPr>
            <w:r w:rsidRPr="0063119B">
              <w:rPr>
                <w:b/>
                <w:szCs w:val="22"/>
              </w:rPr>
              <w:t>Qualquer hemorragia</w:t>
            </w:r>
          </w:p>
        </w:tc>
        <w:tc>
          <w:tcPr>
            <w:tcW w:w="2126" w:type="dxa"/>
          </w:tcPr>
          <w:p w14:paraId="2D986EF5" w14:textId="77777777" w:rsidR="002F4FE5" w:rsidRPr="0063119B" w:rsidRDefault="002F4FE5" w:rsidP="002F4FE5">
            <w:pPr>
              <w:keepNext/>
              <w:rPr>
                <w:b/>
                <w:szCs w:val="22"/>
              </w:rPr>
            </w:pPr>
            <w:r w:rsidRPr="0063119B">
              <w:rPr>
                <w:b/>
                <w:szCs w:val="22"/>
              </w:rPr>
              <w:t>Anemia</w:t>
            </w:r>
          </w:p>
        </w:tc>
      </w:tr>
      <w:tr w:rsidR="002F4FE5" w:rsidRPr="0063119B" w14:paraId="01246BF9" w14:textId="77777777" w:rsidTr="002F4FE5">
        <w:tc>
          <w:tcPr>
            <w:tcW w:w="3544" w:type="dxa"/>
          </w:tcPr>
          <w:p w14:paraId="3AE99264" w14:textId="5CA6BC46" w:rsidR="002F4FE5" w:rsidRPr="0063119B" w:rsidRDefault="002F4FE5" w:rsidP="00B45C8F">
            <w:pPr>
              <w:keepNext/>
              <w:rPr>
                <w:szCs w:val="22"/>
              </w:rPr>
            </w:pPr>
            <w:r w:rsidRPr="0063119B">
              <w:rPr>
                <w:szCs w:val="22"/>
              </w:rPr>
              <w:t>Prevenção d</w:t>
            </w:r>
            <w:r w:rsidR="00B45C8F" w:rsidRPr="0063119B">
              <w:rPr>
                <w:szCs w:val="22"/>
              </w:rPr>
              <w:t>o</w:t>
            </w:r>
            <w:r w:rsidRPr="0063119B">
              <w:rPr>
                <w:szCs w:val="22"/>
              </w:rPr>
              <w:t xml:space="preserve"> </w:t>
            </w:r>
            <w:r w:rsidR="000536F1">
              <w:rPr>
                <w:szCs w:val="22"/>
              </w:rPr>
              <w:t>tromboembolismo venoso (</w:t>
            </w:r>
            <w:r w:rsidRPr="0063119B">
              <w:rPr>
                <w:szCs w:val="22"/>
              </w:rPr>
              <w:t>TEV</w:t>
            </w:r>
            <w:r w:rsidR="000536F1">
              <w:rPr>
                <w:szCs w:val="22"/>
              </w:rPr>
              <w:t>)</w:t>
            </w:r>
            <w:r w:rsidRPr="0063119B">
              <w:rPr>
                <w:szCs w:val="22"/>
              </w:rPr>
              <w:t xml:space="preserve"> em doentes adultos submetidos a artroplastia eletiva da anca ou joelho</w:t>
            </w:r>
          </w:p>
        </w:tc>
        <w:tc>
          <w:tcPr>
            <w:tcW w:w="1985" w:type="dxa"/>
          </w:tcPr>
          <w:p w14:paraId="2DA1C8A4" w14:textId="77777777" w:rsidR="002F4FE5" w:rsidRPr="0063119B" w:rsidRDefault="002F4FE5" w:rsidP="002F4FE5">
            <w:pPr>
              <w:keepNext/>
              <w:rPr>
                <w:szCs w:val="22"/>
              </w:rPr>
            </w:pPr>
            <w:r w:rsidRPr="0063119B">
              <w:rPr>
                <w:szCs w:val="22"/>
              </w:rPr>
              <w:t>6,8% dos doentes</w:t>
            </w:r>
          </w:p>
        </w:tc>
        <w:tc>
          <w:tcPr>
            <w:tcW w:w="2126" w:type="dxa"/>
          </w:tcPr>
          <w:p w14:paraId="329B0BE7" w14:textId="77777777" w:rsidR="002F4FE5" w:rsidRPr="0063119B" w:rsidRDefault="002F4FE5" w:rsidP="002F4FE5">
            <w:pPr>
              <w:keepNext/>
              <w:rPr>
                <w:szCs w:val="22"/>
              </w:rPr>
            </w:pPr>
            <w:r w:rsidRPr="0063119B">
              <w:rPr>
                <w:szCs w:val="22"/>
              </w:rPr>
              <w:t>5,9% dos doentes</w:t>
            </w:r>
          </w:p>
        </w:tc>
      </w:tr>
      <w:tr w:rsidR="002F4FE5" w:rsidRPr="0063119B" w14:paraId="6B65B7E6" w14:textId="77777777" w:rsidTr="002F4FE5">
        <w:tc>
          <w:tcPr>
            <w:tcW w:w="3544" w:type="dxa"/>
          </w:tcPr>
          <w:p w14:paraId="6D4ED4C5" w14:textId="30C22601" w:rsidR="002F4FE5" w:rsidRPr="0063119B" w:rsidRDefault="002F4FE5" w:rsidP="004D7C05">
            <w:pPr>
              <w:keepNext/>
              <w:rPr>
                <w:szCs w:val="22"/>
              </w:rPr>
            </w:pPr>
            <w:r w:rsidRPr="0063119B">
              <w:rPr>
                <w:szCs w:val="22"/>
              </w:rPr>
              <w:t>Prevenção d</w:t>
            </w:r>
            <w:r w:rsidR="00192DF0" w:rsidRPr="0063119B">
              <w:rPr>
                <w:szCs w:val="22"/>
              </w:rPr>
              <w:t>o</w:t>
            </w:r>
            <w:r w:rsidRPr="0063119B">
              <w:rPr>
                <w:szCs w:val="22"/>
              </w:rPr>
              <w:t xml:space="preserve"> </w:t>
            </w:r>
            <w:r w:rsidR="000536F1">
              <w:rPr>
                <w:szCs w:val="22"/>
              </w:rPr>
              <w:t>tromboembolismo venoso</w:t>
            </w:r>
            <w:r w:rsidR="000536F1" w:rsidRPr="0063119B" w:rsidDel="000536F1">
              <w:rPr>
                <w:szCs w:val="22"/>
              </w:rPr>
              <w:t xml:space="preserve"> </w:t>
            </w:r>
            <w:r w:rsidRPr="0063119B">
              <w:rPr>
                <w:szCs w:val="22"/>
              </w:rPr>
              <w:t xml:space="preserve">em doentes </w:t>
            </w:r>
            <w:r w:rsidR="00AB54CD" w:rsidRPr="0063119B">
              <w:rPr>
                <w:szCs w:val="22"/>
              </w:rPr>
              <w:t>com patologias médicas</w:t>
            </w:r>
          </w:p>
        </w:tc>
        <w:tc>
          <w:tcPr>
            <w:tcW w:w="1985" w:type="dxa"/>
          </w:tcPr>
          <w:p w14:paraId="044574F2" w14:textId="77777777" w:rsidR="002F4FE5" w:rsidRPr="0063119B" w:rsidRDefault="002F4FE5" w:rsidP="002F4FE5">
            <w:pPr>
              <w:keepNext/>
              <w:rPr>
                <w:szCs w:val="22"/>
              </w:rPr>
            </w:pPr>
            <w:r w:rsidRPr="0063119B">
              <w:rPr>
                <w:szCs w:val="22"/>
              </w:rPr>
              <w:t>12,6% dos doentes</w:t>
            </w:r>
          </w:p>
        </w:tc>
        <w:tc>
          <w:tcPr>
            <w:tcW w:w="2126" w:type="dxa"/>
          </w:tcPr>
          <w:p w14:paraId="77A40BCD" w14:textId="77777777" w:rsidR="002F4FE5" w:rsidRPr="0063119B" w:rsidRDefault="002F4FE5" w:rsidP="002F4FE5">
            <w:pPr>
              <w:keepNext/>
              <w:rPr>
                <w:szCs w:val="22"/>
              </w:rPr>
            </w:pPr>
            <w:r w:rsidRPr="0063119B">
              <w:rPr>
                <w:szCs w:val="22"/>
              </w:rPr>
              <w:t>2,1% dos doentes</w:t>
            </w:r>
          </w:p>
        </w:tc>
      </w:tr>
      <w:tr w:rsidR="002F4FE5" w:rsidRPr="0063119B" w14:paraId="48276E7D" w14:textId="77777777" w:rsidTr="002F4FE5">
        <w:tc>
          <w:tcPr>
            <w:tcW w:w="3544" w:type="dxa"/>
          </w:tcPr>
          <w:p w14:paraId="384CD948" w14:textId="77777777" w:rsidR="002F4FE5" w:rsidRPr="0063119B" w:rsidRDefault="002F4FE5" w:rsidP="004075A4">
            <w:pPr>
              <w:keepNext/>
              <w:rPr>
                <w:szCs w:val="22"/>
              </w:rPr>
            </w:pPr>
            <w:r w:rsidRPr="0063119B">
              <w:rPr>
                <w:szCs w:val="22"/>
              </w:rPr>
              <w:t xml:space="preserve">Tratamento da </w:t>
            </w:r>
            <w:r w:rsidR="0051410B" w:rsidRPr="0063119B">
              <w:rPr>
                <w:szCs w:val="22"/>
              </w:rPr>
              <w:t xml:space="preserve">TVP, </w:t>
            </w:r>
            <w:r w:rsidRPr="0063119B">
              <w:rPr>
                <w:szCs w:val="22"/>
              </w:rPr>
              <w:t>EP e prevenção de recorrências</w:t>
            </w:r>
          </w:p>
        </w:tc>
        <w:tc>
          <w:tcPr>
            <w:tcW w:w="1985" w:type="dxa"/>
          </w:tcPr>
          <w:p w14:paraId="77387A31" w14:textId="77777777" w:rsidR="002F4FE5" w:rsidRPr="0063119B" w:rsidRDefault="002F4FE5" w:rsidP="002F4FE5">
            <w:pPr>
              <w:keepNext/>
              <w:rPr>
                <w:szCs w:val="22"/>
              </w:rPr>
            </w:pPr>
            <w:r w:rsidRPr="0063119B">
              <w:rPr>
                <w:szCs w:val="22"/>
              </w:rPr>
              <w:t>23% dos doentes</w:t>
            </w:r>
          </w:p>
        </w:tc>
        <w:tc>
          <w:tcPr>
            <w:tcW w:w="2126" w:type="dxa"/>
          </w:tcPr>
          <w:p w14:paraId="4CB49E3D" w14:textId="77777777" w:rsidR="002F4FE5" w:rsidRPr="0063119B" w:rsidRDefault="002F4FE5" w:rsidP="002F4FE5">
            <w:pPr>
              <w:keepNext/>
              <w:rPr>
                <w:szCs w:val="22"/>
              </w:rPr>
            </w:pPr>
            <w:r w:rsidRPr="0063119B">
              <w:rPr>
                <w:szCs w:val="22"/>
              </w:rPr>
              <w:t>1,6% dos doentes</w:t>
            </w:r>
          </w:p>
        </w:tc>
      </w:tr>
      <w:tr w:rsidR="001E2E99" w:rsidRPr="0063119B" w14:paraId="799A09A4" w14:textId="77777777" w:rsidTr="002F4FE5">
        <w:tc>
          <w:tcPr>
            <w:tcW w:w="3544" w:type="dxa"/>
          </w:tcPr>
          <w:p w14:paraId="2BC69391" w14:textId="77777777" w:rsidR="001E2E99" w:rsidRPr="00EF3721" w:rsidRDefault="001E2E99" w:rsidP="00EF3721">
            <w:pPr>
              <w:pStyle w:val="Default"/>
              <w:rPr>
                <w:szCs w:val="22"/>
                <w:lang w:val="pt-PT"/>
              </w:rPr>
            </w:pPr>
            <w:r w:rsidRPr="00EF3721">
              <w:rPr>
                <w:sz w:val="22"/>
                <w:szCs w:val="22"/>
                <w:lang w:val="pt-PT"/>
              </w:rPr>
              <w:t xml:space="preserve">Tratamento do TEV e prevenção da recorrência de TEV em recém-nascidos de termo e em crianças com menos de 18 anos de idade após o início do tratamento anticoagulante padrão </w:t>
            </w:r>
          </w:p>
        </w:tc>
        <w:tc>
          <w:tcPr>
            <w:tcW w:w="1985" w:type="dxa"/>
          </w:tcPr>
          <w:tbl>
            <w:tblPr>
              <w:tblW w:w="0" w:type="auto"/>
              <w:tblBorders>
                <w:top w:val="nil"/>
                <w:left w:val="nil"/>
                <w:bottom w:val="nil"/>
                <w:right w:val="nil"/>
              </w:tblBorders>
              <w:tblLook w:val="0000" w:firstRow="0" w:lastRow="0" w:firstColumn="0" w:lastColumn="0" w:noHBand="0" w:noVBand="0"/>
            </w:tblPr>
            <w:tblGrid>
              <w:gridCol w:w="1547"/>
              <w:gridCol w:w="222"/>
            </w:tblGrid>
            <w:tr w:rsidR="001E2E99" w:rsidRPr="001E2E99" w14:paraId="01AEBA5D" w14:textId="77777777">
              <w:trPr>
                <w:trHeight w:val="147"/>
              </w:trPr>
              <w:tc>
                <w:tcPr>
                  <w:tcW w:w="0" w:type="auto"/>
                </w:tcPr>
                <w:p w14:paraId="7C17F990" w14:textId="77777777" w:rsidR="001E2E99" w:rsidRPr="001E2E99" w:rsidRDefault="001E2E99" w:rsidP="001E2E99">
                  <w:pPr>
                    <w:autoSpaceDE w:val="0"/>
                    <w:autoSpaceDN w:val="0"/>
                    <w:adjustRightInd w:val="0"/>
                    <w:rPr>
                      <w:color w:val="000000"/>
                      <w:szCs w:val="22"/>
                      <w:lang w:eastAsia="pt-PT"/>
                    </w:rPr>
                  </w:pPr>
                  <w:r w:rsidRPr="001E2E99">
                    <w:rPr>
                      <w:color w:val="000000"/>
                      <w:szCs w:val="22"/>
                      <w:lang w:eastAsia="pt-PT"/>
                    </w:rPr>
                    <w:t xml:space="preserve">39,5% dos doentes </w:t>
                  </w:r>
                </w:p>
              </w:tc>
              <w:tc>
                <w:tcPr>
                  <w:tcW w:w="0" w:type="auto"/>
                </w:tcPr>
                <w:p w14:paraId="3ECE0BFD" w14:textId="77777777" w:rsidR="001E2E99" w:rsidRPr="001E2E99" w:rsidRDefault="001E2E99" w:rsidP="001E2E99">
                  <w:pPr>
                    <w:autoSpaceDE w:val="0"/>
                    <w:autoSpaceDN w:val="0"/>
                    <w:adjustRightInd w:val="0"/>
                    <w:rPr>
                      <w:color w:val="000000"/>
                      <w:szCs w:val="22"/>
                      <w:lang w:eastAsia="pt-PT"/>
                    </w:rPr>
                  </w:pPr>
                </w:p>
              </w:tc>
            </w:tr>
          </w:tbl>
          <w:p w14:paraId="27301FE8" w14:textId="77777777" w:rsidR="001E2E99" w:rsidRPr="0063119B" w:rsidRDefault="001E2E99" w:rsidP="002F4FE5">
            <w:pPr>
              <w:keepNext/>
              <w:rPr>
                <w:szCs w:val="22"/>
              </w:rPr>
            </w:pPr>
          </w:p>
        </w:tc>
        <w:tc>
          <w:tcPr>
            <w:tcW w:w="2126" w:type="dxa"/>
          </w:tcPr>
          <w:p w14:paraId="7C44E1DE" w14:textId="77777777" w:rsidR="001E2E99" w:rsidRPr="0063119B" w:rsidRDefault="001E2E99" w:rsidP="002F4FE5">
            <w:pPr>
              <w:keepNext/>
              <w:rPr>
                <w:szCs w:val="22"/>
              </w:rPr>
            </w:pPr>
            <w:r w:rsidRPr="001E2E99">
              <w:rPr>
                <w:color w:val="000000"/>
                <w:szCs w:val="22"/>
                <w:lang w:eastAsia="pt-PT"/>
              </w:rPr>
              <w:t>4,6% dos doentes</w:t>
            </w:r>
          </w:p>
        </w:tc>
      </w:tr>
      <w:tr w:rsidR="002F4FE5" w:rsidRPr="0063119B" w14:paraId="18F8C04C" w14:textId="77777777" w:rsidTr="002F4FE5">
        <w:tc>
          <w:tcPr>
            <w:tcW w:w="3544" w:type="dxa"/>
          </w:tcPr>
          <w:p w14:paraId="2570CC7F" w14:textId="77777777" w:rsidR="002F4FE5" w:rsidRPr="0063119B" w:rsidRDefault="002F4FE5" w:rsidP="002F4FE5">
            <w:pPr>
              <w:keepNext/>
              <w:rPr>
                <w:szCs w:val="22"/>
              </w:rPr>
            </w:pPr>
            <w:r w:rsidRPr="0063119B">
              <w:rPr>
                <w:szCs w:val="22"/>
              </w:rPr>
              <w:t>Prevenção de AVC e embolismo sistémico em doentes com fibrilhação auricular não valvular</w:t>
            </w:r>
          </w:p>
        </w:tc>
        <w:tc>
          <w:tcPr>
            <w:tcW w:w="1985" w:type="dxa"/>
          </w:tcPr>
          <w:p w14:paraId="7361D79C" w14:textId="77777777" w:rsidR="002F4FE5" w:rsidRPr="0063119B" w:rsidRDefault="002F4FE5" w:rsidP="002F4FE5">
            <w:pPr>
              <w:keepNext/>
              <w:rPr>
                <w:szCs w:val="22"/>
              </w:rPr>
            </w:pPr>
            <w:r w:rsidRPr="0063119B">
              <w:rPr>
                <w:szCs w:val="22"/>
              </w:rPr>
              <w:t>28 por 100 </w:t>
            </w:r>
            <w:r w:rsidR="00C60883" w:rsidRPr="0063119B" w:rsidDel="00C60883">
              <w:rPr>
                <w:szCs w:val="22"/>
              </w:rPr>
              <w:t xml:space="preserve"> </w:t>
            </w:r>
            <w:r w:rsidRPr="0063119B">
              <w:rPr>
                <w:szCs w:val="22"/>
              </w:rPr>
              <w:t>doente</w:t>
            </w:r>
            <w:r w:rsidR="00C60883">
              <w:rPr>
                <w:szCs w:val="22"/>
              </w:rPr>
              <w:t>s-ano</w:t>
            </w:r>
          </w:p>
        </w:tc>
        <w:tc>
          <w:tcPr>
            <w:tcW w:w="2126" w:type="dxa"/>
          </w:tcPr>
          <w:p w14:paraId="0B9973B6" w14:textId="77777777" w:rsidR="002F4FE5" w:rsidRPr="0063119B" w:rsidRDefault="002F4FE5" w:rsidP="002F4FE5">
            <w:pPr>
              <w:keepNext/>
              <w:rPr>
                <w:szCs w:val="22"/>
              </w:rPr>
            </w:pPr>
            <w:r w:rsidRPr="0063119B">
              <w:rPr>
                <w:szCs w:val="22"/>
              </w:rPr>
              <w:t>2,5 por 100 </w:t>
            </w:r>
            <w:r w:rsidR="00C60883" w:rsidRPr="0063119B" w:rsidDel="00C60883">
              <w:rPr>
                <w:szCs w:val="22"/>
              </w:rPr>
              <w:t xml:space="preserve"> </w:t>
            </w:r>
            <w:r w:rsidRPr="0063119B">
              <w:rPr>
                <w:szCs w:val="22"/>
              </w:rPr>
              <w:t>doente</w:t>
            </w:r>
            <w:r w:rsidR="00C60883">
              <w:rPr>
                <w:szCs w:val="22"/>
              </w:rPr>
              <w:t>s-ano</w:t>
            </w:r>
          </w:p>
        </w:tc>
      </w:tr>
      <w:tr w:rsidR="002F4FE5" w:rsidRPr="0063119B" w14:paraId="1D635551" w14:textId="77777777" w:rsidTr="002F4FE5">
        <w:tc>
          <w:tcPr>
            <w:tcW w:w="3544" w:type="dxa"/>
          </w:tcPr>
          <w:p w14:paraId="19F5D969" w14:textId="77777777" w:rsidR="002F4FE5" w:rsidRPr="0063119B" w:rsidRDefault="002F4FE5" w:rsidP="002F4FE5">
            <w:pPr>
              <w:keepNext/>
              <w:rPr>
                <w:szCs w:val="22"/>
              </w:rPr>
            </w:pPr>
            <w:r w:rsidRPr="0063119B">
              <w:rPr>
                <w:szCs w:val="22"/>
              </w:rPr>
              <w:t>Prevenção de acontecimentos aterotrombótic</w:t>
            </w:r>
            <w:r w:rsidR="004075A4" w:rsidRPr="0063119B">
              <w:rPr>
                <w:szCs w:val="22"/>
              </w:rPr>
              <w:t xml:space="preserve">os em doentes após </w:t>
            </w:r>
            <w:r w:rsidRPr="0063119B">
              <w:rPr>
                <w:szCs w:val="22"/>
              </w:rPr>
              <w:t>um SCA</w:t>
            </w:r>
          </w:p>
        </w:tc>
        <w:tc>
          <w:tcPr>
            <w:tcW w:w="1985" w:type="dxa"/>
          </w:tcPr>
          <w:p w14:paraId="07A254A9" w14:textId="77777777" w:rsidR="002F4FE5" w:rsidRPr="0063119B" w:rsidRDefault="002F4FE5" w:rsidP="002F4FE5">
            <w:pPr>
              <w:keepNext/>
              <w:rPr>
                <w:szCs w:val="22"/>
              </w:rPr>
            </w:pPr>
            <w:r w:rsidRPr="0063119B">
              <w:rPr>
                <w:szCs w:val="22"/>
              </w:rPr>
              <w:t>22 por 100 </w:t>
            </w:r>
            <w:r w:rsidR="00C60883" w:rsidRPr="0063119B" w:rsidDel="00C60883">
              <w:rPr>
                <w:szCs w:val="22"/>
              </w:rPr>
              <w:t xml:space="preserve"> </w:t>
            </w:r>
            <w:r w:rsidRPr="0063119B">
              <w:rPr>
                <w:szCs w:val="22"/>
              </w:rPr>
              <w:t>doente</w:t>
            </w:r>
            <w:r w:rsidR="00C60883">
              <w:rPr>
                <w:szCs w:val="22"/>
              </w:rPr>
              <w:t>s-ano</w:t>
            </w:r>
          </w:p>
        </w:tc>
        <w:tc>
          <w:tcPr>
            <w:tcW w:w="2126" w:type="dxa"/>
          </w:tcPr>
          <w:p w14:paraId="79967DC1" w14:textId="77777777" w:rsidR="002F4FE5" w:rsidRPr="0063119B" w:rsidRDefault="002F4FE5" w:rsidP="002F4FE5">
            <w:pPr>
              <w:keepNext/>
              <w:rPr>
                <w:szCs w:val="22"/>
              </w:rPr>
            </w:pPr>
            <w:r w:rsidRPr="0063119B">
              <w:rPr>
                <w:szCs w:val="22"/>
              </w:rPr>
              <w:t>1,4 por 100 </w:t>
            </w:r>
            <w:r w:rsidR="00C60883" w:rsidRPr="0063119B" w:rsidDel="00C60883">
              <w:rPr>
                <w:szCs w:val="22"/>
              </w:rPr>
              <w:t xml:space="preserve"> </w:t>
            </w:r>
            <w:r w:rsidRPr="0063119B">
              <w:rPr>
                <w:szCs w:val="22"/>
              </w:rPr>
              <w:t>doente</w:t>
            </w:r>
            <w:r w:rsidR="00C60883">
              <w:rPr>
                <w:szCs w:val="22"/>
              </w:rPr>
              <w:t>s-ano</w:t>
            </w:r>
          </w:p>
        </w:tc>
      </w:tr>
      <w:tr w:rsidR="00C60883" w:rsidRPr="0063119B" w14:paraId="03ACDD1C" w14:textId="77777777" w:rsidTr="00F03D43">
        <w:tc>
          <w:tcPr>
            <w:tcW w:w="3544" w:type="dxa"/>
            <w:vMerge w:val="restart"/>
          </w:tcPr>
          <w:p w14:paraId="06CCD62D" w14:textId="77777777" w:rsidR="00C60883" w:rsidRPr="0063119B" w:rsidRDefault="00C60883" w:rsidP="001B0380">
            <w:pPr>
              <w:keepNext/>
              <w:rPr>
                <w:szCs w:val="22"/>
              </w:rPr>
            </w:pPr>
            <w:r w:rsidRPr="0063119B">
              <w:rPr>
                <w:szCs w:val="22"/>
              </w:rPr>
              <w:t>Prevenção de acontecimentos aterotrombóticos em doentes com DAC/DAP</w:t>
            </w:r>
          </w:p>
        </w:tc>
        <w:tc>
          <w:tcPr>
            <w:tcW w:w="1985" w:type="dxa"/>
            <w:tcBorders>
              <w:bottom w:val="single" w:sz="4" w:space="0" w:color="auto"/>
            </w:tcBorders>
          </w:tcPr>
          <w:p w14:paraId="7B413657" w14:textId="77777777" w:rsidR="00C60883" w:rsidRPr="0063119B" w:rsidRDefault="00C60883" w:rsidP="00D753EC">
            <w:pPr>
              <w:keepNext/>
              <w:rPr>
                <w:szCs w:val="22"/>
              </w:rPr>
            </w:pPr>
            <w:r w:rsidRPr="0063119B">
              <w:rPr>
                <w:szCs w:val="22"/>
              </w:rPr>
              <w:t>6,7 por 100 </w:t>
            </w:r>
            <w:r>
              <w:rPr>
                <w:szCs w:val="22"/>
              </w:rPr>
              <w:t>doentes-ano</w:t>
            </w:r>
          </w:p>
        </w:tc>
        <w:tc>
          <w:tcPr>
            <w:tcW w:w="2126" w:type="dxa"/>
            <w:tcBorders>
              <w:bottom w:val="single" w:sz="4" w:space="0" w:color="auto"/>
            </w:tcBorders>
          </w:tcPr>
          <w:p w14:paraId="0FCE9813" w14:textId="77777777" w:rsidR="00C60883" w:rsidRPr="0063119B" w:rsidRDefault="00C60883" w:rsidP="00D753EC">
            <w:pPr>
              <w:keepNext/>
              <w:rPr>
                <w:szCs w:val="22"/>
              </w:rPr>
            </w:pPr>
            <w:r w:rsidRPr="0063119B">
              <w:rPr>
                <w:szCs w:val="22"/>
              </w:rPr>
              <w:t>0,15 por 100 </w:t>
            </w:r>
            <w:r w:rsidRPr="0063119B" w:rsidDel="00C60883">
              <w:rPr>
                <w:szCs w:val="22"/>
              </w:rPr>
              <w:t xml:space="preserve"> </w:t>
            </w:r>
            <w:r w:rsidRPr="0063119B">
              <w:rPr>
                <w:szCs w:val="22"/>
              </w:rPr>
              <w:t>doente</w:t>
            </w:r>
            <w:r>
              <w:rPr>
                <w:szCs w:val="22"/>
              </w:rPr>
              <w:t>s-ano</w:t>
            </w:r>
            <w:r w:rsidRPr="0063119B">
              <w:rPr>
                <w:szCs w:val="22"/>
              </w:rPr>
              <w:t xml:space="preserve">** </w:t>
            </w:r>
          </w:p>
        </w:tc>
      </w:tr>
      <w:tr w:rsidR="00C60883" w:rsidRPr="0063119B" w14:paraId="035948A9" w14:textId="77777777" w:rsidTr="0056664B">
        <w:tc>
          <w:tcPr>
            <w:tcW w:w="3544" w:type="dxa"/>
            <w:vMerge/>
            <w:tcBorders>
              <w:bottom w:val="single" w:sz="4" w:space="0" w:color="auto"/>
            </w:tcBorders>
          </w:tcPr>
          <w:p w14:paraId="19AB243C" w14:textId="77777777" w:rsidR="00C60883" w:rsidRPr="0063119B" w:rsidRDefault="00C60883" w:rsidP="00C60883">
            <w:pPr>
              <w:keepNext/>
              <w:rPr>
                <w:szCs w:val="22"/>
              </w:rPr>
            </w:pPr>
          </w:p>
        </w:tc>
        <w:tc>
          <w:tcPr>
            <w:tcW w:w="1985" w:type="dxa"/>
            <w:tcBorders>
              <w:bottom w:val="single" w:sz="4" w:space="0" w:color="auto"/>
            </w:tcBorders>
          </w:tcPr>
          <w:p w14:paraId="5599D9F4" w14:textId="77777777" w:rsidR="00C60883" w:rsidRPr="0063119B" w:rsidRDefault="00C60883" w:rsidP="00C60883">
            <w:pPr>
              <w:keepNext/>
              <w:rPr>
                <w:szCs w:val="22"/>
              </w:rPr>
            </w:pPr>
            <w:r>
              <w:rPr>
                <w:szCs w:val="22"/>
              </w:rPr>
              <w:t>8</w:t>
            </w:r>
            <w:r w:rsidRPr="0063119B">
              <w:rPr>
                <w:szCs w:val="22"/>
              </w:rPr>
              <w:t>,</w:t>
            </w:r>
            <w:r>
              <w:rPr>
                <w:szCs w:val="22"/>
              </w:rPr>
              <w:t>38</w:t>
            </w:r>
            <w:r w:rsidRPr="0063119B">
              <w:rPr>
                <w:szCs w:val="22"/>
              </w:rPr>
              <w:t xml:space="preserve"> por 100 doente</w:t>
            </w:r>
            <w:r>
              <w:rPr>
                <w:szCs w:val="22"/>
              </w:rPr>
              <w:t>s-ano</w:t>
            </w:r>
            <w:r w:rsidRPr="003848C1">
              <w:rPr>
                <w:szCs w:val="22"/>
                <w:vertAlign w:val="superscript"/>
              </w:rPr>
              <w:t>#</w:t>
            </w:r>
          </w:p>
        </w:tc>
        <w:tc>
          <w:tcPr>
            <w:tcW w:w="2126" w:type="dxa"/>
            <w:tcBorders>
              <w:bottom w:val="single" w:sz="4" w:space="0" w:color="auto"/>
            </w:tcBorders>
          </w:tcPr>
          <w:p w14:paraId="0A4B3C69" w14:textId="77777777" w:rsidR="00C60883" w:rsidRPr="0063119B" w:rsidRDefault="00C60883" w:rsidP="00C60883">
            <w:pPr>
              <w:keepNext/>
              <w:rPr>
                <w:szCs w:val="22"/>
              </w:rPr>
            </w:pPr>
            <w:r>
              <w:rPr>
                <w:szCs w:val="22"/>
              </w:rPr>
              <w:t>0</w:t>
            </w:r>
            <w:r w:rsidRPr="0063119B">
              <w:rPr>
                <w:szCs w:val="22"/>
              </w:rPr>
              <w:t>,7</w:t>
            </w:r>
            <w:r>
              <w:rPr>
                <w:szCs w:val="22"/>
              </w:rPr>
              <w:t>4</w:t>
            </w:r>
            <w:r w:rsidRPr="0063119B">
              <w:rPr>
                <w:szCs w:val="22"/>
              </w:rPr>
              <w:t xml:space="preserve"> por 100 doente</w:t>
            </w:r>
            <w:r>
              <w:rPr>
                <w:szCs w:val="22"/>
              </w:rPr>
              <w:t>s-ano***</w:t>
            </w:r>
            <w:r w:rsidRPr="003848C1">
              <w:rPr>
                <w:szCs w:val="22"/>
                <w:vertAlign w:val="superscript"/>
              </w:rPr>
              <w:t>#</w:t>
            </w:r>
          </w:p>
        </w:tc>
      </w:tr>
      <w:tr w:rsidR="00C60883" w:rsidRPr="0063119B" w14:paraId="6FDD56B6" w14:textId="77777777" w:rsidTr="0056664B">
        <w:tc>
          <w:tcPr>
            <w:tcW w:w="7655" w:type="dxa"/>
            <w:gridSpan w:val="3"/>
            <w:tcBorders>
              <w:top w:val="single" w:sz="4" w:space="0" w:color="auto"/>
              <w:left w:val="nil"/>
              <w:bottom w:val="nil"/>
              <w:right w:val="nil"/>
            </w:tcBorders>
          </w:tcPr>
          <w:p w14:paraId="13453DEF" w14:textId="77777777" w:rsidR="00C60883" w:rsidRPr="0063119B" w:rsidRDefault="00C60883" w:rsidP="00C60883">
            <w:pPr>
              <w:keepNext/>
              <w:tabs>
                <w:tab w:val="left" w:pos="459"/>
              </w:tabs>
              <w:rPr>
                <w:szCs w:val="22"/>
              </w:rPr>
            </w:pPr>
            <w:r w:rsidRPr="0063119B">
              <w:rPr>
                <w:szCs w:val="22"/>
              </w:rPr>
              <w:t>*</w:t>
            </w:r>
            <w:r w:rsidRPr="0063119B">
              <w:rPr>
                <w:szCs w:val="22"/>
              </w:rPr>
              <w:tab/>
              <w:t>Para todos os estudos com rivaroxabano foram recolhidos, notificados e adjudicados todos os acontecimentos hemorrágicos.</w:t>
            </w:r>
          </w:p>
          <w:p w14:paraId="6265B8B0" w14:textId="77777777" w:rsidR="00C60883" w:rsidRDefault="00C60883" w:rsidP="00C60883">
            <w:pPr>
              <w:keepNext/>
              <w:tabs>
                <w:tab w:val="left" w:pos="459"/>
              </w:tabs>
              <w:rPr>
                <w:szCs w:val="22"/>
              </w:rPr>
            </w:pPr>
            <w:r w:rsidRPr="0063119B">
              <w:rPr>
                <w:szCs w:val="22"/>
              </w:rPr>
              <w:t>**</w:t>
            </w:r>
            <w:r w:rsidRPr="0063119B">
              <w:rPr>
                <w:szCs w:val="22"/>
              </w:rPr>
              <w:tab/>
              <w:t>No estudo COMPASS, existe uma incidência baixa de anemia dado ter sido utilizada uma abordagem seletiva para recolha de acontecimentos adversos</w:t>
            </w:r>
          </w:p>
          <w:p w14:paraId="736B20FC" w14:textId="77777777" w:rsidR="00C60883" w:rsidRPr="0063119B" w:rsidRDefault="00C60883" w:rsidP="00C60883">
            <w:pPr>
              <w:keepNext/>
              <w:tabs>
                <w:tab w:val="left" w:pos="459"/>
              </w:tabs>
              <w:rPr>
                <w:szCs w:val="22"/>
              </w:rPr>
            </w:pPr>
            <w:r>
              <w:rPr>
                <w:szCs w:val="22"/>
              </w:rPr>
              <w:t>***</w:t>
            </w:r>
            <w:r w:rsidRPr="0063119B">
              <w:rPr>
                <w:szCs w:val="22"/>
              </w:rPr>
              <w:tab/>
            </w:r>
            <w:r>
              <w:rPr>
                <w:szCs w:val="22"/>
              </w:rPr>
              <w:t xml:space="preserve"> </w:t>
            </w:r>
            <w:r>
              <w:t>Aplicou-se uma abordagem seletiva para recolha de acontecimentos adversos #</w:t>
            </w:r>
            <w:r w:rsidRPr="0063119B">
              <w:rPr>
                <w:szCs w:val="22"/>
              </w:rPr>
              <w:tab/>
            </w:r>
            <w:r>
              <w:t>Do estudo VOYAGER PAD</w:t>
            </w:r>
          </w:p>
        </w:tc>
      </w:tr>
    </w:tbl>
    <w:p w14:paraId="19546501" w14:textId="77777777" w:rsidR="00337111" w:rsidRPr="0063119B" w:rsidRDefault="00337111" w:rsidP="00337111">
      <w:pPr>
        <w:rPr>
          <w:b/>
          <w:szCs w:val="22"/>
        </w:rPr>
      </w:pPr>
    </w:p>
    <w:p w14:paraId="55B38598" w14:textId="77777777" w:rsidR="00337111" w:rsidRPr="0063119B" w:rsidRDefault="00337111" w:rsidP="003345A8">
      <w:pPr>
        <w:keepNext/>
        <w:rPr>
          <w:szCs w:val="22"/>
        </w:rPr>
      </w:pPr>
      <w:r w:rsidRPr="0063119B">
        <w:rPr>
          <w:szCs w:val="22"/>
          <w:u w:val="single"/>
        </w:rPr>
        <w:t>Lista tabelada de reações adversas</w:t>
      </w:r>
    </w:p>
    <w:p w14:paraId="6318F4D4" w14:textId="77777777" w:rsidR="00C659F3" w:rsidRPr="0063119B" w:rsidRDefault="00C659F3" w:rsidP="00337111">
      <w:pPr>
        <w:suppressAutoHyphens/>
        <w:rPr>
          <w:szCs w:val="22"/>
        </w:rPr>
      </w:pPr>
    </w:p>
    <w:p w14:paraId="4F755656" w14:textId="77777777" w:rsidR="00337111" w:rsidRPr="0063119B" w:rsidRDefault="00337111" w:rsidP="00337111">
      <w:pPr>
        <w:suppressAutoHyphens/>
        <w:rPr>
          <w:szCs w:val="22"/>
        </w:rPr>
      </w:pPr>
      <w:r w:rsidRPr="0063119B">
        <w:rPr>
          <w:szCs w:val="22"/>
        </w:rPr>
        <w:t xml:space="preserve">As frequências de reações adversas notificadas com </w:t>
      </w:r>
      <w:r w:rsidR="00CD587B" w:rsidRPr="0063119B">
        <w:rPr>
          <w:szCs w:val="22"/>
        </w:rPr>
        <w:t xml:space="preserve">o rivaroxabano </w:t>
      </w:r>
      <w:r w:rsidR="001E2E99">
        <w:rPr>
          <w:szCs w:val="22"/>
        </w:rPr>
        <w:t xml:space="preserve">em doentes adultos e pediátricos </w:t>
      </w:r>
      <w:r w:rsidRPr="0063119B">
        <w:rPr>
          <w:szCs w:val="22"/>
        </w:rPr>
        <w:t xml:space="preserve">estão resumidas abaixo no </w:t>
      </w:r>
      <w:r w:rsidR="004D7C05" w:rsidRPr="0063119B">
        <w:rPr>
          <w:szCs w:val="22"/>
        </w:rPr>
        <w:t>Q</w:t>
      </w:r>
      <w:r w:rsidRPr="0063119B">
        <w:rPr>
          <w:szCs w:val="22"/>
        </w:rPr>
        <w:t>uadro </w:t>
      </w:r>
      <w:r w:rsidR="00977B6C" w:rsidRPr="0063119B">
        <w:rPr>
          <w:szCs w:val="22"/>
        </w:rPr>
        <w:t>3</w:t>
      </w:r>
      <w:r w:rsidRPr="0063119B">
        <w:rPr>
          <w:szCs w:val="22"/>
        </w:rPr>
        <w:t xml:space="preserve"> por classe de sistemas de órgãos (classificação MedDRA) e por frequência.</w:t>
      </w:r>
    </w:p>
    <w:p w14:paraId="637DFB9B" w14:textId="77777777" w:rsidR="00337111" w:rsidRPr="0063119B" w:rsidRDefault="00337111" w:rsidP="00337111">
      <w:pPr>
        <w:suppressAutoHyphens/>
        <w:rPr>
          <w:b/>
          <w:noProof/>
          <w:szCs w:val="22"/>
        </w:rPr>
      </w:pPr>
    </w:p>
    <w:p w14:paraId="732A4565" w14:textId="77777777" w:rsidR="00337111" w:rsidRPr="0063119B" w:rsidRDefault="00337111" w:rsidP="00337111">
      <w:pPr>
        <w:suppressAutoHyphens/>
        <w:jc w:val="both"/>
        <w:rPr>
          <w:noProof/>
          <w:szCs w:val="22"/>
        </w:rPr>
      </w:pPr>
      <w:r w:rsidRPr="0063119B">
        <w:rPr>
          <w:noProof/>
          <w:szCs w:val="22"/>
        </w:rPr>
        <w:t>As frequências são definidas como:</w:t>
      </w:r>
    </w:p>
    <w:p w14:paraId="37B51699" w14:textId="77777777" w:rsidR="00E42985" w:rsidRPr="0063119B" w:rsidRDefault="00E42985" w:rsidP="00E42985">
      <w:pPr>
        <w:suppressAutoHyphens/>
        <w:jc w:val="both"/>
        <w:rPr>
          <w:szCs w:val="22"/>
        </w:rPr>
      </w:pPr>
      <w:r w:rsidRPr="0063119B">
        <w:rPr>
          <w:noProof/>
          <w:szCs w:val="22"/>
        </w:rPr>
        <w:t>muito frequentes (≥ 1/10</w:t>
      </w:r>
      <w:r w:rsidRPr="0063119B">
        <w:rPr>
          <w:szCs w:val="22"/>
        </w:rPr>
        <w:t xml:space="preserve">) </w:t>
      </w:r>
    </w:p>
    <w:p w14:paraId="3930BC6E" w14:textId="77777777" w:rsidR="00337111" w:rsidRPr="0063119B" w:rsidRDefault="00337111" w:rsidP="00337111">
      <w:pPr>
        <w:suppressAutoHyphens/>
        <w:jc w:val="both"/>
        <w:rPr>
          <w:noProof/>
          <w:szCs w:val="22"/>
        </w:rPr>
      </w:pPr>
      <w:r w:rsidRPr="0063119B">
        <w:rPr>
          <w:noProof/>
          <w:szCs w:val="22"/>
        </w:rPr>
        <w:t>frequentes (≥ 1/100, &lt; 1/10)</w:t>
      </w:r>
    </w:p>
    <w:p w14:paraId="1DB9A16E" w14:textId="77777777" w:rsidR="00337111" w:rsidRPr="0063119B" w:rsidRDefault="00337111" w:rsidP="00337111">
      <w:pPr>
        <w:suppressAutoHyphens/>
        <w:jc w:val="both"/>
        <w:rPr>
          <w:noProof/>
          <w:szCs w:val="22"/>
        </w:rPr>
      </w:pPr>
      <w:r w:rsidRPr="0063119B">
        <w:rPr>
          <w:noProof/>
          <w:szCs w:val="22"/>
        </w:rPr>
        <w:t>pouco frequentes (≥ 1/1.000, &lt; 1/100)</w:t>
      </w:r>
    </w:p>
    <w:p w14:paraId="7572A7CA" w14:textId="77777777" w:rsidR="00337111" w:rsidRPr="0063119B" w:rsidRDefault="00337111" w:rsidP="00337111">
      <w:pPr>
        <w:suppressAutoHyphens/>
        <w:jc w:val="both"/>
        <w:rPr>
          <w:noProof/>
          <w:szCs w:val="22"/>
        </w:rPr>
      </w:pPr>
      <w:r w:rsidRPr="0063119B">
        <w:rPr>
          <w:noProof/>
          <w:szCs w:val="22"/>
        </w:rPr>
        <w:t>raros (≥ 1/10.000, &lt; 1/1.000)</w:t>
      </w:r>
    </w:p>
    <w:p w14:paraId="4A9BDE61" w14:textId="77777777" w:rsidR="00E42985" w:rsidRPr="0063119B" w:rsidRDefault="00E42985" w:rsidP="00E42985">
      <w:pPr>
        <w:suppressAutoHyphens/>
        <w:jc w:val="both"/>
        <w:rPr>
          <w:noProof/>
          <w:szCs w:val="22"/>
        </w:rPr>
      </w:pPr>
      <w:r w:rsidRPr="0063119B">
        <w:rPr>
          <w:noProof/>
          <w:szCs w:val="22"/>
        </w:rPr>
        <w:t>muito raros (&lt; 1/10.000)</w:t>
      </w:r>
    </w:p>
    <w:p w14:paraId="58AEFB97" w14:textId="77777777" w:rsidR="00337111" w:rsidRPr="0063119B" w:rsidRDefault="009C1819" w:rsidP="00337111">
      <w:pPr>
        <w:suppressAutoHyphens/>
        <w:rPr>
          <w:noProof/>
          <w:szCs w:val="22"/>
        </w:rPr>
      </w:pPr>
      <w:r w:rsidRPr="0063119B">
        <w:rPr>
          <w:noProof/>
          <w:szCs w:val="22"/>
        </w:rPr>
        <w:t>d</w:t>
      </w:r>
      <w:r w:rsidR="00337111" w:rsidRPr="0063119B">
        <w:rPr>
          <w:noProof/>
          <w:szCs w:val="22"/>
        </w:rPr>
        <w:t>esconhecido</w:t>
      </w:r>
      <w:r w:rsidRPr="0063119B">
        <w:rPr>
          <w:noProof/>
          <w:szCs w:val="22"/>
        </w:rPr>
        <w:t xml:space="preserve"> (</w:t>
      </w:r>
      <w:r w:rsidR="00337111" w:rsidRPr="0063119B">
        <w:rPr>
          <w:noProof/>
          <w:szCs w:val="22"/>
        </w:rPr>
        <w:t>não pode ser calculada a partir dos dados disponíveis</w:t>
      </w:r>
      <w:r w:rsidRPr="0063119B">
        <w:rPr>
          <w:noProof/>
          <w:szCs w:val="22"/>
        </w:rPr>
        <w:t>)</w:t>
      </w:r>
    </w:p>
    <w:p w14:paraId="4BF6AD37" w14:textId="77777777" w:rsidR="001F10F8" w:rsidRPr="0063119B" w:rsidRDefault="001F10F8" w:rsidP="00337111">
      <w:pPr>
        <w:suppressAutoHyphens/>
        <w:rPr>
          <w:noProof/>
          <w:szCs w:val="22"/>
        </w:rPr>
      </w:pPr>
    </w:p>
    <w:p w14:paraId="515FFD42" w14:textId="2338B46E" w:rsidR="00337111" w:rsidRDefault="00337111" w:rsidP="00337111">
      <w:pPr>
        <w:rPr>
          <w:b/>
          <w:bCs/>
          <w:szCs w:val="22"/>
        </w:rPr>
      </w:pPr>
      <w:r w:rsidRPr="0063119B">
        <w:rPr>
          <w:b/>
          <w:szCs w:val="22"/>
        </w:rPr>
        <w:t>Quadro </w:t>
      </w:r>
      <w:r w:rsidR="00977B6C" w:rsidRPr="0063119B">
        <w:rPr>
          <w:b/>
          <w:szCs w:val="22"/>
        </w:rPr>
        <w:t>3</w:t>
      </w:r>
      <w:r w:rsidRPr="0063119B">
        <w:rPr>
          <w:b/>
          <w:szCs w:val="22"/>
        </w:rPr>
        <w:t xml:space="preserve">: </w:t>
      </w:r>
      <w:r w:rsidR="005E7788" w:rsidRPr="0063119B">
        <w:rPr>
          <w:b/>
          <w:szCs w:val="22"/>
        </w:rPr>
        <w:t xml:space="preserve">Todas as reações adversas notificadas em doentes </w:t>
      </w:r>
      <w:r w:rsidR="001E2E99">
        <w:rPr>
          <w:b/>
          <w:szCs w:val="22"/>
        </w:rPr>
        <w:t xml:space="preserve">adultos </w:t>
      </w:r>
      <w:r w:rsidR="005E7788" w:rsidRPr="0063119B">
        <w:rPr>
          <w:b/>
          <w:szCs w:val="22"/>
        </w:rPr>
        <w:t xml:space="preserve">em </w:t>
      </w:r>
      <w:r w:rsidR="001E2E99">
        <w:rPr>
          <w:b/>
          <w:szCs w:val="22"/>
        </w:rPr>
        <w:t>estudos</w:t>
      </w:r>
      <w:r w:rsidR="005E7788" w:rsidRPr="0063119B">
        <w:rPr>
          <w:b/>
          <w:szCs w:val="22"/>
        </w:rPr>
        <w:t xml:space="preserve"> clínicos de fase III ou por utilização pós-comercialização</w:t>
      </w:r>
      <w:r w:rsidR="003E1D5A" w:rsidRPr="0063119B">
        <w:rPr>
          <w:b/>
          <w:szCs w:val="22"/>
        </w:rPr>
        <w:t>*</w:t>
      </w:r>
      <w:r w:rsidR="001E2E99">
        <w:rPr>
          <w:b/>
          <w:szCs w:val="22"/>
        </w:rPr>
        <w:t xml:space="preserve"> </w:t>
      </w:r>
      <w:r w:rsidR="001E2E99">
        <w:rPr>
          <w:b/>
          <w:bCs/>
          <w:szCs w:val="22"/>
        </w:rPr>
        <w:t xml:space="preserve">e em dois estudos de fase II e </w:t>
      </w:r>
      <w:r w:rsidR="00123579">
        <w:rPr>
          <w:b/>
          <w:bCs/>
          <w:szCs w:val="22"/>
        </w:rPr>
        <w:t xml:space="preserve">dois </w:t>
      </w:r>
      <w:r w:rsidR="001E2E99">
        <w:rPr>
          <w:b/>
          <w:bCs/>
          <w:szCs w:val="22"/>
        </w:rPr>
        <w:t>estudo</w:t>
      </w:r>
      <w:r w:rsidR="00123579">
        <w:rPr>
          <w:b/>
          <w:bCs/>
          <w:szCs w:val="22"/>
        </w:rPr>
        <w:t>s</w:t>
      </w:r>
      <w:r w:rsidR="001E2E99">
        <w:rPr>
          <w:b/>
          <w:bCs/>
          <w:szCs w:val="22"/>
        </w:rPr>
        <w:t xml:space="preserve"> de fase III em doentes pediátricos</w:t>
      </w:r>
    </w:p>
    <w:p w14:paraId="6A83A47E" w14:textId="77777777" w:rsidR="001E2E99" w:rsidRPr="0063119B" w:rsidRDefault="001E2E99" w:rsidP="00337111">
      <w:pPr>
        <w:rPr>
          <w:szCs w:val="22"/>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915"/>
        <w:gridCol w:w="1756"/>
        <w:gridCol w:w="1847"/>
        <w:gridCol w:w="1841"/>
      </w:tblGrid>
      <w:tr w:rsidR="005E7788" w:rsidRPr="0063119B" w14:paraId="54901DFE" w14:textId="77777777" w:rsidTr="006A13A4">
        <w:trPr>
          <w:tblHeader/>
        </w:trPr>
        <w:tc>
          <w:tcPr>
            <w:tcW w:w="1933" w:type="dxa"/>
          </w:tcPr>
          <w:p w14:paraId="574A559B" w14:textId="77777777" w:rsidR="005E7788" w:rsidRPr="0063119B" w:rsidRDefault="005E7788" w:rsidP="0044301C">
            <w:pPr>
              <w:suppressAutoHyphens/>
              <w:rPr>
                <w:b/>
                <w:noProof/>
                <w:szCs w:val="22"/>
              </w:rPr>
            </w:pPr>
            <w:r w:rsidRPr="0063119B">
              <w:rPr>
                <w:b/>
                <w:noProof/>
                <w:szCs w:val="22"/>
              </w:rPr>
              <w:lastRenderedPageBreak/>
              <w:t>Frequentes</w:t>
            </w:r>
          </w:p>
          <w:p w14:paraId="59C3015C" w14:textId="77777777" w:rsidR="005E7788" w:rsidRPr="0063119B" w:rsidRDefault="005E7788" w:rsidP="0044301C">
            <w:pPr>
              <w:suppressAutoHyphens/>
              <w:rPr>
                <w:noProof/>
                <w:szCs w:val="22"/>
              </w:rPr>
            </w:pPr>
          </w:p>
        </w:tc>
        <w:tc>
          <w:tcPr>
            <w:tcW w:w="1942" w:type="dxa"/>
          </w:tcPr>
          <w:p w14:paraId="29180F66" w14:textId="77777777" w:rsidR="005E7788" w:rsidRPr="0063119B" w:rsidRDefault="005E7788" w:rsidP="0044301C">
            <w:pPr>
              <w:suppressAutoHyphens/>
              <w:rPr>
                <w:b/>
                <w:noProof/>
                <w:szCs w:val="22"/>
              </w:rPr>
            </w:pPr>
            <w:r w:rsidRPr="0063119B">
              <w:rPr>
                <w:b/>
                <w:noProof/>
                <w:szCs w:val="22"/>
              </w:rPr>
              <w:t>Pouco frequentes</w:t>
            </w:r>
          </w:p>
          <w:p w14:paraId="1B1381E4" w14:textId="77777777" w:rsidR="005E7788" w:rsidRPr="0063119B" w:rsidRDefault="005E7788" w:rsidP="0044301C">
            <w:pPr>
              <w:suppressAutoHyphens/>
              <w:rPr>
                <w:noProof/>
                <w:szCs w:val="22"/>
              </w:rPr>
            </w:pPr>
          </w:p>
        </w:tc>
        <w:tc>
          <w:tcPr>
            <w:tcW w:w="1756" w:type="dxa"/>
          </w:tcPr>
          <w:p w14:paraId="566AC664" w14:textId="77777777" w:rsidR="005E7788" w:rsidRPr="0063119B" w:rsidRDefault="005E7788" w:rsidP="0044301C">
            <w:pPr>
              <w:suppressAutoHyphens/>
              <w:rPr>
                <w:b/>
                <w:noProof/>
                <w:szCs w:val="22"/>
              </w:rPr>
            </w:pPr>
            <w:r w:rsidRPr="0063119B">
              <w:rPr>
                <w:b/>
                <w:noProof/>
                <w:szCs w:val="22"/>
              </w:rPr>
              <w:t>Raros</w:t>
            </w:r>
          </w:p>
          <w:p w14:paraId="5949DDDE" w14:textId="77777777" w:rsidR="005E7788" w:rsidRPr="0063119B" w:rsidRDefault="005E7788" w:rsidP="0044301C">
            <w:pPr>
              <w:suppressAutoHyphens/>
              <w:rPr>
                <w:noProof/>
                <w:szCs w:val="22"/>
              </w:rPr>
            </w:pPr>
          </w:p>
        </w:tc>
        <w:tc>
          <w:tcPr>
            <w:tcW w:w="1848" w:type="dxa"/>
          </w:tcPr>
          <w:p w14:paraId="01D16AF0" w14:textId="77777777" w:rsidR="005E7788" w:rsidRPr="0063119B" w:rsidRDefault="005E7788" w:rsidP="0044301C">
            <w:pPr>
              <w:suppressAutoHyphens/>
              <w:rPr>
                <w:b/>
                <w:noProof/>
                <w:szCs w:val="22"/>
              </w:rPr>
            </w:pPr>
            <w:r w:rsidRPr="0063119B">
              <w:rPr>
                <w:b/>
                <w:noProof/>
                <w:szCs w:val="22"/>
              </w:rPr>
              <w:t>Muito raros</w:t>
            </w:r>
          </w:p>
        </w:tc>
        <w:tc>
          <w:tcPr>
            <w:tcW w:w="1797" w:type="dxa"/>
          </w:tcPr>
          <w:p w14:paraId="5A003222" w14:textId="77777777" w:rsidR="005E7788" w:rsidRPr="0063119B" w:rsidRDefault="005E7788" w:rsidP="0044301C">
            <w:pPr>
              <w:suppressAutoHyphens/>
              <w:rPr>
                <w:b/>
                <w:noProof/>
                <w:szCs w:val="22"/>
                <w:vertAlign w:val="superscript"/>
              </w:rPr>
            </w:pPr>
            <w:r w:rsidRPr="0063119B">
              <w:rPr>
                <w:b/>
                <w:noProof/>
                <w:szCs w:val="22"/>
              </w:rPr>
              <w:t>Desconhecido</w:t>
            </w:r>
          </w:p>
        </w:tc>
      </w:tr>
      <w:tr w:rsidR="005E7788" w:rsidRPr="0063119B" w14:paraId="6F8B68E1" w14:textId="77777777" w:rsidTr="00D733A1">
        <w:tc>
          <w:tcPr>
            <w:tcW w:w="5631" w:type="dxa"/>
            <w:gridSpan w:val="3"/>
          </w:tcPr>
          <w:p w14:paraId="37DB695F" w14:textId="77777777" w:rsidR="005E7788" w:rsidRPr="0063119B" w:rsidRDefault="005E7788" w:rsidP="0044301C">
            <w:pPr>
              <w:suppressAutoHyphens/>
              <w:rPr>
                <w:b/>
                <w:noProof/>
                <w:szCs w:val="22"/>
              </w:rPr>
            </w:pPr>
            <w:r w:rsidRPr="0063119B">
              <w:rPr>
                <w:b/>
                <w:noProof/>
                <w:szCs w:val="22"/>
              </w:rPr>
              <w:t>Doenças do sangue e do sistema linfático</w:t>
            </w:r>
          </w:p>
        </w:tc>
        <w:tc>
          <w:tcPr>
            <w:tcW w:w="1848" w:type="dxa"/>
          </w:tcPr>
          <w:p w14:paraId="77664204" w14:textId="77777777" w:rsidR="005E7788" w:rsidRPr="0063119B" w:rsidRDefault="005E7788" w:rsidP="0044301C">
            <w:pPr>
              <w:suppressAutoHyphens/>
              <w:rPr>
                <w:b/>
                <w:noProof/>
                <w:szCs w:val="22"/>
              </w:rPr>
            </w:pPr>
          </w:p>
        </w:tc>
        <w:tc>
          <w:tcPr>
            <w:tcW w:w="1797" w:type="dxa"/>
          </w:tcPr>
          <w:p w14:paraId="28FF91DC" w14:textId="77777777" w:rsidR="005E7788" w:rsidRPr="0063119B" w:rsidRDefault="005E7788" w:rsidP="0044301C">
            <w:pPr>
              <w:suppressAutoHyphens/>
              <w:rPr>
                <w:b/>
                <w:noProof/>
                <w:szCs w:val="22"/>
              </w:rPr>
            </w:pPr>
          </w:p>
        </w:tc>
      </w:tr>
      <w:tr w:rsidR="005E7788" w:rsidRPr="0063119B" w14:paraId="040051F2" w14:textId="77777777" w:rsidTr="00D733A1">
        <w:tc>
          <w:tcPr>
            <w:tcW w:w="1933" w:type="dxa"/>
          </w:tcPr>
          <w:p w14:paraId="52437646" w14:textId="77777777" w:rsidR="005E7788" w:rsidRPr="0063119B" w:rsidRDefault="005E7788" w:rsidP="0044301C">
            <w:pPr>
              <w:suppressAutoHyphens/>
              <w:rPr>
                <w:b/>
                <w:noProof/>
                <w:szCs w:val="22"/>
              </w:rPr>
            </w:pPr>
            <w:r w:rsidRPr="0063119B">
              <w:rPr>
                <w:noProof/>
                <w:szCs w:val="22"/>
              </w:rPr>
              <w:t>Anemia (incl. parâmetros laboratoriais respetivos)</w:t>
            </w:r>
          </w:p>
        </w:tc>
        <w:tc>
          <w:tcPr>
            <w:tcW w:w="1942" w:type="dxa"/>
          </w:tcPr>
          <w:p w14:paraId="011D430F" w14:textId="77777777" w:rsidR="005E7788" w:rsidRPr="0063119B" w:rsidRDefault="005E7788" w:rsidP="00977B6C">
            <w:pPr>
              <w:suppressAutoHyphens/>
              <w:rPr>
                <w:noProof/>
                <w:szCs w:val="22"/>
              </w:rPr>
            </w:pPr>
            <w:r w:rsidRPr="0063119B">
              <w:rPr>
                <w:noProof/>
                <w:szCs w:val="22"/>
              </w:rPr>
              <w:t>Trombocitose (incl. aumento da contagem de plaquetas)</w:t>
            </w:r>
            <w:r w:rsidRPr="0063119B">
              <w:rPr>
                <w:noProof/>
                <w:szCs w:val="22"/>
                <w:vertAlign w:val="superscript"/>
              </w:rPr>
              <w:t>A</w:t>
            </w:r>
            <w:r w:rsidRPr="0063119B">
              <w:rPr>
                <w:noProof/>
                <w:szCs w:val="22"/>
              </w:rPr>
              <w:t>,</w:t>
            </w:r>
          </w:p>
          <w:p w14:paraId="5AA251F1" w14:textId="77777777" w:rsidR="005E7788" w:rsidRPr="0063119B" w:rsidRDefault="005E7788" w:rsidP="00977B6C">
            <w:pPr>
              <w:suppressAutoHyphens/>
              <w:rPr>
                <w:b/>
                <w:noProof/>
                <w:szCs w:val="22"/>
              </w:rPr>
            </w:pPr>
            <w:r w:rsidRPr="0063119B">
              <w:rPr>
                <w:noProof/>
                <w:szCs w:val="22"/>
              </w:rPr>
              <w:t>Trombocitopenia</w:t>
            </w:r>
          </w:p>
        </w:tc>
        <w:tc>
          <w:tcPr>
            <w:tcW w:w="1756" w:type="dxa"/>
          </w:tcPr>
          <w:p w14:paraId="202E6CEF" w14:textId="77777777" w:rsidR="005E7788" w:rsidRPr="0063119B" w:rsidRDefault="005E7788" w:rsidP="0044301C">
            <w:pPr>
              <w:suppressAutoHyphens/>
              <w:rPr>
                <w:b/>
                <w:noProof/>
                <w:szCs w:val="22"/>
              </w:rPr>
            </w:pPr>
          </w:p>
        </w:tc>
        <w:tc>
          <w:tcPr>
            <w:tcW w:w="1848" w:type="dxa"/>
          </w:tcPr>
          <w:p w14:paraId="3015DEB9" w14:textId="77777777" w:rsidR="005E7788" w:rsidRPr="0063119B" w:rsidRDefault="005E7788" w:rsidP="0044301C">
            <w:pPr>
              <w:suppressAutoHyphens/>
              <w:rPr>
                <w:b/>
                <w:noProof/>
                <w:szCs w:val="22"/>
              </w:rPr>
            </w:pPr>
          </w:p>
        </w:tc>
        <w:tc>
          <w:tcPr>
            <w:tcW w:w="1797" w:type="dxa"/>
          </w:tcPr>
          <w:p w14:paraId="520E2723" w14:textId="77777777" w:rsidR="005E7788" w:rsidRPr="0063119B" w:rsidRDefault="005E7788" w:rsidP="0044301C">
            <w:pPr>
              <w:suppressAutoHyphens/>
              <w:rPr>
                <w:b/>
                <w:noProof/>
                <w:szCs w:val="22"/>
              </w:rPr>
            </w:pPr>
          </w:p>
        </w:tc>
      </w:tr>
      <w:tr w:rsidR="005E7788" w:rsidRPr="0063119B" w14:paraId="011B1E7B" w14:textId="77777777" w:rsidTr="00D733A1">
        <w:tc>
          <w:tcPr>
            <w:tcW w:w="5631" w:type="dxa"/>
            <w:gridSpan w:val="3"/>
          </w:tcPr>
          <w:p w14:paraId="1B54576E" w14:textId="77777777" w:rsidR="005E7788" w:rsidRPr="0063119B" w:rsidRDefault="005E7788" w:rsidP="0044301C">
            <w:pPr>
              <w:suppressAutoHyphens/>
              <w:rPr>
                <w:b/>
                <w:noProof/>
                <w:szCs w:val="22"/>
              </w:rPr>
            </w:pPr>
            <w:r w:rsidRPr="0063119B">
              <w:rPr>
                <w:b/>
                <w:noProof/>
                <w:szCs w:val="22"/>
              </w:rPr>
              <w:t>Doenças do sistema imunitário</w:t>
            </w:r>
          </w:p>
        </w:tc>
        <w:tc>
          <w:tcPr>
            <w:tcW w:w="1848" w:type="dxa"/>
          </w:tcPr>
          <w:p w14:paraId="0DAAD860" w14:textId="77777777" w:rsidR="005E7788" w:rsidRPr="0063119B" w:rsidRDefault="005E7788" w:rsidP="0044301C">
            <w:pPr>
              <w:suppressAutoHyphens/>
              <w:rPr>
                <w:b/>
                <w:noProof/>
                <w:szCs w:val="22"/>
              </w:rPr>
            </w:pPr>
          </w:p>
        </w:tc>
        <w:tc>
          <w:tcPr>
            <w:tcW w:w="1797" w:type="dxa"/>
          </w:tcPr>
          <w:p w14:paraId="6E3BA44D" w14:textId="77777777" w:rsidR="005E7788" w:rsidRPr="0063119B" w:rsidRDefault="005E7788" w:rsidP="0044301C">
            <w:pPr>
              <w:suppressAutoHyphens/>
              <w:rPr>
                <w:b/>
                <w:noProof/>
                <w:szCs w:val="22"/>
              </w:rPr>
            </w:pPr>
          </w:p>
        </w:tc>
      </w:tr>
      <w:tr w:rsidR="005E7788" w:rsidRPr="0063119B" w14:paraId="00D6C17D" w14:textId="77777777" w:rsidTr="005E7788">
        <w:tc>
          <w:tcPr>
            <w:tcW w:w="1933" w:type="dxa"/>
          </w:tcPr>
          <w:p w14:paraId="086CF595" w14:textId="77777777" w:rsidR="005E7788" w:rsidRPr="0063119B" w:rsidRDefault="005E7788" w:rsidP="0044301C">
            <w:pPr>
              <w:suppressAutoHyphens/>
              <w:rPr>
                <w:b/>
                <w:noProof/>
                <w:szCs w:val="22"/>
              </w:rPr>
            </w:pPr>
          </w:p>
        </w:tc>
        <w:tc>
          <w:tcPr>
            <w:tcW w:w="1942" w:type="dxa"/>
          </w:tcPr>
          <w:p w14:paraId="5715FEA4" w14:textId="77777777" w:rsidR="005E7788" w:rsidRPr="0063119B" w:rsidRDefault="005E7788" w:rsidP="0044301C">
            <w:pPr>
              <w:suppressAutoHyphens/>
              <w:rPr>
                <w:noProof/>
                <w:szCs w:val="22"/>
              </w:rPr>
            </w:pPr>
            <w:r w:rsidRPr="0063119B">
              <w:rPr>
                <w:noProof/>
                <w:szCs w:val="22"/>
              </w:rPr>
              <w:t>Reação alérgica, dermatite alérgica,</w:t>
            </w:r>
          </w:p>
          <w:p w14:paraId="01D6B0B0" w14:textId="77777777" w:rsidR="005E7788" w:rsidRPr="0063119B" w:rsidRDefault="005E7788" w:rsidP="0044301C">
            <w:pPr>
              <w:suppressAutoHyphens/>
              <w:rPr>
                <w:b/>
                <w:noProof/>
                <w:szCs w:val="22"/>
              </w:rPr>
            </w:pPr>
            <w:r w:rsidRPr="0063119B">
              <w:rPr>
                <w:noProof/>
                <w:szCs w:val="22"/>
              </w:rPr>
              <w:t>Angiodema e edema alérgico</w:t>
            </w:r>
          </w:p>
        </w:tc>
        <w:tc>
          <w:tcPr>
            <w:tcW w:w="1756" w:type="dxa"/>
          </w:tcPr>
          <w:p w14:paraId="2444F64E" w14:textId="77777777" w:rsidR="005E7788" w:rsidRPr="0063119B" w:rsidRDefault="005E7788" w:rsidP="0044301C">
            <w:pPr>
              <w:suppressAutoHyphens/>
              <w:rPr>
                <w:b/>
                <w:noProof/>
                <w:szCs w:val="22"/>
              </w:rPr>
            </w:pPr>
          </w:p>
        </w:tc>
        <w:tc>
          <w:tcPr>
            <w:tcW w:w="1848" w:type="dxa"/>
          </w:tcPr>
          <w:p w14:paraId="04A9C1D1" w14:textId="77777777" w:rsidR="005E7788" w:rsidRPr="0063119B" w:rsidRDefault="005E7788" w:rsidP="0044301C">
            <w:pPr>
              <w:suppressAutoHyphens/>
              <w:rPr>
                <w:b/>
                <w:noProof/>
                <w:szCs w:val="22"/>
              </w:rPr>
            </w:pPr>
            <w:r w:rsidRPr="0063119B">
              <w:rPr>
                <w:szCs w:val="22"/>
              </w:rPr>
              <w:t>Reações anafiláticas, incluindo choque anafilático</w:t>
            </w:r>
          </w:p>
        </w:tc>
        <w:tc>
          <w:tcPr>
            <w:tcW w:w="1797" w:type="dxa"/>
          </w:tcPr>
          <w:p w14:paraId="7F7D313C" w14:textId="77777777" w:rsidR="005E7788" w:rsidRPr="0063119B" w:rsidRDefault="005E7788" w:rsidP="0044301C">
            <w:pPr>
              <w:suppressAutoHyphens/>
              <w:rPr>
                <w:b/>
                <w:noProof/>
                <w:szCs w:val="22"/>
              </w:rPr>
            </w:pPr>
          </w:p>
        </w:tc>
      </w:tr>
      <w:tr w:rsidR="005E7788" w:rsidRPr="0063119B" w14:paraId="5349FE0C" w14:textId="77777777" w:rsidTr="00D733A1">
        <w:tc>
          <w:tcPr>
            <w:tcW w:w="5631" w:type="dxa"/>
            <w:gridSpan w:val="3"/>
          </w:tcPr>
          <w:p w14:paraId="49C98119" w14:textId="77777777" w:rsidR="005E7788" w:rsidRPr="0063119B" w:rsidRDefault="005E7788" w:rsidP="0044301C">
            <w:pPr>
              <w:suppressAutoHyphens/>
              <w:rPr>
                <w:noProof/>
                <w:szCs w:val="22"/>
              </w:rPr>
            </w:pPr>
            <w:r w:rsidRPr="0063119B">
              <w:rPr>
                <w:b/>
                <w:noProof/>
                <w:szCs w:val="22"/>
              </w:rPr>
              <w:t>Doenças do sistema nervoso</w:t>
            </w:r>
          </w:p>
        </w:tc>
        <w:tc>
          <w:tcPr>
            <w:tcW w:w="1848" w:type="dxa"/>
          </w:tcPr>
          <w:p w14:paraId="526A67C3" w14:textId="77777777" w:rsidR="005E7788" w:rsidRPr="0063119B" w:rsidRDefault="005E7788" w:rsidP="0044301C">
            <w:pPr>
              <w:suppressAutoHyphens/>
              <w:rPr>
                <w:noProof/>
                <w:szCs w:val="22"/>
              </w:rPr>
            </w:pPr>
          </w:p>
        </w:tc>
        <w:tc>
          <w:tcPr>
            <w:tcW w:w="1797" w:type="dxa"/>
          </w:tcPr>
          <w:p w14:paraId="571B7450" w14:textId="77777777" w:rsidR="005E7788" w:rsidRPr="0063119B" w:rsidRDefault="005E7788" w:rsidP="0044301C">
            <w:pPr>
              <w:suppressAutoHyphens/>
              <w:rPr>
                <w:noProof/>
                <w:szCs w:val="22"/>
              </w:rPr>
            </w:pPr>
          </w:p>
        </w:tc>
      </w:tr>
      <w:tr w:rsidR="005E7788" w:rsidRPr="0063119B" w14:paraId="09559F3E" w14:textId="77777777" w:rsidTr="005E7788">
        <w:tc>
          <w:tcPr>
            <w:tcW w:w="1933" w:type="dxa"/>
          </w:tcPr>
          <w:p w14:paraId="58A3FC28" w14:textId="77777777" w:rsidR="005E7788" w:rsidRPr="0063119B" w:rsidRDefault="005E7788" w:rsidP="0044301C">
            <w:pPr>
              <w:suppressAutoHyphens/>
              <w:rPr>
                <w:b/>
                <w:noProof/>
                <w:szCs w:val="22"/>
              </w:rPr>
            </w:pPr>
            <w:r w:rsidRPr="0063119B">
              <w:rPr>
                <w:noProof/>
                <w:szCs w:val="22"/>
              </w:rPr>
              <w:t>Tonturas, cefaleias</w:t>
            </w:r>
          </w:p>
        </w:tc>
        <w:tc>
          <w:tcPr>
            <w:tcW w:w="1942" w:type="dxa"/>
          </w:tcPr>
          <w:p w14:paraId="260D76A8" w14:textId="77777777" w:rsidR="005E7788" w:rsidRPr="0063119B" w:rsidRDefault="005E7788" w:rsidP="0044301C">
            <w:pPr>
              <w:suppressAutoHyphens/>
              <w:rPr>
                <w:b/>
                <w:noProof/>
                <w:szCs w:val="22"/>
              </w:rPr>
            </w:pPr>
            <w:r w:rsidRPr="0063119B">
              <w:rPr>
                <w:noProof/>
                <w:szCs w:val="22"/>
              </w:rPr>
              <w:t>Hemorragia cerebral e intracraniana, síncope</w:t>
            </w:r>
          </w:p>
        </w:tc>
        <w:tc>
          <w:tcPr>
            <w:tcW w:w="1756" w:type="dxa"/>
          </w:tcPr>
          <w:p w14:paraId="6D8DC2A0" w14:textId="77777777" w:rsidR="005E7788" w:rsidRPr="0063119B" w:rsidRDefault="005E7788" w:rsidP="0044301C">
            <w:pPr>
              <w:suppressAutoHyphens/>
              <w:rPr>
                <w:noProof/>
                <w:szCs w:val="22"/>
              </w:rPr>
            </w:pPr>
          </w:p>
        </w:tc>
        <w:tc>
          <w:tcPr>
            <w:tcW w:w="1848" w:type="dxa"/>
          </w:tcPr>
          <w:p w14:paraId="72706BC8" w14:textId="77777777" w:rsidR="005E7788" w:rsidRPr="0063119B" w:rsidRDefault="005E7788" w:rsidP="0044301C">
            <w:pPr>
              <w:suppressAutoHyphens/>
              <w:rPr>
                <w:noProof/>
                <w:szCs w:val="22"/>
              </w:rPr>
            </w:pPr>
          </w:p>
        </w:tc>
        <w:tc>
          <w:tcPr>
            <w:tcW w:w="1797" w:type="dxa"/>
          </w:tcPr>
          <w:p w14:paraId="5DE3DB01" w14:textId="77777777" w:rsidR="005E7788" w:rsidRPr="0063119B" w:rsidRDefault="005E7788" w:rsidP="0044301C">
            <w:pPr>
              <w:suppressAutoHyphens/>
              <w:rPr>
                <w:noProof/>
                <w:szCs w:val="22"/>
              </w:rPr>
            </w:pPr>
          </w:p>
        </w:tc>
      </w:tr>
      <w:tr w:rsidR="005E7788" w:rsidRPr="0063119B" w14:paraId="5F63E54D" w14:textId="77777777" w:rsidTr="00B6417D">
        <w:tc>
          <w:tcPr>
            <w:tcW w:w="9276" w:type="dxa"/>
            <w:gridSpan w:val="5"/>
          </w:tcPr>
          <w:p w14:paraId="34CAB3E3" w14:textId="77777777" w:rsidR="005E7788" w:rsidRPr="0063119B" w:rsidRDefault="005E7788" w:rsidP="0044301C">
            <w:pPr>
              <w:suppressAutoHyphens/>
              <w:rPr>
                <w:b/>
                <w:noProof/>
                <w:szCs w:val="22"/>
              </w:rPr>
            </w:pPr>
            <w:r w:rsidRPr="0063119B">
              <w:rPr>
                <w:b/>
                <w:noProof/>
                <w:szCs w:val="22"/>
              </w:rPr>
              <w:t>Afeções oculares</w:t>
            </w:r>
          </w:p>
        </w:tc>
      </w:tr>
      <w:tr w:rsidR="005E7788" w:rsidRPr="0063119B" w14:paraId="7069CCDC" w14:textId="77777777" w:rsidTr="005E7788">
        <w:tc>
          <w:tcPr>
            <w:tcW w:w="1933" w:type="dxa"/>
          </w:tcPr>
          <w:p w14:paraId="1660B303" w14:textId="77777777" w:rsidR="005E7788" w:rsidRPr="0063119B" w:rsidRDefault="005E7788" w:rsidP="0044301C">
            <w:pPr>
              <w:suppressAutoHyphens/>
              <w:rPr>
                <w:noProof/>
                <w:szCs w:val="22"/>
              </w:rPr>
            </w:pPr>
            <w:r w:rsidRPr="0063119B">
              <w:rPr>
                <w:noProof/>
                <w:szCs w:val="22"/>
              </w:rPr>
              <w:t>Hemorragia ocular (incl. hemorragia conjuntival)</w:t>
            </w:r>
          </w:p>
        </w:tc>
        <w:tc>
          <w:tcPr>
            <w:tcW w:w="1942" w:type="dxa"/>
          </w:tcPr>
          <w:p w14:paraId="16C02D1E" w14:textId="77777777" w:rsidR="005E7788" w:rsidRPr="0063119B" w:rsidRDefault="005E7788" w:rsidP="0044301C">
            <w:pPr>
              <w:suppressAutoHyphens/>
              <w:rPr>
                <w:b/>
                <w:noProof/>
                <w:szCs w:val="22"/>
              </w:rPr>
            </w:pPr>
          </w:p>
        </w:tc>
        <w:tc>
          <w:tcPr>
            <w:tcW w:w="1756" w:type="dxa"/>
          </w:tcPr>
          <w:p w14:paraId="658FA61F" w14:textId="77777777" w:rsidR="005E7788" w:rsidRPr="0063119B" w:rsidRDefault="005E7788" w:rsidP="0044301C">
            <w:pPr>
              <w:suppressAutoHyphens/>
              <w:rPr>
                <w:b/>
                <w:noProof/>
                <w:szCs w:val="22"/>
              </w:rPr>
            </w:pPr>
          </w:p>
        </w:tc>
        <w:tc>
          <w:tcPr>
            <w:tcW w:w="1848" w:type="dxa"/>
          </w:tcPr>
          <w:p w14:paraId="52E4E560" w14:textId="77777777" w:rsidR="005E7788" w:rsidRPr="0063119B" w:rsidRDefault="005E7788" w:rsidP="0044301C">
            <w:pPr>
              <w:suppressAutoHyphens/>
              <w:rPr>
                <w:b/>
                <w:noProof/>
                <w:szCs w:val="22"/>
              </w:rPr>
            </w:pPr>
          </w:p>
        </w:tc>
        <w:tc>
          <w:tcPr>
            <w:tcW w:w="1797" w:type="dxa"/>
          </w:tcPr>
          <w:p w14:paraId="32408637" w14:textId="77777777" w:rsidR="005E7788" w:rsidRPr="0063119B" w:rsidRDefault="005E7788" w:rsidP="0044301C">
            <w:pPr>
              <w:suppressAutoHyphens/>
              <w:rPr>
                <w:b/>
                <w:noProof/>
                <w:szCs w:val="22"/>
              </w:rPr>
            </w:pPr>
          </w:p>
        </w:tc>
      </w:tr>
      <w:tr w:rsidR="005E7788" w:rsidRPr="0063119B" w14:paraId="379561D4" w14:textId="77777777" w:rsidTr="00D733A1">
        <w:tc>
          <w:tcPr>
            <w:tcW w:w="5631" w:type="dxa"/>
            <w:gridSpan w:val="3"/>
          </w:tcPr>
          <w:p w14:paraId="25E50ECE" w14:textId="77777777" w:rsidR="005E7788" w:rsidRPr="0063119B" w:rsidRDefault="005E7788" w:rsidP="0044301C">
            <w:pPr>
              <w:suppressAutoHyphens/>
              <w:rPr>
                <w:b/>
                <w:noProof/>
                <w:szCs w:val="22"/>
              </w:rPr>
            </w:pPr>
            <w:r w:rsidRPr="0063119B">
              <w:rPr>
                <w:b/>
                <w:noProof/>
                <w:szCs w:val="22"/>
              </w:rPr>
              <w:t>Cardiopatias</w:t>
            </w:r>
          </w:p>
        </w:tc>
        <w:tc>
          <w:tcPr>
            <w:tcW w:w="1848" w:type="dxa"/>
          </w:tcPr>
          <w:p w14:paraId="5F75CA7A" w14:textId="77777777" w:rsidR="005E7788" w:rsidRPr="0063119B" w:rsidRDefault="005E7788" w:rsidP="0044301C">
            <w:pPr>
              <w:suppressAutoHyphens/>
              <w:rPr>
                <w:b/>
                <w:noProof/>
                <w:szCs w:val="22"/>
              </w:rPr>
            </w:pPr>
          </w:p>
        </w:tc>
        <w:tc>
          <w:tcPr>
            <w:tcW w:w="1797" w:type="dxa"/>
          </w:tcPr>
          <w:p w14:paraId="44E59BC3" w14:textId="77777777" w:rsidR="005E7788" w:rsidRPr="0063119B" w:rsidRDefault="005E7788" w:rsidP="0044301C">
            <w:pPr>
              <w:suppressAutoHyphens/>
              <w:rPr>
                <w:b/>
                <w:noProof/>
                <w:szCs w:val="22"/>
              </w:rPr>
            </w:pPr>
          </w:p>
        </w:tc>
      </w:tr>
      <w:tr w:rsidR="005E7788" w:rsidRPr="0063119B" w14:paraId="59A2C2C0" w14:textId="77777777" w:rsidTr="005E7788">
        <w:tc>
          <w:tcPr>
            <w:tcW w:w="1933" w:type="dxa"/>
          </w:tcPr>
          <w:p w14:paraId="78D6E19F" w14:textId="77777777" w:rsidR="005E7788" w:rsidRPr="0063119B" w:rsidRDefault="005E7788" w:rsidP="0044301C">
            <w:pPr>
              <w:suppressAutoHyphens/>
              <w:rPr>
                <w:noProof/>
                <w:szCs w:val="22"/>
              </w:rPr>
            </w:pPr>
          </w:p>
        </w:tc>
        <w:tc>
          <w:tcPr>
            <w:tcW w:w="1942" w:type="dxa"/>
          </w:tcPr>
          <w:p w14:paraId="669A8845" w14:textId="77777777" w:rsidR="005E7788" w:rsidRPr="0063119B" w:rsidRDefault="005E7788" w:rsidP="0044301C">
            <w:pPr>
              <w:suppressAutoHyphens/>
              <w:rPr>
                <w:noProof/>
                <w:szCs w:val="22"/>
              </w:rPr>
            </w:pPr>
            <w:r w:rsidRPr="0063119B">
              <w:rPr>
                <w:noProof/>
                <w:szCs w:val="22"/>
              </w:rPr>
              <w:t>Taquicardia</w:t>
            </w:r>
          </w:p>
        </w:tc>
        <w:tc>
          <w:tcPr>
            <w:tcW w:w="1756" w:type="dxa"/>
          </w:tcPr>
          <w:p w14:paraId="516AB47A" w14:textId="77777777" w:rsidR="005E7788" w:rsidRPr="0063119B" w:rsidRDefault="005E7788" w:rsidP="0044301C">
            <w:pPr>
              <w:suppressAutoHyphens/>
              <w:rPr>
                <w:noProof/>
                <w:szCs w:val="22"/>
              </w:rPr>
            </w:pPr>
          </w:p>
        </w:tc>
        <w:tc>
          <w:tcPr>
            <w:tcW w:w="1848" w:type="dxa"/>
          </w:tcPr>
          <w:p w14:paraId="059A9E5D" w14:textId="77777777" w:rsidR="005E7788" w:rsidRPr="0063119B" w:rsidRDefault="005E7788" w:rsidP="0044301C">
            <w:pPr>
              <w:suppressAutoHyphens/>
              <w:rPr>
                <w:noProof/>
                <w:szCs w:val="22"/>
              </w:rPr>
            </w:pPr>
          </w:p>
        </w:tc>
        <w:tc>
          <w:tcPr>
            <w:tcW w:w="1797" w:type="dxa"/>
          </w:tcPr>
          <w:p w14:paraId="17BA1ACC" w14:textId="77777777" w:rsidR="005E7788" w:rsidRPr="0063119B" w:rsidRDefault="005E7788" w:rsidP="0044301C">
            <w:pPr>
              <w:suppressAutoHyphens/>
              <w:rPr>
                <w:noProof/>
                <w:szCs w:val="22"/>
              </w:rPr>
            </w:pPr>
          </w:p>
        </w:tc>
      </w:tr>
      <w:tr w:rsidR="005E7788" w:rsidRPr="0063119B" w14:paraId="6F66E436" w14:textId="77777777" w:rsidTr="00D733A1">
        <w:tc>
          <w:tcPr>
            <w:tcW w:w="5631" w:type="dxa"/>
            <w:gridSpan w:val="3"/>
          </w:tcPr>
          <w:p w14:paraId="541613E5" w14:textId="77777777" w:rsidR="005E7788" w:rsidRPr="0063119B" w:rsidRDefault="005E7788" w:rsidP="0044301C">
            <w:pPr>
              <w:suppressAutoHyphens/>
              <w:rPr>
                <w:b/>
                <w:noProof/>
                <w:szCs w:val="22"/>
              </w:rPr>
            </w:pPr>
            <w:r w:rsidRPr="0063119B">
              <w:rPr>
                <w:b/>
                <w:noProof/>
                <w:szCs w:val="22"/>
              </w:rPr>
              <w:t>Vasculopatias</w:t>
            </w:r>
          </w:p>
        </w:tc>
        <w:tc>
          <w:tcPr>
            <w:tcW w:w="1848" w:type="dxa"/>
          </w:tcPr>
          <w:p w14:paraId="6E06115B" w14:textId="77777777" w:rsidR="005E7788" w:rsidRPr="0063119B" w:rsidRDefault="005E7788" w:rsidP="0044301C">
            <w:pPr>
              <w:suppressAutoHyphens/>
              <w:rPr>
                <w:b/>
                <w:noProof/>
                <w:szCs w:val="22"/>
              </w:rPr>
            </w:pPr>
          </w:p>
        </w:tc>
        <w:tc>
          <w:tcPr>
            <w:tcW w:w="1797" w:type="dxa"/>
          </w:tcPr>
          <w:p w14:paraId="79D4AFBD" w14:textId="77777777" w:rsidR="005E7788" w:rsidRPr="0063119B" w:rsidRDefault="005E7788" w:rsidP="0044301C">
            <w:pPr>
              <w:suppressAutoHyphens/>
              <w:rPr>
                <w:b/>
                <w:noProof/>
                <w:szCs w:val="22"/>
              </w:rPr>
            </w:pPr>
          </w:p>
        </w:tc>
      </w:tr>
      <w:tr w:rsidR="005E7788" w:rsidRPr="0063119B" w14:paraId="6AB2A1B4" w14:textId="77777777" w:rsidTr="005E7788">
        <w:tc>
          <w:tcPr>
            <w:tcW w:w="1933" w:type="dxa"/>
          </w:tcPr>
          <w:p w14:paraId="594DE3E0" w14:textId="77777777" w:rsidR="005E7788" w:rsidRPr="0063119B" w:rsidRDefault="005E7788" w:rsidP="0044301C">
            <w:pPr>
              <w:suppressAutoHyphens/>
              <w:rPr>
                <w:b/>
                <w:noProof/>
                <w:szCs w:val="22"/>
              </w:rPr>
            </w:pPr>
            <w:r w:rsidRPr="0063119B">
              <w:rPr>
                <w:noProof/>
                <w:szCs w:val="22"/>
              </w:rPr>
              <w:t>Hipotensão, hematoma</w:t>
            </w:r>
          </w:p>
        </w:tc>
        <w:tc>
          <w:tcPr>
            <w:tcW w:w="1942" w:type="dxa"/>
          </w:tcPr>
          <w:p w14:paraId="1C2BF6BF" w14:textId="77777777" w:rsidR="005E7788" w:rsidRPr="0063119B" w:rsidRDefault="005E7788" w:rsidP="0044301C">
            <w:pPr>
              <w:suppressAutoHyphens/>
              <w:rPr>
                <w:b/>
                <w:noProof/>
                <w:szCs w:val="22"/>
              </w:rPr>
            </w:pPr>
          </w:p>
        </w:tc>
        <w:tc>
          <w:tcPr>
            <w:tcW w:w="1756" w:type="dxa"/>
          </w:tcPr>
          <w:p w14:paraId="5DA5C637" w14:textId="77777777" w:rsidR="005E7788" w:rsidRPr="0063119B" w:rsidRDefault="005E7788" w:rsidP="0044301C">
            <w:pPr>
              <w:suppressAutoHyphens/>
              <w:rPr>
                <w:b/>
                <w:noProof/>
                <w:szCs w:val="22"/>
              </w:rPr>
            </w:pPr>
          </w:p>
        </w:tc>
        <w:tc>
          <w:tcPr>
            <w:tcW w:w="1848" w:type="dxa"/>
          </w:tcPr>
          <w:p w14:paraId="3BB21B1A" w14:textId="77777777" w:rsidR="005E7788" w:rsidRPr="0063119B" w:rsidRDefault="005E7788" w:rsidP="0044301C">
            <w:pPr>
              <w:suppressAutoHyphens/>
              <w:rPr>
                <w:b/>
                <w:noProof/>
                <w:szCs w:val="22"/>
              </w:rPr>
            </w:pPr>
          </w:p>
        </w:tc>
        <w:tc>
          <w:tcPr>
            <w:tcW w:w="1797" w:type="dxa"/>
          </w:tcPr>
          <w:p w14:paraId="3AC6763C" w14:textId="77777777" w:rsidR="005E7788" w:rsidRPr="0063119B" w:rsidRDefault="005E7788" w:rsidP="0044301C">
            <w:pPr>
              <w:suppressAutoHyphens/>
              <w:rPr>
                <w:b/>
                <w:noProof/>
                <w:szCs w:val="22"/>
              </w:rPr>
            </w:pPr>
          </w:p>
        </w:tc>
      </w:tr>
      <w:tr w:rsidR="005E7788" w:rsidRPr="0063119B" w14:paraId="2AB179F1" w14:textId="77777777" w:rsidTr="00B6417D">
        <w:tc>
          <w:tcPr>
            <w:tcW w:w="9276" w:type="dxa"/>
            <w:gridSpan w:val="5"/>
          </w:tcPr>
          <w:p w14:paraId="61F26249" w14:textId="77777777" w:rsidR="005E7788" w:rsidRPr="0063119B" w:rsidRDefault="005E7788" w:rsidP="0044301C">
            <w:pPr>
              <w:suppressAutoHyphens/>
              <w:rPr>
                <w:b/>
                <w:noProof/>
                <w:szCs w:val="22"/>
              </w:rPr>
            </w:pPr>
            <w:r w:rsidRPr="0063119B">
              <w:rPr>
                <w:b/>
                <w:noProof/>
                <w:szCs w:val="22"/>
              </w:rPr>
              <w:t>Doenças respiratórias, torácicas e do mediastino</w:t>
            </w:r>
          </w:p>
        </w:tc>
      </w:tr>
      <w:tr w:rsidR="005E7788" w:rsidRPr="0063119B" w14:paraId="672111EA" w14:textId="77777777" w:rsidTr="005E7788">
        <w:tc>
          <w:tcPr>
            <w:tcW w:w="1933" w:type="dxa"/>
          </w:tcPr>
          <w:p w14:paraId="759FC9D8" w14:textId="77777777" w:rsidR="005E7788" w:rsidRPr="0063119B" w:rsidRDefault="005E7788" w:rsidP="0044301C">
            <w:pPr>
              <w:suppressAutoHyphens/>
              <w:rPr>
                <w:noProof/>
                <w:szCs w:val="22"/>
              </w:rPr>
            </w:pPr>
            <w:r w:rsidRPr="0063119B">
              <w:rPr>
                <w:noProof/>
                <w:szCs w:val="22"/>
              </w:rPr>
              <w:t>Epistaxe, hemoptise</w:t>
            </w:r>
          </w:p>
        </w:tc>
        <w:tc>
          <w:tcPr>
            <w:tcW w:w="1942" w:type="dxa"/>
          </w:tcPr>
          <w:p w14:paraId="0E0F659F" w14:textId="77777777" w:rsidR="005E7788" w:rsidRPr="0063119B" w:rsidRDefault="005E7788" w:rsidP="0044301C">
            <w:pPr>
              <w:suppressAutoHyphens/>
              <w:rPr>
                <w:noProof/>
                <w:szCs w:val="22"/>
              </w:rPr>
            </w:pPr>
          </w:p>
        </w:tc>
        <w:tc>
          <w:tcPr>
            <w:tcW w:w="1756" w:type="dxa"/>
          </w:tcPr>
          <w:p w14:paraId="7FBA4BDD" w14:textId="77777777" w:rsidR="005E7788" w:rsidRPr="0063119B" w:rsidRDefault="005E7788" w:rsidP="0044301C">
            <w:pPr>
              <w:suppressAutoHyphens/>
              <w:rPr>
                <w:noProof/>
                <w:szCs w:val="22"/>
              </w:rPr>
            </w:pPr>
          </w:p>
        </w:tc>
        <w:tc>
          <w:tcPr>
            <w:tcW w:w="1848" w:type="dxa"/>
          </w:tcPr>
          <w:p w14:paraId="28FD6BF3" w14:textId="1ADC7D16" w:rsidR="005E7788" w:rsidRPr="0063119B" w:rsidRDefault="000536F1" w:rsidP="0044301C">
            <w:pPr>
              <w:suppressAutoHyphens/>
              <w:rPr>
                <w:noProof/>
                <w:szCs w:val="22"/>
              </w:rPr>
            </w:pPr>
            <w:r>
              <w:rPr>
                <w:noProof/>
                <w:szCs w:val="22"/>
              </w:rPr>
              <w:t>Pneumonia eosinofilica</w:t>
            </w:r>
          </w:p>
        </w:tc>
        <w:tc>
          <w:tcPr>
            <w:tcW w:w="1797" w:type="dxa"/>
          </w:tcPr>
          <w:p w14:paraId="1D231D20" w14:textId="77777777" w:rsidR="005E7788" w:rsidRPr="0063119B" w:rsidRDefault="005E7788" w:rsidP="0044301C">
            <w:pPr>
              <w:suppressAutoHyphens/>
              <w:rPr>
                <w:noProof/>
                <w:szCs w:val="22"/>
              </w:rPr>
            </w:pPr>
          </w:p>
        </w:tc>
      </w:tr>
      <w:tr w:rsidR="005E7788" w:rsidRPr="0063119B" w14:paraId="011C9744" w14:textId="77777777" w:rsidTr="00D733A1">
        <w:tc>
          <w:tcPr>
            <w:tcW w:w="5631" w:type="dxa"/>
            <w:gridSpan w:val="3"/>
          </w:tcPr>
          <w:p w14:paraId="7AB92E2C" w14:textId="77777777" w:rsidR="005E7788" w:rsidRPr="0063119B" w:rsidRDefault="005E7788" w:rsidP="0044301C">
            <w:pPr>
              <w:suppressAutoHyphens/>
              <w:rPr>
                <w:b/>
                <w:noProof/>
                <w:szCs w:val="22"/>
              </w:rPr>
            </w:pPr>
            <w:r w:rsidRPr="0063119B">
              <w:rPr>
                <w:b/>
                <w:noProof/>
                <w:szCs w:val="22"/>
              </w:rPr>
              <w:t>Doenças gastrointestinais</w:t>
            </w:r>
          </w:p>
        </w:tc>
        <w:tc>
          <w:tcPr>
            <w:tcW w:w="1848" w:type="dxa"/>
          </w:tcPr>
          <w:p w14:paraId="2D2D4AF7" w14:textId="77777777" w:rsidR="005E7788" w:rsidRPr="0063119B" w:rsidRDefault="005E7788" w:rsidP="0044301C">
            <w:pPr>
              <w:suppressAutoHyphens/>
              <w:rPr>
                <w:b/>
                <w:noProof/>
                <w:szCs w:val="22"/>
              </w:rPr>
            </w:pPr>
          </w:p>
        </w:tc>
        <w:tc>
          <w:tcPr>
            <w:tcW w:w="1797" w:type="dxa"/>
          </w:tcPr>
          <w:p w14:paraId="3DA1BEAC" w14:textId="77777777" w:rsidR="005E7788" w:rsidRPr="0063119B" w:rsidRDefault="005E7788" w:rsidP="0044301C">
            <w:pPr>
              <w:suppressAutoHyphens/>
              <w:rPr>
                <w:b/>
                <w:noProof/>
                <w:szCs w:val="22"/>
              </w:rPr>
            </w:pPr>
          </w:p>
        </w:tc>
      </w:tr>
      <w:tr w:rsidR="005E7788" w:rsidRPr="0063119B" w14:paraId="7132C653" w14:textId="77777777" w:rsidTr="005E7788">
        <w:tc>
          <w:tcPr>
            <w:tcW w:w="1933" w:type="dxa"/>
          </w:tcPr>
          <w:p w14:paraId="40E3C9D2" w14:textId="77777777" w:rsidR="005E7788" w:rsidRPr="0063119B" w:rsidRDefault="005E7788" w:rsidP="0044301C">
            <w:pPr>
              <w:suppressAutoHyphens/>
              <w:rPr>
                <w:noProof/>
                <w:szCs w:val="22"/>
                <w:vertAlign w:val="superscript"/>
              </w:rPr>
            </w:pPr>
            <w:r w:rsidRPr="0063119B">
              <w:rPr>
                <w:noProof/>
                <w:szCs w:val="22"/>
              </w:rPr>
              <w:t>Hemorragia gengival, hemorragia do trato gastrointestinal (incl. hemorragia retal), dores gastrointestinais e abdominais, dispepsia, náuseas, obstipação</w:t>
            </w:r>
            <w:r w:rsidRPr="0063119B">
              <w:rPr>
                <w:noProof/>
                <w:szCs w:val="22"/>
                <w:vertAlign w:val="superscript"/>
              </w:rPr>
              <w:t>A</w:t>
            </w:r>
            <w:r w:rsidRPr="0063119B">
              <w:rPr>
                <w:noProof/>
                <w:szCs w:val="22"/>
              </w:rPr>
              <w:t>, diarreia, vómitos</w:t>
            </w:r>
            <w:r w:rsidRPr="0063119B">
              <w:rPr>
                <w:noProof/>
                <w:szCs w:val="22"/>
                <w:vertAlign w:val="superscript"/>
              </w:rPr>
              <w:t>A</w:t>
            </w:r>
          </w:p>
        </w:tc>
        <w:tc>
          <w:tcPr>
            <w:tcW w:w="1942" w:type="dxa"/>
          </w:tcPr>
          <w:p w14:paraId="7DC24704" w14:textId="77777777" w:rsidR="005E7788" w:rsidRPr="0063119B" w:rsidRDefault="005E7788" w:rsidP="0044301C">
            <w:pPr>
              <w:suppressAutoHyphens/>
              <w:rPr>
                <w:noProof/>
                <w:szCs w:val="22"/>
              </w:rPr>
            </w:pPr>
            <w:r w:rsidRPr="0063119B">
              <w:rPr>
                <w:noProof/>
                <w:szCs w:val="22"/>
              </w:rPr>
              <w:t>Xerostomia</w:t>
            </w:r>
          </w:p>
        </w:tc>
        <w:tc>
          <w:tcPr>
            <w:tcW w:w="1756" w:type="dxa"/>
          </w:tcPr>
          <w:p w14:paraId="212B65EE" w14:textId="77777777" w:rsidR="005E7788" w:rsidRPr="0063119B" w:rsidRDefault="005E7788" w:rsidP="0044301C">
            <w:pPr>
              <w:suppressAutoHyphens/>
              <w:rPr>
                <w:noProof/>
                <w:szCs w:val="22"/>
              </w:rPr>
            </w:pPr>
          </w:p>
        </w:tc>
        <w:tc>
          <w:tcPr>
            <w:tcW w:w="1848" w:type="dxa"/>
          </w:tcPr>
          <w:p w14:paraId="18F23082" w14:textId="77777777" w:rsidR="005E7788" w:rsidRPr="0063119B" w:rsidRDefault="005E7788" w:rsidP="0044301C">
            <w:pPr>
              <w:suppressAutoHyphens/>
              <w:rPr>
                <w:noProof/>
                <w:szCs w:val="22"/>
              </w:rPr>
            </w:pPr>
          </w:p>
        </w:tc>
        <w:tc>
          <w:tcPr>
            <w:tcW w:w="1797" w:type="dxa"/>
          </w:tcPr>
          <w:p w14:paraId="1E3BA4EC" w14:textId="77777777" w:rsidR="005E7788" w:rsidRPr="0063119B" w:rsidRDefault="005E7788" w:rsidP="0044301C">
            <w:pPr>
              <w:suppressAutoHyphens/>
              <w:rPr>
                <w:noProof/>
                <w:szCs w:val="22"/>
              </w:rPr>
            </w:pPr>
          </w:p>
        </w:tc>
      </w:tr>
      <w:tr w:rsidR="005E7788" w:rsidRPr="0063119B" w14:paraId="2E99C2E2" w14:textId="77777777" w:rsidTr="00D733A1">
        <w:tc>
          <w:tcPr>
            <w:tcW w:w="5631" w:type="dxa"/>
            <w:gridSpan w:val="3"/>
          </w:tcPr>
          <w:p w14:paraId="43EF6121" w14:textId="77777777" w:rsidR="005E7788" w:rsidRPr="0063119B" w:rsidRDefault="005E7788" w:rsidP="0044301C">
            <w:pPr>
              <w:suppressAutoHyphens/>
              <w:rPr>
                <w:b/>
                <w:noProof/>
                <w:szCs w:val="22"/>
              </w:rPr>
            </w:pPr>
            <w:r w:rsidRPr="0063119B">
              <w:rPr>
                <w:b/>
                <w:noProof/>
                <w:szCs w:val="22"/>
              </w:rPr>
              <w:t>Afeções hepatobiliares</w:t>
            </w:r>
          </w:p>
        </w:tc>
        <w:tc>
          <w:tcPr>
            <w:tcW w:w="1848" w:type="dxa"/>
          </w:tcPr>
          <w:p w14:paraId="516DF5F2" w14:textId="77777777" w:rsidR="005E7788" w:rsidRPr="0063119B" w:rsidRDefault="005E7788" w:rsidP="0044301C">
            <w:pPr>
              <w:suppressAutoHyphens/>
              <w:rPr>
                <w:b/>
                <w:noProof/>
                <w:szCs w:val="22"/>
              </w:rPr>
            </w:pPr>
          </w:p>
        </w:tc>
        <w:tc>
          <w:tcPr>
            <w:tcW w:w="1797" w:type="dxa"/>
          </w:tcPr>
          <w:p w14:paraId="02811F48" w14:textId="77777777" w:rsidR="005E7788" w:rsidRPr="0063119B" w:rsidRDefault="005E7788" w:rsidP="0044301C">
            <w:pPr>
              <w:suppressAutoHyphens/>
              <w:rPr>
                <w:b/>
                <w:noProof/>
                <w:szCs w:val="22"/>
              </w:rPr>
            </w:pPr>
          </w:p>
        </w:tc>
      </w:tr>
      <w:tr w:rsidR="005E7788" w:rsidRPr="0063119B" w14:paraId="0262B768" w14:textId="77777777" w:rsidTr="005E7788">
        <w:tc>
          <w:tcPr>
            <w:tcW w:w="1933" w:type="dxa"/>
          </w:tcPr>
          <w:p w14:paraId="5BD614A5" w14:textId="77777777" w:rsidR="005E7788" w:rsidRPr="0063119B" w:rsidRDefault="005E7788" w:rsidP="0044301C">
            <w:pPr>
              <w:suppressAutoHyphens/>
              <w:rPr>
                <w:noProof/>
                <w:szCs w:val="22"/>
              </w:rPr>
            </w:pPr>
            <w:r w:rsidRPr="0063119B">
              <w:rPr>
                <w:noProof/>
                <w:szCs w:val="22"/>
              </w:rPr>
              <w:t>Aumento das transaminases</w:t>
            </w:r>
          </w:p>
        </w:tc>
        <w:tc>
          <w:tcPr>
            <w:tcW w:w="1942" w:type="dxa"/>
          </w:tcPr>
          <w:p w14:paraId="3EE2E5CB" w14:textId="77777777" w:rsidR="005E7788" w:rsidRPr="0063119B" w:rsidRDefault="005E7788" w:rsidP="0044301C">
            <w:pPr>
              <w:suppressAutoHyphens/>
              <w:rPr>
                <w:noProof/>
                <w:szCs w:val="22"/>
              </w:rPr>
            </w:pPr>
            <w:r w:rsidRPr="0063119B">
              <w:rPr>
                <w:noProof/>
                <w:szCs w:val="22"/>
              </w:rPr>
              <w:t>Compromisso hepático,</w:t>
            </w:r>
          </w:p>
          <w:p w14:paraId="21966D25" w14:textId="77777777" w:rsidR="005E7788" w:rsidRPr="0063119B" w:rsidRDefault="005E7788" w:rsidP="0044301C">
            <w:pPr>
              <w:suppressAutoHyphens/>
              <w:rPr>
                <w:b/>
                <w:noProof/>
                <w:szCs w:val="22"/>
              </w:rPr>
            </w:pPr>
            <w:r w:rsidRPr="0063119B">
              <w:rPr>
                <w:szCs w:val="22"/>
              </w:rPr>
              <w:t>Aumento da bilirrubina, aumento da fosfatase alcalina sérica</w:t>
            </w:r>
            <w:r w:rsidRPr="0063119B">
              <w:rPr>
                <w:szCs w:val="22"/>
                <w:vertAlign w:val="superscript"/>
              </w:rPr>
              <w:t>A</w:t>
            </w:r>
            <w:r w:rsidRPr="0063119B">
              <w:rPr>
                <w:szCs w:val="22"/>
              </w:rPr>
              <w:t>, aumento da GGT</w:t>
            </w:r>
            <w:r w:rsidRPr="0063119B">
              <w:rPr>
                <w:szCs w:val="22"/>
                <w:vertAlign w:val="superscript"/>
              </w:rPr>
              <w:t>A</w:t>
            </w:r>
          </w:p>
        </w:tc>
        <w:tc>
          <w:tcPr>
            <w:tcW w:w="1756" w:type="dxa"/>
          </w:tcPr>
          <w:p w14:paraId="22E5FA76" w14:textId="77777777" w:rsidR="005E7788" w:rsidRPr="0063119B" w:rsidRDefault="005E7788" w:rsidP="0044301C">
            <w:pPr>
              <w:suppressAutoHyphens/>
              <w:rPr>
                <w:noProof/>
                <w:szCs w:val="22"/>
              </w:rPr>
            </w:pPr>
            <w:r w:rsidRPr="0063119B">
              <w:rPr>
                <w:noProof/>
                <w:szCs w:val="22"/>
              </w:rPr>
              <w:t>Icterícia,</w:t>
            </w:r>
          </w:p>
          <w:p w14:paraId="6BC6486C" w14:textId="77777777" w:rsidR="005E7788" w:rsidRPr="0063119B" w:rsidRDefault="005E7788" w:rsidP="0044301C">
            <w:pPr>
              <w:suppressAutoHyphens/>
              <w:rPr>
                <w:b/>
                <w:noProof/>
                <w:szCs w:val="22"/>
              </w:rPr>
            </w:pPr>
            <w:r w:rsidRPr="0063119B">
              <w:rPr>
                <w:szCs w:val="22"/>
              </w:rPr>
              <w:t>Bilirrubina conjugada aumentada (com ou sem aumento concomitante da ALT)</w:t>
            </w:r>
            <w:r w:rsidR="00BA7F7B" w:rsidRPr="0063119B">
              <w:rPr>
                <w:szCs w:val="22"/>
              </w:rPr>
              <w:t>,</w:t>
            </w:r>
            <w:r w:rsidR="00BA7F7B" w:rsidRPr="0063119B">
              <w:rPr>
                <w:szCs w:val="22"/>
              </w:rPr>
              <w:br/>
              <w:t>Colestase, Hepatite (incl.</w:t>
            </w:r>
            <w:r w:rsidR="00B23D33" w:rsidRPr="0063119B">
              <w:rPr>
                <w:szCs w:val="22"/>
              </w:rPr>
              <w:t xml:space="preserve"> lesão</w:t>
            </w:r>
            <w:r w:rsidR="00BA7F7B" w:rsidRPr="0063119B">
              <w:rPr>
                <w:szCs w:val="22"/>
              </w:rPr>
              <w:t xml:space="preserve"> </w:t>
            </w:r>
            <w:r w:rsidRPr="0063119B">
              <w:rPr>
                <w:szCs w:val="22"/>
              </w:rPr>
              <w:t>hepatocelular)</w:t>
            </w:r>
          </w:p>
        </w:tc>
        <w:tc>
          <w:tcPr>
            <w:tcW w:w="1848" w:type="dxa"/>
          </w:tcPr>
          <w:p w14:paraId="30D542FC" w14:textId="77777777" w:rsidR="005E7788" w:rsidRPr="0063119B" w:rsidRDefault="005E7788" w:rsidP="0044301C">
            <w:pPr>
              <w:suppressAutoHyphens/>
              <w:rPr>
                <w:b/>
                <w:noProof/>
                <w:szCs w:val="22"/>
              </w:rPr>
            </w:pPr>
          </w:p>
        </w:tc>
        <w:tc>
          <w:tcPr>
            <w:tcW w:w="1797" w:type="dxa"/>
          </w:tcPr>
          <w:p w14:paraId="007778D2" w14:textId="77777777" w:rsidR="005E7788" w:rsidRPr="0063119B" w:rsidRDefault="005E7788" w:rsidP="0044301C">
            <w:pPr>
              <w:suppressAutoHyphens/>
              <w:rPr>
                <w:b/>
                <w:noProof/>
                <w:szCs w:val="22"/>
              </w:rPr>
            </w:pPr>
          </w:p>
        </w:tc>
      </w:tr>
      <w:tr w:rsidR="005E7788" w:rsidRPr="0063119B" w14:paraId="6FC1C14D" w14:textId="77777777" w:rsidTr="00B6417D">
        <w:tc>
          <w:tcPr>
            <w:tcW w:w="9276" w:type="dxa"/>
            <w:gridSpan w:val="5"/>
          </w:tcPr>
          <w:p w14:paraId="2022BD38" w14:textId="77777777" w:rsidR="005E7788" w:rsidRPr="0063119B" w:rsidRDefault="005E7788" w:rsidP="0044301C">
            <w:pPr>
              <w:keepNext/>
              <w:suppressAutoHyphens/>
              <w:rPr>
                <w:b/>
                <w:noProof/>
                <w:szCs w:val="22"/>
              </w:rPr>
            </w:pPr>
            <w:r w:rsidRPr="0063119B">
              <w:rPr>
                <w:b/>
                <w:noProof/>
                <w:szCs w:val="22"/>
              </w:rPr>
              <w:lastRenderedPageBreak/>
              <w:t>Afeções dos tecidos cutâneos e subcutâneos</w:t>
            </w:r>
          </w:p>
        </w:tc>
      </w:tr>
      <w:tr w:rsidR="005E7788" w:rsidRPr="0063119B" w14:paraId="133019E9" w14:textId="77777777" w:rsidTr="005E7788">
        <w:tc>
          <w:tcPr>
            <w:tcW w:w="1933" w:type="dxa"/>
          </w:tcPr>
          <w:p w14:paraId="7721A21D" w14:textId="77777777" w:rsidR="005E7788" w:rsidRPr="0063119B" w:rsidRDefault="005E7788" w:rsidP="003345A8">
            <w:pPr>
              <w:suppressAutoHyphens/>
              <w:rPr>
                <w:noProof/>
                <w:szCs w:val="22"/>
              </w:rPr>
            </w:pPr>
            <w:r w:rsidRPr="0063119B">
              <w:rPr>
                <w:noProof/>
                <w:szCs w:val="22"/>
              </w:rPr>
              <w:t>Prurido (incl. casos pouco frequentes de prurido generalizado), exantema cutâneo, equimose, hemorragia cutânea e subcutânea</w:t>
            </w:r>
          </w:p>
        </w:tc>
        <w:tc>
          <w:tcPr>
            <w:tcW w:w="1942" w:type="dxa"/>
          </w:tcPr>
          <w:p w14:paraId="605533C9" w14:textId="77777777" w:rsidR="005E7788" w:rsidRPr="0063119B" w:rsidRDefault="005E7788" w:rsidP="0044301C">
            <w:pPr>
              <w:keepNext/>
              <w:suppressAutoHyphens/>
              <w:rPr>
                <w:noProof/>
                <w:szCs w:val="22"/>
              </w:rPr>
            </w:pPr>
            <w:r w:rsidRPr="0063119B">
              <w:rPr>
                <w:noProof/>
                <w:szCs w:val="22"/>
              </w:rPr>
              <w:t>Urticária</w:t>
            </w:r>
          </w:p>
        </w:tc>
        <w:tc>
          <w:tcPr>
            <w:tcW w:w="1756" w:type="dxa"/>
          </w:tcPr>
          <w:p w14:paraId="3FB08C99" w14:textId="77777777" w:rsidR="005E7788" w:rsidRPr="0063119B" w:rsidRDefault="005E7788" w:rsidP="0044301C">
            <w:pPr>
              <w:keepNext/>
              <w:suppressAutoHyphens/>
              <w:rPr>
                <w:noProof/>
                <w:szCs w:val="22"/>
              </w:rPr>
            </w:pPr>
          </w:p>
        </w:tc>
        <w:tc>
          <w:tcPr>
            <w:tcW w:w="1848" w:type="dxa"/>
          </w:tcPr>
          <w:p w14:paraId="730E969B" w14:textId="77777777" w:rsidR="00B23D33" w:rsidRPr="0063119B" w:rsidRDefault="005E7788" w:rsidP="0044301C">
            <w:pPr>
              <w:keepNext/>
              <w:suppressAutoHyphens/>
              <w:rPr>
                <w:szCs w:val="22"/>
              </w:rPr>
            </w:pPr>
            <w:r w:rsidRPr="0063119B">
              <w:rPr>
                <w:szCs w:val="22"/>
              </w:rPr>
              <w:t>Síndrome de Stevens-John</w:t>
            </w:r>
            <w:r w:rsidR="00B23D33" w:rsidRPr="0063119B">
              <w:rPr>
                <w:szCs w:val="22"/>
              </w:rPr>
              <w:t>son/Necrólise Epidérmica Tóxica,</w:t>
            </w:r>
          </w:p>
          <w:p w14:paraId="11B4AE06" w14:textId="77777777" w:rsidR="005E7788" w:rsidRPr="0063119B" w:rsidRDefault="005E7788" w:rsidP="0044301C">
            <w:pPr>
              <w:keepNext/>
              <w:suppressAutoHyphens/>
              <w:rPr>
                <w:noProof/>
                <w:szCs w:val="22"/>
              </w:rPr>
            </w:pPr>
            <w:r w:rsidRPr="0063119B">
              <w:rPr>
                <w:szCs w:val="22"/>
              </w:rPr>
              <w:t>Síndrome de DRESS</w:t>
            </w:r>
          </w:p>
        </w:tc>
        <w:tc>
          <w:tcPr>
            <w:tcW w:w="1797" w:type="dxa"/>
          </w:tcPr>
          <w:p w14:paraId="5B84DD71" w14:textId="77777777" w:rsidR="005E7788" w:rsidRPr="0063119B" w:rsidRDefault="005E7788" w:rsidP="0044301C">
            <w:pPr>
              <w:keepNext/>
              <w:suppressAutoHyphens/>
              <w:rPr>
                <w:noProof/>
                <w:szCs w:val="22"/>
              </w:rPr>
            </w:pPr>
          </w:p>
        </w:tc>
      </w:tr>
      <w:tr w:rsidR="005E7788" w:rsidRPr="0063119B" w14:paraId="48522F31" w14:textId="77777777" w:rsidTr="00B6417D">
        <w:tc>
          <w:tcPr>
            <w:tcW w:w="9276" w:type="dxa"/>
            <w:gridSpan w:val="5"/>
          </w:tcPr>
          <w:p w14:paraId="375EBBAA" w14:textId="77777777" w:rsidR="005E7788" w:rsidRPr="0063119B" w:rsidRDefault="005E7788" w:rsidP="003345A8">
            <w:pPr>
              <w:keepNext/>
              <w:suppressAutoHyphens/>
              <w:rPr>
                <w:b/>
                <w:noProof/>
                <w:szCs w:val="22"/>
              </w:rPr>
            </w:pPr>
            <w:r w:rsidRPr="0063119B">
              <w:rPr>
                <w:b/>
                <w:noProof/>
                <w:szCs w:val="22"/>
              </w:rPr>
              <w:t>Afeções musculosqueléticas e dos tecidos conjuntivos</w:t>
            </w:r>
          </w:p>
        </w:tc>
      </w:tr>
      <w:tr w:rsidR="005E7788" w:rsidRPr="0063119B" w14:paraId="7FBCDB12" w14:textId="77777777" w:rsidTr="005E7788">
        <w:tc>
          <w:tcPr>
            <w:tcW w:w="1933" w:type="dxa"/>
          </w:tcPr>
          <w:p w14:paraId="13E93AC1" w14:textId="77777777" w:rsidR="005E7788" w:rsidRPr="0063119B" w:rsidRDefault="005E7788" w:rsidP="003345A8">
            <w:pPr>
              <w:keepNext/>
              <w:keepLines/>
              <w:suppressAutoHyphens/>
              <w:rPr>
                <w:noProof/>
                <w:szCs w:val="22"/>
                <w:vertAlign w:val="superscript"/>
              </w:rPr>
            </w:pPr>
            <w:r w:rsidRPr="0063119B">
              <w:rPr>
                <w:noProof/>
                <w:szCs w:val="22"/>
              </w:rPr>
              <w:t>Dor nas extremidades</w:t>
            </w:r>
            <w:r w:rsidRPr="0063119B">
              <w:rPr>
                <w:noProof/>
                <w:szCs w:val="22"/>
                <w:vertAlign w:val="superscript"/>
              </w:rPr>
              <w:t>A</w:t>
            </w:r>
          </w:p>
        </w:tc>
        <w:tc>
          <w:tcPr>
            <w:tcW w:w="1942" w:type="dxa"/>
          </w:tcPr>
          <w:p w14:paraId="757FAA51" w14:textId="77777777" w:rsidR="005E7788" w:rsidRPr="0063119B" w:rsidRDefault="005E7788" w:rsidP="0044301C">
            <w:pPr>
              <w:suppressAutoHyphens/>
              <w:rPr>
                <w:noProof/>
                <w:szCs w:val="22"/>
              </w:rPr>
            </w:pPr>
            <w:r w:rsidRPr="0063119B">
              <w:rPr>
                <w:noProof/>
                <w:szCs w:val="22"/>
              </w:rPr>
              <w:t>Hemartrose</w:t>
            </w:r>
          </w:p>
        </w:tc>
        <w:tc>
          <w:tcPr>
            <w:tcW w:w="1756" w:type="dxa"/>
          </w:tcPr>
          <w:p w14:paraId="3DB5EC13" w14:textId="77777777" w:rsidR="005E7788" w:rsidRPr="0063119B" w:rsidRDefault="005E7788" w:rsidP="0044301C">
            <w:pPr>
              <w:suppressAutoHyphens/>
              <w:rPr>
                <w:noProof/>
                <w:szCs w:val="22"/>
              </w:rPr>
            </w:pPr>
            <w:r w:rsidRPr="0063119B">
              <w:rPr>
                <w:noProof/>
                <w:szCs w:val="22"/>
              </w:rPr>
              <w:t>Hemorragia muscular</w:t>
            </w:r>
          </w:p>
        </w:tc>
        <w:tc>
          <w:tcPr>
            <w:tcW w:w="1848" w:type="dxa"/>
          </w:tcPr>
          <w:p w14:paraId="072E581E" w14:textId="77777777" w:rsidR="005E7788" w:rsidRPr="0063119B" w:rsidRDefault="005E7788" w:rsidP="0044301C">
            <w:pPr>
              <w:suppressAutoHyphens/>
              <w:rPr>
                <w:noProof/>
                <w:szCs w:val="22"/>
              </w:rPr>
            </w:pPr>
          </w:p>
        </w:tc>
        <w:tc>
          <w:tcPr>
            <w:tcW w:w="1797" w:type="dxa"/>
          </w:tcPr>
          <w:p w14:paraId="17F727C1" w14:textId="77777777" w:rsidR="005E7788" w:rsidRPr="0063119B" w:rsidRDefault="005E7788" w:rsidP="0044301C">
            <w:pPr>
              <w:suppressAutoHyphens/>
              <w:rPr>
                <w:noProof/>
                <w:szCs w:val="22"/>
              </w:rPr>
            </w:pPr>
            <w:r w:rsidRPr="0063119B">
              <w:rPr>
                <w:noProof/>
                <w:szCs w:val="22"/>
              </w:rPr>
              <w:t>Síndrome compartimental secundária a hemorragia</w:t>
            </w:r>
          </w:p>
        </w:tc>
      </w:tr>
      <w:tr w:rsidR="005E7788" w:rsidRPr="0063119B" w14:paraId="60CD1887" w14:textId="77777777" w:rsidTr="00B6417D">
        <w:tc>
          <w:tcPr>
            <w:tcW w:w="9276" w:type="dxa"/>
            <w:gridSpan w:val="5"/>
          </w:tcPr>
          <w:p w14:paraId="0B2D3814" w14:textId="77777777" w:rsidR="005E7788" w:rsidRPr="0063119B" w:rsidRDefault="005E7788" w:rsidP="001F10F8">
            <w:pPr>
              <w:keepNext/>
              <w:keepLines/>
              <w:suppressAutoHyphens/>
              <w:rPr>
                <w:b/>
                <w:noProof/>
                <w:szCs w:val="22"/>
              </w:rPr>
            </w:pPr>
            <w:r w:rsidRPr="0063119B">
              <w:rPr>
                <w:b/>
                <w:noProof/>
                <w:szCs w:val="22"/>
              </w:rPr>
              <w:t>Doenças renais e urinárias</w:t>
            </w:r>
          </w:p>
        </w:tc>
      </w:tr>
      <w:tr w:rsidR="005E7788" w:rsidRPr="0063119B" w14:paraId="2C33915F" w14:textId="77777777" w:rsidTr="005E7788">
        <w:tc>
          <w:tcPr>
            <w:tcW w:w="1933" w:type="dxa"/>
          </w:tcPr>
          <w:p w14:paraId="3732D4E6" w14:textId="77777777" w:rsidR="005E7788" w:rsidRPr="0063119B" w:rsidRDefault="005E7788" w:rsidP="001F10F8">
            <w:pPr>
              <w:keepNext/>
              <w:keepLines/>
              <w:suppressAutoHyphens/>
              <w:rPr>
                <w:noProof/>
                <w:szCs w:val="22"/>
              </w:rPr>
            </w:pPr>
            <w:r w:rsidRPr="0063119B">
              <w:rPr>
                <w:noProof/>
                <w:szCs w:val="22"/>
              </w:rPr>
              <w:t>Hemorragia do trato urogenital (incluindo hematúria e menorragia</w:t>
            </w:r>
            <w:r w:rsidRPr="0063119B">
              <w:rPr>
                <w:noProof/>
                <w:szCs w:val="22"/>
                <w:vertAlign w:val="superscript"/>
              </w:rPr>
              <w:t>B</w:t>
            </w:r>
            <w:r w:rsidRPr="0063119B">
              <w:rPr>
                <w:noProof/>
                <w:szCs w:val="22"/>
              </w:rPr>
              <w:t>), compromisso renal (incl. aumento da creatinina no sangue, aumento de ureia no sangue)</w:t>
            </w:r>
          </w:p>
        </w:tc>
        <w:tc>
          <w:tcPr>
            <w:tcW w:w="1942" w:type="dxa"/>
          </w:tcPr>
          <w:p w14:paraId="341E5DF0" w14:textId="77777777" w:rsidR="005E7788" w:rsidRPr="0063119B" w:rsidRDefault="005E7788" w:rsidP="001F10F8">
            <w:pPr>
              <w:keepNext/>
              <w:keepLines/>
              <w:suppressAutoHyphens/>
              <w:rPr>
                <w:b/>
                <w:noProof/>
                <w:szCs w:val="22"/>
                <w:vertAlign w:val="superscript"/>
              </w:rPr>
            </w:pPr>
          </w:p>
        </w:tc>
        <w:tc>
          <w:tcPr>
            <w:tcW w:w="1756" w:type="dxa"/>
          </w:tcPr>
          <w:p w14:paraId="0C0686A0" w14:textId="77777777" w:rsidR="005E7788" w:rsidRPr="0063119B" w:rsidRDefault="005E7788" w:rsidP="001F10F8">
            <w:pPr>
              <w:keepNext/>
              <w:keepLines/>
              <w:suppressAutoHyphens/>
              <w:rPr>
                <w:b/>
                <w:noProof/>
                <w:szCs w:val="22"/>
              </w:rPr>
            </w:pPr>
          </w:p>
        </w:tc>
        <w:tc>
          <w:tcPr>
            <w:tcW w:w="1848" w:type="dxa"/>
          </w:tcPr>
          <w:p w14:paraId="716751B5" w14:textId="77777777" w:rsidR="005E7788" w:rsidRPr="0063119B" w:rsidRDefault="005E7788" w:rsidP="001F10F8">
            <w:pPr>
              <w:keepNext/>
              <w:keepLines/>
              <w:suppressAutoHyphens/>
              <w:rPr>
                <w:noProof/>
                <w:szCs w:val="22"/>
              </w:rPr>
            </w:pPr>
          </w:p>
        </w:tc>
        <w:tc>
          <w:tcPr>
            <w:tcW w:w="1797" w:type="dxa"/>
          </w:tcPr>
          <w:p w14:paraId="23B685B1" w14:textId="4ACA13EF" w:rsidR="005E7788" w:rsidRPr="0063119B" w:rsidRDefault="005E7788" w:rsidP="001F10F8">
            <w:pPr>
              <w:keepNext/>
              <w:keepLines/>
              <w:suppressAutoHyphens/>
              <w:rPr>
                <w:noProof/>
                <w:szCs w:val="22"/>
              </w:rPr>
            </w:pPr>
            <w:r w:rsidRPr="0063119B">
              <w:rPr>
                <w:noProof/>
                <w:szCs w:val="22"/>
              </w:rPr>
              <w:t>Insuficiência renal/insuficiência renal aguda secundária a hemorragia suficiente para causar hipoperfusão</w:t>
            </w:r>
            <w:r w:rsidR="00347A76">
              <w:rPr>
                <w:noProof/>
                <w:szCs w:val="22"/>
              </w:rPr>
              <w:t xml:space="preserve">, </w:t>
            </w:r>
            <w:r w:rsidR="00347A76">
              <w:t>Nefropatia relacionada com anticoagulante</w:t>
            </w:r>
          </w:p>
        </w:tc>
      </w:tr>
      <w:tr w:rsidR="005E7788" w:rsidRPr="0063119B" w14:paraId="6D6ED47F" w14:textId="77777777" w:rsidTr="00B6417D">
        <w:tc>
          <w:tcPr>
            <w:tcW w:w="9276" w:type="dxa"/>
            <w:gridSpan w:val="5"/>
          </w:tcPr>
          <w:p w14:paraId="515CBA95" w14:textId="77777777" w:rsidR="005E7788" w:rsidRPr="0063119B" w:rsidRDefault="005E7788" w:rsidP="0044301C">
            <w:pPr>
              <w:suppressAutoHyphens/>
              <w:rPr>
                <w:b/>
                <w:noProof/>
                <w:szCs w:val="22"/>
              </w:rPr>
            </w:pPr>
            <w:r w:rsidRPr="0063119B">
              <w:rPr>
                <w:b/>
                <w:noProof/>
                <w:szCs w:val="22"/>
              </w:rPr>
              <w:t>Perturbações gerais e alterações no local de administração</w:t>
            </w:r>
          </w:p>
        </w:tc>
      </w:tr>
      <w:tr w:rsidR="005E7788" w:rsidRPr="0063119B" w14:paraId="6FAAF1C8" w14:textId="77777777" w:rsidTr="005E7788">
        <w:tc>
          <w:tcPr>
            <w:tcW w:w="1933" w:type="dxa"/>
          </w:tcPr>
          <w:p w14:paraId="4FDAFB54" w14:textId="67C4D34B" w:rsidR="005E7788" w:rsidRPr="0063119B" w:rsidRDefault="005E7788" w:rsidP="0044301C">
            <w:pPr>
              <w:suppressAutoHyphens/>
              <w:rPr>
                <w:b/>
                <w:noProof/>
                <w:szCs w:val="22"/>
              </w:rPr>
            </w:pPr>
            <w:r w:rsidRPr="0063119B">
              <w:rPr>
                <w:noProof/>
                <w:szCs w:val="22"/>
              </w:rPr>
              <w:t>Febre</w:t>
            </w:r>
            <w:r w:rsidRPr="0063119B">
              <w:rPr>
                <w:noProof/>
                <w:szCs w:val="22"/>
                <w:vertAlign w:val="superscript"/>
              </w:rPr>
              <w:t>A</w:t>
            </w:r>
            <w:r w:rsidRPr="0063119B">
              <w:rPr>
                <w:noProof/>
                <w:szCs w:val="22"/>
              </w:rPr>
              <w:t xml:space="preserve">, edema periférico, diminuição da força e energia de um modo geral (incl. </w:t>
            </w:r>
            <w:r w:rsidR="00347A76" w:rsidRPr="0063119B">
              <w:rPr>
                <w:noProof/>
                <w:szCs w:val="22"/>
              </w:rPr>
              <w:t>F</w:t>
            </w:r>
            <w:r w:rsidRPr="0063119B">
              <w:rPr>
                <w:noProof/>
                <w:szCs w:val="22"/>
              </w:rPr>
              <w:t>adiga, astenia)</w:t>
            </w:r>
          </w:p>
        </w:tc>
        <w:tc>
          <w:tcPr>
            <w:tcW w:w="1942" w:type="dxa"/>
          </w:tcPr>
          <w:p w14:paraId="1EE8B4A3" w14:textId="77777777" w:rsidR="005E7788" w:rsidRPr="0063119B" w:rsidRDefault="005E7788" w:rsidP="0044301C">
            <w:pPr>
              <w:suppressAutoHyphens/>
              <w:rPr>
                <w:b/>
                <w:noProof/>
                <w:szCs w:val="22"/>
              </w:rPr>
            </w:pPr>
            <w:r w:rsidRPr="0063119B">
              <w:rPr>
                <w:noProof/>
                <w:szCs w:val="22"/>
              </w:rPr>
              <w:t>Sensação de mal</w:t>
            </w:r>
            <w:r w:rsidRPr="0063119B">
              <w:rPr>
                <w:noProof/>
                <w:szCs w:val="22"/>
              </w:rPr>
              <w:noBreakHyphen/>
              <w:t>estar</w:t>
            </w:r>
          </w:p>
        </w:tc>
        <w:tc>
          <w:tcPr>
            <w:tcW w:w="1756" w:type="dxa"/>
          </w:tcPr>
          <w:p w14:paraId="60669300" w14:textId="77777777" w:rsidR="005E7788" w:rsidRPr="0063119B" w:rsidRDefault="005E7788" w:rsidP="0044301C">
            <w:pPr>
              <w:suppressAutoHyphens/>
              <w:rPr>
                <w:b/>
                <w:noProof/>
                <w:szCs w:val="22"/>
              </w:rPr>
            </w:pPr>
            <w:r w:rsidRPr="0063119B">
              <w:rPr>
                <w:noProof/>
                <w:szCs w:val="22"/>
              </w:rPr>
              <w:t>Edema localizado</w:t>
            </w:r>
            <w:r w:rsidRPr="0063119B">
              <w:rPr>
                <w:noProof/>
                <w:szCs w:val="22"/>
                <w:vertAlign w:val="superscript"/>
              </w:rPr>
              <w:t>A</w:t>
            </w:r>
          </w:p>
        </w:tc>
        <w:tc>
          <w:tcPr>
            <w:tcW w:w="1848" w:type="dxa"/>
          </w:tcPr>
          <w:p w14:paraId="5A225345" w14:textId="77777777" w:rsidR="005E7788" w:rsidRPr="0063119B" w:rsidRDefault="005E7788" w:rsidP="0044301C">
            <w:pPr>
              <w:suppressAutoHyphens/>
              <w:rPr>
                <w:b/>
                <w:noProof/>
                <w:szCs w:val="22"/>
              </w:rPr>
            </w:pPr>
          </w:p>
        </w:tc>
        <w:tc>
          <w:tcPr>
            <w:tcW w:w="1797" w:type="dxa"/>
          </w:tcPr>
          <w:p w14:paraId="71E169F6" w14:textId="77777777" w:rsidR="005E7788" w:rsidRPr="0063119B" w:rsidRDefault="005E7788" w:rsidP="0044301C">
            <w:pPr>
              <w:suppressAutoHyphens/>
              <w:rPr>
                <w:b/>
                <w:noProof/>
                <w:szCs w:val="22"/>
              </w:rPr>
            </w:pPr>
          </w:p>
        </w:tc>
      </w:tr>
      <w:tr w:rsidR="005E7788" w:rsidRPr="0063119B" w14:paraId="0B5393F2" w14:textId="77777777" w:rsidTr="00B6417D">
        <w:tc>
          <w:tcPr>
            <w:tcW w:w="9276" w:type="dxa"/>
            <w:gridSpan w:val="5"/>
          </w:tcPr>
          <w:p w14:paraId="0C0A89C2" w14:textId="77777777" w:rsidR="005E7788" w:rsidRPr="0063119B" w:rsidRDefault="005E7788" w:rsidP="0044301C">
            <w:pPr>
              <w:suppressAutoHyphens/>
              <w:rPr>
                <w:noProof/>
                <w:szCs w:val="22"/>
              </w:rPr>
            </w:pPr>
            <w:r w:rsidRPr="0063119B">
              <w:rPr>
                <w:b/>
                <w:noProof/>
                <w:szCs w:val="22"/>
              </w:rPr>
              <w:t>Exames complementares de diagnóstico</w:t>
            </w:r>
          </w:p>
        </w:tc>
      </w:tr>
      <w:tr w:rsidR="005E7788" w:rsidRPr="0063119B" w14:paraId="7A5FEC9B" w14:textId="77777777" w:rsidTr="005E7788">
        <w:tc>
          <w:tcPr>
            <w:tcW w:w="1933" w:type="dxa"/>
          </w:tcPr>
          <w:p w14:paraId="205F74CC" w14:textId="77777777" w:rsidR="005E7788" w:rsidRPr="0063119B" w:rsidRDefault="005E7788" w:rsidP="0044301C">
            <w:pPr>
              <w:suppressAutoHyphens/>
              <w:rPr>
                <w:noProof/>
                <w:szCs w:val="22"/>
              </w:rPr>
            </w:pPr>
          </w:p>
        </w:tc>
        <w:tc>
          <w:tcPr>
            <w:tcW w:w="1942" w:type="dxa"/>
          </w:tcPr>
          <w:p w14:paraId="09106D56" w14:textId="77777777" w:rsidR="005E7788" w:rsidRPr="0063119B" w:rsidRDefault="005E7788" w:rsidP="005E7788">
            <w:pPr>
              <w:suppressAutoHyphens/>
              <w:rPr>
                <w:noProof/>
                <w:szCs w:val="22"/>
              </w:rPr>
            </w:pPr>
            <w:r w:rsidRPr="0063119B">
              <w:rPr>
                <w:noProof/>
                <w:szCs w:val="22"/>
              </w:rPr>
              <w:t>Aumento da HDL</w:t>
            </w:r>
            <w:r w:rsidRPr="0063119B">
              <w:rPr>
                <w:noProof/>
                <w:szCs w:val="22"/>
                <w:vertAlign w:val="superscript"/>
              </w:rPr>
              <w:t>A</w:t>
            </w:r>
            <w:r w:rsidRPr="0063119B">
              <w:rPr>
                <w:noProof/>
                <w:szCs w:val="22"/>
              </w:rPr>
              <w:t>, aumento da lipase</w:t>
            </w:r>
            <w:r w:rsidRPr="0063119B">
              <w:rPr>
                <w:noProof/>
                <w:szCs w:val="22"/>
                <w:vertAlign w:val="superscript"/>
              </w:rPr>
              <w:t>A</w:t>
            </w:r>
            <w:r w:rsidRPr="0063119B">
              <w:rPr>
                <w:noProof/>
                <w:szCs w:val="22"/>
              </w:rPr>
              <w:t>, aumento da amilase</w:t>
            </w:r>
            <w:r w:rsidRPr="0063119B">
              <w:rPr>
                <w:noProof/>
                <w:szCs w:val="22"/>
                <w:vertAlign w:val="superscript"/>
              </w:rPr>
              <w:t>A</w:t>
            </w:r>
          </w:p>
        </w:tc>
        <w:tc>
          <w:tcPr>
            <w:tcW w:w="1756" w:type="dxa"/>
          </w:tcPr>
          <w:p w14:paraId="563F2AB2" w14:textId="77777777" w:rsidR="005E7788" w:rsidRPr="0063119B" w:rsidRDefault="005E7788" w:rsidP="0044301C">
            <w:pPr>
              <w:suppressAutoHyphens/>
              <w:rPr>
                <w:noProof/>
                <w:szCs w:val="22"/>
              </w:rPr>
            </w:pPr>
          </w:p>
        </w:tc>
        <w:tc>
          <w:tcPr>
            <w:tcW w:w="1848" w:type="dxa"/>
          </w:tcPr>
          <w:p w14:paraId="5055E02E" w14:textId="77777777" w:rsidR="005E7788" w:rsidRPr="0063119B" w:rsidRDefault="005E7788" w:rsidP="0044301C">
            <w:pPr>
              <w:suppressAutoHyphens/>
              <w:rPr>
                <w:noProof/>
                <w:szCs w:val="22"/>
              </w:rPr>
            </w:pPr>
          </w:p>
        </w:tc>
        <w:tc>
          <w:tcPr>
            <w:tcW w:w="1797" w:type="dxa"/>
          </w:tcPr>
          <w:p w14:paraId="098625AC" w14:textId="77777777" w:rsidR="005E7788" w:rsidRPr="0063119B" w:rsidRDefault="005E7788" w:rsidP="0044301C">
            <w:pPr>
              <w:suppressAutoHyphens/>
              <w:rPr>
                <w:noProof/>
                <w:szCs w:val="22"/>
              </w:rPr>
            </w:pPr>
          </w:p>
        </w:tc>
      </w:tr>
      <w:tr w:rsidR="005E7788" w:rsidRPr="0063119B" w14:paraId="5132BF9E" w14:textId="77777777" w:rsidTr="00B6417D">
        <w:tc>
          <w:tcPr>
            <w:tcW w:w="9276" w:type="dxa"/>
            <w:gridSpan w:val="5"/>
          </w:tcPr>
          <w:p w14:paraId="4D04EE32" w14:textId="77777777" w:rsidR="005E7788" w:rsidRPr="0063119B" w:rsidRDefault="005E7788" w:rsidP="0044301C">
            <w:pPr>
              <w:suppressAutoHyphens/>
              <w:rPr>
                <w:noProof/>
                <w:szCs w:val="22"/>
              </w:rPr>
            </w:pPr>
            <w:r w:rsidRPr="0063119B">
              <w:rPr>
                <w:b/>
                <w:noProof/>
                <w:szCs w:val="22"/>
              </w:rPr>
              <w:t>Complicações de intervenções relacionadas com lesões e intoxicações</w:t>
            </w:r>
          </w:p>
        </w:tc>
      </w:tr>
      <w:tr w:rsidR="005E7788" w:rsidRPr="0063119B" w14:paraId="6421B88E" w14:textId="77777777" w:rsidTr="005E7788">
        <w:tc>
          <w:tcPr>
            <w:tcW w:w="1933" w:type="dxa"/>
          </w:tcPr>
          <w:p w14:paraId="22EDE6DE" w14:textId="40ACF413" w:rsidR="005E7788" w:rsidRPr="0063119B" w:rsidRDefault="005E7788" w:rsidP="0044301C">
            <w:pPr>
              <w:suppressAutoHyphens/>
              <w:rPr>
                <w:noProof/>
                <w:szCs w:val="22"/>
              </w:rPr>
            </w:pPr>
            <w:r w:rsidRPr="0063119B">
              <w:rPr>
                <w:noProof/>
                <w:szCs w:val="22"/>
              </w:rPr>
              <w:t>Hemorragia pós</w:t>
            </w:r>
            <w:r w:rsidRPr="0063119B">
              <w:rPr>
                <w:noProof/>
                <w:szCs w:val="22"/>
              </w:rPr>
              <w:noBreakHyphen/>
              <w:t xml:space="preserve">procedimento (incl. </w:t>
            </w:r>
            <w:r w:rsidR="00347A76" w:rsidRPr="0063119B">
              <w:rPr>
                <w:noProof/>
                <w:szCs w:val="22"/>
              </w:rPr>
              <w:t>A</w:t>
            </w:r>
            <w:r w:rsidRPr="0063119B">
              <w:rPr>
                <w:noProof/>
                <w:szCs w:val="22"/>
              </w:rPr>
              <w:t>nemia pós</w:t>
            </w:r>
            <w:r w:rsidRPr="0063119B">
              <w:rPr>
                <w:noProof/>
                <w:szCs w:val="22"/>
              </w:rPr>
              <w:noBreakHyphen/>
              <w:t>operatória e hemorragia da ferida), contusão, secreção da ferida</w:t>
            </w:r>
            <w:r w:rsidRPr="0063119B">
              <w:rPr>
                <w:noProof/>
                <w:szCs w:val="22"/>
                <w:vertAlign w:val="superscript"/>
              </w:rPr>
              <w:t>A</w:t>
            </w:r>
          </w:p>
        </w:tc>
        <w:tc>
          <w:tcPr>
            <w:tcW w:w="1942" w:type="dxa"/>
          </w:tcPr>
          <w:p w14:paraId="1BBE9DA7" w14:textId="77777777" w:rsidR="005E7788" w:rsidRPr="0063119B" w:rsidRDefault="005E7788" w:rsidP="0044301C">
            <w:pPr>
              <w:suppressAutoHyphens/>
              <w:rPr>
                <w:noProof/>
                <w:szCs w:val="22"/>
              </w:rPr>
            </w:pPr>
          </w:p>
        </w:tc>
        <w:tc>
          <w:tcPr>
            <w:tcW w:w="1756" w:type="dxa"/>
          </w:tcPr>
          <w:p w14:paraId="7AB2E2AF" w14:textId="77777777" w:rsidR="005E7788" w:rsidRPr="0063119B" w:rsidRDefault="005E7788" w:rsidP="0044301C">
            <w:pPr>
              <w:suppressAutoHyphens/>
              <w:rPr>
                <w:noProof/>
                <w:szCs w:val="22"/>
              </w:rPr>
            </w:pPr>
            <w:r w:rsidRPr="0063119B">
              <w:rPr>
                <w:noProof/>
                <w:szCs w:val="22"/>
              </w:rPr>
              <w:t>Pseudoaneurisma vascular</w:t>
            </w:r>
            <w:r w:rsidRPr="0063119B">
              <w:rPr>
                <w:noProof/>
                <w:szCs w:val="22"/>
                <w:vertAlign w:val="superscript"/>
              </w:rPr>
              <w:t>C</w:t>
            </w:r>
          </w:p>
        </w:tc>
        <w:tc>
          <w:tcPr>
            <w:tcW w:w="1848" w:type="dxa"/>
          </w:tcPr>
          <w:p w14:paraId="3BAF5DAB" w14:textId="77777777" w:rsidR="005E7788" w:rsidRPr="0063119B" w:rsidRDefault="005E7788" w:rsidP="0044301C">
            <w:pPr>
              <w:suppressAutoHyphens/>
              <w:rPr>
                <w:noProof/>
                <w:szCs w:val="22"/>
              </w:rPr>
            </w:pPr>
          </w:p>
        </w:tc>
        <w:tc>
          <w:tcPr>
            <w:tcW w:w="1797" w:type="dxa"/>
          </w:tcPr>
          <w:p w14:paraId="51A939F8" w14:textId="77777777" w:rsidR="005E7788" w:rsidRPr="0063119B" w:rsidRDefault="005E7788" w:rsidP="0044301C">
            <w:pPr>
              <w:suppressAutoHyphens/>
              <w:rPr>
                <w:noProof/>
                <w:szCs w:val="22"/>
              </w:rPr>
            </w:pPr>
          </w:p>
        </w:tc>
      </w:tr>
    </w:tbl>
    <w:p w14:paraId="7CB21B24" w14:textId="77777777" w:rsidR="00337111" w:rsidRPr="0063119B" w:rsidRDefault="00337111" w:rsidP="00337111">
      <w:pPr>
        <w:rPr>
          <w:szCs w:val="22"/>
        </w:rPr>
      </w:pPr>
      <w:r w:rsidRPr="0063119B">
        <w:rPr>
          <w:szCs w:val="22"/>
        </w:rPr>
        <w:t>A: observados na p</w:t>
      </w:r>
      <w:r w:rsidRPr="0063119B">
        <w:rPr>
          <w:noProof/>
          <w:szCs w:val="22"/>
        </w:rPr>
        <w:t>revenção do TEV em doentes adultos submetidos a artroplastia eletiva da anca ou joelho</w:t>
      </w:r>
      <w:r w:rsidRPr="0063119B" w:rsidDel="008F05F9">
        <w:rPr>
          <w:szCs w:val="22"/>
        </w:rPr>
        <w:t xml:space="preserve"> </w:t>
      </w:r>
    </w:p>
    <w:p w14:paraId="57C82212" w14:textId="77777777" w:rsidR="00337111" w:rsidRPr="0063119B" w:rsidRDefault="00337111" w:rsidP="00337111">
      <w:pPr>
        <w:rPr>
          <w:szCs w:val="22"/>
        </w:rPr>
      </w:pPr>
      <w:r w:rsidRPr="0063119B">
        <w:rPr>
          <w:szCs w:val="22"/>
        </w:rPr>
        <w:t>B: observados no tratamento da TVP, EP e prevenção da recorrência como muito frequentes em mulheres com &lt; 55 anos</w:t>
      </w:r>
    </w:p>
    <w:p w14:paraId="33CFFF41" w14:textId="77777777" w:rsidR="00337111" w:rsidRPr="0063119B" w:rsidRDefault="00337111" w:rsidP="00337111">
      <w:pPr>
        <w:rPr>
          <w:szCs w:val="22"/>
        </w:rPr>
      </w:pPr>
      <w:r w:rsidRPr="0063119B">
        <w:rPr>
          <w:szCs w:val="22"/>
        </w:rPr>
        <w:t xml:space="preserve">C: observados como pouco frequentes na prevenção </w:t>
      </w:r>
      <w:r w:rsidR="005477ED" w:rsidRPr="0063119B">
        <w:rPr>
          <w:szCs w:val="22"/>
        </w:rPr>
        <w:t>de acontecimentos aterotrombóticos</w:t>
      </w:r>
      <w:r w:rsidRPr="0063119B">
        <w:rPr>
          <w:szCs w:val="22"/>
        </w:rPr>
        <w:t xml:space="preserve"> em doentes após um SCA (após intervenção </w:t>
      </w:r>
      <w:r w:rsidR="005477ED" w:rsidRPr="0063119B">
        <w:rPr>
          <w:szCs w:val="22"/>
        </w:rPr>
        <w:t xml:space="preserve">coronária </w:t>
      </w:r>
      <w:r w:rsidRPr="0063119B">
        <w:rPr>
          <w:szCs w:val="22"/>
        </w:rPr>
        <w:t>percutânea)</w:t>
      </w:r>
    </w:p>
    <w:p w14:paraId="4D803DF9" w14:textId="77777777" w:rsidR="003E1D5A" w:rsidRPr="0063119B" w:rsidRDefault="003E1D5A" w:rsidP="00145B36">
      <w:pPr>
        <w:tabs>
          <w:tab w:val="left" w:pos="284"/>
        </w:tabs>
        <w:rPr>
          <w:szCs w:val="22"/>
        </w:rPr>
      </w:pPr>
      <w:r w:rsidRPr="0063119B">
        <w:rPr>
          <w:szCs w:val="22"/>
        </w:rPr>
        <w:lastRenderedPageBreak/>
        <w:t>*</w:t>
      </w:r>
      <w:r w:rsidRPr="0063119B">
        <w:rPr>
          <w:szCs w:val="22"/>
        </w:rPr>
        <w:tab/>
      </w:r>
      <w:r w:rsidR="00C60883">
        <w:t>Aplicou-se uma abordagem seletiva pré-especificada para a recolha de acontecimentos adversos em estudos de fase III selecionados. A incidência de reações adversas não aumentou e não foi identificada nenhuma reação adversa medicamentosa nova após a análise destes estudos.</w:t>
      </w:r>
    </w:p>
    <w:p w14:paraId="4BD65FBC" w14:textId="77777777" w:rsidR="00337111" w:rsidRPr="0063119B" w:rsidRDefault="00337111" w:rsidP="00337111">
      <w:pPr>
        <w:rPr>
          <w:szCs w:val="22"/>
        </w:rPr>
      </w:pPr>
    </w:p>
    <w:p w14:paraId="7A2386CF" w14:textId="77777777" w:rsidR="00337111" w:rsidRPr="0063119B" w:rsidRDefault="00337111" w:rsidP="00337111">
      <w:pPr>
        <w:suppressAutoHyphens/>
        <w:rPr>
          <w:noProof/>
          <w:szCs w:val="22"/>
          <w:u w:val="single"/>
        </w:rPr>
      </w:pPr>
      <w:r w:rsidRPr="0063119B">
        <w:rPr>
          <w:noProof/>
          <w:szCs w:val="22"/>
          <w:u w:val="single"/>
        </w:rPr>
        <w:t>Descrição das reações adversas selecionadas</w:t>
      </w:r>
    </w:p>
    <w:p w14:paraId="3FF7B965" w14:textId="77777777" w:rsidR="00CD587B" w:rsidRPr="0063119B" w:rsidRDefault="00CD587B" w:rsidP="00337111">
      <w:pPr>
        <w:suppressAutoHyphens/>
        <w:rPr>
          <w:noProof/>
          <w:szCs w:val="22"/>
        </w:rPr>
      </w:pPr>
    </w:p>
    <w:p w14:paraId="1D903DD2" w14:textId="77777777" w:rsidR="00337111" w:rsidRPr="0063119B" w:rsidRDefault="00337111" w:rsidP="00337111">
      <w:pPr>
        <w:suppressAutoHyphens/>
        <w:rPr>
          <w:noProof/>
          <w:szCs w:val="22"/>
        </w:rPr>
      </w:pPr>
      <w:r w:rsidRPr="0063119B">
        <w:rPr>
          <w:noProof/>
          <w:szCs w:val="22"/>
        </w:rPr>
        <w:t xml:space="preserve">Devido ao modo de ação farmacológico, a utilização de </w:t>
      </w:r>
      <w:r w:rsidR="00CD587B" w:rsidRPr="0063119B">
        <w:rPr>
          <w:szCs w:val="22"/>
        </w:rPr>
        <w:t>rivaroxabano</w:t>
      </w:r>
      <w:r w:rsidRPr="0063119B">
        <w:rPr>
          <w:noProof/>
          <w:szCs w:val="22"/>
        </w:rPr>
        <w:t xml:space="preserve"> pode estar associada a um risco acrescido de hemorragia, oculta ou evidente, de qualquer tecido ou órgão, que pode resultar em anemia pós</w:t>
      </w:r>
      <w:r w:rsidRPr="0063119B">
        <w:rPr>
          <w:noProof/>
          <w:szCs w:val="22"/>
        </w:rPr>
        <w:noBreakHyphen/>
        <w:t xml:space="preserve">hemorrágica. Os sinais, sintomas e gravidade (incluindo desfecho fatal) irão variar de acordo com a localização e o grau ou a extensão da hemorragia e/ou anemia (ver secção 4.9 Controlo da hemorragia). </w:t>
      </w:r>
      <w:r w:rsidR="00F009F5" w:rsidRPr="0063119B">
        <w:rPr>
          <w:noProof/>
          <w:szCs w:val="22"/>
        </w:rPr>
        <w:t>Nos</w:t>
      </w:r>
      <w:r w:rsidRPr="0063119B">
        <w:rPr>
          <w:noProof/>
          <w:szCs w:val="22"/>
        </w:rPr>
        <w:t xml:space="preserve"> estudos clínicos, foram observadas com maior frequência hemorragias das mucosas (ex.: epistaxe, gengival, gastrointestinal, genitourinária</w:t>
      </w:r>
      <w:r w:rsidR="00977B6C" w:rsidRPr="0063119B">
        <w:rPr>
          <w:noProof/>
          <w:szCs w:val="22"/>
        </w:rPr>
        <w:t xml:space="preserve"> incluindo hemorragia vaginal anormal ou menstrual aumentada</w:t>
      </w:r>
      <w:r w:rsidRPr="0063119B">
        <w:rPr>
          <w:noProof/>
          <w:szCs w:val="22"/>
        </w:rPr>
        <w:t>) e anemia durante o tratamento prolongado com rivaroxabano, comparativamente ao tratamento com AVK. Assim, para além de uma vigilância clínica adequada, testes laboratoriais de hemoglobina/hematócrito podem ser uma mais</w:t>
      </w:r>
      <w:r w:rsidR="00FE6F39" w:rsidRPr="0063119B">
        <w:rPr>
          <w:noProof/>
          <w:szCs w:val="22"/>
        </w:rPr>
        <w:t>-</w:t>
      </w:r>
      <w:r w:rsidRPr="0063119B">
        <w:rPr>
          <w:noProof/>
          <w:szCs w:val="22"/>
        </w:rPr>
        <w:t>valia para detetar hemorragias ocultas</w:t>
      </w:r>
      <w:r w:rsidR="00977B6C" w:rsidRPr="0063119B">
        <w:rPr>
          <w:noProof/>
          <w:szCs w:val="22"/>
        </w:rPr>
        <w:t xml:space="preserve"> e quantificar a relevância clínica de uma hemorragia óbvia</w:t>
      </w:r>
      <w:r w:rsidRPr="0063119B">
        <w:rPr>
          <w:noProof/>
          <w:szCs w:val="22"/>
        </w:rPr>
        <w:t>, quando considerado necessário. O risco de hemorragias pode estar aumentado em certos grupos de doentes, como por exemplo, os doentes com hipertensão arterial grave não controlada e/ou em tratamento concomitante, afetando a hemostase (ver secção 4.4</w:t>
      </w:r>
      <w:r w:rsidR="002F4A3F" w:rsidRPr="0063119B">
        <w:rPr>
          <w:noProof/>
          <w:szCs w:val="22"/>
        </w:rPr>
        <w:t xml:space="preserve"> “Risco hemorrágico”</w:t>
      </w:r>
      <w:r w:rsidRPr="0063119B">
        <w:rPr>
          <w:noProof/>
          <w:szCs w:val="22"/>
        </w:rPr>
        <w:t>). A hemorragia menstrual pode estar intensificada e/ou prolongada. As complicações hemorrágicas poderão apresentar</w:t>
      </w:r>
      <w:r w:rsidRPr="0063119B">
        <w:rPr>
          <w:noProof/>
          <w:szCs w:val="22"/>
        </w:rPr>
        <w:noBreakHyphen/>
        <w:t>se como fraqueza, palidez, tonturas, cefaleias ou edema inexplicável, dispneia e choque inexplicável. Em alguns casos, observaram</w:t>
      </w:r>
      <w:r w:rsidRPr="0063119B">
        <w:rPr>
          <w:noProof/>
          <w:szCs w:val="22"/>
        </w:rPr>
        <w:noBreakHyphen/>
        <w:t>se, como consequência da anemia, sintomas de isquémia cardíaca como dor no peito ou angina de peito.</w:t>
      </w:r>
    </w:p>
    <w:p w14:paraId="41A06ADE" w14:textId="327CA38C" w:rsidR="00337111" w:rsidRPr="0063119B" w:rsidRDefault="00337111" w:rsidP="00337111">
      <w:pPr>
        <w:suppressAutoHyphens/>
        <w:rPr>
          <w:noProof/>
          <w:szCs w:val="22"/>
        </w:rPr>
      </w:pPr>
      <w:r w:rsidRPr="0063119B">
        <w:rPr>
          <w:noProof/>
          <w:szCs w:val="22"/>
        </w:rPr>
        <w:t xml:space="preserve">Foram notificadas com </w:t>
      </w:r>
      <w:r w:rsidR="00CD587B" w:rsidRPr="0063119B">
        <w:rPr>
          <w:noProof/>
          <w:szCs w:val="22"/>
        </w:rPr>
        <w:t xml:space="preserve">o </w:t>
      </w:r>
      <w:r w:rsidR="00CD587B" w:rsidRPr="0063119B">
        <w:rPr>
          <w:szCs w:val="22"/>
        </w:rPr>
        <w:t>rivaroxabano</w:t>
      </w:r>
      <w:r w:rsidR="00CD587B" w:rsidRPr="0063119B">
        <w:rPr>
          <w:noProof/>
          <w:szCs w:val="22"/>
        </w:rPr>
        <w:t xml:space="preserve"> </w:t>
      </w:r>
      <w:r w:rsidRPr="0063119B">
        <w:rPr>
          <w:noProof/>
          <w:szCs w:val="22"/>
        </w:rPr>
        <w:t>complicações secundárias conhecidas à hemorragia grave, tais como síndrome compartimental e insuficiência renal devidas à hipoperfusão</w:t>
      </w:r>
      <w:r w:rsidR="00347A76">
        <w:rPr>
          <w:noProof/>
          <w:szCs w:val="22"/>
        </w:rPr>
        <w:t xml:space="preserve"> </w:t>
      </w:r>
      <w:r w:rsidR="00347A76">
        <w:t>ou nefropatia relacionada com anticoagulante</w:t>
      </w:r>
      <w:r w:rsidRPr="0063119B">
        <w:rPr>
          <w:noProof/>
          <w:szCs w:val="22"/>
        </w:rPr>
        <w:t>. Por este motivo, ao avaliar</w:t>
      </w:r>
      <w:r w:rsidRPr="0063119B">
        <w:rPr>
          <w:noProof/>
          <w:szCs w:val="22"/>
        </w:rPr>
        <w:noBreakHyphen/>
        <w:t>se o estado de qualquer doente tratado com anticoagulantes, deverá ser considerada a possibilidade de hemorragia.</w:t>
      </w:r>
    </w:p>
    <w:p w14:paraId="4230AEB9" w14:textId="77777777" w:rsidR="00F63EE7" w:rsidRDefault="00F63EE7" w:rsidP="00F63EE7">
      <w:pPr>
        <w:tabs>
          <w:tab w:val="left" w:pos="4074"/>
        </w:tabs>
        <w:rPr>
          <w:szCs w:val="22"/>
        </w:rPr>
      </w:pPr>
    </w:p>
    <w:p w14:paraId="60ABD482" w14:textId="77777777" w:rsidR="001E2E99" w:rsidRPr="006A13A4" w:rsidRDefault="001E2E99" w:rsidP="001E2E99">
      <w:pPr>
        <w:autoSpaceDE w:val="0"/>
        <w:autoSpaceDN w:val="0"/>
        <w:adjustRightInd w:val="0"/>
        <w:rPr>
          <w:color w:val="000000"/>
          <w:szCs w:val="22"/>
          <w:u w:val="single"/>
          <w:lang w:eastAsia="pt-PT"/>
        </w:rPr>
      </w:pPr>
      <w:r w:rsidRPr="006A13A4">
        <w:rPr>
          <w:color w:val="000000"/>
          <w:szCs w:val="22"/>
          <w:u w:val="single"/>
          <w:lang w:eastAsia="pt-PT"/>
        </w:rPr>
        <w:t xml:space="preserve">População pediátrica </w:t>
      </w:r>
    </w:p>
    <w:p w14:paraId="0B01ED04" w14:textId="739BFD70" w:rsidR="00123579" w:rsidRPr="006A13A4" w:rsidRDefault="00123579" w:rsidP="001E2E99">
      <w:pPr>
        <w:tabs>
          <w:tab w:val="left" w:pos="4074"/>
        </w:tabs>
        <w:rPr>
          <w:i/>
          <w:iCs/>
          <w:color w:val="000000"/>
          <w:szCs w:val="22"/>
          <w:lang w:eastAsia="pt-PT"/>
        </w:rPr>
      </w:pPr>
      <w:r w:rsidRPr="006A13A4">
        <w:rPr>
          <w:i/>
          <w:iCs/>
        </w:rPr>
        <w:t>Tratamento do TVE e prevenção da recorrência do TVE</w:t>
      </w:r>
    </w:p>
    <w:p w14:paraId="3B046F3F" w14:textId="6DFC8186" w:rsidR="001E2E99" w:rsidRDefault="001E2E99" w:rsidP="001E2E99">
      <w:pPr>
        <w:tabs>
          <w:tab w:val="left" w:pos="4074"/>
        </w:tabs>
        <w:rPr>
          <w:color w:val="000000"/>
          <w:szCs w:val="22"/>
          <w:lang w:eastAsia="pt-PT"/>
        </w:rPr>
      </w:pPr>
      <w:r w:rsidRPr="001E2E99">
        <w:rPr>
          <w:color w:val="000000"/>
          <w:szCs w:val="22"/>
          <w:lang w:eastAsia="pt-PT"/>
        </w:rPr>
        <w:t>A avaliação da segurança em crianças e adolescentes baseia-se nos dados da segurança de dois estudos de fase II e um de fase III abertos, controlados com substância ativa, em doentes pediátricos com idade entre o nascimento e até menos de 18 anos de idade. Os achados da segurança foram, em geral, semelhantes entre o rivaroxabano e o comparador nos vários grupos etários pediátricos. Em termos globais, o perfil de segurança nas 412 crianças e adolescentes tratados com rivaroxabano foi semelhante ao observado na população adulta e foi consistente entre os subgrupos etários, embora a avaliação tenha sido limitada pelo pequeno número de doentes.</w:t>
      </w:r>
    </w:p>
    <w:p w14:paraId="342C8C91" w14:textId="77777777" w:rsidR="001E2E99" w:rsidRDefault="001E2E99" w:rsidP="001E2E99">
      <w:pPr>
        <w:tabs>
          <w:tab w:val="left" w:pos="4074"/>
        </w:tabs>
        <w:rPr>
          <w:color w:val="000000"/>
          <w:szCs w:val="22"/>
          <w:lang w:eastAsia="pt-PT"/>
        </w:rPr>
      </w:pPr>
      <w:r>
        <w:rPr>
          <w:szCs w:val="22"/>
        </w:rPr>
        <w:t>Nos doentes pediátricos foram notificadas com maior frequência cefaleias (muito frequente, 16,7%), febre (muito frequente, 11,7%), epistaxe (muito frequente, 11,2%), vómitos (muito frequente, 10,7%), taquicardia (frequente, 1,5%), aumento da bilirrubina (frequente, 1,5%) e aumento da bilirrubina conjugada (pouco frequente, 0,7%) em comparação com os adultos. Consistentemente com a população adulta, observou-se menorragia em 6,6% (frequente) das adolescentes após a menarca. A trombocitopenia, conforme observada na experiência pós-comercialização na população adulta, foi frequente (4,6%) em ensaios clínicos pediátricos. As reações adversas medicamentosas em doentes pediátricos foram principalmente de intensidade ligeira a moderada.</w:t>
      </w:r>
    </w:p>
    <w:p w14:paraId="2C1977DC" w14:textId="77777777" w:rsidR="001E2E99" w:rsidRPr="0063119B" w:rsidRDefault="001E2E99" w:rsidP="001E2E99">
      <w:pPr>
        <w:tabs>
          <w:tab w:val="left" w:pos="4074"/>
        </w:tabs>
        <w:rPr>
          <w:szCs w:val="22"/>
        </w:rPr>
      </w:pPr>
    </w:p>
    <w:p w14:paraId="6817FCF3" w14:textId="77777777" w:rsidR="00392EA8" w:rsidRDefault="00392EA8" w:rsidP="00392EA8">
      <w:pPr>
        <w:suppressAutoHyphens/>
        <w:rPr>
          <w:noProof/>
          <w:szCs w:val="22"/>
          <w:u w:val="single"/>
        </w:rPr>
      </w:pPr>
      <w:r w:rsidRPr="0063119B">
        <w:rPr>
          <w:noProof/>
          <w:szCs w:val="22"/>
          <w:u w:val="single"/>
        </w:rPr>
        <w:t>Notificação de suspeitas de reações adversas</w:t>
      </w:r>
    </w:p>
    <w:p w14:paraId="7B4FE1CC" w14:textId="77777777" w:rsidR="006A2CEB" w:rsidRPr="0063119B" w:rsidRDefault="006A2CEB" w:rsidP="00392EA8">
      <w:pPr>
        <w:suppressAutoHyphens/>
        <w:rPr>
          <w:szCs w:val="22"/>
          <w:u w:val="single"/>
        </w:rPr>
      </w:pPr>
    </w:p>
    <w:p w14:paraId="4296420D" w14:textId="77777777" w:rsidR="00F63EE7" w:rsidRPr="0063119B" w:rsidRDefault="00392EA8" w:rsidP="00392EA8">
      <w:pPr>
        <w:keepNext/>
        <w:keepLines/>
        <w:tabs>
          <w:tab w:val="left" w:pos="4074"/>
        </w:tabs>
        <w:rPr>
          <w:noProof/>
          <w:szCs w:val="22"/>
        </w:rPr>
      </w:pPr>
      <w:r w:rsidRPr="0063119B">
        <w:rPr>
          <w:noProof/>
          <w:szCs w:val="22"/>
        </w:rPr>
        <w:t>A notificação de suspeitas de reações adversas após a autorização do medicamento é importante, uma vez que permite uma monitorização contínua da relação benefício-risco do medicamento.</w:t>
      </w:r>
      <w:r w:rsidRPr="0063119B">
        <w:rPr>
          <w:szCs w:val="22"/>
        </w:rPr>
        <w:t xml:space="preserve"> Pede-se aos profissionais de saúde que notifiquem quaisquer suspeitas de reações adversas através </w:t>
      </w:r>
      <w:r w:rsidRPr="0063119B">
        <w:rPr>
          <w:szCs w:val="22"/>
          <w:highlight w:val="lightGray"/>
        </w:rPr>
        <w:t xml:space="preserve">do sistema nacional de notificação mencionado no </w:t>
      </w:r>
      <w:hyperlink r:id="rId20" w:history="1">
        <w:r w:rsidRPr="0063119B">
          <w:rPr>
            <w:rStyle w:val="Hyperlink"/>
            <w:szCs w:val="22"/>
            <w:highlight w:val="lightGray"/>
          </w:rPr>
          <w:t>Apêndice V</w:t>
        </w:r>
      </w:hyperlink>
      <w:r w:rsidR="00F63EE7" w:rsidRPr="0063119B">
        <w:rPr>
          <w:noProof/>
          <w:szCs w:val="22"/>
        </w:rPr>
        <w:t>.</w:t>
      </w:r>
    </w:p>
    <w:p w14:paraId="1970B8C7" w14:textId="77777777" w:rsidR="00337111" w:rsidRPr="0063119B" w:rsidRDefault="00337111" w:rsidP="00337111">
      <w:pPr>
        <w:suppressAutoHyphens/>
        <w:rPr>
          <w:noProof/>
          <w:szCs w:val="22"/>
        </w:rPr>
      </w:pPr>
    </w:p>
    <w:p w14:paraId="146D6BC9" w14:textId="77777777" w:rsidR="00337111" w:rsidRPr="0063119B" w:rsidRDefault="00337111" w:rsidP="00337111">
      <w:pPr>
        <w:suppressAutoHyphens/>
        <w:ind w:left="567" w:hanging="567"/>
        <w:rPr>
          <w:noProof/>
          <w:szCs w:val="22"/>
        </w:rPr>
      </w:pPr>
      <w:r w:rsidRPr="0063119B">
        <w:rPr>
          <w:b/>
          <w:noProof/>
          <w:szCs w:val="22"/>
        </w:rPr>
        <w:t>4.9</w:t>
      </w:r>
      <w:r w:rsidRPr="0063119B">
        <w:rPr>
          <w:b/>
          <w:noProof/>
          <w:szCs w:val="22"/>
        </w:rPr>
        <w:tab/>
        <w:t>Sobredosagem</w:t>
      </w:r>
    </w:p>
    <w:p w14:paraId="44CCA80E" w14:textId="77777777" w:rsidR="00337111" w:rsidRPr="0063119B" w:rsidRDefault="00337111" w:rsidP="00337111">
      <w:pPr>
        <w:suppressAutoHyphens/>
        <w:rPr>
          <w:noProof/>
          <w:szCs w:val="22"/>
        </w:rPr>
      </w:pPr>
    </w:p>
    <w:p w14:paraId="7A57F71A" w14:textId="77777777" w:rsidR="00337111" w:rsidRPr="0063119B" w:rsidRDefault="00337111" w:rsidP="00337111">
      <w:pPr>
        <w:suppressAutoHyphens/>
        <w:rPr>
          <w:rFonts w:eastAsia="MS Mincho"/>
          <w:szCs w:val="22"/>
          <w:lang w:eastAsia="ja-JP"/>
        </w:rPr>
      </w:pPr>
      <w:r w:rsidRPr="0063119B">
        <w:rPr>
          <w:szCs w:val="22"/>
        </w:rPr>
        <w:t xml:space="preserve">Foram notificados casos raros de sobredosagem </w:t>
      </w:r>
      <w:r w:rsidR="001E2E99">
        <w:rPr>
          <w:szCs w:val="22"/>
        </w:rPr>
        <w:t xml:space="preserve">em adultos </w:t>
      </w:r>
      <w:r w:rsidRPr="0063119B">
        <w:rPr>
          <w:szCs w:val="22"/>
        </w:rPr>
        <w:t xml:space="preserve">com doses até </w:t>
      </w:r>
      <w:r w:rsidR="001E2E99">
        <w:rPr>
          <w:szCs w:val="22"/>
        </w:rPr>
        <w:t>19</w:t>
      </w:r>
      <w:r w:rsidRPr="0063119B">
        <w:rPr>
          <w:szCs w:val="22"/>
        </w:rPr>
        <w:t>60 mg</w:t>
      </w:r>
      <w:r w:rsidR="00DA427C">
        <w:rPr>
          <w:szCs w:val="22"/>
        </w:rPr>
        <w:t>.</w:t>
      </w:r>
      <w:r w:rsidRPr="0063119B">
        <w:rPr>
          <w:szCs w:val="22"/>
        </w:rPr>
        <w:t xml:space="preserve"> </w:t>
      </w:r>
      <w:r w:rsidR="00DA427C">
        <w:rPr>
          <w:szCs w:val="22"/>
        </w:rPr>
        <w:t>Em casos de sobredosagem, o doente deve ser cuidadosamente observado quanto a</w:t>
      </w:r>
      <w:r w:rsidRPr="0063119B">
        <w:rPr>
          <w:szCs w:val="22"/>
        </w:rPr>
        <w:t xml:space="preserve"> complicações hemorrágicas ou </w:t>
      </w:r>
      <w:r w:rsidRPr="0063119B">
        <w:rPr>
          <w:szCs w:val="22"/>
        </w:rPr>
        <w:lastRenderedPageBreak/>
        <w:t>outras reações adversas</w:t>
      </w:r>
      <w:r w:rsidR="00DA427C">
        <w:rPr>
          <w:szCs w:val="22"/>
        </w:rPr>
        <w:t xml:space="preserve"> (ver secção “Controlo da hemorragia”)</w:t>
      </w:r>
      <w:r w:rsidRPr="0063119B">
        <w:rPr>
          <w:szCs w:val="22"/>
        </w:rPr>
        <w:t xml:space="preserve">. </w:t>
      </w:r>
      <w:r w:rsidR="00DA427C">
        <w:rPr>
          <w:szCs w:val="22"/>
        </w:rPr>
        <w:t xml:space="preserve">Os dados disponíveis em crianças são limitados. </w:t>
      </w:r>
      <w:r w:rsidRPr="0063119B">
        <w:rPr>
          <w:rFonts w:eastAsia="MS Mincho"/>
          <w:szCs w:val="22"/>
          <w:lang w:eastAsia="ja-JP"/>
        </w:rPr>
        <w:t>Devido à absorção limitada, prevê</w:t>
      </w:r>
      <w:r w:rsidRPr="0063119B">
        <w:rPr>
          <w:rFonts w:eastAsia="MS Mincho"/>
          <w:szCs w:val="22"/>
          <w:lang w:eastAsia="ja-JP"/>
        </w:rPr>
        <w:noBreakHyphen/>
        <w:t>se um efeito máximo sem aumento adicional da exposição plasmática média em doses supraterapêuticas de 50 mg ou mais de rivaroxabano</w:t>
      </w:r>
      <w:r w:rsidR="00DA427C">
        <w:rPr>
          <w:rFonts w:eastAsia="MS Mincho"/>
          <w:szCs w:val="22"/>
          <w:lang w:eastAsia="ja-JP"/>
        </w:rPr>
        <w:t xml:space="preserve"> </w:t>
      </w:r>
      <w:r w:rsidR="00DA427C">
        <w:rPr>
          <w:szCs w:val="22"/>
        </w:rPr>
        <w:t>em adultos, contudo, não existem dados disponíveis com doses supraterapêuticas em crianças</w:t>
      </w:r>
      <w:r w:rsidRPr="0063119B">
        <w:rPr>
          <w:rFonts w:eastAsia="MS Mincho"/>
          <w:szCs w:val="22"/>
          <w:lang w:eastAsia="ja-JP"/>
        </w:rPr>
        <w:t xml:space="preserve">. </w:t>
      </w:r>
    </w:p>
    <w:p w14:paraId="1BAF8E5E" w14:textId="77777777" w:rsidR="00337111" w:rsidRPr="0063119B" w:rsidRDefault="0016015C" w:rsidP="00337111">
      <w:pPr>
        <w:suppressAutoHyphens/>
        <w:rPr>
          <w:noProof/>
          <w:szCs w:val="22"/>
        </w:rPr>
      </w:pPr>
      <w:r w:rsidRPr="0063119B">
        <w:rPr>
          <w:noProof/>
          <w:szCs w:val="22"/>
        </w:rPr>
        <w:t>E</w:t>
      </w:r>
      <w:r w:rsidR="00337111" w:rsidRPr="0063119B">
        <w:rPr>
          <w:noProof/>
          <w:szCs w:val="22"/>
        </w:rPr>
        <w:t xml:space="preserve">stá disponível um </w:t>
      </w:r>
      <w:r w:rsidRPr="0063119B">
        <w:rPr>
          <w:noProof/>
          <w:szCs w:val="22"/>
        </w:rPr>
        <w:t xml:space="preserve">agente de reversão específico (andexanet alfa) </w:t>
      </w:r>
      <w:r w:rsidR="00337111" w:rsidRPr="0063119B">
        <w:rPr>
          <w:noProof/>
          <w:szCs w:val="22"/>
        </w:rPr>
        <w:t xml:space="preserve"> que antagoniz</w:t>
      </w:r>
      <w:r w:rsidRPr="0063119B">
        <w:rPr>
          <w:noProof/>
          <w:szCs w:val="22"/>
        </w:rPr>
        <w:t>a</w:t>
      </w:r>
      <w:r w:rsidR="00337111" w:rsidRPr="0063119B">
        <w:rPr>
          <w:noProof/>
          <w:szCs w:val="22"/>
        </w:rPr>
        <w:t xml:space="preserve"> o efeito farmacodinâmico do rivaroxabano</w:t>
      </w:r>
      <w:r w:rsidR="00DA427C">
        <w:rPr>
          <w:noProof/>
          <w:szCs w:val="22"/>
        </w:rPr>
        <w:t xml:space="preserve"> </w:t>
      </w:r>
      <w:r w:rsidR="00DA427C">
        <w:rPr>
          <w:szCs w:val="22"/>
        </w:rPr>
        <w:t>em adultos, mas o mesmo não está estabelecido em crianças</w:t>
      </w:r>
      <w:r w:rsidRPr="0063119B">
        <w:rPr>
          <w:noProof/>
          <w:szCs w:val="22"/>
        </w:rPr>
        <w:t xml:space="preserve"> (ver o Resumo das Características do Medicamento andexanet alfa)</w:t>
      </w:r>
      <w:r w:rsidR="00337111" w:rsidRPr="0063119B">
        <w:rPr>
          <w:noProof/>
          <w:szCs w:val="22"/>
        </w:rPr>
        <w:t>.</w:t>
      </w:r>
    </w:p>
    <w:p w14:paraId="38F5719C" w14:textId="77777777" w:rsidR="00337111" w:rsidRPr="0063119B" w:rsidRDefault="00337111" w:rsidP="00337111">
      <w:pPr>
        <w:suppressAutoHyphens/>
        <w:rPr>
          <w:noProof/>
          <w:szCs w:val="22"/>
        </w:rPr>
      </w:pPr>
      <w:r w:rsidRPr="0063119B">
        <w:rPr>
          <w:noProof/>
          <w:szCs w:val="22"/>
        </w:rPr>
        <w:t>Em caso de sobredosagem com rivaroxabano poderá ser considerada a utilização de carvão ativado para reduzir a absorção.</w:t>
      </w:r>
    </w:p>
    <w:p w14:paraId="3B142FC2" w14:textId="77777777" w:rsidR="00337111" w:rsidRPr="0063119B" w:rsidRDefault="00337111" w:rsidP="00337111">
      <w:pPr>
        <w:suppressAutoHyphens/>
        <w:rPr>
          <w:noProof/>
          <w:szCs w:val="22"/>
        </w:rPr>
      </w:pPr>
    </w:p>
    <w:p w14:paraId="10790743" w14:textId="77777777" w:rsidR="00337111" w:rsidRPr="0063119B" w:rsidRDefault="00337111" w:rsidP="00337111">
      <w:pPr>
        <w:suppressAutoHyphens/>
        <w:rPr>
          <w:noProof/>
          <w:szCs w:val="22"/>
          <w:u w:val="single"/>
        </w:rPr>
      </w:pPr>
      <w:r w:rsidRPr="0063119B">
        <w:rPr>
          <w:noProof/>
          <w:szCs w:val="22"/>
          <w:u w:val="single"/>
        </w:rPr>
        <w:t>Controlo da hemorragia</w:t>
      </w:r>
    </w:p>
    <w:p w14:paraId="0E184A64" w14:textId="77777777" w:rsidR="00C659F3" w:rsidRPr="0063119B" w:rsidRDefault="00C659F3" w:rsidP="00337111">
      <w:pPr>
        <w:suppressAutoHyphens/>
        <w:rPr>
          <w:noProof/>
          <w:szCs w:val="22"/>
        </w:rPr>
      </w:pPr>
    </w:p>
    <w:p w14:paraId="54EAA8E1" w14:textId="77777777" w:rsidR="00337111" w:rsidRPr="0063119B" w:rsidRDefault="00337111" w:rsidP="00337111">
      <w:pPr>
        <w:suppressAutoHyphens/>
        <w:rPr>
          <w:noProof/>
          <w:szCs w:val="22"/>
        </w:rPr>
      </w:pPr>
      <w:r w:rsidRPr="0063119B">
        <w:rPr>
          <w:noProof/>
          <w:szCs w:val="22"/>
        </w:rPr>
        <w:t xml:space="preserve">Se ocorrer uma complicação hemorrágica num doente tratado com rivaroxabano, a administração seguinte de rivaroxabano deve ser adiada ou o tratamento interrompido, se se considerar adequado. O rivaroxabano tem uma semivida de aproximadamente 5 a 13 horas </w:t>
      </w:r>
      <w:r w:rsidR="00DA427C">
        <w:rPr>
          <w:szCs w:val="22"/>
        </w:rPr>
        <w:t xml:space="preserve">em adultos. A semivida estimada em crianças, utilizando abordagens com modelos de farmacocinética populacional (popPK), é mais curta </w:t>
      </w:r>
      <w:r w:rsidRPr="0063119B">
        <w:rPr>
          <w:noProof/>
          <w:szCs w:val="22"/>
        </w:rPr>
        <w:t>(ver secção 5.2).</w:t>
      </w:r>
      <w:r w:rsidRPr="0063119B" w:rsidDel="006C7CA4">
        <w:rPr>
          <w:noProof/>
          <w:szCs w:val="22"/>
        </w:rPr>
        <w:t xml:space="preserve"> </w:t>
      </w:r>
      <w:r w:rsidRPr="0063119B">
        <w:rPr>
          <w:noProof/>
          <w:szCs w:val="22"/>
        </w:rPr>
        <w:t>O tratamento deve ser individualizado de acordo com a gravidade e localização da hemorragia. Pode utilizar</w:t>
      </w:r>
      <w:r w:rsidRPr="0063119B">
        <w:rPr>
          <w:noProof/>
          <w:szCs w:val="22"/>
        </w:rPr>
        <w:noBreakHyphen/>
        <w:t>se o tratamento sintomático apropriado, conforme necessário, como por exemplo, compressão mecânica (ex.: na epistaxe grave), hemostase cirúrgica com procedimentos de controlo de hemorragias, reposição hídrica e suporte hemodinâmico, produtos derivados do sangue (concentrado de eritrócitos ou plasma fresco congelado, dependendo se está associada uma anemia ou uma coagulopatia) ou plaquetas.</w:t>
      </w:r>
    </w:p>
    <w:p w14:paraId="495DB5AD" w14:textId="516E9F0D" w:rsidR="00337111" w:rsidRPr="0063119B" w:rsidRDefault="00337111" w:rsidP="00337111">
      <w:pPr>
        <w:suppressAutoHyphens/>
        <w:rPr>
          <w:noProof/>
          <w:szCs w:val="22"/>
        </w:rPr>
      </w:pPr>
      <w:r w:rsidRPr="0063119B">
        <w:rPr>
          <w:noProof/>
          <w:szCs w:val="22"/>
        </w:rPr>
        <w:t>Se a hemorragia não puder ser controlada com as medidas anteriores, deve considerar</w:t>
      </w:r>
      <w:r w:rsidRPr="0063119B">
        <w:rPr>
          <w:noProof/>
          <w:szCs w:val="22"/>
        </w:rPr>
        <w:noBreakHyphen/>
        <w:t xml:space="preserve">se a administração </w:t>
      </w:r>
      <w:r w:rsidR="0016015C" w:rsidRPr="0063119B">
        <w:rPr>
          <w:noProof/>
          <w:szCs w:val="22"/>
        </w:rPr>
        <w:t xml:space="preserve">de um agente de reversão do inibidor do factor Xa </w:t>
      </w:r>
      <w:r w:rsidR="00671D6A" w:rsidRPr="0063119B">
        <w:rPr>
          <w:noProof/>
          <w:szCs w:val="22"/>
        </w:rPr>
        <w:t xml:space="preserve">específico </w:t>
      </w:r>
      <w:r w:rsidR="0016015C" w:rsidRPr="0063119B">
        <w:rPr>
          <w:noProof/>
          <w:szCs w:val="22"/>
        </w:rPr>
        <w:t xml:space="preserve">(andexanet alfa), que antagoniza o efeito farmacodinâmico do rivaroxabano ou </w:t>
      </w:r>
      <w:r w:rsidRPr="0063119B">
        <w:rPr>
          <w:noProof/>
          <w:szCs w:val="22"/>
        </w:rPr>
        <w:t>de um agente procoagulante</w:t>
      </w:r>
      <w:r w:rsidR="007E208E" w:rsidRPr="0063119B">
        <w:rPr>
          <w:noProof/>
          <w:szCs w:val="22"/>
        </w:rPr>
        <w:t xml:space="preserve"> específico</w:t>
      </w:r>
      <w:r w:rsidRPr="0063119B">
        <w:rPr>
          <w:noProof/>
          <w:szCs w:val="22"/>
        </w:rPr>
        <w:t xml:space="preserve">, como por exemplo, concentrado de complexo de protrombina (CCP), concentrado de complexo de protrombina ativado (CCPA) ou fator VIIa recombinante (FVIIa- r). Contudo, existe atualmente uma experiência clínica muito limitada com a utilização destes </w:t>
      </w:r>
      <w:r w:rsidR="003E1D5A" w:rsidRPr="0063119B">
        <w:rPr>
          <w:noProof/>
          <w:szCs w:val="22"/>
        </w:rPr>
        <w:t xml:space="preserve">medicamentos </w:t>
      </w:r>
      <w:r w:rsidRPr="0063119B">
        <w:rPr>
          <w:noProof/>
          <w:szCs w:val="22"/>
        </w:rPr>
        <w:t xml:space="preserve">em </w:t>
      </w:r>
      <w:r w:rsidR="00DA427C">
        <w:rPr>
          <w:szCs w:val="22"/>
        </w:rPr>
        <w:t>em adultos e crianças</w:t>
      </w:r>
      <w:r w:rsidRPr="0063119B">
        <w:rPr>
          <w:noProof/>
          <w:szCs w:val="22"/>
        </w:rPr>
        <w:t xml:space="preserve"> tratados com rivaroxabano. A recomendação também é baseada nos dados não clínicos limitados. O ajuste da dose de fator VIIa recombinante deve ser considerado e titulado em função da melhoria da hemorragia.</w:t>
      </w:r>
      <w:r w:rsidR="00AA4914" w:rsidRPr="0063119B">
        <w:rPr>
          <w:noProof/>
          <w:szCs w:val="22"/>
        </w:rPr>
        <w:t xml:space="preserve"> Dependendo da disponibilidade local, em caso de grandes hemorragias deve considerar-se a consulta de um especialista em coagulação</w:t>
      </w:r>
      <w:r w:rsidR="005D6299" w:rsidRPr="0063119B">
        <w:rPr>
          <w:noProof/>
          <w:szCs w:val="22"/>
        </w:rPr>
        <w:t xml:space="preserve"> (ver secção 5.1)</w:t>
      </w:r>
      <w:r w:rsidR="00AA4914" w:rsidRPr="0063119B">
        <w:rPr>
          <w:noProof/>
          <w:szCs w:val="22"/>
        </w:rPr>
        <w:t>.</w:t>
      </w:r>
    </w:p>
    <w:p w14:paraId="2B0F83F1" w14:textId="77777777" w:rsidR="00337111" w:rsidRPr="0063119B" w:rsidRDefault="00337111" w:rsidP="00337111">
      <w:pPr>
        <w:suppressAutoHyphens/>
        <w:rPr>
          <w:noProof/>
          <w:szCs w:val="22"/>
        </w:rPr>
      </w:pPr>
    </w:p>
    <w:p w14:paraId="0D458314" w14:textId="77777777" w:rsidR="00337111" w:rsidRPr="0063119B" w:rsidRDefault="00337111" w:rsidP="00337111">
      <w:pPr>
        <w:suppressAutoHyphens/>
        <w:rPr>
          <w:noProof/>
          <w:szCs w:val="22"/>
        </w:rPr>
      </w:pPr>
      <w:r w:rsidRPr="0063119B">
        <w:rPr>
          <w:noProof/>
          <w:szCs w:val="22"/>
        </w:rPr>
        <w:t xml:space="preserve">Não se espera que o sulfato de protamina e a vitamina K afetem a atividade anticoagulante do rivaroxabano. </w:t>
      </w:r>
      <w:r w:rsidR="005D6299" w:rsidRPr="0063119B">
        <w:rPr>
          <w:noProof/>
          <w:szCs w:val="22"/>
        </w:rPr>
        <w:t>E</w:t>
      </w:r>
      <w:r w:rsidRPr="0063119B">
        <w:rPr>
          <w:noProof/>
          <w:szCs w:val="22"/>
        </w:rPr>
        <w:t xml:space="preserve">xiste </w:t>
      </w:r>
      <w:r w:rsidR="005D6299" w:rsidRPr="0063119B">
        <w:rPr>
          <w:noProof/>
          <w:szCs w:val="22"/>
        </w:rPr>
        <w:t xml:space="preserve">uma </w:t>
      </w:r>
      <w:r w:rsidRPr="0063119B">
        <w:rPr>
          <w:noProof/>
          <w:szCs w:val="22"/>
        </w:rPr>
        <w:t>experiência</w:t>
      </w:r>
      <w:r w:rsidR="005D6299" w:rsidRPr="0063119B">
        <w:rPr>
          <w:noProof/>
          <w:szCs w:val="22"/>
        </w:rPr>
        <w:t xml:space="preserve"> limitada</w:t>
      </w:r>
      <w:r w:rsidRPr="0063119B">
        <w:rPr>
          <w:noProof/>
          <w:szCs w:val="22"/>
        </w:rPr>
        <w:t xml:space="preserve"> com ácido tranexâmico</w:t>
      </w:r>
      <w:r w:rsidR="005D6299" w:rsidRPr="0063119B">
        <w:rPr>
          <w:noProof/>
          <w:szCs w:val="22"/>
        </w:rPr>
        <w:t xml:space="preserve"> e não existe experiência clínica com </w:t>
      </w:r>
      <w:r w:rsidRPr="0063119B">
        <w:rPr>
          <w:noProof/>
          <w:szCs w:val="22"/>
        </w:rPr>
        <w:t>ácido aminocapróico</w:t>
      </w:r>
      <w:r w:rsidR="005D6299" w:rsidRPr="0063119B">
        <w:rPr>
          <w:noProof/>
          <w:szCs w:val="22"/>
        </w:rPr>
        <w:t xml:space="preserve"> e aprotinina</w:t>
      </w:r>
      <w:r w:rsidRPr="0063119B">
        <w:rPr>
          <w:noProof/>
          <w:szCs w:val="22"/>
        </w:rPr>
        <w:t xml:space="preserve"> em </w:t>
      </w:r>
      <w:r w:rsidR="00DA427C">
        <w:rPr>
          <w:noProof/>
          <w:szCs w:val="22"/>
        </w:rPr>
        <w:t>adultos</w:t>
      </w:r>
      <w:r w:rsidRPr="0063119B">
        <w:rPr>
          <w:noProof/>
          <w:szCs w:val="22"/>
        </w:rPr>
        <w:t xml:space="preserve"> tratados com rivaroxabano.</w:t>
      </w:r>
      <w:r w:rsidR="00DA427C" w:rsidRPr="00DA427C">
        <w:rPr>
          <w:szCs w:val="22"/>
        </w:rPr>
        <w:t xml:space="preserve"> </w:t>
      </w:r>
      <w:r w:rsidR="00DA427C">
        <w:rPr>
          <w:szCs w:val="22"/>
        </w:rPr>
        <w:t>Não existe experiência com a utilização destes agentes em crianças a receber rivaroxabano.</w:t>
      </w:r>
      <w:r w:rsidRPr="0063119B">
        <w:rPr>
          <w:noProof/>
          <w:szCs w:val="22"/>
        </w:rPr>
        <w:t xml:space="preserve"> Não existe nem justificação científica sobre o benefício nem experiência com a utilização d</w:t>
      </w:r>
      <w:r w:rsidR="005D6299" w:rsidRPr="0063119B">
        <w:rPr>
          <w:noProof/>
          <w:szCs w:val="22"/>
        </w:rPr>
        <w:t>o</w:t>
      </w:r>
      <w:r w:rsidRPr="0063119B">
        <w:rPr>
          <w:noProof/>
          <w:szCs w:val="22"/>
        </w:rPr>
        <w:t xml:space="preserve"> hemostático sistémico</w:t>
      </w:r>
      <w:r w:rsidR="005D6299" w:rsidRPr="0063119B">
        <w:rPr>
          <w:noProof/>
          <w:szCs w:val="22"/>
        </w:rPr>
        <w:t xml:space="preserve"> </w:t>
      </w:r>
      <w:r w:rsidRPr="0063119B">
        <w:rPr>
          <w:noProof/>
          <w:szCs w:val="22"/>
        </w:rPr>
        <w:t>desmopressina em indivíduos tratados com rivaroxabano. Devido à elevada ligação às proteínas plasmáticas, não é esperado que o rivaroxabano seja dialisável.</w:t>
      </w:r>
    </w:p>
    <w:p w14:paraId="3EC25787" w14:textId="77777777" w:rsidR="00337111" w:rsidRPr="0063119B" w:rsidRDefault="00337111" w:rsidP="00337111">
      <w:pPr>
        <w:suppressAutoHyphens/>
        <w:rPr>
          <w:noProof/>
          <w:szCs w:val="22"/>
        </w:rPr>
      </w:pPr>
    </w:p>
    <w:p w14:paraId="40A4B7E6" w14:textId="77777777" w:rsidR="00337111" w:rsidRPr="0063119B" w:rsidRDefault="00337111" w:rsidP="00337111">
      <w:pPr>
        <w:suppressAutoHyphens/>
        <w:rPr>
          <w:noProof/>
          <w:szCs w:val="22"/>
        </w:rPr>
      </w:pPr>
    </w:p>
    <w:p w14:paraId="0A2FD4F0" w14:textId="77777777" w:rsidR="00337111" w:rsidRPr="0063119B" w:rsidRDefault="00337111" w:rsidP="00337111">
      <w:pPr>
        <w:suppressAutoHyphens/>
        <w:ind w:left="567" w:hanging="567"/>
        <w:rPr>
          <w:noProof/>
          <w:szCs w:val="22"/>
        </w:rPr>
      </w:pPr>
      <w:r w:rsidRPr="0063119B">
        <w:rPr>
          <w:b/>
          <w:noProof/>
          <w:szCs w:val="22"/>
        </w:rPr>
        <w:t>5.</w:t>
      </w:r>
      <w:r w:rsidRPr="0063119B">
        <w:rPr>
          <w:b/>
          <w:noProof/>
          <w:szCs w:val="22"/>
        </w:rPr>
        <w:tab/>
        <w:t>PROPRIEDADES FARMACOLÓGICAS</w:t>
      </w:r>
    </w:p>
    <w:p w14:paraId="6808C19E" w14:textId="77777777" w:rsidR="00337111" w:rsidRPr="0063119B" w:rsidRDefault="00337111" w:rsidP="00337111">
      <w:pPr>
        <w:suppressAutoHyphens/>
        <w:rPr>
          <w:noProof/>
          <w:szCs w:val="22"/>
        </w:rPr>
      </w:pPr>
    </w:p>
    <w:p w14:paraId="32F8C0B6" w14:textId="77777777" w:rsidR="00337111" w:rsidRPr="0063119B" w:rsidRDefault="00337111" w:rsidP="00337111">
      <w:pPr>
        <w:suppressAutoHyphens/>
        <w:ind w:left="567" w:hanging="567"/>
        <w:rPr>
          <w:noProof/>
          <w:szCs w:val="22"/>
        </w:rPr>
      </w:pPr>
      <w:r w:rsidRPr="0063119B">
        <w:rPr>
          <w:b/>
          <w:noProof/>
          <w:szCs w:val="22"/>
        </w:rPr>
        <w:t>5.1</w:t>
      </w:r>
      <w:r w:rsidRPr="0063119B">
        <w:rPr>
          <w:b/>
          <w:noProof/>
          <w:szCs w:val="22"/>
        </w:rPr>
        <w:tab/>
        <w:t>Propriedades farmacodinâmicas</w:t>
      </w:r>
    </w:p>
    <w:p w14:paraId="0C05D8B1" w14:textId="77777777" w:rsidR="00337111" w:rsidRPr="0063119B" w:rsidRDefault="00337111" w:rsidP="00337111">
      <w:pPr>
        <w:suppressAutoHyphens/>
        <w:rPr>
          <w:noProof/>
          <w:szCs w:val="22"/>
        </w:rPr>
      </w:pPr>
    </w:p>
    <w:p w14:paraId="5756B838" w14:textId="77777777" w:rsidR="00337111" w:rsidRPr="0063119B" w:rsidRDefault="00337111" w:rsidP="00337111">
      <w:pPr>
        <w:suppressAutoHyphens/>
        <w:rPr>
          <w:noProof/>
          <w:szCs w:val="22"/>
        </w:rPr>
      </w:pPr>
      <w:r w:rsidRPr="0063119B">
        <w:rPr>
          <w:noProof/>
          <w:szCs w:val="22"/>
        </w:rPr>
        <w:t xml:space="preserve">Grupo farmacoterapêutico: </w:t>
      </w:r>
      <w:r w:rsidR="002F4A3F" w:rsidRPr="0063119B">
        <w:rPr>
          <w:noProof/>
          <w:szCs w:val="22"/>
        </w:rPr>
        <w:t>Agentes antitrombóticos, i</w:t>
      </w:r>
      <w:r w:rsidR="009C1819" w:rsidRPr="0063119B">
        <w:rPr>
          <w:noProof/>
          <w:szCs w:val="22"/>
        </w:rPr>
        <w:t>nibidores diretos do fator Xa</w:t>
      </w:r>
      <w:r w:rsidRPr="0063119B">
        <w:rPr>
          <w:noProof/>
          <w:szCs w:val="22"/>
        </w:rPr>
        <w:t xml:space="preserve">, código ATC: </w:t>
      </w:r>
      <w:r w:rsidR="009C1819" w:rsidRPr="0063119B">
        <w:rPr>
          <w:noProof/>
          <w:szCs w:val="22"/>
        </w:rPr>
        <w:t>B01AF01</w:t>
      </w:r>
    </w:p>
    <w:p w14:paraId="34E625D8" w14:textId="77777777" w:rsidR="00337111" w:rsidRPr="0063119B" w:rsidRDefault="00337111" w:rsidP="00337111">
      <w:pPr>
        <w:suppressAutoHyphens/>
        <w:rPr>
          <w:noProof/>
          <w:szCs w:val="22"/>
        </w:rPr>
      </w:pPr>
    </w:p>
    <w:p w14:paraId="7C469FB7" w14:textId="77777777" w:rsidR="00337111" w:rsidRPr="0063119B" w:rsidRDefault="00337111" w:rsidP="00A9161F">
      <w:pPr>
        <w:keepNext/>
        <w:suppressAutoHyphens/>
        <w:rPr>
          <w:noProof/>
          <w:szCs w:val="22"/>
          <w:u w:val="single"/>
        </w:rPr>
      </w:pPr>
      <w:r w:rsidRPr="0063119B">
        <w:rPr>
          <w:noProof/>
          <w:szCs w:val="22"/>
          <w:u w:val="single"/>
        </w:rPr>
        <w:t>Mecanismo de ação</w:t>
      </w:r>
    </w:p>
    <w:p w14:paraId="3C6A1DED" w14:textId="77777777" w:rsidR="00C659F3" w:rsidRPr="0063119B" w:rsidRDefault="00C659F3" w:rsidP="00337111">
      <w:pPr>
        <w:suppressAutoHyphens/>
        <w:rPr>
          <w:noProof/>
          <w:szCs w:val="22"/>
        </w:rPr>
      </w:pPr>
    </w:p>
    <w:p w14:paraId="4E0ADD0C" w14:textId="77777777" w:rsidR="00337111" w:rsidRPr="0063119B" w:rsidRDefault="00337111" w:rsidP="00337111">
      <w:pPr>
        <w:suppressAutoHyphens/>
        <w:rPr>
          <w:noProof/>
          <w:szCs w:val="22"/>
        </w:rPr>
      </w:pPr>
      <w:r w:rsidRPr="0063119B">
        <w:rPr>
          <w:noProof/>
          <w:szCs w:val="22"/>
        </w:rPr>
        <w:t>O rivaroxabano é um inibidor direto do fator</w:t>
      </w:r>
      <w:r w:rsidR="00655D6E" w:rsidRPr="0063119B">
        <w:rPr>
          <w:noProof/>
          <w:szCs w:val="22"/>
        </w:rPr>
        <w:t> </w:t>
      </w:r>
      <w:r w:rsidRPr="0063119B">
        <w:rPr>
          <w:noProof/>
          <w:szCs w:val="22"/>
        </w:rPr>
        <w:t xml:space="preserve">Xa, altamente seletivo, com biodisponibilidade oral. A inibição do </w:t>
      </w:r>
      <w:r w:rsidR="007335F2" w:rsidRPr="0063119B">
        <w:rPr>
          <w:noProof/>
          <w:szCs w:val="22"/>
        </w:rPr>
        <w:t>f</w:t>
      </w:r>
      <w:r w:rsidRPr="0063119B">
        <w:rPr>
          <w:noProof/>
          <w:szCs w:val="22"/>
        </w:rPr>
        <w:t>ator Xa interrompe as vias intrínseca e extrínseca da cascata de coagulação sanguínea, inibindo a formação de trombina e o desenvolvimento de trombos. O rivaroxabano não inibe a trombina (</w:t>
      </w:r>
      <w:r w:rsidR="006B6A21" w:rsidRPr="0063119B">
        <w:rPr>
          <w:noProof/>
          <w:szCs w:val="22"/>
        </w:rPr>
        <w:t>fator </w:t>
      </w:r>
      <w:r w:rsidRPr="0063119B">
        <w:rPr>
          <w:noProof/>
          <w:szCs w:val="22"/>
        </w:rPr>
        <w:t>II ativado) e não foram demonstrados efeitos sobre as plaquetas.</w:t>
      </w:r>
    </w:p>
    <w:p w14:paraId="11CEE7EF" w14:textId="77777777" w:rsidR="00337111" w:rsidRPr="0063119B" w:rsidRDefault="00337111" w:rsidP="00337111">
      <w:pPr>
        <w:rPr>
          <w:i/>
          <w:noProof/>
          <w:szCs w:val="22"/>
          <w:u w:val="single"/>
        </w:rPr>
      </w:pPr>
    </w:p>
    <w:p w14:paraId="49A475BE" w14:textId="77777777" w:rsidR="00337111" w:rsidRPr="0063119B" w:rsidRDefault="00337111" w:rsidP="00337111">
      <w:pPr>
        <w:rPr>
          <w:noProof/>
          <w:szCs w:val="22"/>
        </w:rPr>
      </w:pPr>
      <w:r w:rsidRPr="0063119B">
        <w:rPr>
          <w:noProof/>
          <w:szCs w:val="22"/>
          <w:u w:val="single"/>
        </w:rPr>
        <w:t>Efeitos farmacodinâmicos</w:t>
      </w:r>
    </w:p>
    <w:p w14:paraId="4545E386" w14:textId="77777777" w:rsidR="00C659F3" w:rsidRPr="0063119B" w:rsidRDefault="00C659F3" w:rsidP="00337111">
      <w:pPr>
        <w:rPr>
          <w:noProof/>
          <w:szCs w:val="22"/>
        </w:rPr>
      </w:pPr>
    </w:p>
    <w:p w14:paraId="25365BEE" w14:textId="77777777" w:rsidR="00337111" w:rsidRPr="0063119B" w:rsidRDefault="00337111" w:rsidP="00337111">
      <w:pPr>
        <w:rPr>
          <w:noProof/>
          <w:szCs w:val="22"/>
        </w:rPr>
      </w:pPr>
      <w:r w:rsidRPr="0063119B">
        <w:rPr>
          <w:noProof/>
          <w:szCs w:val="22"/>
        </w:rPr>
        <w:t xml:space="preserve">No ser humano foi observada inibição dose-dependente da atividade do </w:t>
      </w:r>
      <w:r w:rsidR="006B6A21" w:rsidRPr="0063119B">
        <w:rPr>
          <w:noProof/>
          <w:szCs w:val="22"/>
        </w:rPr>
        <w:t>fator </w:t>
      </w:r>
      <w:r w:rsidRPr="0063119B">
        <w:rPr>
          <w:noProof/>
          <w:szCs w:val="22"/>
        </w:rPr>
        <w:t xml:space="preserve">Xa. O tempo de protrombina (TP) é influenciado pelo rivaroxabano de uma forma dependente da dose, com uma estreita correlação com as concentrações plasmáticas (valor r igual a 0,98) quando se emprega Neoplastin para o ensaio. Outros reagentes originariam resultados diferentes. A leitura do TP deve ser feita em segundos, porque o INR está apenas calibrado e validado para os cumarínicos e não pode ser usado para nenhum outro anticoagulante. </w:t>
      </w:r>
    </w:p>
    <w:p w14:paraId="3171818B" w14:textId="77777777" w:rsidR="00337111" w:rsidRPr="0063119B" w:rsidRDefault="00337111" w:rsidP="00337111">
      <w:pPr>
        <w:rPr>
          <w:szCs w:val="22"/>
        </w:rPr>
      </w:pPr>
      <w:r w:rsidRPr="0063119B">
        <w:rPr>
          <w:noProof/>
          <w:szCs w:val="22"/>
        </w:rPr>
        <w:t>Em doentes tratados</w:t>
      </w:r>
      <w:r w:rsidRPr="0063119B">
        <w:rPr>
          <w:szCs w:val="22"/>
        </w:rPr>
        <w:t xml:space="preserve"> com rivaroxabano para tratamento da TVP e EP e na prevenção da recorrência,</w:t>
      </w:r>
      <w:r w:rsidRPr="0063119B">
        <w:rPr>
          <w:noProof/>
          <w:szCs w:val="22"/>
        </w:rPr>
        <w:t xml:space="preserve"> os percentis 5/95 de TP (Neoplastin) 2 </w:t>
      </w:r>
      <w:r w:rsidRPr="0063119B">
        <w:rPr>
          <w:noProof/>
          <w:szCs w:val="22"/>
        </w:rPr>
        <w:noBreakHyphen/>
        <w:t xml:space="preserve"> 4 horas após a ingestão do comprimido (ou seja, no momento do efeito máximo) variaram </w:t>
      </w:r>
      <w:r w:rsidRPr="0063119B">
        <w:rPr>
          <w:szCs w:val="22"/>
        </w:rPr>
        <w:t xml:space="preserve">entre 17 e 32 seg. com 15 mg de rivaroxabano duas vezes por dia e entre 15 e 30 seg. com 20 mg de rivaroxabano uma vez por dia. No valor mínimo (8 </w:t>
      </w:r>
      <w:r w:rsidR="00C659F3" w:rsidRPr="0063119B">
        <w:rPr>
          <w:szCs w:val="22"/>
        </w:rPr>
        <w:t>–</w:t>
      </w:r>
      <w:r w:rsidR="002F4A3F" w:rsidRPr="0063119B">
        <w:rPr>
          <w:szCs w:val="22"/>
        </w:rPr>
        <w:t xml:space="preserve"> </w:t>
      </w:r>
      <w:r w:rsidRPr="0063119B">
        <w:rPr>
          <w:szCs w:val="22"/>
        </w:rPr>
        <w:t>16</w:t>
      </w:r>
      <w:r w:rsidR="00C659F3" w:rsidRPr="0063119B">
        <w:rPr>
          <w:szCs w:val="22"/>
        </w:rPr>
        <w:t> </w:t>
      </w:r>
      <w:r w:rsidRPr="0063119B">
        <w:rPr>
          <w:szCs w:val="22"/>
        </w:rPr>
        <w:t>h após a ingestão do comprimido) os percentis 5/95 variaram entre 14 a 24</w:t>
      </w:r>
      <w:r w:rsidR="00C659F3" w:rsidRPr="0063119B">
        <w:rPr>
          <w:szCs w:val="22"/>
        </w:rPr>
        <w:t> </w:t>
      </w:r>
      <w:r w:rsidRPr="0063119B">
        <w:rPr>
          <w:szCs w:val="22"/>
        </w:rPr>
        <w:t>seg. com 15</w:t>
      </w:r>
      <w:r w:rsidR="00C659F3" w:rsidRPr="0063119B">
        <w:rPr>
          <w:szCs w:val="22"/>
        </w:rPr>
        <w:t> </w:t>
      </w:r>
      <w:r w:rsidRPr="0063119B">
        <w:rPr>
          <w:szCs w:val="22"/>
        </w:rPr>
        <w:t>mg duas vezes por dia e entre 13 a 20</w:t>
      </w:r>
      <w:r w:rsidR="00C659F3" w:rsidRPr="0063119B">
        <w:rPr>
          <w:szCs w:val="22"/>
        </w:rPr>
        <w:t> </w:t>
      </w:r>
      <w:r w:rsidRPr="0063119B">
        <w:rPr>
          <w:szCs w:val="22"/>
        </w:rPr>
        <w:t>seg. com 20</w:t>
      </w:r>
      <w:r w:rsidR="00CD587B" w:rsidRPr="0063119B">
        <w:rPr>
          <w:szCs w:val="22"/>
        </w:rPr>
        <w:t> </w:t>
      </w:r>
      <w:r w:rsidRPr="0063119B">
        <w:rPr>
          <w:szCs w:val="22"/>
        </w:rPr>
        <w:t xml:space="preserve">mg uma vez por dia (18 </w:t>
      </w:r>
      <w:r w:rsidR="00C659F3" w:rsidRPr="0063119B">
        <w:rPr>
          <w:szCs w:val="22"/>
        </w:rPr>
        <w:t>–</w:t>
      </w:r>
      <w:r w:rsidR="002F4A3F" w:rsidRPr="0063119B">
        <w:rPr>
          <w:szCs w:val="22"/>
        </w:rPr>
        <w:t xml:space="preserve"> </w:t>
      </w:r>
      <w:r w:rsidRPr="0063119B">
        <w:rPr>
          <w:szCs w:val="22"/>
        </w:rPr>
        <w:t>30</w:t>
      </w:r>
      <w:r w:rsidR="00C659F3" w:rsidRPr="0063119B">
        <w:rPr>
          <w:szCs w:val="22"/>
        </w:rPr>
        <w:t> </w:t>
      </w:r>
      <w:r w:rsidRPr="0063119B">
        <w:rPr>
          <w:szCs w:val="22"/>
        </w:rPr>
        <w:t>h após a ingestão do comprimido).</w:t>
      </w:r>
    </w:p>
    <w:p w14:paraId="6A83814B" w14:textId="77777777" w:rsidR="005D6299" w:rsidRPr="0063119B" w:rsidRDefault="00337111" w:rsidP="00337111">
      <w:pPr>
        <w:rPr>
          <w:noProof/>
          <w:szCs w:val="22"/>
        </w:rPr>
      </w:pPr>
      <w:r w:rsidRPr="0063119B">
        <w:rPr>
          <w:bCs/>
          <w:szCs w:val="22"/>
        </w:rPr>
        <w:t>Em doentes com fibrilhação auricular não-valvular tratados com rivaroxabano para prevenção do acidente vascular cerebral e embolismo sistémico, os percentis 5/95 do TP (Neoplastin) 1 </w:t>
      </w:r>
      <w:r w:rsidRPr="0063119B">
        <w:rPr>
          <w:bCs/>
          <w:szCs w:val="22"/>
        </w:rPr>
        <w:noBreakHyphen/>
        <w:t> 4 horas após a ingestão do comprimido (i.e. na altura do efeito máximo) variaram entre 14 e 40 seg. nos doentes tratados com 20 mg de rivaroxabano uma</w:t>
      </w:r>
      <w:r w:rsidR="00CD587B" w:rsidRPr="0063119B">
        <w:rPr>
          <w:bCs/>
          <w:szCs w:val="22"/>
        </w:rPr>
        <w:t xml:space="preserve"> </w:t>
      </w:r>
      <w:r w:rsidRPr="0063119B">
        <w:rPr>
          <w:bCs/>
          <w:szCs w:val="22"/>
        </w:rPr>
        <w:t>vez por dia e entre 10 e 50 seg. nos doentes com compromisso renal moderado tratados com 15 mg uma vez por dia</w:t>
      </w:r>
      <w:r w:rsidRPr="0063119B">
        <w:rPr>
          <w:noProof/>
          <w:szCs w:val="22"/>
        </w:rPr>
        <w:t xml:space="preserve">. No valor mínimo (16 </w:t>
      </w:r>
      <w:r w:rsidR="00CD587B" w:rsidRPr="0063119B">
        <w:rPr>
          <w:noProof/>
          <w:szCs w:val="22"/>
        </w:rPr>
        <w:t>–</w:t>
      </w:r>
      <w:r w:rsidRPr="0063119B">
        <w:rPr>
          <w:noProof/>
          <w:szCs w:val="22"/>
        </w:rPr>
        <w:t xml:space="preserve"> 36</w:t>
      </w:r>
      <w:r w:rsidR="00CD587B" w:rsidRPr="0063119B">
        <w:rPr>
          <w:noProof/>
          <w:szCs w:val="22"/>
        </w:rPr>
        <w:t> </w:t>
      </w:r>
      <w:r w:rsidRPr="0063119B">
        <w:rPr>
          <w:noProof/>
          <w:szCs w:val="22"/>
        </w:rPr>
        <w:t>h após a ingestão do comprimido) os percentis 5/95 variaram de 12 a 26</w:t>
      </w:r>
      <w:r w:rsidR="00C659F3" w:rsidRPr="0063119B">
        <w:rPr>
          <w:noProof/>
          <w:szCs w:val="22"/>
        </w:rPr>
        <w:t> </w:t>
      </w:r>
      <w:r w:rsidRPr="0063119B">
        <w:rPr>
          <w:noProof/>
          <w:szCs w:val="22"/>
        </w:rPr>
        <w:t>seg. nos doentes tratados com 20 mg uma vez por dia e entre 12 a 26</w:t>
      </w:r>
      <w:r w:rsidR="00CD587B" w:rsidRPr="0063119B">
        <w:rPr>
          <w:noProof/>
          <w:szCs w:val="22"/>
        </w:rPr>
        <w:t> </w:t>
      </w:r>
      <w:r w:rsidRPr="0063119B">
        <w:rPr>
          <w:noProof/>
          <w:szCs w:val="22"/>
        </w:rPr>
        <w:t>seg. nos doentes com compromisso renal moderado tratados com 15 mg uma vez por dia.</w:t>
      </w:r>
    </w:p>
    <w:p w14:paraId="5204053E" w14:textId="77777777" w:rsidR="00BD44CC" w:rsidRPr="0063119B" w:rsidRDefault="00BD44CC" w:rsidP="00BD44CC">
      <w:pPr>
        <w:rPr>
          <w:noProof/>
          <w:szCs w:val="22"/>
        </w:rPr>
      </w:pPr>
      <w:r w:rsidRPr="0063119B">
        <w:rPr>
          <w:noProof/>
          <w:szCs w:val="22"/>
        </w:rPr>
        <w:t>Num estudo de farmacologia clínica sobre a farmacodinâmica de reversão do rivaroxabano em doentes adultos saudáveis (n=22), foram avaliados os efeitos de doses únicas (50</w:t>
      </w:r>
      <w:r w:rsidR="00CD587B" w:rsidRPr="0063119B">
        <w:rPr>
          <w:noProof/>
          <w:szCs w:val="22"/>
        </w:rPr>
        <w:t> </w:t>
      </w:r>
      <w:r w:rsidRPr="0063119B">
        <w:rPr>
          <w:noProof/>
          <w:szCs w:val="22"/>
        </w:rPr>
        <w:t>UI/Kg) de dois tipos diferentes de CCPs, um CCP de 3 fatores (Fatores II, IX e X) e um CCP de 4 fatores (Fatores II, VII, IX e X). O CCP de 3 fatores reduziu os valores médios de TP de Neoplastin de aproximadamente 1,0</w:t>
      </w:r>
      <w:r w:rsidR="00CD587B" w:rsidRPr="0063119B">
        <w:rPr>
          <w:noProof/>
          <w:szCs w:val="22"/>
        </w:rPr>
        <w:t> </w:t>
      </w:r>
      <w:r w:rsidRPr="0063119B">
        <w:rPr>
          <w:noProof/>
          <w:szCs w:val="22"/>
        </w:rPr>
        <w:t>segundo em 30</w:t>
      </w:r>
      <w:r w:rsidR="00CD587B" w:rsidRPr="0063119B">
        <w:rPr>
          <w:noProof/>
          <w:szCs w:val="22"/>
        </w:rPr>
        <w:t> </w:t>
      </w:r>
      <w:r w:rsidRPr="0063119B">
        <w:rPr>
          <w:noProof/>
          <w:szCs w:val="22"/>
        </w:rPr>
        <w:t>minutos em comparação com reduções de aproximadamente 3,5 segundos observadas com o CCP de 4 fatores. Por outro lado, o CCP de 3 fatores teve um melhor e mais rápido efeito global na reversão das alterações na formação da trombina endógena que o CCP de 4 fatores (ver secção 4.9).</w:t>
      </w:r>
    </w:p>
    <w:p w14:paraId="7F4A040B" w14:textId="77777777" w:rsidR="00337111" w:rsidRPr="0063119B" w:rsidRDefault="00337111" w:rsidP="00337111">
      <w:pPr>
        <w:rPr>
          <w:noProof/>
          <w:szCs w:val="22"/>
        </w:rPr>
      </w:pPr>
      <w:r w:rsidRPr="0063119B">
        <w:rPr>
          <w:noProof/>
          <w:szCs w:val="22"/>
        </w:rPr>
        <w:t>O tempo de tromboplastina parcial ativada (aPTT) e o HepTest são igualmente prolongados, de forma dose</w:t>
      </w:r>
      <w:r w:rsidRPr="0063119B">
        <w:rPr>
          <w:noProof/>
          <w:szCs w:val="22"/>
        </w:rPr>
        <w:noBreakHyphen/>
        <w:t xml:space="preserve">dependente; contudo, não são recomendados para avaliar o efeito farmacodinâmico do rivaroxabano. Não há necessidade de monitorização dos parâmetros da coagulação durante o tratamento com rivaroxabano na prática clínica. </w:t>
      </w:r>
    </w:p>
    <w:p w14:paraId="558A291C" w14:textId="77777777" w:rsidR="00337111" w:rsidRPr="0063119B" w:rsidRDefault="00337111" w:rsidP="00337111">
      <w:pPr>
        <w:rPr>
          <w:noProof/>
          <w:szCs w:val="22"/>
        </w:rPr>
      </w:pPr>
      <w:r w:rsidRPr="0063119B">
        <w:rPr>
          <w:noProof/>
          <w:szCs w:val="22"/>
        </w:rPr>
        <w:t>Contudo, se clinicamente indicado, podem determinar-se os níveis de rivaroxabano através de testes quantitativos calibrados de antifator</w:t>
      </w:r>
      <w:r w:rsidR="006B6A21" w:rsidRPr="0063119B">
        <w:rPr>
          <w:noProof/>
          <w:szCs w:val="22"/>
        </w:rPr>
        <w:t> </w:t>
      </w:r>
      <w:r w:rsidRPr="0063119B">
        <w:rPr>
          <w:noProof/>
          <w:szCs w:val="22"/>
        </w:rPr>
        <w:t>Xa (ver secção 5.2).</w:t>
      </w:r>
    </w:p>
    <w:p w14:paraId="3057EE9D" w14:textId="77777777" w:rsidR="00337111" w:rsidRDefault="00337111" w:rsidP="00337111">
      <w:pPr>
        <w:rPr>
          <w:noProof/>
          <w:szCs w:val="22"/>
          <w:u w:val="single"/>
        </w:rPr>
      </w:pPr>
    </w:p>
    <w:p w14:paraId="3869D5E7" w14:textId="77777777" w:rsidR="00DA427C" w:rsidRPr="00DA427C" w:rsidRDefault="00DA427C" w:rsidP="00DA427C">
      <w:pPr>
        <w:autoSpaceDE w:val="0"/>
        <w:autoSpaceDN w:val="0"/>
        <w:adjustRightInd w:val="0"/>
        <w:rPr>
          <w:color w:val="000000"/>
          <w:szCs w:val="22"/>
          <w:lang w:eastAsia="pt-PT"/>
        </w:rPr>
      </w:pPr>
      <w:r w:rsidRPr="00DA427C">
        <w:rPr>
          <w:color w:val="000000"/>
          <w:szCs w:val="22"/>
          <w:lang w:eastAsia="pt-PT"/>
        </w:rPr>
        <w:t xml:space="preserve">População pediátrica </w:t>
      </w:r>
    </w:p>
    <w:p w14:paraId="4F3FC2BA" w14:textId="77777777" w:rsidR="00DA427C" w:rsidRDefault="00DA427C" w:rsidP="00DA427C">
      <w:pPr>
        <w:rPr>
          <w:color w:val="000000"/>
          <w:szCs w:val="22"/>
          <w:lang w:eastAsia="pt-PT"/>
        </w:rPr>
      </w:pPr>
      <w:r w:rsidRPr="00DA427C">
        <w:rPr>
          <w:color w:val="000000"/>
          <w:szCs w:val="22"/>
          <w:lang w:eastAsia="pt-PT"/>
        </w:rPr>
        <w:t>O TP (reagente neoplastina), o aPTT e o ensaio anti-Xa (com um teste quantitativo calibrado) apresentam uma correlação íntima com as concentrações plasmáticas nas crianças. A correlação entre o anti-Xa e as</w:t>
      </w:r>
      <w:r>
        <w:rPr>
          <w:color w:val="000000"/>
          <w:szCs w:val="22"/>
          <w:lang w:eastAsia="pt-PT"/>
        </w:rPr>
        <w:t xml:space="preserve"> </w:t>
      </w:r>
      <w:r>
        <w:rPr>
          <w:szCs w:val="22"/>
        </w:rPr>
        <w:t>concentrações plasmáticas é linear com um declive próximo de 1. Poderão ocorrer discrepâncias individuais com valores anti-Xa superiores ou inferiores em comparação com as concentrações plasmáticas correspondentes. Não há necessidade de se efetuar uma monitorização de rotina dos parâmetros da coagulação durante o tratamento clínico com o rivaroxabano. Contudo, caso haja indicação clínica, as concentrações do rivaroxabano podem ser medidas através de testes anti-fator Xa quantitativos, calibrados, em mcg/l (ver quadro 13 na secção 5.2 quanto aos intervalos das concentrações plasmáticas do rivaroxabano observados em crianças). Tem de se ter em consideração o limite inferior de quantificação quando se utiliza o teste anti-Xa para quantificar as concentrações plasmáticas do rivaroxabano em crianças. Não foi estabelecido um limiar para a eficácia ou acontecimentos de segurança.</w:t>
      </w:r>
    </w:p>
    <w:p w14:paraId="5C1E422B" w14:textId="77777777" w:rsidR="00DA427C" w:rsidRPr="0063119B" w:rsidRDefault="00DA427C" w:rsidP="00DA427C">
      <w:pPr>
        <w:rPr>
          <w:noProof/>
          <w:szCs w:val="22"/>
          <w:u w:val="single"/>
        </w:rPr>
      </w:pPr>
    </w:p>
    <w:p w14:paraId="0FDD5B58" w14:textId="77777777" w:rsidR="00337111" w:rsidRPr="0063119B" w:rsidRDefault="00337111" w:rsidP="00337111">
      <w:pPr>
        <w:rPr>
          <w:noProof/>
          <w:szCs w:val="22"/>
        </w:rPr>
      </w:pPr>
      <w:r w:rsidRPr="0063119B">
        <w:rPr>
          <w:noProof/>
          <w:szCs w:val="22"/>
          <w:u w:val="single"/>
        </w:rPr>
        <w:t>Eficácia e segurança clínicas</w:t>
      </w:r>
    </w:p>
    <w:p w14:paraId="3A05EBC7" w14:textId="77777777" w:rsidR="00CD587B" w:rsidRPr="0063119B" w:rsidRDefault="00CD587B" w:rsidP="00337111">
      <w:pPr>
        <w:rPr>
          <w:i/>
          <w:szCs w:val="22"/>
        </w:rPr>
      </w:pPr>
    </w:p>
    <w:p w14:paraId="1032FC99" w14:textId="77777777" w:rsidR="00337111" w:rsidRPr="0063119B" w:rsidRDefault="00337111" w:rsidP="00337111">
      <w:pPr>
        <w:rPr>
          <w:szCs w:val="22"/>
        </w:rPr>
      </w:pPr>
      <w:r w:rsidRPr="0063119B">
        <w:rPr>
          <w:i/>
          <w:szCs w:val="22"/>
        </w:rPr>
        <w:t>Prevenção do acidente vascular cerebral e do embolismo sistémico em doentes com fibrilhação auricular não-valvular</w:t>
      </w:r>
    </w:p>
    <w:p w14:paraId="0F11421E" w14:textId="77777777" w:rsidR="00337111" w:rsidRPr="0063119B" w:rsidRDefault="00337111" w:rsidP="00337111">
      <w:pPr>
        <w:rPr>
          <w:szCs w:val="22"/>
        </w:rPr>
      </w:pPr>
      <w:r w:rsidRPr="0063119B">
        <w:rPr>
          <w:szCs w:val="22"/>
        </w:rPr>
        <w:t xml:space="preserve">O programa clínico de </w:t>
      </w:r>
      <w:r w:rsidR="00CD587B" w:rsidRPr="0063119B">
        <w:rPr>
          <w:szCs w:val="22"/>
        </w:rPr>
        <w:t>rivaroxabano</w:t>
      </w:r>
      <w:r w:rsidRPr="0063119B">
        <w:rPr>
          <w:szCs w:val="22"/>
        </w:rPr>
        <w:t xml:space="preserve"> foi concebido para demonstrar a eficácia de </w:t>
      </w:r>
      <w:r w:rsidR="00CD587B" w:rsidRPr="0063119B">
        <w:rPr>
          <w:szCs w:val="22"/>
        </w:rPr>
        <w:t>rivaroxabano</w:t>
      </w:r>
      <w:r w:rsidRPr="0063119B">
        <w:rPr>
          <w:szCs w:val="22"/>
        </w:rPr>
        <w:t xml:space="preserve"> para a prevenção do acidente vascular cerebral e do embolismo sistémico em doentes com fibrilhação auricular não-valvular.</w:t>
      </w:r>
    </w:p>
    <w:p w14:paraId="242225C8" w14:textId="77777777" w:rsidR="00337111" w:rsidRPr="0063119B" w:rsidRDefault="00337111" w:rsidP="00337111">
      <w:pPr>
        <w:rPr>
          <w:szCs w:val="22"/>
        </w:rPr>
      </w:pPr>
      <w:r w:rsidRPr="0063119B">
        <w:rPr>
          <w:szCs w:val="22"/>
        </w:rPr>
        <w:lastRenderedPageBreak/>
        <w:t xml:space="preserve">No estudo de referência com dupla ocultação ROCKET AF, 14.264 doentes foram atribuídos para </w:t>
      </w:r>
      <w:r w:rsidR="00CD587B" w:rsidRPr="0063119B">
        <w:rPr>
          <w:szCs w:val="22"/>
        </w:rPr>
        <w:t>rivaroxabano</w:t>
      </w:r>
      <w:r w:rsidRPr="0063119B">
        <w:rPr>
          <w:szCs w:val="22"/>
        </w:rPr>
        <w:t xml:space="preserve"> na dose de 20 mg uma vez por dia (15 mg uma vez por dia em doentes com taxa de depuração da creatinina de 30 </w:t>
      </w:r>
      <w:r w:rsidRPr="0063119B">
        <w:rPr>
          <w:szCs w:val="22"/>
        </w:rPr>
        <w:noBreakHyphen/>
        <w:t> 49 ml/min) ou para varfarina numa dose titulada até atingir uma INR alvo de 2,5 (intervalo terapêutico de 2,0 a 3,0). A duração média de tratamento foi de 19 meses e a duração total do tratamento atingiu um máximo de 41 meses.</w:t>
      </w:r>
    </w:p>
    <w:p w14:paraId="4D103BED" w14:textId="77777777" w:rsidR="00337111" w:rsidRPr="0063119B" w:rsidRDefault="00337111" w:rsidP="00337111">
      <w:pPr>
        <w:rPr>
          <w:szCs w:val="22"/>
        </w:rPr>
      </w:pPr>
      <w:r w:rsidRPr="0063119B">
        <w:rPr>
          <w:szCs w:val="22"/>
        </w:rPr>
        <w:t>Foram tratados 34,9% dos doentes com ácido acetilsalicílico e 11,4% com antiarrítmicos de classe III incluindo a amiodarona.</w:t>
      </w:r>
    </w:p>
    <w:p w14:paraId="02D7DDE0" w14:textId="77777777" w:rsidR="00337111" w:rsidRPr="0063119B" w:rsidRDefault="00337111" w:rsidP="00337111">
      <w:pPr>
        <w:rPr>
          <w:szCs w:val="22"/>
        </w:rPr>
      </w:pPr>
    </w:p>
    <w:p w14:paraId="2E6787A2" w14:textId="77777777" w:rsidR="00337111" w:rsidRPr="0063119B" w:rsidRDefault="00337111" w:rsidP="00337111">
      <w:pPr>
        <w:rPr>
          <w:szCs w:val="22"/>
        </w:rPr>
      </w:pPr>
      <w:r w:rsidRPr="0063119B">
        <w:rPr>
          <w:szCs w:val="22"/>
        </w:rPr>
        <w:t xml:space="preserve">No </w:t>
      </w:r>
      <w:r w:rsidRPr="0063119B">
        <w:rPr>
          <w:i/>
          <w:szCs w:val="22"/>
        </w:rPr>
        <w:t>endpoint</w:t>
      </w:r>
      <w:r w:rsidRPr="0063119B">
        <w:rPr>
          <w:szCs w:val="22"/>
        </w:rPr>
        <w:t xml:space="preserve"> primário composto de acidente vascular cerebral e embolismo sistémico que não do SNC, </w:t>
      </w:r>
      <w:r w:rsidR="00CD587B" w:rsidRPr="0063119B">
        <w:rPr>
          <w:szCs w:val="22"/>
        </w:rPr>
        <w:t xml:space="preserve">o rivaroxabano </w:t>
      </w:r>
      <w:r w:rsidRPr="0063119B">
        <w:rPr>
          <w:szCs w:val="22"/>
        </w:rPr>
        <w:t xml:space="preserve">não foi inferior à varfarina. Na população por protocolo em tratamento, ocorreram acidentes vasculares cerebrais e embolismo sistémico em 188 doentes com rivaroxabano (1,71% por ano) e em 241 doentes com varfarina (2,16% por ano) (0,79 HR; IC 95%, 0,66 </w:t>
      </w:r>
      <w:r w:rsidR="00377739" w:rsidRPr="0063119B">
        <w:rPr>
          <w:szCs w:val="22"/>
        </w:rPr>
        <w:t>-</w:t>
      </w:r>
      <w:r w:rsidRPr="0063119B">
        <w:rPr>
          <w:szCs w:val="22"/>
        </w:rPr>
        <w:t xml:space="preserve"> 0,96; P&lt;0,001 para não inferioridade). Em todos os doentes aleatorizados, analisados de acordo com a ITT, ocorreram acontecimentos primários em 269 com rivaroxabano (2,12% por ano) e 306 com varfarina (2,42% por ano) (0,88 HR; IC 95%, 0,74 </w:t>
      </w:r>
      <w:r w:rsidR="00377739" w:rsidRPr="0063119B">
        <w:rPr>
          <w:szCs w:val="22"/>
        </w:rPr>
        <w:t>-</w:t>
      </w:r>
      <w:r w:rsidRPr="0063119B">
        <w:rPr>
          <w:szCs w:val="22"/>
        </w:rPr>
        <w:t xml:space="preserve"> 1,03; P&lt;0,001 para não inferioridade; P=0,117 para superioridade).</w:t>
      </w:r>
    </w:p>
    <w:p w14:paraId="54CB209A" w14:textId="77777777" w:rsidR="00337111" w:rsidRPr="0063119B" w:rsidRDefault="00337111" w:rsidP="00A9161F">
      <w:pPr>
        <w:rPr>
          <w:szCs w:val="22"/>
        </w:rPr>
      </w:pPr>
      <w:r w:rsidRPr="0063119B">
        <w:rPr>
          <w:szCs w:val="22"/>
        </w:rPr>
        <w:t xml:space="preserve">Os resultados para os </w:t>
      </w:r>
      <w:r w:rsidRPr="0063119B">
        <w:rPr>
          <w:i/>
          <w:szCs w:val="22"/>
        </w:rPr>
        <w:t>endpoints</w:t>
      </w:r>
      <w:r w:rsidRPr="0063119B">
        <w:rPr>
          <w:szCs w:val="22"/>
        </w:rPr>
        <w:t xml:space="preserve"> secundários tal como testados na ordem hierárquica da análise ITT são apresentados no Quadro</w:t>
      </w:r>
      <w:r w:rsidR="00977B6C" w:rsidRPr="0063119B">
        <w:rPr>
          <w:szCs w:val="22"/>
        </w:rPr>
        <w:t> 4</w:t>
      </w:r>
      <w:r w:rsidRPr="0063119B">
        <w:rPr>
          <w:szCs w:val="22"/>
        </w:rPr>
        <w:t>.</w:t>
      </w:r>
    </w:p>
    <w:p w14:paraId="0FAEA11E" w14:textId="77777777" w:rsidR="00337111" w:rsidRPr="0063119B" w:rsidRDefault="00337111" w:rsidP="00A9161F">
      <w:pPr>
        <w:rPr>
          <w:szCs w:val="22"/>
          <w:shd w:val="clear" w:color="auto" w:fill="FFFFFF"/>
        </w:rPr>
      </w:pPr>
      <w:r w:rsidRPr="0063119B">
        <w:rPr>
          <w:szCs w:val="22"/>
        </w:rPr>
        <w:t>Nos doentes do grupo da varfarina, os valores de INR estiveram dentro do intervalo terapêutico (2,0 a 3,0) uma média de 55% do tempo (mediana, 58%; intervalo interquartil, 43 a 71). O efeito do rivaroxabano não diferiu dentro do nível do centro do TTR (tempo no intervalo do INR alvo entre 2,0 </w:t>
      </w:r>
      <w:r w:rsidR="002F4A3F" w:rsidRPr="0063119B">
        <w:rPr>
          <w:szCs w:val="22"/>
        </w:rPr>
        <w:t>- </w:t>
      </w:r>
      <w:r w:rsidRPr="0063119B">
        <w:rPr>
          <w:szCs w:val="22"/>
        </w:rPr>
        <w:t xml:space="preserve">3,0) nos quartis de tamanho igual (P=0,74 para interação). No maior quartil de acordo com o centro, a </w:t>
      </w:r>
      <w:r w:rsidR="002F4A3F" w:rsidRPr="0063119B">
        <w:rPr>
          <w:szCs w:val="22"/>
        </w:rPr>
        <w:t xml:space="preserve">Razão </w:t>
      </w:r>
      <w:r w:rsidRPr="0063119B">
        <w:rPr>
          <w:szCs w:val="22"/>
        </w:rPr>
        <w:t xml:space="preserve">de </w:t>
      </w:r>
      <w:r w:rsidR="002F4A3F" w:rsidRPr="0063119B">
        <w:rPr>
          <w:szCs w:val="22"/>
        </w:rPr>
        <w:t xml:space="preserve">Risco (RR) </w:t>
      </w:r>
      <w:r w:rsidRPr="0063119B">
        <w:rPr>
          <w:szCs w:val="22"/>
        </w:rPr>
        <w:t>com rivaroxabano versus varfarina foi d</w:t>
      </w:r>
      <w:r w:rsidRPr="0063119B">
        <w:rPr>
          <w:szCs w:val="22"/>
          <w:shd w:val="clear" w:color="auto" w:fill="FFFFFF"/>
        </w:rPr>
        <w:t xml:space="preserve">e 0,74 (IC 95%, 0,49 </w:t>
      </w:r>
      <w:r w:rsidR="002F4A3F" w:rsidRPr="0063119B">
        <w:rPr>
          <w:szCs w:val="22"/>
          <w:shd w:val="clear" w:color="auto" w:fill="FFFFFF"/>
        </w:rPr>
        <w:t xml:space="preserve">- </w:t>
      </w:r>
      <w:r w:rsidRPr="0063119B">
        <w:rPr>
          <w:szCs w:val="22"/>
          <w:shd w:val="clear" w:color="auto" w:fill="FFFFFF"/>
        </w:rPr>
        <w:t>1,12).</w:t>
      </w:r>
    </w:p>
    <w:p w14:paraId="3967C853" w14:textId="77777777" w:rsidR="00337111" w:rsidRPr="0063119B" w:rsidRDefault="00337111" w:rsidP="00A9161F">
      <w:pPr>
        <w:rPr>
          <w:szCs w:val="22"/>
        </w:rPr>
      </w:pPr>
      <w:r w:rsidRPr="0063119B">
        <w:rPr>
          <w:szCs w:val="22"/>
        </w:rPr>
        <w:t>As taxas de incidência para os objetivos principais de segurança (acontecimentos hemorrágicos principais e não principais clinicamente relevantes) foram semelhantes nos dois grupos de tratamento (ver Quadro </w:t>
      </w:r>
      <w:r w:rsidR="00977B6C" w:rsidRPr="0063119B">
        <w:rPr>
          <w:szCs w:val="22"/>
        </w:rPr>
        <w:t>5</w:t>
      </w:r>
      <w:r w:rsidRPr="0063119B">
        <w:rPr>
          <w:szCs w:val="22"/>
        </w:rPr>
        <w:t>).</w:t>
      </w:r>
    </w:p>
    <w:p w14:paraId="5D7CFC7B" w14:textId="77777777" w:rsidR="00337111" w:rsidRPr="0063119B" w:rsidRDefault="00337111" w:rsidP="00337111">
      <w:pPr>
        <w:rPr>
          <w:b/>
          <w:szCs w:val="22"/>
        </w:rPr>
      </w:pPr>
    </w:p>
    <w:p w14:paraId="1EEEDCD8" w14:textId="77777777" w:rsidR="00337111" w:rsidRPr="0063119B" w:rsidRDefault="00337111" w:rsidP="00337111">
      <w:pPr>
        <w:keepNext/>
        <w:rPr>
          <w:szCs w:val="22"/>
        </w:rPr>
      </w:pPr>
      <w:r w:rsidRPr="0063119B">
        <w:rPr>
          <w:b/>
          <w:szCs w:val="22"/>
        </w:rPr>
        <w:lastRenderedPageBreak/>
        <w:t>Quadro </w:t>
      </w:r>
      <w:r w:rsidR="00977B6C" w:rsidRPr="0063119B">
        <w:rPr>
          <w:b/>
          <w:szCs w:val="22"/>
        </w:rPr>
        <w:t>4</w:t>
      </w:r>
      <w:r w:rsidRPr="0063119B">
        <w:rPr>
          <w:b/>
          <w:szCs w:val="22"/>
        </w:rPr>
        <w:t>: Resultados de eficácia do estudo de fase III ROCKET AF</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2268"/>
        <w:gridCol w:w="2835"/>
      </w:tblGrid>
      <w:tr w:rsidR="00337111" w:rsidRPr="0063119B" w14:paraId="3C4F1C21" w14:textId="77777777" w:rsidTr="0044301C">
        <w:trPr>
          <w:cantSplit/>
          <w:tblHeader/>
        </w:trPr>
        <w:tc>
          <w:tcPr>
            <w:tcW w:w="1985" w:type="dxa"/>
            <w:vAlign w:val="center"/>
          </w:tcPr>
          <w:p w14:paraId="4C9AFBFF" w14:textId="77777777" w:rsidR="00337111" w:rsidRPr="0063119B" w:rsidRDefault="00337111" w:rsidP="0044301C">
            <w:pPr>
              <w:pStyle w:val="BayerTableColumnHeadings"/>
              <w:keepNext/>
              <w:jc w:val="left"/>
              <w:rPr>
                <w:bCs/>
                <w:szCs w:val="22"/>
                <w:lang w:val="pt-PT"/>
              </w:rPr>
            </w:pPr>
            <w:r w:rsidRPr="0063119B">
              <w:rPr>
                <w:bCs/>
                <w:szCs w:val="22"/>
                <w:lang w:val="pt-PT"/>
              </w:rPr>
              <w:t>População</w:t>
            </w:r>
          </w:p>
          <w:p w14:paraId="70C241F2" w14:textId="77777777" w:rsidR="00337111" w:rsidRPr="0063119B" w:rsidRDefault="00337111" w:rsidP="0044301C">
            <w:pPr>
              <w:pStyle w:val="BayerTableColumnHeadings"/>
              <w:keepNext/>
              <w:jc w:val="left"/>
              <w:rPr>
                <w:bCs/>
                <w:szCs w:val="22"/>
                <w:lang w:val="pt-PT"/>
              </w:rPr>
            </w:pPr>
            <w:r w:rsidRPr="0063119B">
              <w:rPr>
                <w:bCs/>
                <w:szCs w:val="22"/>
                <w:lang w:val="pt-PT"/>
              </w:rPr>
              <w:t>do estudo</w:t>
            </w:r>
          </w:p>
        </w:tc>
        <w:tc>
          <w:tcPr>
            <w:tcW w:w="7371" w:type="dxa"/>
            <w:gridSpan w:val="3"/>
          </w:tcPr>
          <w:p w14:paraId="6768D8B9" w14:textId="77777777" w:rsidR="00337111" w:rsidRPr="0063119B" w:rsidRDefault="00337111" w:rsidP="0044301C">
            <w:pPr>
              <w:pStyle w:val="BayerTableColumnHeadings"/>
              <w:keepNext/>
              <w:ind w:left="34"/>
              <w:jc w:val="left"/>
              <w:rPr>
                <w:bCs/>
                <w:szCs w:val="22"/>
                <w:lang w:val="pt-PT"/>
              </w:rPr>
            </w:pPr>
            <w:r w:rsidRPr="0063119B">
              <w:rPr>
                <w:bCs/>
                <w:szCs w:val="22"/>
                <w:lang w:val="pt-PT"/>
              </w:rPr>
              <w:t>Análise ITT da eficácia em doentes com fibrilhação auricular não-valvular</w:t>
            </w:r>
          </w:p>
        </w:tc>
      </w:tr>
      <w:tr w:rsidR="00337111" w:rsidRPr="0063119B" w14:paraId="7CCACBDB" w14:textId="77777777" w:rsidTr="0044301C">
        <w:trPr>
          <w:cantSplit/>
          <w:tblHeader/>
        </w:trPr>
        <w:tc>
          <w:tcPr>
            <w:tcW w:w="1985" w:type="dxa"/>
            <w:vAlign w:val="center"/>
          </w:tcPr>
          <w:p w14:paraId="41F6FF8C" w14:textId="77777777" w:rsidR="00337111" w:rsidRPr="0063119B" w:rsidRDefault="00337111" w:rsidP="0044301C">
            <w:pPr>
              <w:pStyle w:val="BayerTableRowHeadings"/>
              <w:widowControl/>
              <w:rPr>
                <w:b/>
                <w:bCs/>
                <w:szCs w:val="22"/>
                <w:lang w:val="pt-PT"/>
              </w:rPr>
            </w:pPr>
            <w:r w:rsidRPr="0063119B">
              <w:rPr>
                <w:b/>
                <w:bCs/>
                <w:szCs w:val="22"/>
                <w:lang w:val="pt-PT"/>
              </w:rPr>
              <w:t>Doses do tratamento</w:t>
            </w:r>
          </w:p>
        </w:tc>
        <w:tc>
          <w:tcPr>
            <w:tcW w:w="2268" w:type="dxa"/>
          </w:tcPr>
          <w:p w14:paraId="3BB6645E" w14:textId="77777777" w:rsidR="00337111" w:rsidRPr="0063119B" w:rsidRDefault="00CD587B" w:rsidP="0044301C">
            <w:pPr>
              <w:pStyle w:val="BayerBodyTextFull"/>
              <w:keepNext/>
              <w:ind w:left="12"/>
              <w:rPr>
                <w:b/>
                <w:bCs/>
                <w:sz w:val="22"/>
                <w:szCs w:val="22"/>
                <w:lang w:val="pt-PT"/>
              </w:rPr>
            </w:pPr>
            <w:r w:rsidRPr="0063119B">
              <w:rPr>
                <w:b/>
                <w:bCs/>
                <w:sz w:val="22"/>
                <w:szCs w:val="22"/>
                <w:lang w:val="pt-PT"/>
              </w:rPr>
              <w:t>Rivaroxabano</w:t>
            </w:r>
            <w:r w:rsidR="006E160F">
              <w:rPr>
                <w:b/>
                <w:bCs/>
                <w:sz w:val="22"/>
                <w:szCs w:val="22"/>
                <w:lang w:val="pt-PT"/>
              </w:rPr>
              <w:t xml:space="preserve"> </w:t>
            </w:r>
            <w:r w:rsidR="00337111" w:rsidRPr="0063119B">
              <w:rPr>
                <w:b/>
                <w:bCs/>
                <w:sz w:val="22"/>
                <w:szCs w:val="22"/>
                <w:lang w:val="pt-PT"/>
              </w:rPr>
              <w:t>20 mg uma vez por dia (15 mg uma vez por dia em doentes com compromisso renal moderado)</w:t>
            </w:r>
          </w:p>
          <w:p w14:paraId="5F354110" w14:textId="77777777" w:rsidR="00337111" w:rsidRPr="0063119B" w:rsidRDefault="00337111" w:rsidP="0044301C">
            <w:pPr>
              <w:pStyle w:val="BayerBodyTextFull"/>
              <w:keepNext/>
              <w:ind w:left="12"/>
              <w:rPr>
                <w:b/>
                <w:bCs/>
                <w:sz w:val="22"/>
                <w:szCs w:val="22"/>
                <w:lang w:val="pt-PT"/>
              </w:rPr>
            </w:pPr>
            <w:r w:rsidRPr="0063119B">
              <w:rPr>
                <w:b/>
                <w:bCs/>
                <w:sz w:val="22"/>
                <w:szCs w:val="22"/>
                <w:lang w:val="pt-PT"/>
              </w:rPr>
              <w:t>Taxa de acontecimentos (100 dts-ano)</w:t>
            </w:r>
          </w:p>
        </w:tc>
        <w:tc>
          <w:tcPr>
            <w:tcW w:w="2268" w:type="dxa"/>
          </w:tcPr>
          <w:p w14:paraId="190DF7A1" w14:textId="77777777" w:rsidR="00337111" w:rsidRPr="0063119B" w:rsidRDefault="00337111" w:rsidP="0044301C">
            <w:pPr>
              <w:pStyle w:val="BayerBodyTextFull"/>
              <w:keepNext/>
              <w:ind w:left="12"/>
              <w:rPr>
                <w:b/>
                <w:bCs/>
                <w:sz w:val="22"/>
                <w:szCs w:val="22"/>
                <w:lang w:val="pt-PT"/>
              </w:rPr>
            </w:pPr>
            <w:r w:rsidRPr="0063119B">
              <w:rPr>
                <w:b/>
                <w:bCs/>
                <w:sz w:val="22"/>
                <w:szCs w:val="22"/>
                <w:lang w:val="pt-PT"/>
              </w:rPr>
              <w:t>Varfarina</w:t>
            </w:r>
            <w:r w:rsidR="006E160F">
              <w:rPr>
                <w:b/>
                <w:bCs/>
                <w:sz w:val="22"/>
                <w:szCs w:val="22"/>
                <w:lang w:val="pt-PT"/>
              </w:rPr>
              <w:t xml:space="preserve"> </w:t>
            </w:r>
            <w:r w:rsidRPr="0063119B">
              <w:rPr>
                <w:b/>
                <w:bCs/>
                <w:sz w:val="22"/>
                <w:szCs w:val="22"/>
                <w:lang w:val="pt-PT"/>
              </w:rPr>
              <w:t>titulada até um INR alvo de 2,5 (intervalo terapêutico de 2,0 a 3,0)</w:t>
            </w:r>
          </w:p>
          <w:p w14:paraId="47E195C8" w14:textId="77777777" w:rsidR="00337111" w:rsidRPr="0063119B" w:rsidRDefault="00337111" w:rsidP="0044301C">
            <w:pPr>
              <w:pStyle w:val="BayerBodyTextFull"/>
              <w:keepNext/>
              <w:ind w:left="12"/>
              <w:rPr>
                <w:b/>
                <w:bCs/>
                <w:sz w:val="22"/>
                <w:szCs w:val="22"/>
                <w:lang w:val="pt-PT"/>
              </w:rPr>
            </w:pPr>
            <w:r w:rsidRPr="0063119B">
              <w:rPr>
                <w:b/>
                <w:bCs/>
                <w:sz w:val="22"/>
                <w:szCs w:val="22"/>
                <w:lang w:val="pt-PT"/>
              </w:rPr>
              <w:t>Taxa de acontecimentos (100 dts-ano)</w:t>
            </w:r>
          </w:p>
        </w:tc>
        <w:tc>
          <w:tcPr>
            <w:tcW w:w="2835" w:type="dxa"/>
            <w:vAlign w:val="center"/>
          </w:tcPr>
          <w:p w14:paraId="343BFFA2" w14:textId="77777777" w:rsidR="00337111" w:rsidRPr="0063119B" w:rsidRDefault="002F4A3F" w:rsidP="00AA4546">
            <w:pPr>
              <w:pStyle w:val="BayerBodyTextFull"/>
              <w:keepNext/>
              <w:ind w:left="12"/>
              <w:rPr>
                <w:b/>
                <w:bCs/>
                <w:sz w:val="22"/>
                <w:szCs w:val="22"/>
                <w:lang w:val="pt-PT"/>
              </w:rPr>
            </w:pPr>
            <w:r w:rsidRPr="0063119B">
              <w:rPr>
                <w:b/>
                <w:bCs/>
                <w:sz w:val="22"/>
                <w:szCs w:val="22"/>
                <w:lang w:val="pt-PT"/>
              </w:rPr>
              <w:t>RR</w:t>
            </w:r>
            <w:r w:rsidR="00337111" w:rsidRPr="0063119B">
              <w:rPr>
                <w:b/>
                <w:bCs/>
                <w:sz w:val="22"/>
                <w:szCs w:val="22"/>
                <w:lang w:val="pt-PT"/>
              </w:rPr>
              <w:t xml:space="preserve"> (IC 95%)</w:t>
            </w:r>
            <w:r w:rsidR="00BC7E41">
              <w:rPr>
                <w:b/>
                <w:bCs/>
                <w:sz w:val="22"/>
                <w:szCs w:val="22"/>
                <w:lang w:val="pt-PT"/>
              </w:rPr>
              <w:t xml:space="preserve"> </w:t>
            </w:r>
            <w:r w:rsidR="00337111" w:rsidRPr="0063119B">
              <w:rPr>
                <w:b/>
                <w:bCs/>
                <w:sz w:val="22"/>
                <w:szCs w:val="22"/>
                <w:lang w:val="pt-PT"/>
              </w:rPr>
              <w:t>valor-p, teste para a superioridade</w:t>
            </w:r>
          </w:p>
        </w:tc>
      </w:tr>
      <w:tr w:rsidR="00337111" w:rsidRPr="0063119B" w14:paraId="5E1A7598" w14:textId="77777777" w:rsidTr="0044301C">
        <w:trPr>
          <w:cantSplit/>
        </w:trPr>
        <w:tc>
          <w:tcPr>
            <w:tcW w:w="1985" w:type="dxa"/>
            <w:vAlign w:val="center"/>
          </w:tcPr>
          <w:p w14:paraId="0AFB80E1" w14:textId="77777777" w:rsidR="00337111" w:rsidRPr="0063119B" w:rsidRDefault="00337111" w:rsidP="0044301C">
            <w:pPr>
              <w:pStyle w:val="BayerTableRowHeadings"/>
              <w:rPr>
                <w:szCs w:val="22"/>
                <w:lang w:val="pt-PT"/>
              </w:rPr>
            </w:pPr>
            <w:r w:rsidRPr="0063119B">
              <w:rPr>
                <w:szCs w:val="22"/>
                <w:lang w:val="pt-PT"/>
              </w:rPr>
              <w:t>Acidente vascular cerebral e embolismo sistémico que não SNC</w:t>
            </w:r>
          </w:p>
        </w:tc>
        <w:tc>
          <w:tcPr>
            <w:tcW w:w="2268" w:type="dxa"/>
          </w:tcPr>
          <w:p w14:paraId="6D8BF600" w14:textId="77777777" w:rsidR="00337111" w:rsidRPr="0063119B" w:rsidRDefault="00337111" w:rsidP="0044301C">
            <w:pPr>
              <w:pStyle w:val="BayerBodyTextFull"/>
              <w:keepNext/>
              <w:spacing w:before="0" w:after="0"/>
              <w:jc w:val="center"/>
              <w:rPr>
                <w:sz w:val="22"/>
                <w:szCs w:val="22"/>
                <w:lang w:val="pt-PT"/>
              </w:rPr>
            </w:pPr>
          </w:p>
          <w:p w14:paraId="2D695C08"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269</w:t>
            </w:r>
            <w:r w:rsidRPr="0063119B">
              <w:rPr>
                <w:sz w:val="22"/>
                <w:szCs w:val="22"/>
                <w:lang w:val="pt-PT"/>
              </w:rPr>
              <w:br/>
              <w:t>(2,12)</w:t>
            </w:r>
          </w:p>
        </w:tc>
        <w:tc>
          <w:tcPr>
            <w:tcW w:w="2268" w:type="dxa"/>
          </w:tcPr>
          <w:p w14:paraId="3DFC6677" w14:textId="77777777" w:rsidR="00337111" w:rsidRPr="0063119B" w:rsidRDefault="00337111" w:rsidP="0044301C">
            <w:pPr>
              <w:pStyle w:val="BayerBodyTextFull"/>
              <w:keepNext/>
              <w:spacing w:before="0" w:after="0"/>
              <w:jc w:val="center"/>
              <w:rPr>
                <w:sz w:val="22"/>
                <w:szCs w:val="22"/>
                <w:lang w:val="pt-PT"/>
              </w:rPr>
            </w:pPr>
          </w:p>
          <w:p w14:paraId="16F3A89E"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306</w:t>
            </w:r>
            <w:r w:rsidRPr="0063119B">
              <w:rPr>
                <w:sz w:val="22"/>
                <w:szCs w:val="22"/>
                <w:lang w:val="pt-PT"/>
              </w:rPr>
              <w:br/>
              <w:t>(2,42)</w:t>
            </w:r>
          </w:p>
        </w:tc>
        <w:tc>
          <w:tcPr>
            <w:tcW w:w="2835" w:type="dxa"/>
          </w:tcPr>
          <w:p w14:paraId="1C987085" w14:textId="77777777" w:rsidR="00337111" w:rsidRPr="0063119B" w:rsidRDefault="00337111" w:rsidP="0044301C">
            <w:pPr>
              <w:pStyle w:val="BayerBodyTextFull"/>
              <w:keepNext/>
              <w:spacing w:before="0" w:after="0"/>
              <w:jc w:val="center"/>
              <w:rPr>
                <w:sz w:val="22"/>
                <w:szCs w:val="22"/>
                <w:lang w:val="pt-PT"/>
              </w:rPr>
            </w:pPr>
          </w:p>
          <w:p w14:paraId="1F215DDC" w14:textId="77777777" w:rsidR="00337111" w:rsidRPr="0063119B" w:rsidRDefault="00337111" w:rsidP="002F4A3F">
            <w:pPr>
              <w:pStyle w:val="BayerBodyTextFull"/>
              <w:keepNext/>
              <w:spacing w:before="0" w:after="0"/>
              <w:jc w:val="center"/>
              <w:rPr>
                <w:sz w:val="22"/>
                <w:szCs w:val="22"/>
                <w:lang w:val="pt-PT"/>
              </w:rPr>
            </w:pPr>
            <w:r w:rsidRPr="0063119B">
              <w:rPr>
                <w:sz w:val="22"/>
                <w:szCs w:val="22"/>
                <w:lang w:val="pt-PT"/>
              </w:rPr>
              <w:t xml:space="preserve">0,88 </w:t>
            </w:r>
            <w:r w:rsidRPr="0063119B">
              <w:rPr>
                <w:sz w:val="22"/>
                <w:szCs w:val="22"/>
                <w:lang w:val="pt-PT"/>
              </w:rPr>
              <w:br/>
              <w:t xml:space="preserve">(0,74 </w:t>
            </w:r>
            <w:r w:rsidR="002F4A3F" w:rsidRPr="0063119B">
              <w:rPr>
                <w:sz w:val="22"/>
                <w:szCs w:val="22"/>
                <w:lang w:val="pt-PT"/>
              </w:rPr>
              <w:t>- </w:t>
            </w:r>
            <w:r w:rsidRPr="0063119B">
              <w:rPr>
                <w:sz w:val="22"/>
                <w:szCs w:val="22"/>
                <w:lang w:val="pt-PT"/>
              </w:rPr>
              <w:t>1,03)</w:t>
            </w:r>
            <w:r w:rsidRPr="0063119B">
              <w:rPr>
                <w:sz w:val="22"/>
                <w:szCs w:val="22"/>
                <w:lang w:val="pt-PT"/>
              </w:rPr>
              <w:br/>
              <w:t>0,117</w:t>
            </w:r>
          </w:p>
        </w:tc>
      </w:tr>
      <w:tr w:rsidR="00337111" w:rsidRPr="0063119B" w14:paraId="050AEBFB" w14:textId="77777777" w:rsidTr="0044301C">
        <w:trPr>
          <w:cantSplit/>
        </w:trPr>
        <w:tc>
          <w:tcPr>
            <w:tcW w:w="1985" w:type="dxa"/>
            <w:vAlign w:val="center"/>
          </w:tcPr>
          <w:p w14:paraId="381E3CA8" w14:textId="77777777" w:rsidR="00337111" w:rsidRPr="0063119B" w:rsidRDefault="00337111" w:rsidP="0044301C">
            <w:pPr>
              <w:pStyle w:val="BayerTableRowHeadings"/>
              <w:rPr>
                <w:szCs w:val="22"/>
                <w:lang w:val="pt-PT"/>
              </w:rPr>
            </w:pPr>
            <w:r w:rsidRPr="0063119B">
              <w:rPr>
                <w:szCs w:val="22"/>
                <w:lang w:val="pt-PT"/>
              </w:rPr>
              <w:t>Acidente vascular cerebral, embolismo sistémico que não do SNC e morte vascular</w:t>
            </w:r>
          </w:p>
        </w:tc>
        <w:tc>
          <w:tcPr>
            <w:tcW w:w="2268" w:type="dxa"/>
          </w:tcPr>
          <w:p w14:paraId="7B09DD35" w14:textId="77777777" w:rsidR="00337111" w:rsidRPr="0063119B" w:rsidRDefault="00337111" w:rsidP="0044301C">
            <w:pPr>
              <w:pStyle w:val="BayerBodyTextFull"/>
              <w:keepNext/>
              <w:spacing w:before="0" w:after="0"/>
              <w:jc w:val="center"/>
              <w:rPr>
                <w:sz w:val="22"/>
                <w:szCs w:val="22"/>
                <w:lang w:val="pt-PT"/>
              </w:rPr>
            </w:pPr>
          </w:p>
          <w:p w14:paraId="447834D6"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572</w:t>
            </w:r>
            <w:r w:rsidRPr="0063119B">
              <w:rPr>
                <w:sz w:val="22"/>
                <w:szCs w:val="22"/>
                <w:lang w:val="pt-PT"/>
              </w:rPr>
              <w:br/>
              <w:t>(4,51)</w:t>
            </w:r>
          </w:p>
        </w:tc>
        <w:tc>
          <w:tcPr>
            <w:tcW w:w="2268" w:type="dxa"/>
          </w:tcPr>
          <w:p w14:paraId="528FD5E0" w14:textId="77777777" w:rsidR="00337111" w:rsidRPr="0063119B" w:rsidRDefault="00337111" w:rsidP="0044301C">
            <w:pPr>
              <w:pStyle w:val="BayerBodyTextFull"/>
              <w:keepNext/>
              <w:spacing w:before="0" w:after="0"/>
              <w:jc w:val="center"/>
              <w:rPr>
                <w:sz w:val="22"/>
                <w:szCs w:val="22"/>
                <w:lang w:val="pt-PT"/>
              </w:rPr>
            </w:pPr>
          </w:p>
          <w:p w14:paraId="730CCDEF"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609</w:t>
            </w:r>
          </w:p>
          <w:p w14:paraId="4D4548AD"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(4,81)</w:t>
            </w:r>
          </w:p>
        </w:tc>
        <w:tc>
          <w:tcPr>
            <w:tcW w:w="2835" w:type="dxa"/>
          </w:tcPr>
          <w:p w14:paraId="7602029D" w14:textId="77777777" w:rsidR="00337111" w:rsidRPr="0063119B" w:rsidRDefault="00337111" w:rsidP="0044301C">
            <w:pPr>
              <w:pStyle w:val="BayerBodyTextFull"/>
              <w:keepNext/>
              <w:spacing w:before="0" w:after="0"/>
              <w:jc w:val="center"/>
              <w:rPr>
                <w:sz w:val="22"/>
                <w:szCs w:val="22"/>
                <w:lang w:val="pt-PT"/>
              </w:rPr>
            </w:pPr>
          </w:p>
          <w:p w14:paraId="462B4535"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 xml:space="preserve">0,94 </w:t>
            </w:r>
            <w:r w:rsidRPr="0063119B">
              <w:rPr>
                <w:sz w:val="22"/>
                <w:szCs w:val="22"/>
                <w:lang w:val="pt-PT"/>
              </w:rPr>
              <w:br/>
              <w:t xml:space="preserve">(0,84 </w:t>
            </w:r>
            <w:r w:rsidRPr="0063119B">
              <w:rPr>
                <w:sz w:val="22"/>
                <w:szCs w:val="22"/>
                <w:lang w:val="pt-PT"/>
              </w:rPr>
              <w:noBreakHyphen/>
              <w:t> 1,05)</w:t>
            </w:r>
            <w:r w:rsidRPr="0063119B">
              <w:rPr>
                <w:sz w:val="22"/>
                <w:szCs w:val="22"/>
                <w:lang w:val="pt-PT"/>
              </w:rPr>
              <w:br/>
              <w:t>0,265</w:t>
            </w:r>
          </w:p>
        </w:tc>
      </w:tr>
      <w:tr w:rsidR="00337111" w:rsidRPr="0063119B" w14:paraId="2827612F" w14:textId="77777777" w:rsidTr="0044301C">
        <w:trPr>
          <w:cantSplit/>
        </w:trPr>
        <w:tc>
          <w:tcPr>
            <w:tcW w:w="1985" w:type="dxa"/>
            <w:vAlign w:val="center"/>
          </w:tcPr>
          <w:p w14:paraId="0F0BBAFA" w14:textId="77777777" w:rsidR="00337111" w:rsidRPr="0063119B" w:rsidRDefault="00337111" w:rsidP="0044301C">
            <w:pPr>
              <w:pStyle w:val="BayerTableRowHeadings"/>
              <w:rPr>
                <w:szCs w:val="22"/>
                <w:lang w:val="pt-PT"/>
              </w:rPr>
            </w:pPr>
            <w:r w:rsidRPr="0063119B">
              <w:rPr>
                <w:szCs w:val="22"/>
                <w:lang w:val="pt-PT"/>
              </w:rPr>
              <w:t>Acidente vascular cerebral, embolismo sistémico que não do SNC, morte vascular e enfarte do miocárdio</w:t>
            </w:r>
          </w:p>
        </w:tc>
        <w:tc>
          <w:tcPr>
            <w:tcW w:w="2268" w:type="dxa"/>
          </w:tcPr>
          <w:p w14:paraId="5010C48A" w14:textId="77777777" w:rsidR="00337111" w:rsidRPr="0063119B" w:rsidRDefault="00337111" w:rsidP="0044301C">
            <w:pPr>
              <w:pStyle w:val="BayerBodyTextFull"/>
              <w:keepNext/>
              <w:spacing w:before="0" w:after="0"/>
              <w:jc w:val="center"/>
              <w:rPr>
                <w:sz w:val="22"/>
                <w:szCs w:val="22"/>
                <w:lang w:val="pt-PT"/>
              </w:rPr>
            </w:pPr>
          </w:p>
          <w:p w14:paraId="2E50B30F"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659</w:t>
            </w:r>
            <w:r w:rsidRPr="0063119B">
              <w:rPr>
                <w:sz w:val="22"/>
                <w:szCs w:val="22"/>
                <w:lang w:val="pt-PT"/>
              </w:rPr>
              <w:br/>
              <w:t>(5,24)</w:t>
            </w:r>
          </w:p>
        </w:tc>
        <w:tc>
          <w:tcPr>
            <w:tcW w:w="2268" w:type="dxa"/>
          </w:tcPr>
          <w:p w14:paraId="68F20084" w14:textId="77777777" w:rsidR="00337111" w:rsidRPr="0063119B" w:rsidRDefault="00337111" w:rsidP="0044301C">
            <w:pPr>
              <w:pStyle w:val="BayerBodyTextFull"/>
              <w:keepNext/>
              <w:spacing w:before="0" w:after="0"/>
              <w:jc w:val="center"/>
              <w:rPr>
                <w:sz w:val="22"/>
                <w:szCs w:val="22"/>
                <w:lang w:val="pt-PT"/>
              </w:rPr>
            </w:pPr>
          </w:p>
          <w:p w14:paraId="270ABF64"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709</w:t>
            </w:r>
          </w:p>
          <w:p w14:paraId="625D2755"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(5,65)</w:t>
            </w:r>
          </w:p>
        </w:tc>
        <w:tc>
          <w:tcPr>
            <w:tcW w:w="2835" w:type="dxa"/>
          </w:tcPr>
          <w:p w14:paraId="2ABAD713" w14:textId="77777777" w:rsidR="00337111" w:rsidRPr="0063119B" w:rsidRDefault="00337111" w:rsidP="0044301C">
            <w:pPr>
              <w:pStyle w:val="BayerBodyTextFull"/>
              <w:keepNext/>
              <w:spacing w:before="0" w:after="0"/>
              <w:jc w:val="center"/>
              <w:rPr>
                <w:sz w:val="22"/>
                <w:szCs w:val="22"/>
                <w:lang w:val="pt-PT"/>
              </w:rPr>
            </w:pPr>
          </w:p>
          <w:p w14:paraId="5CD9BCA8"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 xml:space="preserve">0,93 </w:t>
            </w:r>
            <w:r w:rsidRPr="0063119B">
              <w:rPr>
                <w:sz w:val="22"/>
                <w:szCs w:val="22"/>
                <w:lang w:val="pt-PT"/>
              </w:rPr>
              <w:br/>
              <w:t xml:space="preserve">(0,83 </w:t>
            </w:r>
            <w:r w:rsidRPr="0063119B">
              <w:rPr>
                <w:sz w:val="22"/>
                <w:szCs w:val="22"/>
                <w:lang w:val="pt-PT"/>
              </w:rPr>
              <w:noBreakHyphen/>
              <w:t> 1,03)</w:t>
            </w:r>
            <w:r w:rsidRPr="0063119B">
              <w:rPr>
                <w:sz w:val="22"/>
                <w:szCs w:val="22"/>
                <w:lang w:val="pt-PT"/>
              </w:rPr>
              <w:br/>
              <w:t>0,158</w:t>
            </w:r>
          </w:p>
        </w:tc>
      </w:tr>
      <w:tr w:rsidR="00337111" w:rsidRPr="0063119B" w14:paraId="4158C284" w14:textId="77777777" w:rsidTr="0044301C">
        <w:trPr>
          <w:cantSplit/>
        </w:trPr>
        <w:tc>
          <w:tcPr>
            <w:tcW w:w="1985" w:type="dxa"/>
            <w:vAlign w:val="center"/>
          </w:tcPr>
          <w:p w14:paraId="09C80DFC" w14:textId="77777777" w:rsidR="00337111" w:rsidRPr="0063119B" w:rsidRDefault="00337111" w:rsidP="0044301C">
            <w:pPr>
              <w:pStyle w:val="BayerTableRowHeadings"/>
              <w:ind w:left="176"/>
              <w:rPr>
                <w:szCs w:val="22"/>
                <w:lang w:val="pt-PT"/>
              </w:rPr>
            </w:pPr>
            <w:r w:rsidRPr="0063119B">
              <w:rPr>
                <w:szCs w:val="22"/>
                <w:lang w:val="pt-PT"/>
              </w:rPr>
              <w:t>Acidente vascular cerebral</w:t>
            </w:r>
          </w:p>
        </w:tc>
        <w:tc>
          <w:tcPr>
            <w:tcW w:w="2268" w:type="dxa"/>
          </w:tcPr>
          <w:p w14:paraId="5ACD4214" w14:textId="77777777" w:rsidR="00337111" w:rsidRPr="0063119B" w:rsidRDefault="00337111" w:rsidP="0044301C">
            <w:pPr>
              <w:pStyle w:val="BayerBodyTextFull"/>
              <w:keepNext/>
              <w:spacing w:before="0" w:after="0"/>
              <w:jc w:val="center"/>
              <w:rPr>
                <w:sz w:val="22"/>
                <w:szCs w:val="22"/>
                <w:lang w:val="pt-PT"/>
              </w:rPr>
            </w:pPr>
          </w:p>
          <w:p w14:paraId="0F6CE8B0"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 xml:space="preserve">253 </w:t>
            </w:r>
            <w:r w:rsidRPr="0063119B">
              <w:rPr>
                <w:sz w:val="22"/>
                <w:szCs w:val="22"/>
                <w:lang w:val="pt-PT"/>
              </w:rPr>
              <w:br/>
              <w:t>(1,99)</w:t>
            </w:r>
          </w:p>
        </w:tc>
        <w:tc>
          <w:tcPr>
            <w:tcW w:w="2268" w:type="dxa"/>
          </w:tcPr>
          <w:p w14:paraId="60275F3C" w14:textId="77777777" w:rsidR="00337111" w:rsidRPr="0063119B" w:rsidRDefault="00337111" w:rsidP="0044301C">
            <w:pPr>
              <w:pStyle w:val="BayerBodyTextFull"/>
              <w:keepNext/>
              <w:spacing w:before="0" w:after="0"/>
              <w:jc w:val="center"/>
              <w:rPr>
                <w:sz w:val="22"/>
                <w:szCs w:val="22"/>
                <w:lang w:val="pt-PT"/>
              </w:rPr>
            </w:pPr>
          </w:p>
          <w:p w14:paraId="617D5C95"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281</w:t>
            </w:r>
          </w:p>
          <w:p w14:paraId="2155AD87"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(2,22)</w:t>
            </w:r>
          </w:p>
        </w:tc>
        <w:tc>
          <w:tcPr>
            <w:tcW w:w="2835" w:type="dxa"/>
          </w:tcPr>
          <w:p w14:paraId="6EEECF02" w14:textId="77777777" w:rsidR="00337111" w:rsidRPr="0063119B" w:rsidRDefault="00337111" w:rsidP="0044301C">
            <w:pPr>
              <w:pStyle w:val="BayerBodyTextFull"/>
              <w:keepNext/>
              <w:spacing w:before="0" w:after="0"/>
              <w:jc w:val="center"/>
              <w:rPr>
                <w:sz w:val="22"/>
                <w:szCs w:val="22"/>
                <w:lang w:val="pt-PT"/>
              </w:rPr>
            </w:pPr>
          </w:p>
          <w:p w14:paraId="5A887E0E"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 xml:space="preserve">0,90 </w:t>
            </w:r>
            <w:r w:rsidRPr="0063119B">
              <w:rPr>
                <w:sz w:val="22"/>
                <w:szCs w:val="22"/>
                <w:lang w:val="pt-PT"/>
              </w:rPr>
              <w:br/>
              <w:t xml:space="preserve">(0,76 </w:t>
            </w:r>
            <w:r w:rsidRPr="0063119B">
              <w:rPr>
                <w:sz w:val="22"/>
                <w:szCs w:val="22"/>
                <w:lang w:val="pt-PT"/>
              </w:rPr>
              <w:noBreakHyphen/>
              <w:t> 1,07)</w:t>
            </w:r>
            <w:r w:rsidRPr="0063119B">
              <w:rPr>
                <w:sz w:val="22"/>
                <w:szCs w:val="22"/>
                <w:lang w:val="pt-PT"/>
              </w:rPr>
              <w:br/>
              <w:t>0,221</w:t>
            </w:r>
          </w:p>
        </w:tc>
      </w:tr>
      <w:tr w:rsidR="00337111" w:rsidRPr="0063119B" w14:paraId="1B129541" w14:textId="77777777" w:rsidTr="0044301C">
        <w:trPr>
          <w:cantSplit/>
        </w:trPr>
        <w:tc>
          <w:tcPr>
            <w:tcW w:w="1985" w:type="dxa"/>
            <w:vAlign w:val="center"/>
          </w:tcPr>
          <w:p w14:paraId="052B1D38" w14:textId="77777777" w:rsidR="00337111" w:rsidRPr="0063119B" w:rsidRDefault="00337111" w:rsidP="0044301C">
            <w:pPr>
              <w:pStyle w:val="BayerTableRowHeadings"/>
              <w:ind w:left="176"/>
              <w:rPr>
                <w:szCs w:val="22"/>
                <w:lang w:val="pt-PT"/>
              </w:rPr>
            </w:pPr>
            <w:r w:rsidRPr="0063119B">
              <w:rPr>
                <w:szCs w:val="22"/>
                <w:lang w:val="pt-PT"/>
              </w:rPr>
              <w:t>Embolismo sistémico que não do SNC</w:t>
            </w:r>
          </w:p>
        </w:tc>
        <w:tc>
          <w:tcPr>
            <w:tcW w:w="2268" w:type="dxa"/>
          </w:tcPr>
          <w:p w14:paraId="620CA9F6" w14:textId="77777777" w:rsidR="00337111" w:rsidRPr="0063119B" w:rsidRDefault="00337111" w:rsidP="0044301C">
            <w:pPr>
              <w:pStyle w:val="BayerBodyTextFull"/>
              <w:keepNext/>
              <w:spacing w:before="0" w:after="0"/>
              <w:jc w:val="center"/>
              <w:rPr>
                <w:sz w:val="22"/>
                <w:szCs w:val="22"/>
                <w:lang w:val="pt-PT"/>
              </w:rPr>
            </w:pPr>
          </w:p>
          <w:p w14:paraId="1AE11A30"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 xml:space="preserve">20 </w:t>
            </w:r>
            <w:r w:rsidRPr="0063119B">
              <w:rPr>
                <w:sz w:val="22"/>
                <w:szCs w:val="22"/>
                <w:lang w:val="pt-PT"/>
              </w:rPr>
              <w:br/>
              <w:t>(0,16)</w:t>
            </w:r>
          </w:p>
        </w:tc>
        <w:tc>
          <w:tcPr>
            <w:tcW w:w="2268" w:type="dxa"/>
          </w:tcPr>
          <w:p w14:paraId="48B6526B" w14:textId="77777777" w:rsidR="00337111" w:rsidRPr="0063119B" w:rsidRDefault="00337111" w:rsidP="0044301C">
            <w:pPr>
              <w:pStyle w:val="BayerBodyTextFull"/>
              <w:keepNext/>
              <w:spacing w:before="0" w:after="0"/>
              <w:jc w:val="center"/>
              <w:rPr>
                <w:sz w:val="22"/>
                <w:szCs w:val="22"/>
                <w:lang w:val="pt-PT"/>
              </w:rPr>
            </w:pPr>
          </w:p>
          <w:p w14:paraId="1584A871"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27</w:t>
            </w:r>
          </w:p>
          <w:p w14:paraId="1D3EBB2A"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(0,21)</w:t>
            </w:r>
          </w:p>
        </w:tc>
        <w:tc>
          <w:tcPr>
            <w:tcW w:w="2835" w:type="dxa"/>
          </w:tcPr>
          <w:p w14:paraId="0A9EF202" w14:textId="77777777" w:rsidR="00337111" w:rsidRPr="0063119B" w:rsidRDefault="00337111" w:rsidP="0044301C">
            <w:pPr>
              <w:pStyle w:val="BayerBodyTextFull"/>
              <w:keepNext/>
              <w:spacing w:before="0" w:after="0"/>
              <w:jc w:val="center"/>
              <w:rPr>
                <w:sz w:val="22"/>
                <w:szCs w:val="22"/>
                <w:lang w:val="pt-PT"/>
              </w:rPr>
            </w:pPr>
          </w:p>
          <w:p w14:paraId="0EB6EF9A"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 xml:space="preserve">0,74 </w:t>
            </w:r>
            <w:r w:rsidRPr="0063119B">
              <w:rPr>
                <w:sz w:val="22"/>
                <w:szCs w:val="22"/>
                <w:lang w:val="pt-PT"/>
              </w:rPr>
              <w:br/>
              <w:t xml:space="preserve">(0,42 </w:t>
            </w:r>
            <w:r w:rsidRPr="0063119B">
              <w:rPr>
                <w:sz w:val="22"/>
                <w:szCs w:val="22"/>
                <w:lang w:val="pt-PT"/>
              </w:rPr>
              <w:noBreakHyphen/>
              <w:t> 1,32)</w:t>
            </w:r>
            <w:r w:rsidRPr="0063119B">
              <w:rPr>
                <w:sz w:val="22"/>
                <w:szCs w:val="22"/>
                <w:lang w:val="pt-PT"/>
              </w:rPr>
              <w:br/>
              <w:t>0,308</w:t>
            </w:r>
          </w:p>
        </w:tc>
      </w:tr>
      <w:tr w:rsidR="00337111" w:rsidRPr="0063119B" w14:paraId="5FC9A1F5" w14:textId="77777777" w:rsidTr="0044301C">
        <w:trPr>
          <w:cantSplit/>
        </w:trPr>
        <w:tc>
          <w:tcPr>
            <w:tcW w:w="1985" w:type="dxa"/>
            <w:vAlign w:val="center"/>
          </w:tcPr>
          <w:p w14:paraId="32F49BD5" w14:textId="77777777" w:rsidR="00337111" w:rsidRPr="0063119B" w:rsidRDefault="00337111" w:rsidP="0044301C">
            <w:pPr>
              <w:pStyle w:val="BayerTableRowHeadings"/>
              <w:rPr>
                <w:szCs w:val="22"/>
                <w:lang w:val="pt-PT"/>
              </w:rPr>
            </w:pPr>
            <w:r w:rsidRPr="0063119B">
              <w:rPr>
                <w:szCs w:val="22"/>
                <w:lang w:val="pt-PT"/>
              </w:rPr>
              <w:t>Enfarte do miocárdio</w:t>
            </w:r>
          </w:p>
        </w:tc>
        <w:tc>
          <w:tcPr>
            <w:tcW w:w="2268" w:type="dxa"/>
          </w:tcPr>
          <w:p w14:paraId="6D0AFD36" w14:textId="77777777" w:rsidR="00337111" w:rsidRPr="0063119B" w:rsidRDefault="00337111" w:rsidP="0044301C">
            <w:pPr>
              <w:pStyle w:val="BayerBodyTextFull"/>
              <w:keepNext/>
              <w:spacing w:before="0" w:after="0"/>
              <w:jc w:val="center"/>
              <w:rPr>
                <w:sz w:val="22"/>
                <w:szCs w:val="22"/>
                <w:lang w:val="pt-PT"/>
              </w:rPr>
            </w:pPr>
          </w:p>
          <w:p w14:paraId="59A101B8"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130</w:t>
            </w:r>
          </w:p>
          <w:p w14:paraId="10CBC87D"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(1,02)</w:t>
            </w:r>
          </w:p>
        </w:tc>
        <w:tc>
          <w:tcPr>
            <w:tcW w:w="2268" w:type="dxa"/>
          </w:tcPr>
          <w:p w14:paraId="74D71250" w14:textId="77777777" w:rsidR="00337111" w:rsidRPr="0063119B" w:rsidRDefault="00337111" w:rsidP="0044301C">
            <w:pPr>
              <w:pStyle w:val="BayerBodyTextFull"/>
              <w:keepNext/>
              <w:spacing w:before="0" w:after="0"/>
              <w:jc w:val="center"/>
              <w:rPr>
                <w:sz w:val="22"/>
                <w:szCs w:val="22"/>
                <w:lang w:val="pt-PT"/>
              </w:rPr>
            </w:pPr>
          </w:p>
          <w:p w14:paraId="79E67C06"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142</w:t>
            </w:r>
          </w:p>
          <w:p w14:paraId="1A30E0DA"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(1,11)</w:t>
            </w:r>
          </w:p>
        </w:tc>
        <w:tc>
          <w:tcPr>
            <w:tcW w:w="2835" w:type="dxa"/>
          </w:tcPr>
          <w:p w14:paraId="602EC99C" w14:textId="77777777" w:rsidR="00337111" w:rsidRPr="0063119B" w:rsidRDefault="00337111" w:rsidP="0044301C">
            <w:pPr>
              <w:pStyle w:val="BayerBodyTextFull"/>
              <w:keepNext/>
              <w:spacing w:before="0" w:after="0"/>
              <w:jc w:val="center"/>
              <w:rPr>
                <w:sz w:val="22"/>
                <w:szCs w:val="22"/>
                <w:lang w:val="pt-PT"/>
              </w:rPr>
            </w:pPr>
          </w:p>
          <w:p w14:paraId="7DF94B45" w14:textId="77777777" w:rsidR="00337111" w:rsidRPr="0063119B" w:rsidRDefault="00337111" w:rsidP="0044301C">
            <w:pPr>
              <w:pStyle w:val="BayerBodyTextFull"/>
              <w:keepNext/>
              <w:spacing w:before="0" w:after="0"/>
              <w:jc w:val="center"/>
              <w:rPr>
                <w:sz w:val="22"/>
                <w:szCs w:val="22"/>
                <w:lang w:val="pt-PT"/>
              </w:rPr>
            </w:pPr>
            <w:r w:rsidRPr="0063119B">
              <w:rPr>
                <w:sz w:val="22"/>
                <w:szCs w:val="22"/>
                <w:lang w:val="pt-PT"/>
              </w:rPr>
              <w:t xml:space="preserve">0,91 </w:t>
            </w:r>
            <w:r w:rsidRPr="0063119B">
              <w:rPr>
                <w:sz w:val="22"/>
                <w:szCs w:val="22"/>
                <w:lang w:val="pt-PT"/>
              </w:rPr>
              <w:br/>
              <w:t xml:space="preserve">(0,72 </w:t>
            </w:r>
            <w:r w:rsidRPr="0063119B">
              <w:rPr>
                <w:sz w:val="22"/>
                <w:szCs w:val="22"/>
                <w:lang w:val="pt-PT"/>
              </w:rPr>
              <w:noBreakHyphen/>
              <w:t xml:space="preserve"> 1,16) </w:t>
            </w:r>
            <w:r w:rsidRPr="0063119B">
              <w:rPr>
                <w:sz w:val="22"/>
                <w:szCs w:val="22"/>
                <w:lang w:val="pt-PT"/>
              </w:rPr>
              <w:br/>
              <w:t>0,464</w:t>
            </w:r>
          </w:p>
        </w:tc>
      </w:tr>
    </w:tbl>
    <w:p w14:paraId="555712A3" w14:textId="77777777" w:rsidR="00337111" w:rsidRPr="0063119B" w:rsidRDefault="00337111" w:rsidP="00337111">
      <w:pPr>
        <w:rPr>
          <w:szCs w:val="22"/>
        </w:rPr>
      </w:pPr>
    </w:p>
    <w:p w14:paraId="0872E0DE" w14:textId="77777777" w:rsidR="00337111" w:rsidRPr="0063119B" w:rsidRDefault="00337111" w:rsidP="00337111">
      <w:pPr>
        <w:keepNext/>
        <w:rPr>
          <w:szCs w:val="22"/>
        </w:rPr>
      </w:pPr>
      <w:r w:rsidRPr="0063119B">
        <w:rPr>
          <w:b/>
          <w:szCs w:val="22"/>
        </w:rPr>
        <w:lastRenderedPageBreak/>
        <w:t>Quadro</w:t>
      </w:r>
      <w:r w:rsidRPr="0063119B">
        <w:rPr>
          <w:rFonts w:eastAsia="PMingLiU"/>
          <w:b/>
          <w:szCs w:val="22"/>
        </w:rPr>
        <w:t> </w:t>
      </w:r>
      <w:r w:rsidR="00977B6C" w:rsidRPr="0063119B">
        <w:rPr>
          <w:rFonts w:eastAsia="PMingLiU"/>
          <w:b/>
          <w:szCs w:val="22"/>
        </w:rPr>
        <w:t>5</w:t>
      </w:r>
      <w:r w:rsidRPr="0063119B">
        <w:rPr>
          <w:rFonts w:eastAsia="PMingLiU"/>
          <w:b/>
          <w:szCs w:val="22"/>
        </w:rPr>
        <w:t>: Resultados de segurança do estudo de fase III ROCKET AF</w:t>
      </w:r>
    </w:p>
    <w:tbl>
      <w:tblPr>
        <w:tblW w:w="95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
        <w:gridCol w:w="2640"/>
        <w:gridCol w:w="2460"/>
        <w:gridCol w:w="2460"/>
        <w:gridCol w:w="1493"/>
        <w:gridCol w:w="377"/>
      </w:tblGrid>
      <w:tr w:rsidR="00337111" w:rsidRPr="0063119B" w14:paraId="622E5BA8" w14:textId="77777777" w:rsidTr="006A13A4">
        <w:trPr>
          <w:gridBefore w:val="1"/>
          <w:wBefore w:w="147" w:type="dxa"/>
        </w:trPr>
        <w:tc>
          <w:tcPr>
            <w:tcW w:w="2640" w:type="dxa"/>
          </w:tcPr>
          <w:p w14:paraId="3A295C78" w14:textId="77777777" w:rsidR="00337111" w:rsidRPr="0063119B" w:rsidRDefault="00337111" w:rsidP="0044301C">
            <w:pPr>
              <w:pStyle w:val="BayerTableColumnHeadings"/>
              <w:keepNext/>
              <w:jc w:val="left"/>
              <w:rPr>
                <w:bCs/>
                <w:szCs w:val="22"/>
                <w:lang w:val="pt-PT"/>
              </w:rPr>
            </w:pPr>
            <w:r w:rsidRPr="0063119B">
              <w:rPr>
                <w:bCs/>
                <w:szCs w:val="22"/>
                <w:lang w:val="pt-PT"/>
              </w:rPr>
              <w:lastRenderedPageBreak/>
              <w:t>População do estudo</w:t>
            </w:r>
          </w:p>
        </w:tc>
        <w:tc>
          <w:tcPr>
            <w:tcW w:w="6790" w:type="dxa"/>
            <w:gridSpan w:val="4"/>
          </w:tcPr>
          <w:p w14:paraId="5FCD4DCB" w14:textId="77777777" w:rsidR="00337111" w:rsidRPr="0063119B" w:rsidRDefault="00337111" w:rsidP="0044301C">
            <w:pPr>
              <w:pStyle w:val="BayerTableColumnHeadings"/>
              <w:keepNext/>
              <w:jc w:val="left"/>
              <w:rPr>
                <w:bCs/>
                <w:szCs w:val="22"/>
                <w:vertAlign w:val="superscript"/>
                <w:lang w:val="pt-PT"/>
              </w:rPr>
            </w:pPr>
            <w:r w:rsidRPr="0063119B">
              <w:rPr>
                <w:bCs/>
                <w:szCs w:val="22"/>
                <w:lang w:val="pt-PT"/>
              </w:rPr>
              <w:t>Doentes com fibrilhação auricular não-valvular</w:t>
            </w:r>
            <w:r w:rsidRPr="0063119B">
              <w:rPr>
                <w:bCs/>
                <w:szCs w:val="22"/>
                <w:vertAlign w:val="superscript"/>
                <w:lang w:val="pt-PT"/>
              </w:rPr>
              <w:t>a</w:t>
            </w:r>
            <w:r w:rsidR="00F3647F" w:rsidRPr="0063119B">
              <w:rPr>
                <w:bCs/>
                <w:szCs w:val="22"/>
                <w:vertAlign w:val="superscript"/>
                <w:lang w:val="pt-PT"/>
              </w:rPr>
              <w:t>)</w:t>
            </w:r>
          </w:p>
        </w:tc>
      </w:tr>
      <w:tr w:rsidR="00337111" w:rsidRPr="0063119B" w14:paraId="301419C4" w14:textId="77777777" w:rsidTr="006A13A4">
        <w:trPr>
          <w:gridBefore w:val="1"/>
          <w:wBefore w:w="147" w:type="dxa"/>
        </w:trPr>
        <w:tc>
          <w:tcPr>
            <w:tcW w:w="2640" w:type="dxa"/>
            <w:vAlign w:val="center"/>
          </w:tcPr>
          <w:p w14:paraId="277F1FFD" w14:textId="77777777" w:rsidR="00337111" w:rsidRPr="0063119B" w:rsidRDefault="00337111" w:rsidP="0044301C">
            <w:pPr>
              <w:pStyle w:val="BayerTableRowHeadings"/>
              <w:widowControl/>
              <w:spacing w:before="120" w:line="260" w:lineRule="exact"/>
              <w:rPr>
                <w:b/>
                <w:bCs/>
                <w:szCs w:val="22"/>
                <w:lang w:val="pt-PT"/>
              </w:rPr>
            </w:pPr>
            <w:r w:rsidRPr="0063119B">
              <w:rPr>
                <w:b/>
                <w:bCs/>
                <w:szCs w:val="22"/>
                <w:lang w:val="pt-PT"/>
              </w:rPr>
              <w:t>Doses do tratamento</w:t>
            </w:r>
          </w:p>
        </w:tc>
        <w:tc>
          <w:tcPr>
            <w:tcW w:w="2460" w:type="dxa"/>
          </w:tcPr>
          <w:p w14:paraId="52FAEC39" w14:textId="77777777" w:rsidR="00337111" w:rsidRPr="0063119B" w:rsidRDefault="00CD587B" w:rsidP="0044301C">
            <w:pPr>
              <w:pStyle w:val="BayerBodyTextFull"/>
              <w:keepNext/>
              <w:spacing w:line="260" w:lineRule="exact"/>
              <w:ind w:left="12"/>
              <w:rPr>
                <w:b/>
                <w:bCs/>
                <w:sz w:val="22"/>
                <w:szCs w:val="22"/>
                <w:lang w:val="pt-PT"/>
              </w:rPr>
            </w:pPr>
            <w:r w:rsidRPr="0063119B">
              <w:rPr>
                <w:b/>
                <w:bCs/>
                <w:sz w:val="22"/>
                <w:szCs w:val="22"/>
                <w:lang w:val="pt-PT"/>
              </w:rPr>
              <w:t>Rivaroxabano</w:t>
            </w:r>
            <w:r w:rsidR="006E160F">
              <w:rPr>
                <w:b/>
                <w:bCs/>
                <w:sz w:val="22"/>
                <w:szCs w:val="22"/>
                <w:lang w:val="pt-PT"/>
              </w:rPr>
              <w:t xml:space="preserve"> </w:t>
            </w:r>
            <w:r w:rsidR="00337111" w:rsidRPr="0063119B">
              <w:rPr>
                <w:b/>
                <w:bCs/>
                <w:sz w:val="22"/>
                <w:szCs w:val="22"/>
                <w:lang w:val="pt-PT"/>
              </w:rPr>
              <w:t>20 mg uma vez por dia (15 mg uma vez por dia em doentes com compromisso renal moderado)</w:t>
            </w:r>
          </w:p>
          <w:p w14:paraId="7F453333" w14:textId="77777777" w:rsidR="00337111" w:rsidRPr="0063119B" w:rsidRDefault="00337111" w:rsidP="0044301C">
            <w:pPr>
              <w:pStyle w:val="BayerBodyTextFull"/>
              <w:keepNext/>
              <w:spacing w:line="260" w:lineRule="exact"/>
              <w:ind w:left="12"/>
              <w:rPr>
                <w:b/>
                <w:bCs/>
                <w:sz w:val="22"/>
                <w:szCs w:val="22"/>
                <w:lang w:val="pt-PT"/>
              </w:rPr>
            </w:pPr>
            <w:r w:rsidRPr="0063119B">
              <w:rPr>
                <w:b/>
                <w:bCs/>
                <w:sz w:val="22"/>
                <w:szCs w:val="22"/>
                <w:lang w:val="pt-PT"/>
              </w:rPr>
              <w:t>Taxa de acontecimentos (100 dts</w:t>
            </w:r>
            <w:r w:rsidRPr="0063119B">
              <w:rPr>
                <w:b/>
                <w:bCs/>
                <w:sz w:val="22"/>
                <w:szCs w:val="22"/>
                <w:lang w:val="pt-PT"/>
              </w:rPr>
              <w:noBreakHyphen/>
              <w:t>ano)</w:t>
            </w:r>
          </w:p>
        </w:tc>
        <w:tc>
          <w:tcPr>
            <w:tcW w:w="2460" w:type="dxa"/>
          </w:tcPr>
          <w:p w14:paraId="1CCA2C55" w14:textId="77777777" w:rsidR="00337111" w:rsidRPr="0063119B" w:rsidRDefault="00337111" w:rsidP="0044301C">
            <w:pPr>
              <w:pStyle w:val="BayerBodyTextFull"/>
              <w:keepNext/>
              <w:spacing w:line="260" w:lineRule="exact"/>
              <w:ind w:left="12"/>
              <w:rPr>
                <w:b/>
                <w:bCs/>
                <w:sz w:val="22"/>
                <w:szCs w:val="22"/>
                <w:lang w:val="pt-PT"/>
              </w:rPr>
            </w:pPr>
            <w:r w:rsidRPr="0063119B">
              <w:rPr>
                <w:b/>
                <w:bCs/>
                <w:sz w:val="22"/>
                <w:szCs w:val="22"/>
                <w:lang w:val="pt-PT"/>
              </w:rPr>
              <w:t>Varfarina</w:t>
            </w:r>
            <w:r w:rsidR="006E160F">
              <w:rPr>
                <w:b/>
                <w:bCs/>
                <w:sz w:val="22"/>
                <w:szCs w:val="22"/>
                <w:lang w:val="pt-PT"/>
              </w:rPr>
              <w:t xml:space="preserve"> </w:t>
            </w:r>
            <w:r w:rsidRPr="0063119B">
              <w:rPr>
                <w:b/>
                <w:bCs/>
                <w:sz w:val="22"/>
                <w:szCs w:val="22"/>
                <w:lang w:val="pt-PT"/>
              </w:rPr>
              <w:t xml:space="preserve"> titulada até um INR alvo de 2,5 (intervalo terapêutico de 2,0 a 3,0)</w:t>
            </w:r>
          </w:p>
          <w:p w14:paraId="131375A6" w14:textId="77777777" w:rsidR="00337111" w:rsidRPr="0063119B" w:rsidRDefault="00337111" w:rsidP="0044301C">
            <w:pPr>
              <w:pStyle w:val="BayerBodyTextFull"/>
              <w:keepNext/>
              <w:spacing w:line="260" w:lineRule="exact"/>
              <w:ind w:left="12"/>
              <w:rPr>
                <w:b/>
                <w:bCs/>
                <w:sz w:val="22"/>
                <w:szCs w:val="22"/>
                <w:lang w:val="pt-PT"/>
              </w:rPr>
            </w:pPr>
            <w:r w:rsidRPr="0063119B">
              <w:rPr>
                <w:b/>
                <w:bCs/>
                <w:sz w:val="22"/>
                <w:szCs w:val="22"/>
                <w:lang w:val="pt-PT"/>
              </w:rPr>
              <w:t>Taxa de acontecimentos (100 dts</w:t>
            </w:r>
            <w:r w:rsidRPr="0063119B">
              <w:rPr>
                <w:b/>
                <w:bCs/>
                <w:sz w:val="22"/>
                <w:szCs w:val="22"/>
                <w:lang w:val="pt-PT"/>
              </w:rPr>
              <w:noBreakHyphen/>
              <w:t>ano)</w:t>
            </w:r>
          </w:p>
        </w:tc>
        <w:tc>
          <w:tcPr>
            <w:tcW w:w="1870" w:type="dxa"/>
            <w:gridSpan w:val="2"/>
            <w:vAlign w:val="center"/>
          </w:tcPr>
          <w:p w14:paraId="6C9520B1" w14:textId="77777777" w:rsidR="00337111" w:rsidRPr="0063119B" w:rsidRDefault="002F4A3F" w:rsidP="00AA4546">
            <w:pPr>
              <w:pStyle w:val="BayerBodyTextFull"/>
              <w:keepNext/>
              <w:spacing w:line="260" w:lineRule="exact"/>
              <w:ind w:left="12"/>
              <w:rPr>
                <w:b/>
                <w:bCs/>
                <w:sz w:val="22"/>
                <w:szCs w:val="22"/>
                <w:lang w:val="pt-PT"/>
              </w:rPr>
            </w:pPr>
            <w:r w:rsidRPr="0063119B">
              <w:rPr>
                <w:b/>
                <w:bCs/>
                <w:sz w:val="22"/>
                <w:szCs w:val="22"/>
                <w:lang w:val="pt-PT"/>
              </w:rPr>
              <w:t>RR</w:t>
            </w:r>
            <w:r w:rsidR="00337111" w:rsidRPr="0063119B">
              <w:rPr>
                <w:b/>
                <w:bCs/>
                <w:sz w:val="22"/>
                <w:szCs w:val="22"/>
                <w:lang w:val="pt-PT"/>
              </w:rPr>
              <w:t xml:space="preserve"> (IC 95%)</w:t>
            </w:r>
            <w:r w:rsidR="006E160F">
              <w:rPr>
                <w:b/>
                <w:bCs/>
                <w:sz w:val="22"/>
                <w:szCs w:val="22"/>
                <w:lang w:val="pt-PT"/>
              </w:rPr>
              <w:t xml:space="preserve"> </w:t>
            </w:r>
            <w:r w:rsidR="00337111" w:rsidRPr="0063119B">
              <w:rPr>
                <w:b/>
                <w:bCs/>
                <w:sz w:val="22"/>
                <w:szCs w:val="22"/>
                <w:lang w:val="pt-PT"/>
              </w:rPr>
              <w:t>valor-p</w:t>
            </w:r>
          </w:p>
        </w:tc>
      </w:tr>
      <w:tr w:rsidR="00337111" w:rsidRPr="0063119B" w14:paraId="0BB39F94" w14:textId="77777777" w:rsidTr="006A13A4">
        <w:trPr>
          <w:gridBefore w:val="1"/>
          <w:wBefore w:w="147" w:type="dxa"/>
        </w:trPr>
        <w:tc>
          <w:tcPr>
            <w:tcW w:w="2640" w:type="dxa"/>
          </w:tcPr>
          <w:p w14:paraId="0E2D4A99" w14:textId="77777777" w:rsidR="00337111" w:rsidRPr="0063119B" w:rsidRDefault="00337111" w:rsidP="0044301C">
            <w:pPr>
              <w:pStyle w:val="BayerTableRowHeadings"/>
              <w:spacing w:before="120" w:line="260" w:lineRule="exact"/>
              <w:rPr>
                <w:szCs w:val="22"/>
                <w:lang w:val="pt-PT"/>
              </w:rPr>
            </w:pPr>
            <w:r w:rsidRPr="0063119B">
              <w:rPr>
                <w:szCs w:val="22"/>
                <w:lang w:val="pt-PT"/>
              </w:rPr>
              <w:t>Acontecimentos hemorrágicos principais e não principais clinicamente relevantes</w:t>
            </w:r>
          </w:p>
        </w:tc>
        <w:tc>
          <w:tcPr>
            <w:tcW w:w="2460" w:type="dxa"/>
          </w:tcPr>
          <w:p w14:paraId="7A93939D"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1.475</w:t>
            </w:r>
            <w:r w:rsidRPr="0063119B">
              <w:rPr>
                <w:sz w:val="22"/>
                <w:szCs w:val="22"/>
                <w:lang w:val="pt-PT"/>
              </w:rPr>
              <w:br/>
              <w:t>(14,91)</w:t>
            </w:r>
          </w:p>
        </w:tc>
        <w:tc>
          <w:tcPr>
            <w:tcW w:w="2460" w:type="dxa"/>
          </w:tcPr>
          <w:p w14:paraId="0A92EB8B"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1.449</w:t>
            </w:r>
            <w:r w:rsidRPr="0063119B">
              <w:rPr>
                <w:sz w:val="22"/>
                <w:szCs w:val="22"/>
                <w:lang w:val="pt-PT"/>
              </w:rPr>
              <w:br/>
              <w:t>(14,52)</w:t>
            </w:r>
          </w:p>
        </w:tc>
        <w:tc>
          <w:tcPr>
            <w:tcW w:w="1870" w:type="dxa"/>
            <w:gridSpan w:val="2"/>
          </w:tcPr>
          <w:p w14:paraId="4162F090"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1,03 (0,96 </w:t>
            </w:r>
            <w:r w:rsidRPr="0063119B">
              <w:rPr>
                <w:sz w:val="22"/>
                <w:szCs w:val="22"/>
                <w:lang w:val="pt-PT"/>
              </w:rPr>
              <w:noBreakHyphen/>
              <w:t> 1,11)</w:t>
            </w:r>
            <w:r w:rsidRPr="0063119B">
              <w:rPr>
                <w:sz w:val="22"/>
                <w:szCs w:val="22"/>
                <w:lang w:val="pt-PT"/>
              </w:rPr>
              <w:br/>
              <w:t>0,442</w:t>
            </w:r>
          </w:p>
        </w:tc>
      </w:tr>
      <w:tr w:rsidR="00337111" w:rsidRPr="0063119B" w14:paraId="5FE2FA55" w14:textId="77777777" w:rsidTr="006A13A4">
        <w:trPr>
          <w:gridBefore w:val="1"/>
          <w:wBefore w:w="147" w:type="dxa"/>
        </w:trPr>
        <w:tc>
          <w:tcPr>
            <w:tcW w:w="2640" w:type="dxa"/>
          </w:tcPr>
          <w:p w14:paraId="04FDAD63" w14:textId="77777777" w:rsidR="00337111" w:rsidRPr="0063119B" w:rsidRDefault="00337111" w:rsidP="0044301C">
            <w:pPr>
              <w:pStyle w:val="BayerTableRowHeadings"/>
              <w:spacing w:before="120" w:line="260" w:lineRule="exact"/>
              <w:ind w:left="318"/>
              <w:rPr>
                <w:szCs w:val="22"/>
                <w:lang w:val="pt-PT"/>
              </w:rPr>
            </w:pPr>
            <w:r w:rsidRPr="0063119B">
              <w:rPr>
                <w:szCs w:val="22"/>
                <w:lang w:val="pt-PT"/>
              </w:rPr>
              <w:t>Acontecimentos hemorrágicos principais</w:t>
            </w:r>
          </w:p>
        </w:tc>
        <w:tc>
          <w:tcPr>
            <w:tcW w:w="2460" w:type="dxa"/>
          </w:tcPr>
          <w:p w14:paraId="12F1606C"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395</w:t>
            </w:r>
            <w:r w:rsidRPr="0063119B">
              <w:rPr>
                <w:sz w:val="22"/>
                <w:szCs w:val="22"/>
                <w:lang w:val="pt-PT"/>
              </w:rPr>
              <w:br/>
              <w:t>(3,60)</w:t>
            </w:r>
          </w:p>
        </w:tc>
        <w:tc>
          <w:tcPr>
            <w:tcW w:w="2460" w:type="dxa"/>
          </w:tcPr>
          <w:p w14:paraId="510CBE37"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386</w:t>
            </w:r>
            <w:r w:rsidRPr="0063119B">
              <w:rPr>
                <w:sz w:val="22"/>
                <w:szCs w:val="22"/>
                <w:lang w:val="pt-PT"/>
              </w:rPr>
              <w:br/>
              <w:t>(3,45)</w:t>
            </w:r>
          </w:p>
        </w:tc>
        <w:tc>
          <w:tcPr>
            <w:tcW w:w="1870" w:type="dxa"/>
            <w:gridSpan w:val="2"/>
          </w:tcPr>
          <w:p w14:paraId="70EA198C"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1,04 (0,90 </w:t>
            </w:r>
            <w:r w:rsidRPr="0063119B">
              <w:rPr>
                <w:sz w:val="22"/>
                <w:szCs w:val="22"/>
                <w:lang w:val="pt-PT"/>
              </w:rPr>
              <w:noBreakHyphen/>
              <w:t> 1,20)</w:t>
            </w:r>
            <w:r w:rsidRPr="0063119B">
              <w:rPr>
                <w:sz w:val="22"/>
                <w:szCs w:val="22"/>
                <w:lang w:val="pt-PT"/>
              </w:rPr>
              <w:br/>
              <w:t>0,576</w:t>
            </w:r>
          </w:p>
        </w:tc>
      </w:tr>
      <w:tr w:rsidR="00337111" w:rsidRPr="0063119B" w14:paraId="6006A051" w14:textId="77777777" w:rsidTr="006A13A4">
        <w:trPr>
          <w:gridBefore w:val="1"/>
          <w:wBefore w:w="147" w:type="dxa"/>
        </w:trPr>
        <w:tc>
          <w:tcPr>
            <w:tcW w:w="2640" w:type="dxa"/>
          </w:tcPr>
          <w:p w14:paraId="21AA6D11" w14:textId="77777777" w:rsidR="00337111" w:rsidRPr="0063119B" w:rsidRDefault="00337111" w:rsidP="0044301C">
            <w:pPr>
              <w:pStyle w:val="NormalWeb"/>
              <w:keepNext/>
              <w:spacing w:before="120" w:after="120" w:line="260" w:lineRule="exact"/>
              <w:ind w:left="318"/>
              <w:jc w:val="left"/>
              <w:rPr>
                <w:sz w:val="22"/>
                <w:szCs w:val="22"/>
                <w:lang w:val="pt-PT"/>
              </w:rPr>
            </w:pPr>
            <w:r w:rsidRPr="0063119B">
              <w:rPr>
                <w:sz w:val="22"/>
                <w:szCs w:val="22"/>
                <w:lang w:val="pt-PT"/>
              </w:rPr>
              <w:t>Morte causada por hemorragia*</w:t>
            </w:r>
          </w:p>
        </w:tc>
        <w:tc>
          <w:tcPr>
            <w:tcW w:w="2460" w:type="dxa"/>
          </w:tcPr>
          <w:p w14:paraId="2226E504"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27</w:t>
            </w:r>
            <w:r w:rsidRPr="0063119B">
              <w:rPr>
                <w:sz w:val="22"/>
                <w:szCs w:val="22"/>
                <w:lang w:val="pt-PT"/>
              </w:rPr>
              <w:br/>
              <w:t>(0,24)</w:t>
            </w:r>
          </w:p>
        </w:tc>
        <w:tc>
          <w:tcPr>
            <w:tcW w:w="2460" w:type="dxa"/>
          </w:tcPr>
          <w:p w14:paraId="492C9B00"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55</w:t>
            </w:r>
            <w:r w:rsidRPr="0063119B">
              <w:rPr>
                <w:sz w:val="22"/>
                <w:szCs w:val="22"/>
                <w:lang w:val="pt-PT"/>
              </w:rPr>
              <w:br/>
              <w:t>(0,48)</w:t>
            </w:r>
          </w:p>
        </w:tc>
        <w:tc>
          <w:tcPr>
            <w:tcW w:w="1870" w:type="dxa"/>
            <w:gridSpan w:val="2"/>
          </w:tcPr>
          <w:p w14:paraId="4F4332F4"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0,50 (0,31 </w:t>
            </w:r>
            <w:r w:rsidRPr="0063119B">
              <w:rPr>
                <w:sz w:val="22"/>
                <w:szCs w:val="22"/>
                <w:lang w:val="pt-PT"/>
              </w:rPr>
              <w:noBreakHyphen/>
              <w:t> 0,79)</w:t>
            </w:r>
            <w:r w:rsidRPr="0063119B">
              <w:rPr>
                <w:sz w:val="22"/>
                <w:szCs w:val="22"/>
                <w:lang w:val="pt-PT"/>
              </w:rPr>
              <w:br/>
              <w:t>0,003</w:t>
            </w:r>
          </w:p>
        </w:tc>
      </w:tr>
      <w:tr w:rsidR="00337111" w:rsidRPr="0063119B" w14:paraId="5C7B73FC" w14:textId="77777777" w:rsidTr="006A13A4">
        <w:trPr>
          <w:gridBefore w:val="1"/>
          <w:wBefore w:w="147" w:type="dxa"/>
        </w:trPr>
        <w:tc>
          <w:tcPr>
            <w:tcW w:w="2640" w:type="dxa"/>
          </w:tcPr>
          <w:p w14:paraId="79412FEB" w14:textId="77777777" w:rsidR="00337111" w:rsidRPr="0063119B" w:rsidRDefault="00337111" w:rsidP="0044301C">
            <w:pPr>
              <w:pStyle w:val="BayerTableRowHeadings"/>
              <w:spacing w:before="120" w:line="260" w:lineRule="exact"/>
              <w:ind w:left="318" w:hanging="176"/>
              <w:rPr>
                <w:szCs w:val="22"/>
                <w:lang w:val="pt-PT"/>
              </w:rPr>
            </w:pPr>
            <w:r w:rsidRPr="0063119B">
              <w:rPr>
                <w:szCs w:val="22"/>
                <w:lang w:val="pt-PT"/>
              </w:rPr>
              <w:t xml:space="preserve">  Hemorragia de um órgão crítico*</w:t>
            </w:r>
          </w:p>
        </w:tc>
        <w:tc>
          <w:tcPr>
            <w:tcW w:w="2460" w:type="dxa"/>
          </w:tcPr>
          <w:p w14:paraId="54D84B2C"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91</w:t>
            </w:r>
            <w:r w:rsidRPr="0063119B">
              <w:rPr>
                <w:sz w:val="22"/>
                <w:szCs w:val="22"/>
                <w:lang w:val="pt-PT"/>
              </w:rPr>
              <w:br/>
              <w:t>(0,82)</w:t>
            </w:r>
          </w:p>
        </w:tc>
        <w:tc>
          <w:tcPr>
            <w:tcW w:w="2460" w:type="dxa"/>
          </w:tcPr>
          <w:p w14:paraId="08C8BA1E"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133</w:t>
            </w:r>
            <w:r w:rsidRPr="0063119B">
              <w:rPr>
                <w:sz w:val="22"/>
                <w:szCs w:val="22"/>
                <w:lang w:val="pt-PT"/>
              </w:rPr>
              <w:br/>
              <w:t>(1,18)</w:t>
            </w:r>
          </w:p>
        </w:tc>
        <w:tc>
          <w:tcPr>
            <w:tcW w:w="1870" w:type="dxa"/>
            <w:gridSpan w:val="2"/>
          </w:tcPr>
          <w:p w14:paraId="1798D04A"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0,69 (0,53 </w:t>
            </w:r>
            <w:r w:rsidRPr="0063119B">
              <w:rPr>
                <w:sz w:val="22"/>
                <w:szCs w:val="22"/>
                <w:lang w:val="pt-PT"/>
              </w:rPr>
              <w:noBreakHyphen/>
              <w:t> 0,91)</w:t>
            </w:r>
            <w:r w:rsidRPr="0063119B">
              <w:rPr>
                <w:sz w:val="22"/>
                <w:szCs w:val="22"/>
                <w:lang w:val="pt-PT"/>
              </w:rPr>
              <w:br/>
              <w:t>0,007</w:t>
            </w:r>
          </w:p>
        </w:tc>
      </w:tr>
      <w:tr w:rsidR="00337111" w:rsidRPr="0063119B" w14:paraId="110F8E2F" w14:textId="77777777" w:rsidTr="006A13A4">
        <w:trPr>
          <w:gridBefore w:val="1"/>
          <w:wBefore w:w="147" w:type="dxa"/>
        </w:trPr>
        <w:tc>
          <w:tcPr>
            <w:tcW w:w="2640" w:type="dxa"/>
          </w:tcPr>
          <w:p w14:paraId="071D60DE" w14:textId="77777777" w:rsidR="00337111" w:rsidRPr="0063119B" w:rsidRDefault="00337111" w:rsidP="0044301C">
            <w:pPr>
              <w:pStyle w:val="NormalWeb"/>
              <w:keepNext/>
              <w:tabs>
                <w:tab w:val="left" w:pos="252"/>
              </w:tabs>
              <w:spacing w:before="120" w:after="120" w:line="260" w:lineRule="exact"/>
              <w:ind w:left="252"/>
              <w:jc w:val="left"/>
              <w:rPr>
                <w:sz w:val="22"/>
                <w:szCs w:val="22"/>
                <w:lang w:val="pt-PT"/>
              </w:rPr>
            </w:pPr>
            <w:r w:rsidRPr="0063119B">
              <w:rPr>
                <w:sz w:val="22"/>
                <w:szCs w:val="22"/>
                <w:lang w:val="pt-PT"/>
              </w:rPr>
              <w:t>Hemorragia intracraniana*</w:t>
            </w:r>
          </w:p>
        </w:tc>
        <w:tc>
          <w:tcPr>
            <w:tcW w:w="2460" w:type="dxa"/>
          </w:tcPr>
          <w:p w14:paraId="0D19E1B8"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 xml:space="preserve">55 </w:t>
            </w:r>
            <w:r w:rsidRPr="0063119B">
              <w:rPr>
                <w:sz w:val="22"/>
                <w:szCs w:val="22"/>
                <w:lang w:val="pt-PT"/>
              </w:rPr>
              <w:br/>
              <w:t>(0,49)</w:t>
            </w:r>
          </w:p>
        </w:tc>
        <w:tc>
          <w:tcPr>
            <w:tcW w:w="2460" w:type="dxa"/>
          </w:tcPr>
          <w:p w14:paraId="34F504BE"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84</w:t>
            </w:r>
            <w:r w:rsidRPr="0063119B">
              <w:rPr>
                <w:sz w:val="22"/>
                <w:szCs w:val="22"/>
                <w:lang w:val="pt-PT"/>
              </w:rPr>
              <w:br/>
              <w:t>(0,74)</w:t>
            </w:r>
          </w:p>
        </w:tc>
        <w:tc>
          <w:tcPr>
            <w:tcW w:w="1870" w:type="dxa"/>
            <w:gridSpan w:val="2"/>
          </w:tcPr>
          <w:p w14:paraId="36C3D001"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0,67 (0,47 </w:t>
            </w:r>
            <w:r w:rsidRPr="0063119B">
              <w:rPr>
                <w:sz w:val="22"/>
                <w:szCs w:val="22"/>
                <w:lang w:val="pt-PT"/>
              </w:rPr>
              <w:noBreakHyphen/>
              <w:t> 0,93)</w:t>
            </w:r>
            <w:r w:rsidRPr="0063119B">
              <w:rPr>
                <w:sz w:val="22"/>
                <w:szCs w:val="22"/>
                <w:lang w:val="pt-PT"/>
              </w:rPr>
              <w:br/>
              <w:t>0,019</w:t>
            </w:r>
          </w:p>
        </w:tc>
      </w:tr>
      <w:tr w:rsidR="00337111" w:rsidRPr="0063119B" w14:paraId="2B3996AC" w14:textId="77777777" w:rsidTr="006A13A4">
        <w:trPr>
          <w:gridBefore w:val="1"/>
          <w:wBefore w:w="147" w:type="dxa"/>
        </w:trPr>
        <w:tc>
          <w:tcPr>
            <w:tcW w:w="2640" w:type="dxa"/>
          </w:tcPr>
          <w:p w14:paraId="1CCE500F" w14:textId="77777777" w:rsidR="00337111" w:rsidRPr="0063119B" w:rsidRDefault="00337111" w:rsidP="0044301C">
            <w:pPr>
              <w:pStyle w:val="NormalWeb"/>
              <w:keepNext/>
              <w:spacing w:before="120" w:after="120" w:line="260" w:lineRule="exact"/>
              <w:ind w:left="252"/>
              <w:jc w:val="left"/>
              <w:rPr>
                <w:sz w:val="22"/>
                <w:szCs w:val="22"/>
                <w:lang w:val="pt-PT"/>
              </w:rPr>
            </w:pPr>
            <w:r w:rsidRPr="0063119B">
              <w:rPr>
                <w:sz w:val="22"/>
                <w:szCs w:val="22"/>
                <w:lang w:val="pt-PT"/>
              </w:rPr>
              <w:t>Diminuição da hemoglobina*</w:t>
            </w:r>
          </w:p>
        </w:tc>
        <w:tc>
          <w:tcPr>
            <w:tcW w:w="2460" w:type="dxa"/>
          </w:tcPr>
          <w:p w14:paraId="31E1FEA8"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305</w:t>
            </w:r>
            <w:r w:rsidRPr="0063119B">
              <w:rPr>
                <w:sz w:val="22"/>
                <w:szCs w:val="22"/>
                <w:lang w:val="pt-PT"/>
              </w:rPr>
              <w:br/>
              <w:t>(2,77)</w:t>
            </w:r>
          </w:p>
        </w:tc>
        <w:tc>
          <w:tcPr>
            <w:tcW w:w="2460" w:type="dxa"/>
          </w:tcPr>
          <w:p w14:paraId="45F33724"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254</w:t>
            </w:r>
            <w:r w:rsidRPr="0063119B">
              <w:rPr>
                <w:sz w:val="22"/>
                <w:szCs w:val="22"/>
                <w:lang w:val="pt-PT"/>
              </w:rPr>
              <w:br/>
              <w:t>(2,26)</w:t>
            </w:r>
          </w:p>
        </w:tc>
        <w:tc>
          <w:tcPr>
            <w:tcW w:w="1870" w:type="dxa"/>
            <w:gridSpan w:val="2"/>
          </w:tcPr>
          <w:p w14:paraId="1E973E31"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1,22 (1,03 </w:t>
            </w:r>
            <w:r w:rsidRPr="0063119B">
              <w:rPr>
                <w:sz w:val="22"/>
                <w:szCs w:val="22"/>
                <w:lang w:val="pt-PT"/>
              </w:rPr>
              <w:noBreakHyphen/>
              <w:t> 1,44)</w:t>
            </w:r>
            <w:r w:rsidRPr="0063119B">
              <w:rPr>
                <w:sz w:val="22"/>
                <w:szCs w:val="22"/>
                <w:lang w:val="pt-PT"/>
              </w:rPr>
              <w:br/>
              <w:t>0,019</w:t>
            </w:r>
          </w:p>
        </w:tc>
      </w:tr>
      <w:tr w:rsidR="00337111" w:rsidRPr="0063119B" w14:paraId="4A5C6900" w14:textId="77777777" w:rsidTr="006A13A4">
        <w:trPr>
          <w:gridBefore w:val="1"/>
          <w:wBefore w:w="147" w:type="dxa"/>
        </w:trPr>
        <w:tc>
          <w:tcPr>
            <w:tcW w:w="2640" w:type="dxa"/>
          </w:tcPr>
          <w:p w14:paraId="5B561927" w14:textId="77777777" w:rsidR="00337111" w:rsidRPr="0063119B" w:rsidRDefault="00337111" w:rsidP="0044301C">
            <w:pPr>
              <w:pStyle w:val="NormalWeb"/>
              <w:keepNext/>
              <w:tabs>
                <w:tab w:val="left" w:pos="252"/>
              </w:tabs>
              <w:spacing w:before="120" w:after="120" w:line="260" w:lineRule="exact"/>
              <w:ind w:left="252"/>
              <w:jc w:val="left"/>
              <w:rPr>
                <w:sz w:val="22"/>
                <w:szCs w:val="22"/>
                <w:lang w:val="pt-PT"/>
              </w:rPr>
            </w:pPr>
            <w:r w:rsidRPr="0063119B">
              <w:rPr>
                <w:sz w:val="22"/>
                <w:szCs w:val="22"/>
                <w:lang w:val="pt-PT"/>
              </w:rPr>
              <w:t>Transfusão de 2 ou mais unidades de concentrado de eritrócitos ou de sangue completo*</w:t>
            </w:r>
          </w:p>
        </w:tc>
        <w:tc>
          <w:tcPr>
            <w:tcW w:w="2460" w:type="dxa"/>
          </w:tcPr>
          <w:p w14:paraId="110FD0C0"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183</w:t>
            </w:r>
            <w:r w:rsidRPr="0063119B">
              <w:rPr>
                <w:sz w:val="22"/>
                <w:szCs w:val="22"/>
                <w:lang w:val="pt-PT"/>
              </w:rPr>
              <w:br/>
              <w:t>(1,65)</w:t>
            </w:r>
          </w:p>
        </w:tc>
        <w:tc>
          <w:tcPr>
            <w:tcW w:w="2460" w:type="dxa"/>
          </w:tcPr>
          <w:p w14:paraId="26C81897"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149</w:t>
            </w:r>
            <w:r w:rsidRPr="0063119B">
              <w:rPr>
                <w:sz w:val="22"/>
                <w:szCs w:val="22"/>
                <w:lang w:val="pt-PT"/>
              </w:rPr>
              <w:br/>
              <w:t>(1,32)</w:t>
            </w:r>
          </w:p>
        </w:tc>
        <w:tc>
          <w:tcPr>
            <w:tcW w:w="1870" w:type="dxa"/>
            <w:gridSpan w:val="2"/>
          </w:tcPr>
          <w:p w14:paraId="65640D3A"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1,25 (1,01 </w:t>
            </w:r>
            <w:r w:rsidRPr="0063119B">
              <w:rPr>
                <w:sz w:val="22"/>
                <w:szCs w:val="22"/>
                <w:lang w:val="pt-PT"/>
              </w:rPr>
              <w:noBreakHyphen/>
              <w:t> 1,55)</w:t>
            </w:r>
            <w:r w:rsidRPr="0063119B">
              <w:rPr>
                <w:sz w:val="22"/>
                <w:szCs w:val="22"/>
                <w:lang w:val="pt-PT"/>
              </w:rPr>
              <w:br/>
              <w:t>0,044</w:t>
            </w:r>
          </w:p>
        </w:tc>
      </w:tr>
      <w:tr w:rsidR="00337111" w:rsidRPr="0063119B" w14:paraId="45BF4E66" w14:textId="77777777" w:rsidTr="006A13A4">
        <w:trPr>
          <w:gridBefore w:val="1"/>
          <w:wBefore w:w="147" w:type="dxa"/>
        </w:trPr>
        <w:tc>
          <w:tcPr>
            <w:tcW w:w="2640" w:type="dxa"/>
          </w:tcPr>
          <w:p w14:paraId="5634F34D" w14:textId="77777777" w:rsidR="00337111" w:rsidRPr="0063119B" w:rsidRDefault="00337111" w:rsidP="0044301C">
            <w:pPr>
              <w:pStyle w:val="BayerTableRowHeadings"/>
              <w:spacing w:before="120" w:line="260" w:lineRule="exact"/>
              <w:rPr>
                <w:szCs w:val="22"/>
                <w:lang w:val="pt-PT"/>
              </w:rPr>
            </w:pPr>
            <w:r w:rsidRPr="0063119B">
              <w:rPr>
                <w:szCs w:val="22"/>
                <w:lang w:val="pt-PT"/>
              </w:rPr>
              <w:t xml:space="preserve">Acontecimentos hemorrágicos não principais clinicamente relevantes </w:t>
            </w:r>
          </w:p>
        </w:tc>
        <w:tc>
          <w:tcPr>
            <w:tcW w:w="2460" w:type="dxa"/>
          </w:tcPr>
          <w:p w14:paraId="4866A3B1"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1.185</w:t>
            </w:r>
            <w:r w:rsidRPr="0063119B">
              <w:rPr>
                <w:sz w:val="22"/>
                <w:szCs w:val="22"/>
                <w:lang w:val="pt-PT"/>
              </w:rPr>
              <w:br/>
              <w:t>(11,80)</w:t>
            </w:r>
          </w:p>
        </w:tc>
        <w:tc>
          <w:tcPr>
            <w:tcW w:w="2460" w:type="dxa"/>
          </w:tcPr>
          <w:p w14:paraId="24A2AB86"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1.151</w:t>
            </w:r>
            <w:r w:rsidRPr="0063119B">
              <w:rPr>
                <w:sz w:val="22"/>
                <w:szCs w:val="22"/>
                <w:lang w:val="pt-PT"/>
              </w:rPr>
              <w:br/>
              <w:t>(11,37)</w:t>
            </w:r>
          </w:p>
        </w:tc>
        <w:tc>
          <w:tcPr>
            <w:tcW w:w="1870" w:type="dxa"/>
            <w:gridSpan w:val="2"/>
          </w:tcPr>
          <w:p w14:paraId="0F9AEE94"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1,04 (0,96 </w:t>
            </w:r>
            <w:r w:rsidRPr="0063119B">
              <w:rPr>
                <w:sz w:val="22"/>
                <w:szCs w:val="22"/>
                <w:lang w:val="pt-PT"/>
              </w:rPr>
              <w:noBreakHyphen/>
              <w:t> 1,13)</w:t>
            </w:r>
            <w:r w:rsidRPr="0063119B">
              <w:rPr>
                <w:sz w:val="22"/>
                <w:szCs w:val="22"/>
                <w:lang w:val="pt-PT"/>
              </w:rPr>
              <w:br/>
              <w:t>0,345</w:t>
            </w:r>
          </w:p>
        </w:tc>
      </w:tr>
      <w:tr w:rsidR="00337111" w:rsidRPr="0063119B" w14:paraId="1E926A85" w14:textId="77777777" w:rsidTr="006A13A4">
        <w:trPr>
          <w:gridBefore w:val="1"/>
          <w:wBefore w:w="147" w:type="dxa"/>
        </w:trPr>
        <w:tc>
          <w:tcPr>
            <w:tcW w:w="2640" w:type="dxa"/>
          </w:tcPr>
          <w:p w14:paraId="572F8674" w14:textId="77777777" w:rsidR="00337111" w:rsidRPr="0063119B" w:rsidRDefault="00337111" w:rsidP="0044301C">
            <w:pPr>
              <w:pStyle w:val="BayerTableRowHeadings"/>
              <w:spacing w:before="120" w:line="260" w:lineRule="exact"/>
              <w:rPr>
                <w:szCs w:val="22"/>
                <w:lang w:val="pt-PT"/>
              </w:rPr>
            </w:pPr>
            <w:r w:rsidRPr="0063119B">
              <w:rPr>
                <w:szCs w:val="22"/>
                <w:lang w:val="pt-PT"/>
              </w:rPr>
              <w:t>Mortalidade por todas as causas</w:t>
            </w:r>
          </w:p>
        </w:tc>
        <w:tc>
          <w:tcPr>
            <w:tcW w:w="2460" w:type="dxa"/>
          </w:tcPr>
          <w:p w14:paraId="55460374" w14:textId="77777777" w:rsidR="00337111" w:rsidRPr="0063119B" w:rsidRDefault="00337111" w:rsidP="0044301C">
            <w:pPr>
              <w:pStyle w:val="BayerBodyTextFull"/>
              <w:keepNext/>
              <w:ind w:left="11"/>
              <w:rPr>
                <w:sz w:val="22"/>
                <w:szCs w:val="22"/>
                <w:lang w:val="pt-PT"/>
              </w:rPr>
            </w:pPr>
            <w:r w:rsidRPr="0063119B">
              <w:rPr>
                <w:sz w:val="22"/>
                <w:szCs w:val="22"/>
                <w:lang w:val="pt-PT"/>
              </w:rPr>
              <w:t>208</w:t>
            </w:r>
            <w:r w:rsidRPr="0063119B">
              <w:rPr>
                <w:sz w:val="22"/>
                <w:szCs w:val="22"/>
                <w:lang w:val="pt-PT"/>
              </w:rPr>
              <w:br/>
              <w:t>(1,87)</w:t>
            </w:r>
          </w:p>
        </w:tc>
        <w:tc>
          <w:tcPr>
            <w:tcW w:w="2460" w:type="dxa"/>
          </w:tcPr>
          <w:p w14:paraId="79FF67E2"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250</w:t>
            </w:r>
            <w:r w:rsidRPr="0063119B">
              <w:rPr>
                <w:sz w:val="22"/>
                <w:szCs w:val="22"/>
                <w:lang w:val="pt-PT"/>
              </w:rPr>
              <w:br/>
              <w:t>(2,21)</w:t>
            </w:r>
          </w:p>
        </w:tc>
        <w:tc>
          <w:tcPr>
            <w:tcW w:w="1870" w:type="dxa"/>
            <w:gridSpan w:val="2"/>
          </w:tcPr>
          <w:p w14:paraId="564134C6" w14:textId="77777777" w:rsidR="00337111" w:rsidRPr="0063119B" w:rsidRDefault="00337111" w:rsidP="0044301C">
            <w:pPr>
              <w:pStyle w:val="BayerBodyTextFull"/>
              <w:keepNext/>
              <w:spacing w:line="260" w:lineRule="exact"/>
              <w:ind w:left="12"/>
              <w:rPr>
                <w:sz w:val="22"/>
                <w:szCs w:val="22"/>
                <w:lang w:val="pt-PT"/>
              </w:rPr>
            </w:pPr>
            <w:r w:rsidRPr="0063119B">
              <w:rPr>
                <w:sz w:val="22"/>
                <w:szCs w:val="22"/>
                <w:lang w:val="pt-PT"/>
              </w:rPr>
              <w:t>0,85 (0,70 </w:t>
            </w:r>
            <w:r w:rsidRPr="0063119B">
              <w:rPr>
                <w:sz w:val="22"/>
                <w:szCs w:val="22"/>
                <w:lang w:val="pt-PT"/>
              </w:rPr>
              <w:noBreakHyphen/>
              <w:t> 1,02)</w:t>
            </w:r>
            <w:r w:rsidRPr="0063119B">
              <w:rPr>
                <w:sz w:val="22"/>
                <w:szCs w:val="22"/>
                <w:lang w:val="pt-PT"/>
              </w:rPr>
              <w:br/>
              <w:t>0,073</w:t>
            </w:r>
          </w:p>
        </w:tc>
      </w:tr>
      <w:tr w:rsidR="00337111" w:rsidRPr="0063119B" w14:paraId="613C0A71" w14:textId="77777777" w:rsidTr="006A13A4">
        <w:trPr>
          <w:gridAfter w:val="1"/>
          <w:wAfter w:w="377" w:type="dxa"/>
        </w:trPr>
        <w:tc>
          <w:tcPr>
            <w:tcW w:w="9200" w:type="dxa"/>
            <w:gridSpan w:val="5"/>
            <w:tcBorders>
              <w:top w:val="nil"/>
              <w:left w:val="nil"/>
              <w:bottom w:val="nil"/>
              <w:right w:val="nil"/>
            </w:tcBorders>
          </w:tcPr>
          <w:p w14:paraId="720D3AF1" w14:textId="77777777" w:rsidR="00337111" w:rsidRPr="0063119B" w:rsidRDefault="00337111" w:rsidP="0044301C">
            <w:pPr>
              <w:keepNext/>
              <w:rPr>
                <w:szCs w:val="22"/>
              </w:rPr>
            </w:pPr>
            <w:r w:rsidRPr="0063119B">
              <w:rPr>
                <w:szCs w:val="22"/>
              </w:rPr>
              <w:lastRenderedPageBreak/>
              <w:t>a)</w:t>
            </w:r>
            <w:r w:rsidRPr="0063119B">
              <w:rPr>
                <w:szCs w:val="22"/>
              </w:rPr>
              <w:tab/>
              <w:t>População de segurança, em tratamento</w:t>
            </w:r>
          </w:p>
          <w:p w14:paraId="009B2C76" w14:textId="77777777" w:rsidR="00337111" w:rsidRPr="0063119B" w:rsidRDefault="00337111" w:rsidP="0044301C">
            <w:pPr>
              <w:keepNext/>
              <w:rPr>
                <w:szCs w:val="22"/>
              </w:rPr>
            </w:pPr>
            <w:r w:rsidRPr="0063119B">
              <w:rPr>
                <w:szCs w:val="22"/>
              </w:rPr>
              <w:t>*</w:t>
            </w:r>
            <w:r w:rsidRPr="0063119B">
              <w:rPr>
                <w:szCs w:val="22"/>
              </w:rPr>
              <w:tab/>
              <w:t>Nominalmente significativa</w:t>
            </w:r>
          </w:p>
          <w:p w14:paraId="5C05568D" w14:textId="77777777" w:rsidR="00FB7430" w:rsidRPr="0063119B" w:rsidRDefault="00FB7430" w:rsidP="0044301C">
            <w:pPr>
              <w:keepNext/>
              <w:rPr>
                <w:szCs w:val="22"/>
              </w:rPr>
            </w:pPr>
          </w:p>
          <w:p w14:paraId="53D63517" w14:textId="424F2354" w:rsidR="00FB7430" w:rsidRPr="0063119B" w:rsidRDefault="00FB7430" w:rsidP="00FB7430">
            <w:pPr>
              <w:rPr>
                <w:szCs w:val="22"/>
              </w:rPr>
            </w:pPr>
            <w:r w:rsidRPr="0063119B">
              <w:rPr>
                <w:szCs w:val="22"/>
              </w:rPr>
              <w:t>Adicionalmente ao estudo de fase III ROCKET AF foi realizado um estudo</w:t>
            </w:r>
            <w:r w:rsidR="00CE0FD2" w:rsidRPr="0063119B">
              <w:rPr>
                <w:szCs w:val="22"/>
              </w:rPr>
              <w:t xml:space="preserve"> de coorte</w:t>
            </w:r>
            <w:r w:rsidRPr="0063119B">
              <w:rPr>
                <w:szCs w:val="22"/>
              </w:rPr>
              <w:t xml:space="preserve"> pós-autorização prospectivo, não interve</w:t>
            </w:r>
            <w:r w:rsidR="00CE0FD2" w:rsidRPr="0063119B">
              <w:rPr>
                <w:szCs w:val="22"/>
              </w:rPr>
              <w:t>ncional, de braço único, aberto</w:t>
            </w:r>
            <w:r w:rsidRPr="0063119B">
              <w:rPr>
                <w:szCs w:val="22"/>
              </w:rPr>
              <w:t xml:space="preserve"> (XANTUS) com adjudicação central do resultado incluindo eventos tromboembólicos e acontecimentos hemorrágicos </w:t>
            </w:r>
            <w:r w:rsidR="00417496" w:rsidRPr="0063119B">
              <w:rPr>
                <w:szCs w:val="22"/>
              </w:rPr>
              <w:t xml:space="preserve">principais </w:t>
            </w:r>
            <w:r w:rsidRPr="0063119B">
              <w:rPr>
                <w:szCs w:val="22"/>
              </w:rPr>
              <w:t>. Foram incluídos 6.7</w:t>
            </w:r>
            <w:r w:rsidR="00A964A4">
              <w:rPr>
                <w:szCs w:val="22"/>
              </w:rPr>
              <w:t>04</w:t>
            </w:r>
            <w:r w:rsidRPr="0063119B">
              <w:rPr>
                <w:szCs w:val="22"/>
              </w:rPr>
              <w:t xml:space="preserve"> doentes com fibrilhação auricular  não valvular para prevenção de acidente vascular cerebral e embolismo sistémico fora do sistema nervoso central (SNC) na prática clínica. Os valores médios de CHADS</w:t>
            </w:r>
            <w:r w:rsidRPr="0063119B">
              <w:rPr>
                <w:szCs w:val="22"/>
                <w:vertAlign w:val="subscript"/>
              </w:rPr>
              <w:t>2</w:t>
            </w:r>
            <w:r w:rsidRPr="0063119B">
              <w:rPr>
                <w:szCs w:val="22"/>
              </w:rPr>
              <w:t xml:space="preserve"> </w:t>
            </w:r>
            <w:r w:rsidR="00123579">
              <w:t>foi de 1,9 e valor de</w:t>
            </w:r>
            <w:r w:rsidRPr="0063119B">
              <w:rPr>
                <w:szCs w:val="22"/>
              </w:rPr>
              <w:t xml:space="preserve"> HAS-BLED </w:t>
            </w:r>
            <w:r w:rsidR="00123579">
              <w:t>D foi de 2,0</w:t>
            </w:r>
            <w:r w:rsidRPr="0063119B">
              <w:rPr>
                <w:szCs w:val="22"/>
              </w:rPr>
              <w:t xml:space="preserve"> no XANTUS, em comparação com um valor médio de CHADS</w:t>
            </w:r>
            <w:r w:rsidRPr="0063119B">
              <w:rPr>
                <w:szCs w:val="22"/>
                <w:vertAlign w:val="subscript"/>
              </w:rPr>
              <w:t>2</w:t>
            </w:r>
            <w:r w:rsidRPr="0063119B">
              <w:rPr>
                <w:szCs w:val="22"/>
              </w:rPr>
              <w:t xml:space="preserve"> e HAS-BLED de 3,5 e 2,8 no ROCKET AF, respectivamente. Ocorreram acontecimentos hemorrágicos </w:t>
            </w:r>
            <w:r w:rsidR="00417496" w:rsidRPr="0063119B">
              <w:rPr>
                <w:szCs w:val="22"/>
              </w:rPr>
              <w:t>principais</w:t>
            </w:r>
            <w:r w:rsidRPr="0063119B">
              <w:rPr>
                <w:szCs w:val="22"/>
              </w:rPr>
              <w:t>em 2,1</w:t>
            </w:r>
            <w:r w:rsidR="0097178D" w:rsidRPr="0063119B">
              <w:rPr>
                <w:szCs w:val="22"/>
              </w:rPr>
              <w:t xml:space="preserve"> por 100 doentes-</w:t>
            </w:r>
            <w:r w:rsidRPr="0063119B">
              <w:rPr>
                <w:szCs w:val="22"/>
              </w:rPr>
              <w:t xml:space="preserve">ano. Foram notificadas hemorragias </w:t>
            </w:r>
            <w:r w:rsidR="0097178D" w:rsidRPr="0063119B">
              <w:rPr>
                <w:szCs w:val="22"/>
              </w:rPr>
              <w:t>fatais em 0,2 por 100 doentes-</w:t>
            </w:r>
            <w:r w:rsidRPr="0063119B">
              <w:rPr>
                <w:szCs w:val="22"/>
              </w:rPr>
              <w:t>ano e hemorragia intra</w:t>
            </w:r>
            <w:r w:rsidR="0097178D" w:rsidRPr="0063119B">
              <w:rPr>
                <w:szCs w:val="22"/>
              </w:rPr>
              <w:t>craniana em 0,4 por 100 doentes-</w:t>
            </w:r>
            <w:r w:rsidRPr="0063119B">
              <w:rPr>
                <w:szCs w:val="22"/>
              </w:rPr>
              <w:t>ano. Foram registados acidente vascular cerebral ou embolismo sistémico for</w:t>
            </w:r>
            <w:r w:rsidR="0097178D" w:rsidRPr="0063119B">
              <w:rPr>
                <w:szCs w:val="22"/>
              </w:rPr>
              <w:t>a do SNC em 0,8 por 100 doentes-</w:t>
            </w:r>
            <w:r w:rsidRPr="0063119B">
              <w:rPr>
                <w:szCs w:val="22"/>
              </w:rPr>
              <w:t>ano.</w:t>
            </w:r>
          </w:p>
          <w:p w14:paraId="5BBF9ECD" w14:textId="77777777" w:rsidR="00FB7430" w:rsidRPr="0063119B" w:rsidRDefault="00FB7430" w:rsidP="00B239A6">
            <w:pPr>
              <w:rPr>
                <w:vanish/>
                <w:szCs w:val="22"/>
              </w:rPr>
            </w:pPr>
            <w:r w:rsidRPr="0063119B">
              <w:rPr>
                <w:szCs w:val="22"/>
              </w:rPr>
              <w:t>Estas observações na prática clínica são consistentes com o perfil de segurança estabelecido nesta indicação.</w:t>
            </w:r>
          </w:p>
        </w:tc>
      </w:tr>
    </w:tbl>
    <w:p w14:paraId="57698770" w14:textId="77E5C548" w:rsidR="00337111" w:rsidRDefault="00337111" w:rsidP="00A9161F">
      <w:pPr>
        <w:rPr>
          <w:rFonts w:eastAsia="SimSun"/>
          <w:szCs w:val="22"/>
          <w:lang w:eastAsia="ja-JP"/>
        </w:rPr>
      </w:pPr>
    </w:p>
    <w:p w14:paraId="44CE5464" w14:textId="4C988708" w:rsidR="00123579" w:rsidRDefault="00123579" w:rsidP="00A9161F">
      <w:r>
        <w:t>Num estudo pós-autorização, não intervencional em mais de 162.000 doentes oriundos de quatro países, o rivaroxabano foi prescrito para a prevenção do acidente vascular cerebral e embolismo sistémico em doentes com fibrilhação auricular não valvular. A taxa de acontecimento de acidente vascular cerebral isquémico foi de 0,70 (IC 95% 0,44 - 1,13) por 100 doentes-ano. As hemorragias resultando em hospitalização ocorreram em taxas de acontecimentos por 100 doentes-ano de 0,43 (IC 95% 0,31 - 0,59) para a hemorragia intracraniana, 1,04 (IC 95% 0,65 - 1,66) para a hemorragia gastrointestinal, 0,41 (IC 95% 0,31 - 0,53) para a hemorragia urogenital e 0,40 (IC 95% 0,25 - 0,65) para outras hemorragias.</w:t>
      </w:r>
    </w:p>
    <w:p w14:paraId="128121A4" w14:textId="77777777" w:rsidR="00123579" w:rsidRPr="0063119B" w:rsidRDefault="00123579" w:rsidP="00A9161F">
      <w:pPr>
        <w:rPr>
          <w:rFonts w:eastAsia="SimSun"/>
          <w:szCs w:val="22"/>
          <w:lang w:eastAsia="ja-JP"/>
        </w:rPr>
      </w:pPr>
    </w:p>
    <w:p w14:paraId="067DAD3B" w14:textId="77777777" w:rsidR="008143F2" w:rsidRPr="0063119B" w:rsidRDefault="008143F2" w:rsidP="008143F2">
      <w:pPr>
        <w:rPr>
          <w:szCs w:val="22"/>
          <w:u w:val="single"/>
        </w:rPr>
      </w:pPr>
      <w:r w:rsidRPr="0063119B">
        <w:rPr>
          <w:szCs w:val="22"/>
          <w:u w:val="single"/>
        </w:rPr>
        <w:t>Doentes submetidos a cardioversão</w:t>
      </w:r>
    </w:p>
    <w:p w14:paraId="1E6B663C" w14:textId="77777777" w:rsidR="00CD587B" w:rsidRPr="0063119B" w:rsidRDefault="00CD587B" w:rsidP="008143F2">
      <w:pPr>
        <w:rPr>
          <w:szCs w:val="22"/>
        </w:rPr>
      </w:pPr>
    </w:p>
    <w:p w14:paraId="193DCF4F" w14:textId="77777777" w:rsidR="008143F2" w:rsidRPr="0063119B" w:rsidRDefault="008143F2" w:rsidP="008143F2">
      <w:pPr>
        <w:rPr>
          <w:szCs w:val="22"/>
        </w:rPr>
      </w:pPr>
      <w:r w:rsidRPr="0063119B">
        <w:rPr>
          <w:szCs w:val="22"/>
        </w:rPr>
        <w:t>Foi realizado em 1504</w:t>
      </w:r>
      <w:r w:rsidR="00CD587B" w:rsidRPr="0063119B">
        <w:rPr>
          <w:szCs w:val="22"/>
        </w:rPr>
        <w:t> </w:t>
      </w:r>
      <w:r w:rsidRPr="0063119B">
        <w:rPr>
          <w:szCs w:val="22"/>
        </w:rPr>
        <w:t xml:space="preserve">doentes (sem tratamento prévio ou pré-tratados com anticoagulante oral) com fibrilhação auricular não-valvular programados para cardioversão, um estudo prospetivo, aleatorizado, aberto, multicêntrico, exploratório  com avaliação oculta do </w:t>
      </w:r>
      <w:r w:rsidRPr="0063119B">
        <w:rPr>
          <w:i/>
          <w:szCs w:val="22"/>
        </w:rPr>
        <w:t xml:space="preserve">endpoint </w:t>
      </w:r>
      <w:r w:rsidRPr="0063119B">
        <w:rPr>
          <w:szCs w:val="22"/>
        </w:rPr>
        <w:t xml:space="preserve"> (X-VERT)  para comparar o rivaroxabano com AVK com dose ajustada (aleatorizado 2:1), para a prevenção de acontecimentos cardiovasculares. Foram aplicadas estratégicas na cardioversão orientada por ETE (1 </w:t>
      </w:r>
      <w:r w:rsidR="00377739" w:rsidRPr="0063119B">
        <w:rPr>
          <w:szCs w:val="22"/>
        </w:rPr>
        <w:t>-</w:t>
      </w:r>
      <w:r w:rsidRPr="0063119B">
        <w:rPr>
          <w:szCs w:val="22"/>
        </w:rPr>
        <w:t xml:space="preserve"> 5 dias de pré-tratamento) ou cardioversão convencional (pelo menos três semanas de pré-tratamento). O resultado de eficácia primário (todos os acidentes vasculares cerebrais, acidente isquémico transitório, embolismo sistémico que não do SNC, </w:t>
      </w:r>
      <w:r w:rsidR="002F4A3F" w:rsidRPr="0063119B">
        <w:rPr>
          <w:szCs w:val="22"/>
        </w:rPr>
        <w:t>enfarte do miocárdio (</w:t>
      </w:r>
      <w:r w:rsidRPr="0063119B">
        <w:rPr>
          <w:szCs w:val="22"/>
        </w:rPr>
        <w:t>EM</w:t>
      </w:r>
      <w:r w:rsidR="002F4A3F" w:rsidRPr="0063119B">
        <w:rPr>
          <w:szCs w:val="22"/>
        </w:rPr>
        <w:t>)</w:t>
      </w:r>
      <w:r w:rsidRPr="0063119B">
        <w:rPr>
          <w:szCs w:val="22"/>
        </w:rPr>
        <w:t xml:space="preserve"> e morte cardiovascul</w:t>
      </w:r>
      <w:r w:rsidR="00EF419D" w:rsidRPr="0063119B">
        <w:rPr>
          <w:szCs w:val="22"/>
        </w:rPr>
        <w:t>ar) ocorreu</w:t>
      </w:r>
      <w:r w:rsidRPr="0063119B">
        <w:rPr>
          <w:szCs w:val="22"/>
        </w:rPr>
        <w:t xml:space="preserve"> em 5 (0,5%) dos doentes no grupo do rivaroxabano (n = 978) e 5 (1,0%) doentes do grupo do AVK (n = 492; RR 0,50; IC 95%, 0,15%-1,73; população ITT modificada). O resultado de segurança principal (grande hemorragia) ocorreu em 6 (0,6%) e 4 (0,8%) dos doentes do grupo do rivaroxabano (n = 988) e AVK n = 499), respetivamente (RR 0,76%; IC 95%, 0,21-2,67; população de segurança). Este estudo exploratório mostrou segurança e eficácia comparáveis entre os grupos de tratamento de rivaroxabano e AVK num cenário de cardioversão. </w:t>
      </w:r>
    </w:p>
    <w:p w14:paraId="7346D66C" w14:textId="77777777" w:rsidR="005D6299" w:rsidRPr="0063119B" w:rsidRDefault="005D6299" w:rsidP="00337111">
      <w:pPr>
        <w:rPr>
          <w:i/>
          <w:szCs w:val="22"/>
        </w:rPr>
      </w:pPr>
    </w:p>
    <w:p w14:paraId="7F9CED6F" w14:textId="77777777" w:rsidR="006B4F94" w:rsidRPr="0063119B" w:rsidRDefault="006B4F94" w:rsidP="006B4F94">
      <w:pPr>
        <w:rPr>
          <w:szCs w:val="22"/>
        </w:rPr>
      </w:pPr>
      <w:r w:rsidRPr="0063119B">
        <w:rPr>
          <w:szCs w:val="22"/>
          <w:u w:val="single"/>
        </w:rPr>
        <w:t xml:space="preserve">Doentes com fibrilhação auricular não-valvular submetidos a ICP com colocação de </w:t>
      </w:r>
      <w:r w:rsidRPr="0063119B">
        <w:rPr>
          <w:i/>
          <w:szCs w:val="22"/>
          <w:u w:val="single"/>
        </w:rPr>
        <w:t>stent</w:t>
      </w:r>
    </w:p>
    <w:p w14:paraId="424DB36F" w14:textId="77777777" w:rsidR="00CD587B" w:rsidRPr="0063119B" w:rsidRDefault="00CD587B" w:rsidP="006B4F94">
      <w:pPr>
        <w:autoSpaceDE w:val="0"/>
        <w:autoSpaceDN w:val="0"/>
        <w:adjustRightInd w:val="0"/>
        <w:jc w:val="both"/>
        <w:rPr>
          <w:szCs w:val="22"/>
        </w:rPr>
      </w:pPr>
    </w:p>
    <w:p w14:paraId="39E989C2" w14:textId="77777777" w:rsidR="006B4F94" w:rsidRPr="0063119B" w:rsidRDefault="006B4F94" w:rsidP="006B4F94">
      <w:pPr>
        <w:autoSpaceDE w:val="0"/>
        <w:autoSpaceDN w:val="0"/>
        <w:adjustRightInd w:val="0"/>
        <w:jc w:val="both"/>
        <w:rPr>
          <w:szCs w:val="22"/>
        </w:rPr>
      </w:pPr>
      <w:r w:rsidRPr="0063119B">
        <w:rPr>
          <w:szCs w:val="22"/>
        </w:rPr>
        <w:t>Um estudo aleatorizado, aberto e multicêntrico (PIONEER AF-PCI) foi conduzido em 2</w:t>
      </w:r>
      <w:r w:rsidR="00497F22" w:rsidRPr="0063119B">
        <w:rPr>
          <w:szCs w:val="22"/>
        </w:rPr>
        <w:t>.</w:t>
      </w:r>
      <w:r w:rsidRPr="0063119B">
        <w:rPr>
          <w:szCs w:val="22"/>
        </w:rPr>
        <w:t xml:space="preserve">124 doentes com fibrilhação auricular não-valvular submetidos a uma ICP com colocação de </w:t>
      </w:r>
      <w:r w:rsidRPr="0063119B">
        <w:rPr>
          <w:i/>
          <w:szCs w:val="22"/>
        </w:rPr>
        <w:t>stent</w:t>
      </w:r>
      <w:r w:rsidRPr="0063119B">
        <w:rPr>
          <w:szCs w:val="22"/>
        </w:rPr>
        <w:t xml:space="preserve"> devido a doença primária aterosclerótica para comparar a segurança de dois regimes de rivaroxabano e um regime de AVK. Os doentes foram atribuídos aleatoriamente de forma 1:1:1 durante um total de 12 meses de tratamento. Doentes com antececedentes de acidente vascular cerebral ou AIT foram excluídos.</w:t>
      </w:r>
    </w:p>
    <w:p w14:paraId="4F56A88C" w14:textId="77777777" w:rsidR="006B4F94" w:rsidRPr="0063119B" w:rsidRDefault="006B4F94" w:rsidP="006B4F94">
      <w:pPr>
        <w:autoSpaceDE w:val="0"/>
        <w:autoSpaceDN w:val="0"/>
        <w:adjustRightInd w:val="0"/>
        <w:jc w:val="both"/>
        <w:rPr>
          <w:szCs w:val="22"/>
        </w:rPr>
      </w:pPr>
      <w:r w:rsidRPr="0063119B">
        <w:rPr>
          <w:szCs w:val="22"/>
        </w:rPr>
        <w:t xml:space="preserve">O grupo 1 recebeu 15 mg de rivaroxabano uma vez por dia (10 mg uma vez por dia em doentes com a taxa de depuração da creatinina 30 </w:t>
      </w:r>
      <w:r w:rsidR="002F4A3F" w:rsidRPr="0063119B">
        <w:rPr>
          <w:szCs w:val="22"/>
        </w:rPr>
        <w:t xml:space="preserve">- </w:t>
      </w:r>
      <w:r w:rsidRPr="0063119B">
        <w:rPr>
          <w:szCs w:val="22"/>
        </w:rPr>
        <w:t xml:space="preserve">49 ml/min) mais um inibidor P2Y12. O grupo 2 recebeu 2,5 mg de rivaroxabano duas vezes por dia mais TAPD (terapêutica antiplaquetária dupla i.e. clopidogrel 75 mg [ou um inibidor P2Y12 alternativo] mais uma dose baixa de ácido acetilsalicílico [AAS]) durante 1, 6 ou 12 meses seguido de 15 mg de rivaroxabano (ou 10 mg em indivíduos com a taxa de depuração da creatinina 30 </w:t>
      </w:r>
      <w:r w:rsidR="002F4A3F" w:rsidRPr="0063119B">
        <w:rPr>
          <w:szCs w:val="22"/>
        </w:rPr>
        <w:t xml:space="preserve">- </w:t>
      </w:r>
      <w:r w:rsidRPr="0063119B">
        <w:rPr>
          <w:szCs w:val="22"/>
        </w:rPr>
        <w:t xml:space="preserve">49 ml/min) uma vez por dia mais uma dose baixa de AAS. O grupo 3 recebeu um AVK </w:t>
      </w:r>
      <w:r w:rsidRPr="0063119B">
        <w:rPr>
          <w:szCs w:val="22"/>
        </w:rPr>
        <w:lastRenderedPageBreak/>
        <w:t>com ajuste de dose mais TAPD durante 1, 6 ou 12 meses seguido de um AVK com ajuste de dose mais uma dose baixa de AAS.</w:t>
      </w:r>
    </w:p>
    <w:p w14:paraId="4A8CF13A" w14:textId="77777777" w:rsidR="006B4F94" w:rsidRPr="0063119B" w:rsidRDefault="006B4F94" w:rsidP="006B4F94">
      <w:pPr>
        <w:autoSpaceDE w:val="0"/>
        <w:autoSpaceDN w:val="0"/>
        <w:adjustRightInd w:val="0"/>
        <w:jc w:val="both"/>
        <w:rPr>
          <w:szCs w:val="22"/>
        </w:rPr>
      </w:pPr>
      <w:r w:rsidRPr="0063119B">
        <w:rPr>
          <w:szCs w:val="22"/>
        </w:rPr>
        <w:t xml:space="preserve">O </w:t>
      </w:r>
      <w:r w:rsidRPr="0063119B">
        <w:rPr>
          <w:i/>
          <w:szCs w:val="22"/>
        </w:rPr>
        <w:t>endpoint</w:t>
      </w:r>
      <w:r w:rsidRPr="0063119B">
        <w:rPr>
          <w:szCs w:val="22"/>
        </w:rPr>
        <w:t xml:space="preserve"> de segurança primário, acontecimentos hemorrágicos clinicamente relevantes, ocorreu em 109 (15,7%), 117 (16,6%) e 167 (24,0%) indivíduos do grupo 1, grupo 2 e grupo 3, respetivamente (RR 0,59; IC 95% 0,47-0,76; p˂0,001, e RR 0,63; IC 95% 0,50-0,80; p˂0,001, </w:t>
      </w:r>
      <w:r w:rsidR="009B7CFF" w:rsidRPr="0063119B">
        <w:rPr>
          <w:szCs w:val="22"/>
        </w:rPr>
        <w:t>respectivamente)</w:t>
      </w:r>
      <w:r w:rsidRPr="0063119B">
        <w:rPr>
          <w:szCs w:val="22"/>
        </w:rPr>
        <w:t xml:space="preserve">. O </w:t>
      </w:r>
      <w:r w:rsidRPr="0063119B">
        <w:rPr>
          <w:i/>
          <w:szCs w:val="22"/>
        </w:rPr>
        <w:t>endpoint</w:t>
      </w:r>
      <w:r w:rsidRPr="0063119B">
        <w:rPr>
          <w:szCs w:val="22"/>
        </w:rPr>
        <w:t xml:space="preserve"> secundário (composto pelos acontecimentos cardiovasculares morte CV, EM ou acidente vascular cerebral) ocorreu em 41 (5,9%), 36 (5,1%) e 36 (5,2%) indivíduos no grupo 1, grupo 2 e grupo 3, respetivamente. Cada um dos regimes de rivaroxabano revelou uma redução significativa nos acontecimentos hemorrágicos clinicamente relevantes em comparação com o regime de AVK em doentes com fibrilhação auricular não-valvular submetidos a ICP com colocação de </w:t>
      </w:r>
      <w:r w:rsidRPr="0063119B">
        <w:rPr>
          <w:i/>
          <w:szCs w:val="22"/>
        </w:rPr>
        <w:t>stent</w:t>
      </w:r>
      <w:r w:rsidRPr="0063119B">
        <w:rPr>
          <w:szCs w:val="22"/>
        </w:rPr>
        <w:t>.</w:t>
      </w:r>
    </w:p>
    <w:p w14:paraId="1C0F2D44" w14:textId="77777777" w:rsidR="006B4F94" w:rsidRPr="0063119B" w:rsidRDefault="006B4F94" w:rsidP="006B4F94">
      <w:pPr>
        <w:rPr>
          <w:szCs w:val="22"/>
        </w:rPr>
      </w:pPr>
      <w:r w:rsidRPr="0063119B">
        <w:rPr>
          <w:szCs w:val="22"/>
        </w:rPr>
        <w:t>O objetivo primário do PIONEER AF-PCI foi avaliar a segurança. Dados sobre eficácia (incluindo acontecimentos tromboembólicos) nesta população são limitados.</w:t>
      </w:r>
    </w:p>
    <w:p w14:paraId="0D485276" w14:textId="77777777" w:rsidR="006B4F94" w:rsidRPr="0063119B" w:rsidRDefault="006B4F94" w:rsidP="00337111">
      <w:pPr>
        <w:rPr>
          <w:i/>
          <w:szCs w:val="22"/>
        </w:rPr>
      </w:pPr>
    </w:p>
    <w:p w14:paraId="2A903AA8" w14:textId="77777777" w:rsidR="00337111" w:rsidRPr="0063119B" w:rsidRDefault="00337111" w:rsidP="00337111">
      <w:pPr>
        <w:rPr>
          <w:rFonts w:eastAsia="SimSun"/>
          <w:i/>
          <w:szCs w:val="22"/>
          <w:lang w:eastAsia="ja-JP"/>
        </w:rPr>
      </w:pPr>
      <w:r w:rsidRPr="0063119B">
        <w:rPr>
          <w:i/>
          <w:szCs w:val="22"/>
        </w:rPr>
        <w:t>Tratamento da TVP, EP e prevenção da TVP recorrente e EP</w:t>
      </w:r>
    </w:p>
    <w:p w14:paraId="7A2704F0" w14:textId="77777777" w:rsidR="00337111" w:rsidRPr="0063119B" w:rsidRDefault="00337111" w:rsidP="00337111">
      <w:pPr>
        <w:rPr>
          <w:rFonts w:eastAsia="SimSun"/>
          <w:szCs w:val="22"/>
          <w:lang w:eastAsia="ja-JP"/>
        </w:rPr>
      </w:pPr>
      <w:r w:rsidRPr="0063119B">
        <w:rPr>
          <w:rFonts w:eastAsia="SimSun"/>
          <w:szCs w:val="22"/>
          <w:lang w:eastAsia="ja-JP"/>
        </w:rPr>
        <w:t xml:space="preserve">O programa clínico de </w:t>
      </w:r>
      <w:r w:rsidR="00CD587B" w:rsidRPr="0063119B">
        <w:rPr>
          <w:szCs w:val="22"/>
        </w:rPr>
        <w:t>rivaroxabano</w:t>
      </w:r>
      <w:r w:rsidRPr="0063119B">
        <w:rPr>
          <w:rFonts w:eastAsia="SimSun"/>
          <w:szCs w:val="22"/>
          <w:lang w:eastAsia="ja-JP"/>
        </w:rPr>
        <w:t xml:space="preserve"> foi concebido para demonstrar a eficácia de </w:t>
      </w:r>
      <w:r w:rsidR="00CD587B" w:rsidRPr="0063119B">
        <w:rPr>
          <w:szCs w:val="22"/>
        </w:rPr>
        <w:t>rivaroxabano</w:t>
      </w:r>
      <w:r w:rsidRPr="0063119B">
        <w:rPr>
          <w:rFonts w:eastAsia="SimSun"/>
          <w:szCs w:val="22"/>
          <w:lang w:eastAsia="ja-JP"/>
        </w:rPr>
        <w:t xml:space="preserve"> no início e continuação do tratamento da TVP aguda, EP e da prevenção da recorrência.</w:t>
      </w:r>
    </w:p>
    <w:p w14:paraId="45F55716" w14:textId="77777777" w:rsidR="00337111" w:rsidRPr="0063119B" w:rsidRDefault="00337111" w:rsidP="00337111">
      <w:pPr>
        <w:rPr>
          <w:rFonts w:eastAsia="SimSun"/>
          <w:szCs w:val="22"/>
          <w:lang w:eastAsia="ja-JP"/>
        </w:rPr>
      </w:pPr>
      <w:r w:rsidRPr="0063119B">
        <w:rPr>
          <w:rFonts w:eastAsia="SimSun"/>
          <w:szCs w:val="22"/>
          <w:lang w:eastAsia="ja-JP"/>
        </w:rPr>
        <w:t xml:space="preserve">Foram estudados mais de </w:t>
      </w:r>
      <w:r w:rsidR="00977B6C" w:rsidRPr="0063119B">
        <w:rPr>
          <w:rFonts w:eastAsia="SimSun"/>
          <w:szCs w:val="22"/>
          <w:lang w:eastAsia="ja-JP"/>
        </w:rPr>
        <w:t>12.8</w:t>
      </w:r>
      <w:r w:rsidRPr="0063119B">
        <w:rPr>
          <w:rFonts w:eastAsia="SimSun"/>
          <w:szCs w:val="22"/>
          <w:lang w:eastAsia="ja-JP"/>
        </w:rPr>
        <w:t xml:space="preserve">00 doentes em </w:t>
      </w:r>
      <w:r w:rsidR="00977B6C" w:rsidRPr="0063119B">
        <w:rPr>
          <w:rFonts w:eastAsia="SimSun"/>
          <w:szCs w:val="22"/>
          <w:lang w:eastAsia="ja-JP"/>
        </w:rPr>
        <w:t xml:space="preserve">quatro </w:t>
      </w:r>
      <w:r w:rsidRPr="0063119B">
        <w:rPr>
          <w:rFonts w:eastAsia="SimSun"/>
          <w:szCs w:val="22"/>
          <w:lang w:eastAsia="ja-JP"/>
        </w:rPr>
        <w:t>estudos clínicos controlados aleatorizados de fase III (Einstein DVT, Einstein PE</w:t>
      </w:r>
      <w:r w:rsidR="00977B6C" w:rsidRPr="0063119B">
        <w:rPr>
          <w:rFonts w:eastAsia="SimSun"/>
          <w:szCs w:val="22"/>
          <w:lang w:eastAsia="ja-JP"/>
        </w:rPr>
        <w:t>,</w:t>
      </w:r>
      <w:r w:rsidRPr="0063119B">
        <w:rPr>
          <w:rFonts w:eastAsia="SimSun"/>
          <w:szCs w:val="22"/>
          <w:lang w:eastAsia="ja-JP"/>
        </w:rPr>
        <w:t xml:space="preserve"> Einstein Extension</w:t>
      </w:r>
      <w:r w:rsidR="00977B6C" w:rsidRPr="0063119B">
        <w:rPr>
          <w:rFonts w:eastAsia="SimSun"/>
          <w:szCs w:val="22"/>
          <w:lang w:eastAsia="ja-JP"/>
        </w:rPr>
        <w:t xml:space="preserve"> e Einstein Choice</w:t>
      </w:r>
      <w:r w:rsidRPr="0063119B">
        <w:rPr>
          <w:rFonts w:eastAsia="SimSun"/>
          <w:szCs w:val="22"/>
          <w:lang w:eastAsia="ja-JP"/>
        </w:rPr>
        <w:t>) e adicionalmente, foi realizada uma análise agrupada pré-definida dos estudos Einstein DVT e Einstein PE. A duração de tratamento total combinada de todos os estudos atingiu um máximo de 21 meses.</w:t>
      </w:r>
    </w:p>
    <w:p w14:paraId="701AB00B" w14:textId="77777777" w:rsidR="00337111" w:rsidRPr="0063119B" w:rsidRDefault="00337111" w:rsidP="00337111">
      <w:pPr>
        <w:rPr>
          <w:rFonts w:eastAsia="SimSun"/>
          <w:szCs w:val="22"/>
          <w:lang w:eastAsia="ja-JP"/>
        </w:rPr>
      </w:pPr>
    </w:p>
    <w:p w14:paraId="4AE09A05" w14:textId="77777777" w:rsidR="00337111" w:rsidRPr="0063119B" w:rsidRDefault="00337111" w:rsidP="00337111">
      <w:pPr>
        <w:rPr>
          <w:rFonts w:eastAsia="SimSun"/>
          <w:szCs w:val="22"/>
          <w:lang w:eastAsia="ja-JP"/>
        </w:rPr>
      </w:pPr>
      <w:r w:rsidRPr="0063119B">
        <w:rPr>
          <w:rFonts w:eastAsia="SimSun"/>
          <w:szCs w:val="22"/>
          <w:lang w:eastAsia="ja-JP"/>
        </w:rPr>
        <w:t>No estudo Einstein DVT, 3.449 doentes com TVP foram estudados no tratamento da TVP e da prevenção da TVP recorrente e EP (doentes que se apresentaram com EP sintomático foram excluídos deste estudo). A duração do tratamento foi de 3, 6 ou 12 meses dependendo do critério clínico do investigador.</w:t>
      </w:r>
    </w:p>
    <w:p w14:paraId="25818DC1" w14:textId="77777777" w:rsidR="00337111" w:rsidRPr="0063119B" w:rsidRDefault="00337111" w:rsidP="00337111">
      <w:pPr>
        <w:rPr>
          <w:rFonts w:eastAsia="SimSun"/>
          <w:szCs w:val="22"/>
          <w:lang w:eastAsia="ja-JP"/>
        </w:rPr>
      </w:pPr>
      <w:r w:rsidRPr="0063119B">
        <w:rPr>
          <w:rFonts w:eastAsia="SimSun"/>
          <w:szCs w:val="22"/>
          <w:lang w:eastAsia="ja-JP"/>
        </w:rPr>
        <w:t>No tratamento inicial de 3 semanas da TVP aguda foram administrados 15 mg de rivaroxabano duas vezes por dia. Esta dose foi seguida de 20 mg de rivaroxabano uma vez por dia.</w:t>
      </w:r>
    </w:p>
    <w:p w14:paraId="7627FA14" w14:textId="77777777" w:rsidR="00337111" w:rsidRPr="0063119B" w:rsidRDefault="00337111" w:rsidP="00337111">
      <w:pPr>
        <w:rPr>
          <w:rFonts w:eastAsia="SimSun"/>
          <w:szCs w:val="22"/>
          <w:lang w:eastAsia="ja-JP"/>
        </w:rPr>
      </w:pPr>
    </w:p>
    <w:p w14:paraId="76B1D0B7" w14:textId="77777777" w:rsidR="00337111" w:rsidRPr="0063119B" w:rsidRDefault="00337111" w:rsidP="00337111">
      <w:pPr>
        <w:rPr>
          <w:rFonts w:eastAsia="SimSun"/>
          <w:szCs w:val="22"/>
          <w:lang w:eastAsia="ja-JP"/>
        </w:rPr>
      </w:pPr>
      <w:r w:rsidRPr="0063119B">
        <w:rPr>
          <w:rFonts w:eastAsia="SimSun"/>
          <w:szCs w:val="22"/>
          <w:lang w:eastAsia="ja-JP"/>
        </w:rPr>
        <w:t>No Einstein PE, 4.832 doentes com EP agudo foram estudados no tratamento do EP e na prevenção da TVP recorrente e EP. A duração do tratamento foi de 3, 6 ou 12 meses dependendo do critério clínico do investigador.</w:t>
      </w:r>
    </w:p>
    <w:p w14:paraId="1EA0FBA3" w14:textId="77777777" w:rsidR="00337111" w:rsidRPr="0063119B" w:rsidRDefault="00337111" w:rsidP="00337111">
      <w:pPr>
        <w:rPr>
          <w:rFonts w:eastAsia="SimSun"/>
          <w:szCs w:val="22"/>
          <w:lang w:eastAsia="ja-JP"/>
        </w:rPr>
      </w:pPr>
      <w:r w:rsidRPr="0063119B">
        <w:rPr>
          <w:rFonts w:eastAsia="SimSun"/>
          <w:szCs w:val="22"/>
          <w:lang w:eastAsia="ja-JP"/>
        </w:rPr>
        <w:t>No tratamento inicial do EP agudo foram administrados 15</w:t>
      </w:r>
      <w:r w:rsidR="00CD587B" w:rsidRPr="0063119B">
        <w:rPr>
          <w:rFonts w:eastAsia="SimSun"/>
          <w:szCs w:val="22"/>
          <w:lang w:eastAsia="ja-JP"/>
        </w:rPr>
        <w:t> </w:t>
      </w:r>
      <w:r w:rsidRPr="0063119B">
        <w:rPr>
          <w:rFonts w:eastAsia="SimSun"/>
          <w:szCs w:val="22"/>
          <w:lang w:eastAsia="ja-JP"/>
        </w:rPr>
        <w:t>mg de rivaroxabano duas vezes por dia durante três semanas. Esta dose foi seguida de 20</w:t>
      </w:r>
      <w:r w:rsidR="00CD587B" w:rsidRPr="0063119B">
        <w:rPr>
          <w:rFonts w:eastAsia="SimSun"/>
          <w:szCs w:val="22"/>
          <w:lang w:eastAsia="ja-JP"/>
        </w:rPr>
        <w:t> </w:t>
      </w:r>
      <w:r w:rsidRPr="0063119B">
        <w:rPr>
          <w:rFonts w:eastAsia="SimSun"/>
          <w:szCs w:val="22"/>
          <w:lang w:eastAsia="ja-JP"/>
        </w:rPr>
        <w:t>mg de rivaroxabano uma vez por dia.</w:t>
      </w:r>
    </w:p>
    <w:p w14:paraId="20E25922" w14:textId="77777777" w:rsidR="00337111" w:rsidRPr="0063119B" w:rsidRDefault="00337111" w:rsidP="00337111">
      <w:pPr>
        <w:rPr>
          <w:rFonts w:eastAsia="SimSun"/>
          <w:szCs w:val="22"/>
          <w:lang w:eastAsia="ja-JP"/>
        </w:rPr>
      </w:pPr>
    </w:p>
    <w:p w14:paraId="26823AAE" w14:textId="77777777" w:rsidR="00337111" w:rsidRPr="0063119B" w:rsidRDefault="00337111" w:rsidP="00337111">
      <w:pPr>
        <w:rPr>
          <w:rFonts w:eastAsia="SimSun"/>
          <w:szCs w:val="22"/>
          <w:lang w:eastAsia="ja-JP"/>
        </w:rPr>
      </w:pPr>
      <w:r w:rsidRPr="0063119B">
        <w:rPr>
          <w:rFonts w:eastAsia="SimSun"/>
          <w:szCs w:val="22"/>
          <w:lang w:eastAsia="ja-JP"/>
        </w:rPr>
        <w:t>Em ambos os estudos, Einstein DVT e Einstein PE, o regime de tratamento comparador foi constituído por enoxaparina administrada durante pelo menos 5 dias em associação com um tratamento com um antagonista da vitamina K até que TP/INR estivesse no intervalo terapêutico (</w:t>
      </w:r>
      <w:r w:rsidRPr="0063119B">
        <w:rPr>
          <w:rFonts w:eastAsia="SimSun"/>
          <w:szCs w:val="22"/>
          <w:lang w:eastAsia="ja-JP"/>
        </w:rPr>
        <w:sym w:font="Symbol" w:char="F0B3"/>
      </w:r>
      <w:r w:rsidRPr="0063119B">
        <w:rPr>
          <w:rFonts w:eastAsia="SimSun"/>
          <w:szCs w:val="22"/>
          <w:lang w:eastAsia="ja-JP"/>
        </w:rPr>
        <w:t> 2,0). O tratamento continuou com a dose do antagonista da vitamina K ajustada para manter os valores de TP/INR no intervalo terapêutico de 2,0 a 3,0.</w:t>
      </w:r>
    </w:p>
    <w:p w14:paraId="6D11EA11" w14:textId="77777777" w:rsidR="00337111" w:rsidRPr="0063119B" w:rsidRDefault="00337111" w:rsidP="00337111">
      <w:pPr>
        <w:rPr>
          <w:rFonts w:eastAsia="SimSun"/>
          <w:szCs w:val="22"/>
          <w:lang w:eastAsia="ja-JP"/>
        </w:rPr>
      </w:pPr>
    </w:p>
    <w:p w14:paraId="634D8B9B" w14:textId="77777777" w:rsidR="00337111" w:rsidRPr="0063119B" w:rsidRDefault="00337111" w:rsidP="00337111">
      <w:pPr>
        <w:autoSpaceDE w:val="0"/>
        <w:autoSpaceDN w:val="0"/>
        <w:adjustRightInd w:val="0"/>
        <w:rPr>
          <w:rFonts w:eastAsia="SimSun"/>
          <w:szCs w:val="22"/>
          <w:lang w:eastAsia="ja-JP"/>
        </w:rPr>
      </w:pPr>
      <w:r w:rsidRPr="0063119B">
        <w:rPr>
          <w:rFonts w:eastAsia="SimSun"/>
          <w:szCs w:val="22"/>
          <w:lang w:eastAsia="ja-JP"/>
        </w:rPr>
        <w:t xml:space="preserve">No estudo Einstein Extension, 1.197 doentes com TVP ou EP foram estudados na prevenção da TVP recorrente e EP. A duração do tratamento foi de 6 ou 12 meses adicionais nos doentes que completaram 6 a 12 meses de tratamento para o tromboembolismo venoso dependendo do critério clínico do investigador. </w:t>
      </w:r>
      <w:r w:rsidR="00CD587B" w:rsidRPr="0063119B">
        <w:rPr>
          <w:rFonts w:eastAsia="SimSun"/>
          <w:szCs w:val="22"/>
          <w:lang w:eastAsia="ja-JP"/>
        </w:rPr>
        <w:t xml:space="preserve">O </w:t>
      </w:r>
      <w:r w:rsidR="00CD587B" w:rsidRPr="0063119B">
        <w:rPr>
          <w:szCs w:val="22"/>
        </w:rPr>
        <w:t>rivaroxabano</w:t>
      </w:r>
      <w:r w:rsidR="00CD587B" w:rsidRPr="0063119B">
        <w:rPr>
          <w:rFonts w:eastAsia="SimSun"/>
          <w:szCs w:val="22"/>
          <w:lang w:eastAsia="ja-JP"/>
        </w:rPr>
        <w:t xml:space="preserve"> </w:t>
      </w:r>
      <w:r w:rsidRPr="0063119B">
        <w:rPr>
          <w:rFonts w:eastAsia="SimSun"/>
          <w:szCs w:val="22"/>
          <w:lang w:eastAsia="ja-JP"/>
        </w:rPr>
        <w:t>na dose de 20 mg uma vez por dia foi comparado com um placebo.</w:t>
      </w:r>
    </w:p>
    <w:p w14:paraId="30F195D9" w14:textId="77777777" w:rsidR="00337111" w:rsidRPr="0063119B" w:rsidRDefault="00337111" w:rsidP="00337111">
      <w:pPr>
        <w:pStyle w:val="Default"/>
        <w:rPr>
          <w:color w:val="auto"/>
          <w:sz w:val="22"/>
          <w:szCs w:val="22"/>
          <w:lang w:val="pt-PT"/>
        </w:rPr>
      </w:pPr>
    </w:p>
    <w:p w14:paraId="3F0E65D2" w14:textId="77777777" w:rsidR="00337111" w:rsidRPr="0063119B" w:rsidRDefault="00977B6C" w:rsidP="00337111">
      <w:pPr>
        <w:rPr>
          <w:rFonts w:eastAsia="SimSun"/>
          <w:szCs w:val="22"/>
          <w:lang w:eastAsia="ja-JP"/>
        </w:rPr>
      </w:pPr>
      <w:r w:rsidRPr="0063119B">
        <w:rPr>
          <w:rFonts w:eastAsia="SimSun"/>
          <w:szCs w:val="22"/>
          <w:lang w:eastAsia="ja-JP"/>
        </w:rPr>
        <w:t>O</w:t>
      </w:r>
      <w:r w:rsidR="00337111" w:rsidRPr="0063119B">
        <w:rPr>
          <w:rFonts w:eastAsia="SimSun"/>
          <w:szCs w:val="22"/>
          <w:lang w:eastAsia="ja-JP"/>
        </w:rPr>
        <w:t xml:space="preserve">s estudos </w:t>
      </w:r>
      <w:r w:rsidRPr="0063119B">
        <w:rPr>
          <w:rFonts w:eastAsia="SimSun"/>
          <w:szCs w:val="22"/>
          <w:lang w:eastAsia="ja-JP"/>
        </w:rPr>
        <w:t>Einstein DVT, PE e Extension</w:t>
      </w:r>
      <w:r w:rsidR="00337111" w:rsidRPr="0063119B">
        <w:rPr>
          <w:rFonts w:eastAsia="SimSun"/>
          <w:szCs w:val="22"/>
          <w:lang w:eastAsia="ja-JP"/>
        </w:rPr>
        <w:t xml:space="preserve"> utilizaram os mesmos objetivos primários e secundários de avaliação da eficácia pré</w:t>
      </w:r>
      <w:r w:rsidR="00337111" w:rsidRPr="0063119B">
        <w:rPr>
          <w:rFonts w:eastAsia="SimSun"/>
          <w:szCs w:val="22"/>
          <w:lang w:eastAsia="ja-JP"/>
        </w:rPr>
        <w:noBreakHyphen/>
        <w:t>definidos. O objetivo primário da eficácia consistiu no TEV sintomático recorrente, definido como composto da TVP recorrente ou do EP fatal ou não</w:t>
      </w:r>
      <w:r w:rsidR="005C7155" w:rsidRPr="0063119B">
        <w:rPr>
          <w:rFonts w:eastAsia="SimSun"/>
          <w:szCs w:val="22"/>
          <w:lang w:eastAsia="ja-JP"/>
        </w:rPr>
        <w:t>-</w:t>
      </w:r>
      <w:r w:rsidR="00337111" w:rsidRPr="0063119B">
        <w:rPr>
          <w:rFonts w:eastAsia="SimSun"/>
          <w:szCs w:val="22"/>
          <w:lang w:eastAsia="ja-JP"/>
        </w:rPr>
        <w:t>fatal. O objetivo secundário da eficácia foi definido como composto da TVP recorrente, EP não</w:t>
      </w:r>
      <w:r w:rsidR="005C7155" w:rsidRPr="0063119B">
        <w:rPr>
          <w:rFonts w:eastAsia="SimSun"/>
          <w:szCs w:val="22"/>
          <w:lang w:eastAsia="ja-JP"/>
        </w:rPr>
        <w:t>-</w:t>
      </w:r>
      <w:r w:rsidR="00337111" w:rsidRPr="0063119B">
        <w:rPr>
          <w:rFonts w:eastAsia="SimSun"/>
          <w:szCs w:val="22"/>
          <w:lang w:eastAsia="ja-JP"/>
        </w:rPr>
        <w:t>fatal e mortalidade por todas as causas.</w:t>
      </w:r>
    </w:p>
    <w:p w14:paraId="266507C7" w14:textId="77777777" w:rsidR="00337111" w:rsidRPr="0063119B" w:rsidRDefault="00337111" w:rsidP="00337111">
      <w:pPr>
        <w:autoSpaceDE w:val="0"/>
        <w:autoSpaceDN w:val="0"/>
        <w:adjustRightInd w:val="0"/>
        <w:rPr>
          <w:szCs w:val="22"/>
        </w:rPr>
      </w:pPr>
    </w:p>
    <w:p w14:paraId="0CE812A5" w14:textId="77777777" w:rsidR="008E7EA4" w:rsidRPr="0063119B" w:rsidRDefault="008E7EA4" w:rsidP="008E7EA4">
      <w:pPr>
        <w:pStyle w:val="Default"/>
        <w:rPr>
          <w:color w:val="auto"/>
          <w:sz w:val="22"/>
          <w:szCs w:val="22"/>
          <w:lang w:val="pt-PT"/>
        </w:rPr>
      </w:pPr>
      <w:r w:rsidRPr="0063119B">
        <w:rPr>
          <w:color w:val="auto"/>
          <w:sz w:val="22"/>
          <w:szCs w:val="22"/>
          <w:lang w:val="pt-PT"/>
        </w:rPr>
        <w:t>No estudo Einstein Choice, foram estudados 3.396 doentes com TVP e/ou EP sintomático, confirmado, que completaram 6</w:t>
      </w:r>
      <w:r w:rsidR="002F4A3F" w:rsidRPr="0063119B">
        <w:rPr>
          <w:color w:val="auto"/>
          <w:sz w:val="22"/>
          <w:szCs w:val="22"/>
          <w:lang w:val="pt-PT"/>
        </w:rPr>
        <w:t>-</w:t>
      </w:r>
      <w:r w:rsidRPr="0063119B">
        <w:rPr>
          <w:color w:val="auto"/>
          <w:sz w:val="22"/>
          <w:szCs w:val="22"/>
          <w:lang w:val="pt-PT"/>
        </w:rPr>
        <w:t>12 meses de tratamento anticoagulante para a prevenção do EP fatal ou EP ou TVP não fatal, sintomático, recorrente. Os doentes com indicação para anticoagulação com do</w:t>
      </w:r>
      <w:r w:rsidR="00AF2A9F" w:rsidRPr="0063119B">
        <w:rPr>
          <w:color w:val="auto"/>
          <w:sz w:val="22"/>
          <w:szCs w:val="22"/>
          <w:lang w:val="pt-PT"/>
        </w:rPr>
        <w:t>se</w:t>
      </w:r>
      <w:r w:rsidRPr="0063119B">
        <w:rPr>
          <w:color w:val="auto"/>
          <w:sz w:val="22"/>
          <w:szCs w:val="22"/>
          <w:lang w:val="pt-PT"/>
        </w:rPr>
        <w:t xml:space="preserve"> terapêutica </w:t>
      </w:r>
      <w:r w:rsidR="00520083" w:rsidRPr="0063119B">
        <w:rPr>
          <w:color w:val="auto"/>
          <w:sz w:val="22"/>
          <w:szCs w:val="22"/>
          <w:lang w:val="pt-PT"/>
        </w:rPr>
        <w:t>continuada</w:t>
      </w:r>
      <w:r w:rsidR="00F009F5" w:rsidRPr="0063119B">
        <w:rPr>
          <w:color w:val="auto"/>
          <w:sz w:val="22"/>
          <w:szCs w:val="22"/>
          <w:lang w:val="pt-PT"/>
        </w:rPr>
        <w:t xml:space="preserve"> </w:t>
      </w:r>
      <w:r w:rsidRPr="0063119B">
        <w:rPr>
          <w:color w:val="auto"/>
          <w:sz w:val="22"/>
          <w:szCs w:val="22"/>
          <w:lang w:val="pt-PT"/>
        </w:rPr>
        <w:t xml:space="preserve">foram excluídos do estudo. A duração do tratamento foi de até 12 meses conforme a data individual de aleatorização (mediana: 351 dias). Comparou-se </w:t>
      </w:r>
      <w:r w:rsidR="001D6BDF" w:rsidRPr="0063119B">
        <w:rPr>
          <w:color w:val="auto"/>
          <w:sz w:val="22"/>
          <w:szCs w:val="22"/>
          <w:lang w:val="pt-PT"/>
        </w:rPr>
        <w:t xml:space="preserve">o </w:t>
      </w:r>
      <w:r w:rsidR="001D6BDF" w:rsidRPr="0063119B">
        <w:rPr>
          <w:sz w:val="22"/>
          <w:szCs w:val="22"/>
          <w:lang w:val="pt-PT"/>
        </w:rPr>
        <w:t xml:space="preserve">rivaroxabano na dose </w:t>
      </w:r>
      <w:r w:rsidR="001D6BDF" w:rsidRPr="0063119B">
        <w:rPr>
          <w:sz w:val="22"/>
          <w:szCs w:val="22"/>
          <w:lang w:val="pt-PT"/>
        </w:rPr>
        <w:lastRenderedPageBreak/>
        <w:t>de</w:t>
      </w:r>
      <w:r w:rsidR="001D6BDF" w:rsidRPr="0063119B">
        <w:rPr>
          <w:color w:val="auto"/>
          <w:sz w:val="22"/>
          <w:szCs w:val="22"/>
          <w:lang w:val="pt-PT"/>
        </w:rPr>
        <w:t xml:space="preserve"> </w:t>
      </w:r>
      <w:r w:rsidRPr="0063119B">
        <w:rPr>
          <w:color w:val="auto"/>
          <w:sz w:val="22"/>
          <w:szCs w:val="22"/>
          <w:lang w:val="pt-PT"/>
        </w:rPr>
        <w:t xml:space="preserve">20 mg uma vez por dia e </w:t>
      </w:r>
      <w:r w:rsidR="001D6BDF" w:rsidRPr="0063119B">
        <w:rPr>
          <w:color w:val="auto"/>
          <w:sz w:val="22"/>
          <w:szCs w:val="22"/>
          <w:lang w:val="pt-PT"/>
        </w:rPr>
        <w:t xml:space="preserve">o </w:t>
      </w:r>
      <w:r w:rsidR="001D6BDF" w:rsidRPr="0063119B">
        <w:rPr>
          <w:sz w:val="22"/>
          <w:szCs w:val="22"/>
          <w:lang w:val="pt-PT"/>
        </w:rPr>
        <w:t>rivaroxabano na dose de</w:t>
      </w:r>
      <w:r w:rsidR="001D6BDF" w:rsidRPr="0063119B">
        <w:rPr>
          <w:color w:val="auto"/>
          <w:sz w:val="22"/>
          <w:szCs w:val="22"/>
          <w:lang w:val="pt-PT"/>
        </w:rPr>
        <w:t xml:space="preserve"> </w:t>
      </w:r>
      <w:r w:rsidRPr="0063119B">
        <w:rPr>
          <w:color w:val="auto"/>
          <w:sz w:val="22"/>
          <w:szCs w:val="22"/>
          <w:lang w:val="pt-PT"/>
        </w:rPr>
        <w:t xml:space="preserve">10 mg </w:t>
      </w:r>
      <w:r w:rsidR="00834309" w:rsidRPr="0063119B">
        <w:rPr>
          <w:color w:val="auto"/>
          <w:sz w:val="22"/>
          <w:szCs w:val="22"/>
          <w:lang w:val="pt-PT"/>
        </w:rPr>
        <w:t>uma vez por dia</w:t>
      </w:r>
      <w:r w:rsidRPr="0063119B">
        <w:rPr>
          <w:color w:val="auto"/>
          <w:sz w:val="22"/>
          <w:szCs w:val="22"/>
          <w:lang w:val="pt-PT"/>
        </w:rPr>
        <w:t xml:space="preserve"> com 100 mg de ácido acetilsalicílico uma vez por dia.</w:t>
      </w:r>
    </w:p>
    <w:p w14:paraId="3E200401" w14:textId="77777777" w:rsidR="008E7EA4" w:rsidRPr="0063119B" w:rsidRDefault="008E7EA4" w:rsidP="008E7EA4">
      <w:pPr>
        <w:autoSpaceDE w:val="0"/>
        <w:autoSpaceDN w:val="0"/>
        <w:adjustRightInd w:val="0"/>
        <w:rPr>
          <w:rFonts w:eastAsia="SimSun"/>
          <w:szCs w:val="22"/>
          <w:lang w:eastAsia="ja-JP"/>
        </w:rPr>
      </w:pPr>
      <w:r w:rsidRPr="0063119B">
        <w:rPr>
          <w:rFonts w:eastAsia="SimSun"/>
          <w:szCs w:val="22"/>
          <w:lang w:eastAsia="ja-JP"/>
        </w:rPr>
        <w:t xml:space="preserve">O objetivo primário da eficácia foi </w:t>
      </w:r>
      <w:r w:rsidR="00AF2A9F" w:rsidRPr="0063119B">
        <w:rPr>
          <w:rFonts w:eastAsia="SimSun"/>
          <w:szCs w:val="22"/>
          <w:lang w:eastAsia="ja-JP"/>
        </w:rPr>
        <w:t>o</w:t>
      </w:r>
      <w:r w:rsidRPr="0063119B">
        <w:rPr>
          <w:rFonts w:eastAsia="SimSun"/>
          <w:szCs w:val="22"/>
          <w:lang w:eastAsia="ja-JP"/>
        </w:rPr>
        <w:t xml:space="preserve"> TEV recorrente, sintomátic</w:t>
      </w:r>
      <w:r w:rsidR="00AF2A9F" w:rsidRPr="0063119B">
        <w:rPr>
          <w:rFonts w:eastAsia="SimSun"/>
          <w:szCs w:val="22"/>
          <w:lang w:eastAsia="ja-JP"/>
        </w:rPr>
        <w:t>o</w:t>
      </w:r>
      <w:r w:rsidRPr="0063119B">
        <w:rPr>
          <w:rFonts w:eastAsia="SimSun"/>
          <w:szCs w:val="22"/>
          <w:lang w:eastAsia="ja-JP"/>
        </w:rPr>
        <w:t>, definido como composto da TVP recorrente, EP fatal ou não fatal.</w:t>
      </w:r>
    </w:p>
    <w:p w14:paraId="6D467FD0" w14:textId="77777777" w:rsidR="008E7EA4" w:rsidRPr="0063119B" w:rsidRDefault="008E7EA4" w:rsidP="00337111">
      <w:pPr>
        <w:autoSpaceDE w:val="0"/>
        <w:autoSpaceDN w:val="0"/>
        <w:adjustRightInd w:val="0"/>
        <w:rPr>
          <w:szCs w:val="22"/>
        </w:rPr>
      </w:pPr>
    </w:p>
    <w:p w14:paraId="44A24C84" w14:textId="77777777" w:rsidR="00337111" w:rsidRPr="0063119B" w:rsidRDefault="00337111" w:rsidP="00337111">
      <w:pPr>
        <w:autoSpaceDE w:val="0"/>
        <w:autoSpaceDN w:val="0"/>
        <w:adjustRightInd w:val="0"/>
        <w:rPr>
          <w:rFonts w:eastAsia="MS Mincho"/>
          <w:bCs/>
          <w:szCs w:val="22"/>
          <w:lang w:eastAsia="ja-JP"/>
        </w:rPr>
      </w:pPr>
      <w:r w:rsidRPr="0063119B">
        <w:rPr>
          <w:szCs w:val="22"/>
        </w:rPr>
        <w:t>No estudo Einstein DVT (ver Quadro </w:t>
      </w:r>
      <w:r w:rsidR="00977B6C" w:rsidRPr="0063119B">
        <w:rPr>
          <w:szCs w:val="22"/>
        </w:rPr>
        <w:t>6</w:t>
      </w:r>
      <w:r w:rsidRPr="0063119B">
        <w:rPr>
          <w:szCs w:val="22"/>
        </w:rPr>
        <w:t>), o rivaroxabano demonstrou ser não inferior à enoxaparina/AVK em relação ao objetivo primário da eficácia (p &lt; 0,0001 (teste de não</w:t>
      </w:r>
      <w:r w:rsidRPr="0063119B">
        <w:rPr>
          <w:szCs w:val="22"/>
        </w:rPr>
        <w:noBreakHyphen/>
        <w:t xml:space="preserve">inferioridade); </w:t>
      </w:r>
      <w:r w:rsidR="002F4A3F" w:rsidRPr="0063119B">
        <w:rPr>
          <w:szCs w:val="22"/>
        </w:rPr>
        <w:t>RR</w:t>
      </w:r>
      <w:r w:rsidRPr="0063119B">
        <w:rPr>
          <w:szCs w:val="22"/>
        </w:rPr>
        <w:t xml:space="preserve">: </w:t>
      </w:r>
      <w:r w:rsidRPr="0063119B">
        <w:rPr>
          <w:iCs/>
          <w:szCs w:val="22"/>
        </w:rPr>
        <w:t>0,680 (0,443 </w:t>
      </w:r>
      <w:r w:rsidRPr="0063119B">
        <w:rPr>
          <w:iCs/>
          <w:szCs w:val="22"/>
        </w:rPr>
        <w:noBreakHyphen/>
        <w:t> 1,042), p = 0,076 (teste de superioridade)).</w:t>
      </w:r>
      <w:r w:rsidRPr="0063119B">
        <w:rPr>
          <w:rFonts w:eastAsia="MS Mincho"/>
          <w:bCs/>
          <w:szCs w:val="22"/>
          <w:lang w:eastAsia="ja-JP"/>
        </w:rPr>
        <w:t xml:space="preserve"> O benefício clínico efetivo pré</w:t>
      </w:r>
      <w:r w:rsidRPr="0063119B">
        <w:rPr>
          <w:rFonts w:eastAsia="MS Mincho"/>
          <w:bCs/>
          <w:szCs w:val="22"/>
          <w:lang w:eastAsia="ja-JP"/>
        </w:rPr>
        <w:noBreakHyphen/>
        <w:t xml:space="preserve">especificado (objetivo primário da eficácia mais acontecimentos hemorrágicos principais) foi notificado com uma </w:t>
      </w:r>
      <w:r w:rsidR="002F4A3F" w:rsidRPr="0063119B">
        <w:rPr>
          <w:rFonts w:eastAsia="MS Mincho"/>
          <w:bCs/>
          <w:szCs w:val="22"/>
          <w:lang w:eastAsia="ja-JP"/>
        </w:rPr>
        <w:t>RR</w:t>
      </w:r>
      <w:r w:rsidRPr="0063119B">
        <w:rPr>
          <w:rFonts w:eastAsia="MS Mincho"/>
          <w:bCs/>
          <w:szCs w:val="22"/>
          <w:lang w:eastAsia="ja-JP"/>
        </w:rPr>
        <w:t xml:space="preserve"> de 0,67 ((IC 95%: 0,47 </w:t>
      </w:r>
      <w:r w:rsidRPr="0063119B">
        <w:rPr>
          <w:rFonts w:eastAsia="MS Mincho"/>
          <w:bCs/>
          <w:szCs w:val="22"/>
          <w:lang w:eastAsia="ja-JP"/>
        </w:rPr>
        <w:noBreakHyphen/>
        <w:t xml:space="preserve"> 0,95), valor p nominal com p=0,027) a favor do rivaroxabano. Os valores de INR foram no intervalo terapêutico uma média de 60,3% do tempo para uma duração média de tratamento de 189 dias, e 55,4%, 60,1% e 62,8% do tempo nos grupos de duração de tratamento previsto de 3, 6 e 12 meses, respetivamente. No grupo enoxaparina/AVK, não existe uma relação clara entre o nível do centro TTR médio (tempo no Intervalo do INR Alvo de 2,0 a 3,0) em tercis de igual tamanho e a incidência de TEV recorrente (P=0,932 para interação). No maior tercil de acordo com o centro, a </w:t>
      </w:r>
      <w:r w:rsidR="002F4A3F" w:rsidRPr="0063119B">
        <w:rPr>
          <w:rFonts w:eastAsia="MS Mincho"/>
          <w:bCs/>
          <w:szCs w:val="22"/>
          <w:lang w:eastAsia="ja-JP"/>
        </w:rPr>
        <w:t>RR</w:t>
      </w:r>
      <w:r w:rsidRPr="0063119B">
        <w:rPr>
          <w:rFonts w:eastAsia="MS Mincho"/>
          <w:bCs/>
          <w:szCs w:val="22"/>
          <w:lang w:eastAsia="ja-JP"/>
        </w:rPr>
        <w:t xml:space="preserve"> com rivaroxabano versus varfarina foi de 0,69 (IC 95%: 0,35 </w:t>
      </w:r>
      <w:r w:rsidR="00377739" w:rsidRPr="0063119B">
        <w:rPr>
          <w:rFonts w:eastAsia="MS Mincho"/>
          <w:bCs/>
          <w:szCs w:val="22"/>
          <w:lang w:eastAsia="ja-JP"/>
        </w:rPr>
        <w:t>-</w:t>
      </w:r>
      <w:r w:rsidRPr="0063119B">
        <w:rPr>
          <w:rFonts w:eastAsia="MS Mincho"/>
          <w:bCs/>
          <w:szCs w:val="22"/>
          <w:lang w:eastAsia="ja-JP"/>
        </w:rPr>
        <w:t xml:space="preserve"> 1,35).</w:t>
      </w:r>
    </w:p>
    <w:p w14:paraId="215E4AD5" w14:textId="77777777" w:rsidR="00337111" w:rsidRPr="0063119B" w:rsidRDefault="00337111" w:rsidP="00337111">
      <w:pPr>
        <w:autoSpaceDE w:val="0"/>
        <w:autoSpaceDN w:val="0"/>
        <w:adjustRightInd w:val="0"/>
        <w:rPr>
          <w:rFonts w:eastAsia="MS Mincho"/>
          <w:bCs/>
          <w:szCs w:val="22"/>
          <w:lang w:eastAsia="ja-JP"/>
        </w:rPr>
      </w:pPr>
    </w:p>
    <w:p w14:paraId="39698FEA" w14:textId="77777777" w:rsidR="00337111" w:rsidRPr="0063119B" w:rsidRDefault="00337111" w:rsidP="00337111">
      <w:pPr>
        <w:rPr>
          <w:szCs w:val="22"/>
        </w:rPr>
      </w:pPr>
      <w:r w:rsidRPr="0063119B">
        <w:rPr>
          <w:szCs w:val="22"/>
        </w:rPr>
        <w:t>As taxas de incidência do objetivo primário de segurança (acontecimentos hemorrágicos principais e não principais clinicamente relevantes) assim como do objetivo secundário de segurança (acontecimentos hemorrágicos principais) foram semelhantes nos dois grupos de tratamento.</w:t>
      </w:r>
    </w:p>
    <w:p w14:paraId="21C2E93D" w14:textId="77777777" w:rsidR="00337111" w:rsidRPr="0063119B" w:rsidRDefault="00337111" w:rsidP="00337111">
      <w:pPr>
        <w:pStyle w:val="Default"/>
        <w:rPr>
          <w:color w:val="auto"/>
          <w:sz w:val="22"/>
          <w:szCs w:val="22"/>
          <w:lang w:val="pt-PT"/>
        </w:rPr>
      </w:pPr>
    </w:p>
    <w:p w14:paraId="4D7A8BD9" w14:textId="77777777" w:rsidR="00337111" w:rsidRPr="0063119B" w:rsidRDefault="00337111" w:rsidP="003345A8">
      <w:pPr>
        <w:pStyle w:val="Default"/>
        <w:keepNext/>
        <w:keepLines/>
        <w:widowControl/>
        <w:rPr>
          <w:b/>
          <w:color w:val="auto"/>
          <w:sz w:val="22"/>
          <w:szCs w:val="22"/>
          <w:lang w:val="pt-PT"/>
        </w:rPr>
      </w:pPr>
      <w:r w:rsidRPr="0063119B">
        <w:rPr>
          <w:b/>
          <w:color w:val="auto"/>
          <w:sz w:val="22"/>
          <w:szCs w:val="22"/>
          <w:lang w:val="pt-PT"/>
        </w:rPr>
        <w:t>Quadro </w:t>
      </w:r>
      <w:r w:rsidR="00977B6C" w:rsidRPr="0063119B">
        <w:rPr>
          <w:b/>
          <w:color w:val="auto"/>
          <w:sz w:val="22"/>
          <w:szCs w:val="22"/>
          <w:lang w:val="pt-PT"/>
        </w:rPr>
        <w:t>6</w:t>
      </w:r>
      <w:r w:rsidRPr="0063119B">
        <w:rPr>
          <w:b/>
          <w:color w:val="auto"/>
          <w:sz w:val="22"/>
          <w:szCs w:val="22"/>
          <w:lang w:val="pt-PT"/>
        </w:rPr>
        <w:t>: Resultados de eficácia e segurança do estudo de fase III Einstein DVT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20"/>
        <w:gridCol w:w="230"/>
      </w:tblGrid>
      <w:tr w:rsidR="00337111" w:rsidRPr="0063119B" w14:paraId="06CD9BF3" w14:textId="77777777" w:rsidTr="0044301C">
        <w:tc>
          <w:tcPr>
            <w:tcW w:w="3360" w:type="dxa"/>
          </w:tcPr>
          <w:p w14:paraId="7153D0A1" w14:textId="77777777" w:rsidR="00337111" w:rsidRPr="0063119B" w:rsidRDefault="00337111" w:rsidP="003345A8">
            <w:pPr>
              <w:keepNext/>
              <w:keepLines/>
              <w:autoSpaceDE w:val="0"/>
              <w:autoSpaceDN w:val="0"/>
              <w:adjustRightInd w:val="0"/>
              <w:rPr>
                <w:b/>
                <w:bCs/>
                <w:szCs w:val="22"/>
              </w:rPr>
            </w:pPr>
            <w:r w:rsidRPr="0063119B">
              <w:rPr>
                <w:b/>
                <w:bCs/>
                <w:szCs w:val="22"/>
              </w:rPr>
              <w:t>População do estudo</w:t>
            </w:r>
          </w:p>
        </w:tc>
        <w:tc>
          <w:tcPr>
            <w:tcW w:w="6000" w:type="dxa"/>
            <w:gridSpan w:val="3"/>
          </w:tcPr>
          <w:p w14:paraId="3777B7A9" w14:textId="77777777" w:rsidR="00337111" w:rsidRPr="0063119B" w:rsidRDefault="00337111" w:rsidP="0044301C">
            <w:pPr>
              <w:rPr>
                <w:b/>
                <w:bCs/>
                <w:szCs w:val="22"/>
              </w:rPr>
            </w:pPr>
            <w:r w:rsidRPr="0063119B">
              <w:rPr>
                <w:b/>
                <w:bCs/>
                <w:szCs w:val="22"/>
              </w:rPr>
              <w:t>3.449 doentes com trombose venosa profunda sintomática aguda</w:t>
            </w:r>
          </w:p>
        </w:tc>
      </w:tr>
      <w:tr w:rsidR="00337111" w:rsidRPr="0063119B" w14:paraId="157C6653" w14:textId="77777777" w:rsidTr="0044301C">
        <w:tc>
          <w:tcPr>
            <w:tcW w:w="3360" w:type="dxa"/>
            <w:vAlign w:val="center"/>
          </w:tcPr>
          <w:p w14:paraId="18E46CAE" w14:textId="77777777" w:rsidR="00337111" w:rsidRPr="0063119B" w:rsidRDefault="00337111" w:rsidP="0044301C">
            <w:pPr>
              <w:spacing w:line="260" w:lineRule="exact"/>
              <w:rPr>
                <w:b/>
                <w:bCs/>
                <w:szCs w:val="22"/>
              </w:rPr>
            </w:pPr>
            <w:r w:rsidRPr="0063119B">
              <w:rPr>
                <w:b/>
                <w:bCs/>
                <w:szCs w:val="22"/>
              </w:rPr>
              <w:t>Doses e duração do tratamento</w:t>
            </w:r>
          </w:p>
        </w:tc>
        <w:tc>
          <w:tcPr>
            <w:tcW w:w="3120" w:type="dxa"/>
          </w:tcPr>
          <w:p w14:paraId="0E2A19EB" w14:textId="77777777" w:rsidR="00337111" w:rsidRPr="0063119B" w:rsidRDefault="001D6BDF" w:rsidP="0044301C">
            <w:pPr>
              <w:spacing w:line="260" w:lineRule="exact"/>
              <w:rPr>
                <w:b/>
                <w:bCs/>
                <w:szCs w:val="22"/>
                <w:vertAlign w:val="superscript"/>
              </w:rPr>
            </w:pPr>
            <w:r w:rsidRPr="0063119B">
              <w:rPr>
                <w:b/>
                <w:bCs/>
                <w:szCs w:val="22"/>
              </w:rPr>
              <w:t>Rivaroxabano</w:t>
            </w:r>
            <w:r w:rsidR="00337111" w:rsidRPr="0063119B">
              <w:rPr>
                <w:b/>
                <w:bCs/>
                <w:szCs w:val="22"/>
                <w:vertAlign w:val="superscript"/>
              </w:rPr>
              <w:t>a</w:t>
            </w:r>
            <w:r w:rsidR="00F3647F" w:rsidRPr="0063119B">
              <w:rPr>
                <w:b/>
                <w:bCs/>
                <w:szCs w:val="22"/>
                <w:vertAlign w:val="superscript"/>
              </w:rPr>
              <w:t>)</w:t>
            </w:r>
          </w:p>
          <w:p w14:paraId="00310386" w14:textId="77777777" w:rsidR="00337111" w:rsidRPr="0063119B" w:rsidRDefault="00337111" w:rsidP="0044301C">
            <w:pPr>
              <w:spacing w:line="260" w:lineRule="exact"/>
              <w:rPr>
                <w:b/>
                <w:bCs/>
                <w:szCs w:val="22"/>
              </w:rPr>
            </w:pPr>
            <w:r w:rsidRPr="0063119B">
              <w:rPr>
                <w:b/>
                <w:bCs/>
                <w:szCs w:val="22"/>
              </w:rPr>
              <w:t>3, 6 ou 12 meses</w:t>
            </w:r>
          </w:p>
          <w:p w14:paraId="7360D32A" w14:textId="77777777" w:rsidR="00337111" w:rsidRPr="0063119B" w:rsidRDefault="00337111" w:rsidP="0044301C">
            <w:pPr>
              <w:spacing w:line="260" w:lineRule="exact"/>
              <w:rPr>
                <w:b/>
                <w:bCs/>
                <w:szCs w:val="22"/>
              </w:rPr>
            </w:pPr>
            <w:r w:rsidRPr="0063119B">
              <w:rPr>
                <w:b/>
                <w:bCs/>
                <w:szCs w:val="22"/>
              </w:rPr>
              <w:t>N=1.731</w:t>
            </w:r>
          </w:p>
        </w:tc>
        <w:tc>
          <w:tcPr>
            <w:tcW w:w="2880" w:type="dxa"/>
            <w:gridSpan w:val="2"/>
          </w:tcPr>
          <w:p w14:paraId="6491E7E5" w14:textId="77777777" w:rsidR="00337111" w:rsidRPr="0063119B" w:rsidRDefault="00337111" w:rsidP="0044301C">
            <w:pPr>
              <w:spacing w:line="260" w:lineRule="exact"/>
              <w:rPr>
                <w:b/>
                <w:bCs/>
                <w:szCs w:val="22"/>
              </w:rPr>
            </w:pPr>
            <w:r w:rsidRPr="0063119B">
              <w:rPr>
                <w:b/>
                <w:bCs/>
                <w:szCs w:val="22"/>
              </w:rPr>
              <w:t>Enoxaparina/AVK</w:t>
            </w:r>
            <w:r w:rsidRPr="0063119B">
              <w:rPr>
                <w:b/>
                <w:bCs/>
                <w:szCs w:val="22"/>
                <w:vertAlign w:val="superscript"/>
              </w:rPr>
              <w:t>b</w:t>
            </w:r>
            <w:r w:rsidR="00F3647F" w:rsidRPr="0063119B">
              <w:rPr>
                <w:b/>
                <w:bCs/>
                <w:szCs w:val="22"/>
                <w:vertAlign w:val="superscript"/>
              </w:rPr>
              <w:t>)</w:t>
            </w:r>
          </w:p>
          <w:p w14:paraId="4C7A2B29" w14:textId="77777777" w:rsidR="00337111" w:rsidRPr="0063119B" w:rsidRDefault="00337111" w:rsidP="0044301C">
            <w:pPr>
              <w:spacing w:line="260" w:lineRule="exact"/>
              <w:rPr>
                <w:b/>
                <w:bCs/>
                <w:szCs w:val="22"/>
              </w:rPr>
            </w:pPr>
            <w:r w:rsidRPr="0063119B">
              <w:rPr>
                <w:b/>
                <w:bCs/>
                <w:szCs w:val="22"/>
              </w:rPr>
              <w:t>3, 6 ou 12 meses</w:t>
            </w:r>
          </w:p>
          <w:p w14:paraId="05D69E1D" w14:textId="77777777" w:rsidR="00337111" w:rsidRPr="0063119B" w:rsidRDefault="00337111" w:rsidP="0044301C">
            <w:pPr>
              <w:spacing w:line="260" w:lineRule="exact"/>
              <w:rPr>
                <w:b/>
                <w:bCs/>
                <w:szCs w:val="22"/>
              </w:rPr>
            </w:pPr>
            <w:r w:rsidRPr="0063119B">
              <w:rPr>
                <w:b/>
                <w:bCs/>
                <w:szCs w:val="22"/>
              </w:rPr>
              <w:t>N=1.718</w:t>
            </w:r>
          </w:p>
        </w:tc>
      </w:tr>
      <w:tr w:rsidR="00337111" w:rsidRPr="0063119B" w14:paraId="3CA95A96" w14:textId="77777777" w:rsidTr="0044301C">
        <w:tc>
          <w:tcPr>
            <w:tcW w:w="3360" w:type="dxa"/>
          </w:tcPr>
          <w:p w14:paraId="606E42EF" w14:textId="77777777" w:rsidR="00337111" w:rsidRPr="0063119B" w:rsidRDefault="00337111" w:rsidP="0044301C">
            <w:pPr>
              <w:spacing w:line="260" w:lineRule="exact"/>
              <w:rPr>
                <w:szCs w:val="22"/>
              </w:rPr>
            </w:pPr>
            <w:r w:rsidRPr="0063119B">
              <w:rPr>
                <w:szCs w:val="22"/>
              </w:rPr>
              <w:t xml:space="preserve">       TEV sintomático recorrente*</w:t>
            </w:r>
          </w:p>
        </w:tc>
        <w:tc>
          <w:tcPr>
            <w:tcW w:w="3120" w:type="dxa"/>
          </w:tcPr>
          <w:p w14:paraId="010AC14A" w14:textId="77777777" w:rsidR="00337111" w:rsidRPr="0063119B" w:rsidRDefault="00337111" w:rsidP="0044301C">
            <w:pPr>
              <w:spacing w:line="260" w:lineRule="exact"/>
              <w:rPr>
                <w:szCs w:val="22"/>
              </w:rPr>
            </w:pPr>
            <w:r w:rsidRPr="0063119B">
              <w:rPr>
                <w:szCs w:val="22"/>
              </w:rPr>
              <w:t>36</w:t>
            </w:r>
            <w:r w:rsidRPr="0063119B">
              <w:rPr>
                <w:szCs w:val="22"/>
              </w:rPr>
              <w:br/>
              <w:t>(2,1%)</w:t>
            </w:r>
          </w:p>
        </w:tc>
        <w:tc>
          <w:tcPr>
            <w:tcW w:w="2880" w:type="dxa"/>
            <w:gridSpan w:val="2"/>
          </w:tcPr>
          <w:p w14:paraId="14A5EE08" w14:textId="77777777" w:rsidR="00337111" w:rsidRPr="0063119B" w:rsidRDefault="00337111" w:rsidP="0044301C">
            <w:pPr>
              <w:spacing w:line="260" w:lineRule="exact"/>
              <w:rPr>
                <w:szCs w:val="22"/>
              </w:rPr>
            </w:pPr>
            <w:r w:rsidRPr="0063119B">
              <w:rPr>
                <w:szCs w:val="22"/>
              </w:rPr>
              <w:t>51</w:t>
            </w:r>
            <w:r w:rsidRPr="0063119B">
              <w:rPr>
                <w:szCs w:val="22"/>
              </w:rPr>
              <w:br/>
              <w:t>(3,0%)</w:t>
            </w:r>
          </w:p>
        </w:tc>
      </w:tr>
      <w:tr w:rsidR="00337111" w:rsidRPr="0063119B" w14:paraId="1C0EDA09" w14:textId="77777777" w:rsidTr="0044301C">
        <w:tc>
          <w:tcPr>
            <w:tcW w:w="3360" w:type="dxa"/>
          </w:tcPr>
          <w:p w14:paraId="4804FBE1" w14:textId="77777777" w:rsidR="00337111" w:rsidRPr="0063119B" w:rsidRDefault="00337111" w:rsidP="0044301C">
            <w:pPr>
              <w:spacing w:line="260" w:lineRule="exact"/>
              <w:rPr>
                <w:szCs w:val="22"/>
              </w:rPr>
            </w:pPr>
            <w:r w:rsidRPr="0063119B">
              <w:rPr>
                <w:szCs w:val="22"/>
              </w:rPr>
              <w:t xml:space="preserve">      EP sintomático recorrente</w:t>
            </w:r>
          </w:p>
        </w:tc>
        <w:tc>
          <w:tcPr>
            <w:tcW w:w="3120" w:type="dxa"/>
          </w:tcPr>
          <w:p w14:paraId="023FBE8F" w14:textId="77777777" w:rsidR="00337111" w:rsidRPr="0063119B" w:rsidRDefault="00337111" w:rsidP="0044301C">
            <w:pPr>
              <w:spacing w:line="260" w:lineRule="exact"/>
              <w:rPr>
                <w:szCs w:val="22"/>
              </w:rPr>
            </w:pPr>
            <w:r w:rsidRPr="0063119B">
              <w:rPr>
                <w:szCs w:val="22"/>
              </w:rPr>
              <w:t>20</w:t>
            </w:r>
            <w:r w:rsidRPr="0063119B">
              <w:rPr>
                <w:szCs w:val="22"/>
              </w:rPr>
              <w:br/>
              <w:t>(1,2%)</w:t>
            </w:r>
          </w:p>
        </w:tc>
        <w:tc>
          <w:tcPr>
            <w:tcW w:w="2880" w:type="dxa"/>
            <w:gridSpan w:val="2"/>
          </w:tcPr>
          <w:p w14:paraId="627E22ED" w14:textId="77777777" w:rsidR="00337111" w:rsidRPr="0063119B" w:rsidRDefault="00337111" w:rsidP="0044301C">
            <w:pPr>
              <w:spacing w:line="260" w:lineRule="exact"/>
              <w:rPr>
                <w:szCs w:val="22"/>
              </w:rPr>
            </w:pPr>
            <w:r w:rsidRPr="0063119B">
              <w:rPr>
                <w:szCs w:val="22"/>
              </w:rPr>
              <w:t>18</w:t>
            </w:r>
            <w:r w:rsidRPr="0063119B">
              <w:rPr>
                <w:szCs w:val="22"/>
              </w:rPr>
              <w:br/>
              <w:t>(1,0%)</w:t>
            </w:r>
          </w:p>
        </w:tc>
      </w:tr>
      <w:tr w:rsidR="00337111" w:rsidRPr="0063119B" w14:paraId="26BD0C48" w14:textId="77777777" w:rsidTr="0044301C">
        <w:tc>
          <w:tcPr>
            <w:tcW w:w="3360" w:type="dxa"/>
          </w:tcPr>
          <w:p w14:paraId="00CF4006" w14:textId="77777777" w:rsidR="00337111" w:rsidRPr="0063119B" w:rsidRDefault="00337111" w:rsidP="0044301C">
            <w:pPr>
              <w:spacing w:line="260" w:lineRule="exact"/>
              <w:rPr>
                <w:szCs w:val="22"/>
              </w:rPr>
            </w:pPr>
            <w:r w:rsidRPr="0063119B">
              <w:rPr>
                <w:szCs w:val="22"/>
              </w:rPr>
              <w:t xml:space="preserve">      TVP sintomática recorrente</w:t>
            </w:r>
          </w:p>
        </w:tc>
        <w:tc>
          <w:tcPr>
            <w:tcW w:w="3120" w:type="dxa"/>
          </w:tcPr>
          <w:p w14:paraId="29D7D4DD" w14:textId="77777777" w:rsidR="00337111" w:rsidRPr="0063119B" w:rsidRDefault="00337111" w:rsidP="0044301C">
            <w:pPr>
              <w:spacing w:line="260" w:lineRule="exact"/>
              <w:rPr>
                <w:szCs w:val="22"/>
              </w:rPr>
            </w:pPr>
            <w:r w:rsidRPr="0063119B">
              <w:rPr>
                <w:szCs w:val="22"/>
              </w:rPr>
              <w:t>14</w:t>
            </w:r>
            <w:r w:rsidRPr="0063119B">
              <w:rPr>
                <w:szCs w:val="22"/>
              </w:rPr>
              <w:br/>
              <w:t>(0,8%)</w:t>
            </w:r>
          </w:p>
        </w:tc>
        <w:tc>
          <w:tcPr>
            <w:tcW w:w="2880" w:type="dxa"/>
            <w:gridSpan w:val="2"/>
          </w:tcPr>
          <w:p w14:paraId="580DDBFB" w14:textId="77777777" w:rsidR="00337111" w:rsidRPr="0063119B" w:rsidRDefault="00337111" w:rsidP="0044301C">
            <w:pPr>
              <w:spacing w:line="260" w:lineRule="exact"/>
              <w:rPr>
                <w:szCs w:val="22"/>
              </w:rPr>
            </w:pPr>
            <w:r w:rsidRPr="0063119B">
              <w:rPr>
                <w:szCs w:val="22"/>
              </w:rPr>
              <w:t>28</w:t>
            </w:r>
            <w:r w:rsidRPr="0063119B">
              <w:rPr>
                <w:szCs w:val="22"/>
              </w:rPr>
              <w:br/>
              <w:t>(1,6%)</w:t>
            </w:r>
          </w:p>
        </w:tc>
      </w:tr>
      <w:tr w:rsidR="00337111" w:rsidRPr="0063119B" w14:paraId="49862EEE" w14:textId="77777777" w:rsidTr="0044301C">
        <w:tc>
          <w:tcPr>
            <w:tcW w:w="3360" w:type="dxa"/>
          </w:tcPr>
          <w:p w14:paraId="3D8CEB17" w14:textId="77777777" w:rsidR="00337111" w:rsidRPr="0063119B" w:rsidRDefault="00337111" w:rsidP="0044301C">
            <w:pPr>
              <w:spacing w:line="260" w:lineRule="exact"/>
              <w:rPr>
                <w:szCs w:val="22"/>
              </w:rPr>
            </w:pPr>
            <w:r w:rsidRPr="0063119B">
              <w:rPr>
                <w:szCs w:val="22"/>
              </w:rPr>
              <w:t xml:space="preserve">      EP e TVP sintomáticos</w:t>
            </w:r>
          </w:p>
        </w:tc>
        <w:tc>
          <w:tcPr>
            <w:tcW w:w="3120" w:type="dxa"/>
          </w:tcPr>
          <w:p w14:paraId="6223AF64" w14:textId="77777777" w:rsidR="00337111" w:rsidRPr="0063119B" w:rsidRDefault="00337111" w:rsidP="0044301C">
            <w:pPr>
              <w:spacing w:line="260" w:lineRule="exact"/>
              <w:rPr>
                <w:szCs w:val="22"/>
              </w:rPr>
            </w:pPr>
            <w:r w:rsidRPr="0063119B">
              <w:rPr>
                <w:szCs w:val="22"/>
              </w:rPr>
              <w:t>1</w:t>
            </w:r>
          </w:p>
          <w:p w14:paraId="0E0C6799" w14:textId="77777777" w:rsidR="00337111" w:rsidRPr="0063119B" w:rsidRDefault="00337111" w:rsidP="0044301C">
            <w:pPr>
              <w:spacing w:line="260" w:lineRule="exact"/>
              <w:rPr>
                <w:szCs w:val="22"/>
              </w:rPr>
            </w:pPr>
            <w:r w:rsidRPr="0063119B">
              <w:rPr>
                <w:szCs w:val="22"/>
              </w:rPr>
              <w:t>(0,1%)</w:t>
            </w:r>
          </w:p>
        </w:tc>
        <w:tc>
          <w:tcPr>
            <w:tcW w:w="2880" w:type="dxa"/>
            <w:gridSpan w:val="2"/>
          </w:tcPr>
          <w:p w14:paraId="0CEF0B03" w14:textId="77777777" w:rsidR="00337111" w:rsidRPr="0063119B" w:rsidRDefault="00337111" w:rsidP="0044301C">
            <w:pPr>
              <w:spacing w:line="260" w:lineRule="exact"/>
              <w:rPr>
                <w:szCs w:val="22"/>
              </w:rPr>
            </w:pPr>
            <w:r w:rsidRPr="0063119B">
              <w:rPr>
                <w:szCs w:val="22"/>
              </w:rPr>
              <w:t>0</w:t>
            </w:r>
          </w:p>
        </w:tc>
      </w:tr>
      <w:tr w:rsidR="00337111" w:rsidRPr="0063119B" w14:paraId="6F1F7A33" w14:textId="77777777" w:rsidTr="0044301C">
        <w:tc>
          <w:tcPr>
            <w:tcW w:w="3360" w:type="dxa"/>
          </w:tcPr>
          <w:p w14:paraId="3BC34D2F" w14:textId="77777777" w:rsidR="00337111" w:rsidRPr="0063119B" w:rsidRDefault="00337111" w:rsidP="0044301C">
            <w:pPr>
              <w:spacing w:line="260" w:lineRule="exact"/>
              <w:ind w:left="284" w:hanging="284"/>
              <w:rPr>
                <w:szCs w:val="22"/>
              </w:rPr>
            </w:pPr>
            <w:r w:rsidRPr="0063119B">
              <w:rPr>
                <w:szCs w:val="22"/>
              </w:rPr>
              <w:t xml:space="preserve">      EP fatal/</w:t>
            </w:r>
            <w:r w:rsidR="002F4A3F" w:rsidRPr="0063119B">
              <w:rPr>
                <w:szCs w:val="22"/>
              </w:rPr>
              <w:t>m</w:t>
            </w:r>
            <w:r w:rsidRPr="0063119B">
              <w:rPr>
                <w:szCs w:val="22"/>
              </w:rPr>
              <w:t>orte na qual não se pode excluir EP</w:t>
            </w:r>
          </w:p>
        </w:tc>
        <w:tc>
          <w:tcPr>
            <w:tcW w:w="3120" w:type="dxa"/>
          </w:tcPr>
          <w:p w14:paraId="4E74CD0E" w14:textId="77777777" w:rsidR="00337111" w:rsidRPr="0063119B" w:rsidRDefault="00337111" w:rsidP="0044301C">
            <w:pPr>
              <w:spacing w:line="260" w:lineRule="exact"/>
              <w:rPr>
                <w:szCs w:val="22"/>
              </w:rPr>
            </w:pPr>
            <w:r w:rsidRPr="0063119B">
              <w:rPr>
                <w:szCs w:val="22"/>
              </w:rPr>
              <w:t>4</w:t>
            </w:r>
            <w:r w:rsidRPr="0063119B">
              <w:rPr>
                <w:szCs w:val="22"/>
              </w:rPr>
              <w:br/>
              <w:t>(0,2%)</w:t>
            </w:r>
          </w:p>
        </w:tc>
        <w:tc>
          <w:tcPr>
            <w:tcW w:w="2880" w:type="dxa"/>
            <w:gridSpan w:val="2"/>
          </w:tcPr>
          <w:p w14:paraId="71EB68C6" w14:textId="77777777" w:rsidR="00337111" w:rsidRPr="0063119B" w:rsidRDefault="00337111" w:rsidP="0044301C">
            <w:pPr>
              <w:spacing w:line="260" w:lineRule="exact"/>
              <w:rPr>
                <w:szCs w:val="22"/>
              </w:rPr>
            </w:pPr>
            <w:r w:rsidRPr="0063119B">
              <w:rPr>
                <w:szCs w:val="22"/>
              </w:rPr>
              <w:t>6</w:t>
            </w:r>
            <w:r w:rsidRPr="0063119B">
              <w:rPr>
                <w:szCs w:val="22"/>
              </w:rPr>
              <w:br/>
              <w:t>(0,3%)</w:t>
            </w:r>
          </w:p>
        </w:tc>
      </w:tr>
      <w:tr w:rsidR="00337111" w:rsidRPr="0063119B" w14:paraId="4D265B3D" w14:textId="77777777" w:rsidTr="0044301C">
        <w:tc>
          <w:tcPr>
            <w:tcW w:w="3360" w:type="dxa"/>
          </w:tcPr>
          <w:p w14:paraId="259FE38D" w14:textId="77777777" w:rsidR="00337111" w:rsidRPr="0063119B" w:rsidRDefault="00337111" w:rsidP="0044301C">
            <w:pPr>
              <w:spacing w:line="260" w:lineRule="exact"/>
              <w:rPr>
                <w:szCs w:val="22"/>
              </w:rPr>
            </w:pPr>
            <w:r w:rsidRPr="0063119B">
              <w:rPr>
                <w:szCs w:val="22"/>
              </w:rPr>
              <w:t>Hemorragia principal ou não principal clinicamente relevante</w:t>
            </w:r>
          </w:p>
        </w:tc>
        <w:tc>
          <w:tcPr>
            <w:tcW w:w="3120" w:type="dxa"/>
          </w:tcPr>
          <w:p w14:paraId="01E956CB" w14:textId="77777777" w:rsidR="00337111" w:rsidRPr="0063119B" w:rsidRDefault="00337111" w:rsidP="0044301C">
            <w:pPr>
              <w:spacing w:line="260" w:lineRule="exact"/>
              <w:rPr>
                <w:szCs w:val="22"/>
              </w:rPr>
            </w:pPr>
            <w:r w:rsidRPr="0063119B">
              <w:rPr>
                <w:szCs w:val="22"/>
              </w:rPr>
              <w:t>139</w:t>
            </w:r>
            <w:r w:rsidRPr="0063119B">
              <w:rPr>
                <w:szCs w:val="22"/>
              </w:rPr>
              <w:br/>
              <w:t>(8,1%)</w:t>
            </w:r>
          </w:p>
        </w:tc>
        <w:tc>
          <w:tcPr>
            <w:tcW w:w="2880" w:type="dxa"/>
            <w:gridSpan w:val="2"/>
          </w:tcPr>
          <w:p w14:paraId="6FB3508E" w14:textId="77777777" w:rsidR="00337111" w:rsidRPr="0063119B" w:rsidRDefault="00337111" w:rsidP="0044301C">
            <w:pPr>
              <w:spacing w:line="260" w:lineRule="exact"/>
              <w:rPr>
                <w:szCs w:val="22"/>
              </w:rPr>
            </w:pPr>
            <w:r w:rsidRPr="0063119B">
              <w:rPr>
                <w:szCs w:val="22"/>
              </w:rPr>
              <w:t>138</w:t>
            </w:r>
            <w:r w:rsidRPr="0063119B">
              <w:rPr>
                <w:szCs w:val="22"/>
              </w:rPr>
              <w:br/>
              <w:t>(8,1%)</w:t>
            </w:r>
          </w:p>
        </w:tc>
      </w:tr>
      <w:tr w:rsidR="00337111" w:rsidRPr="0063119B" w14:paraId="7D9F21E8" w14:textId="77777777" w:rsidTr="0044301C">
        <w:tc>
          <w:tcPr>
            <w:tcW w:w="3360" w:type="dxa"/>
          </w:tcPr>
          <w:p w14:paraId="5387031C" w14:textId="77777777" w:rsidR="00337111" w:rsidRPr="0063119B" w:rsidRDefault="00337111" w:rsidP="0044301C">
            <w:pPr>
              <w:spacing w:line="260" w:lineRule="exact"/>
              <w:rPr>
                <w:szCs w:val="22"/>
              </w:rPr>
            </w:pPr>
            <w:r w:rsidRPr="0063119B">
              <w:rPr>
                <w:szCs w:val="22"/>
              </w:rPr>
              <w:t>Acontecimentos hemorrágicos principais</w:t>
            </w:r>
          </w:p>
        </w:tc>
        <w:tc>
          <w:tcPr>
            <w:tcW w:w="3120" w:type="dxa"/>
          </w:tcPr>
          <w:p w14:paraId="7D8F1BBD" w14:textId="77777777" w:rsidR="00337111" w:rsidRPr="0063119B" w:rsidRDefault="00337111" w:rsidP="0044301C">
            <w:pPr>
              <w:spacing w:line="260" w:lineRule="exact"/>
              <w:rPr>
                <w:szCs w:val="22"/>
              </w:rPr>
            </w:pPr>
            <w:r w:rsidRPr="0063119B">
              <w:rPr>
                <w:szCs w:val="22"/>
              </w:rPr>
              <w:t>14</w:t>
            </w:r>
            <w:r w:rsidRPr="0063119B">
              <w:rPr>
                <w:szCs w:val="22"/>
              </w:rPr>
              <w:br/>
              <w:t>(0,8%)</w:t>
            </w:r>
          </w:p>
        </w:tc>
        <w:tc>
          <w:tcPr>
            <w:tcW w:w="2880" w:type="dxa"/>
            <w:gridSpan w:val="2"/>
          </w:tcPr>
          <w:p w14:paraId="7628284E" w14:textId="77777777" w:rsidR="00337111" w:rsidRPr="0063119B" w:rsidRDefault="00337111" w:rsidP="0044301C">
            <w:pPr>
              <w:spacing w:line="260" w:lineRule="exact"/>
              <w:rPr>
                <w:szCs w:val="22"/>
              </w:rPr>
            </w:pPr>
            <w:r w:rsidRPr="0063119B">
              <w:rPr>
                <w:szCs w:val="22"/>
              </w:rPr>
              <w:t>20</w:t>
            </w:r>
            <w:r w:rsidRPr="0063119B">
              <w:rPr>
                <w:szCs w:val="22"/>
              </w:rPr>
              <w:br/>
              <w:t>(1,2%)</w:t>
            </w:r>
          </w:p>
        </w:tc>
      </w:tr>
      <w:tr w:rsidR="00337111" w:rsidRPr="0063119B" w14:paraId="4A75D2D2" w14:textId="77777777" w:rsidTr="0044301C">
        <w:trPr>
          <w:gridAfter w:val="1"/>
          <w:wAfter w:w="230" w:type="dxa"/>
        </w:trPr>
        <w:tc>
          <w:tcPr>
            <w:tcW w:w="9200" w:type="dxa"/>
            <w:gridSpan w:val="3"/>
            <w:tcBorders>
              <w:top w:val="nil"/>
              <w:left w:val="nil"/>
              <w:bottom w:val="nil"/>
              <w:right w:val="nil"/>
            </w:tcBorders>
          </w:tcPr>
          <w:p w14:paraId="5CE4BEEF" w14:textId="77777777" w:rsidR="00337111" w:rsidRPr="0063119B" w:rsidRDefault="00337111" w:rsidP="0044301C">
            <w:pPr>
              <w:tabs>
                <w:tab w:val="left" w:pos="567"/>
              </w:tabs>
              <w:rPr>
                <w:szCs w:val="22"/>
              </w:rPr>
            </w:pPr>
            <w:r w:rsidRPr="0063119B">
              <w:rPr>
                <w:szCs w:val="22"/>
              </w:rPr>
              <w:t>a)</w:t>
            </w:r>
            <w:r w:rsidRPr="0063119B">
              <w:rPr>
                <w:szCs w:val="22"/>
              </w:rPr>
              <w:tab/>
              <w:t>Rivaroxabano 15 mg duas vezes por dia durante 3 semanas seguido de 20 mg uma vez por dia</w:t>
            </w:r>
          </w:p>
          <w:p w14:paraId="4E7DC831" w14:textId="77777777" w:rsidR="00337111" w:rsidRPr="0063119B" w:rsidRDefault="00337111" w:rsidP="002F4A3F">
            <w:pPr>
              <w:tabs>
                <w:tab w:val="left" w:pos="567"/>
              </w:tabs>
              <w:ind w:left="567" w:hanging="567"/>
              <w:rPr>
                <w:vanish/>
                <w:szCs w:val="22"/>
              </w:rPr>
            </w:pPr>
            <w:r w:rsidRPr="0063119B">
              <w:rPr>
                <w:szCs w:val="22"/>
              </w:rPr>
              <w:t>b)</w:t>
            </w:r>
            <w:r w:rsidRPr="0063119B">
              <w:rPr>
                <w:szCs w:val="22"/>
              </w:rPr>
              <w:tab/>
              <w:t>Enoxaparina durante pelo menos 5 dias, sobreposta e seguida de AVK</w:t>
            </w:r>
            <w:r w:rsidRPr="0063119B">
              <w:rPr>
                <w:szCs w:val="22"/>
              </w:rPr>
              <w:br/>
            </w:r>
            <w:r w:rsidRPr="0063119B">
              <w:rPr>
                <w:b/>
                <w:szCs w:val="22"/>
              </w:rPr>
              <w:t>*</w:t>
            </w:r>
            <w:r w:rsidRPr="0063119B">
              <w:rPr>
                <w:szCs w:val="22"/>
              </w:rPr>
              <w:tab/>
              <w:t xml:space="preserve">p &lt; 0,0001 (não inferioridade para uma </w:t>
            </w:r>
            <w:r w:rsidR="002F4A3F" w:rsidRPr="0063119B">
              <w:rPr>
                <w:szCs w:val="22"/>
              </w:rPr>
              <w:t>RR</w:t>
            </w:r>
            <w:r w:rsidRPr="0063119B">
              <w:rPr>
                <w:szCs w:val="22"/>
              </w:rPr>
              <w:t xml:space="preserve"> pré-especificada de 2,0); </w:t>
            </w:r>
            <w:r w:rsidR="002F4A3F" w:rsidRPr="0063119B">
              <w:rPr>
                <w:szCs w:val="22"/>
              </w:rPr>
              <w:t>RR</w:t>
            </w:r>
            <w:r w:rsidRPr="0063119B">
              <w:rPr>
                <w:szCs w:val="22"/>
              </w:rPr>
              <w:t>: 0,680 (0,443 </w:t>
            </w:r>
            <w:r w:rsidRPr="0063119B">
              <w:rPr>
                <w:szCs w:val="22"/>
              </w:rPr>
              <w:noBreakHyphen/>
              <w:t> 1,042), p = 0,076 (superioridade)</w:t>
            </w:r>
          </w:p>
        </w:tc>
      </w:tr>
    </w:tbl>
    <w:p w14:paraId="2525A605" w14:textId="77777777" w:rsidR="00337111" w:rsidRPr="0063119B" w:rsidRDefault="00337111" w:rsidP="00337111">
      <w:pPr>
        <w:autoSpaceDE w:val="0"/>
        <w:autoSpaceDN w:val="0"/>
        <w:adjustRightInd w:val="0"/>
        <w:rPr>
          <w:szCs w:val="22"/>
        </w:rPr>
      </w:pPr>
    </w:p>
    <w:p w14:paraId="305EDE97" w14:textId="77777777" w:rsidR="00337111" w:rsidRPr="0063119B" w:rsidRDefault="00337111" w:rsidP="00337111">
      <w:pPr>
        <w:autoSpaceDE w:val="0"/>
        <w:autoSpaceDN w:val="0"/>
        <w:adjustRightInd w:val="0"/>
        <w:rPr>
          <w:rFonts w:eastAsia="MS Mincho"/>
          <w:bCs/>
          <w:szCs w:val="22"/>
          <w:lang w:eastAsia="ja-JP"/>
        </w:rPr>
      </w:pPr>
      <w:r w:rsidRPr="0063119B">
        <w:rPr>
          <w:szCs w:val="22"/>
        </w:rPr>
        <w:t>No estudo Einstein PE (ver Quadro</w:t>
      </w:r>
      <w:r w:rsidR="006358A9" w:rsidRPr="0063119B">
        <w:rPr>
          <w:szCs w:val="22"/>
        </w:rPr>
        <w:t> 7</w:t>
      </w:r>
      <w:r w:rsidRPr="0063119B">
        <w:rPr>
          <w:szCs w:val="22"/>
        </w:rPr>
        <w:t>) o rivaroxabano demonstrou ser não inferior à enoxaparina/AVK em relação ao objetivo primário da eficácia (p=0,0026 (teste de não</w:t>
      </w:r>
      <w:r w:rsidRPr="0063119B">
        <w:rPr>
          <w:szCs w:val="22"/>
        </w:rPr>
        <w:noBreakHyphen/>
        <w:t xml:space="preserve">inferioridade); </w:t>
      </w:r>
      <w:r w:rsidR="001D6BDF" w:rsidRPr="0063119B">
        <w:rPr>
          <w:szCs w:val="22"/>
        </w:rPr>
        <w:t>razão do risco (</w:t>
      </w:r>
      <w:r w:rsidR="002F4A3F" w:rsidRPr="0063119B">
        <w:rPr>
          <w:szCs w:val="22"/>
        </w:rPr>
        <w:t>RR</w:t>
      </w:r>
      <w:r w:rsidR="001D6BDF" w:rsidRPr="0063119B">
        <w:rPr>
          <w:szCs w:val="22"/>
        </w:rPr>
        <w:t>)</w:t>
      </w:r>
      <w:r w:rsidRPr="0063119B">
        <w:rPr>
          <w:szCs w:val="22"/>
        </w:rPr>
        <w:t xml:space="preserve">: </w:t>
      </w:r>
      <w:r w:rsidRPr="0063119B">
        <w:rPr>
          <w:iCs/>
          <w:szCs w:val="22"/>
        </w:rPr>
        <w:t>1,123 (0,749 </w:t>
      </w:r>
      <w:r w:rsidRPr="0063119B">
        <w:rPr>
          <w:iCs/>
          <w:szCs w:val="22"/>
        </w:rPr>
        <w:noBreakHyphen/>
        <w:t> 1,684)).</w:t>
      </w:r>
      <w:r w:rsidRPr="0063119B">
        <w:rPr>
          <w:rFonts w:eastAsia="MS Mincho"/>
          <w:bCs/>
          <w:szCs w:val="22"/>
          <w:lang w:eastAsia="ja-JP"/>
        </w:rPr>
        <w:t xml:space="preserve"> O benefício clínico efetivo pré</w:t>
      </w:r>
      <w:r w:rsidRPr="0063119B">
        <w:rPr>
          <w:rFonts w:eastAsia="MS Mincho"/>
          <w:bCs/>
          <w:szCs w:val="22"/>
          <w:lang w:eastAsia="ja-JP"/>
        </w:rPr>
        <w:noBreakHyphen/>
        <w:t xml:space="preserve">especificado (objetivo primário da eficácia mais acontecimentos hemorrágicos principais) foi notificado com uma </w:t>
      </w:r>
      <w:r w:rsidR="002F4A3F" w:rsidRPr="0063119B">
        <w:rPr>
          <w:rFonts w:eastAsia="MS Mincho"/>
          <w:bCs/>
          <w:szCs w:val="22"/>
          <w:lang w:eastAsia="ja-JP"/>
        </w:rPr>
        <w:t>RR</w:t>
      </w:r>
      <w:r w:rsidRPr="0063119B">
        <w:rPr>
          <w:rFonts w:eastAsia="MS Mincho"/>
          <w:bCs/>
          <w:szCs w:val="22"/>
          <w:lang w:eastAsia="ja-JP"/>
        </w:rPr>
        <w:t xml:space="preserve"> de 0,849 ((IC 95%: 0,633 </w:t>
      </w:r>
      <w:r w:rsidRPr="0063119B">
        <w:rPr>
          <w:rFonts w:eastAsia="MS Mincho"/>
          <w:bCs/>
          <w:szCs w:val="22"/>
          <w:lang w:eastAsia="ja-JP"/>
        </w:rPr>
        <w:noBreakHyphen/>
        <w:t xml:space="preserve"> 1,139), valor-p nominal com p=0,275). Os valores de INR foram no intervalo terapêutico uma média de 63% do tempo para uma duração média de tratamento de 215 dias, e 57%, 62% e 65% do tempo nos grupos de duração de tratamento previsto de 3, 6 e 12 meses, respetivamente. No grupo enoxaparina/AVK, não existe uma relação clara entre o nível do centro TTR médio (Tempo no Intervalo do INR Alvo de 2,0 a 3,0) em tercis de igual tamanho e a incidência de </w:t>
      </w:r>
      <w:r w:rsidRPr="0063119B">
        <w:rPr>
          <w:rFonts w:eastAsia="MS Mincho"/>
          <w:bCs/>
          <w:szCs w:val="22"/>
          <w:lang w:eastAsia="ja-JP"/>
        </w:rPr>
        <w:lastRenderedPageBreak/>
        <w:t xml:space="preserve">TEV recorrente (p=0,082 para interação). No maior tercil de acordo com o centro, a </w:t>
      </w:r>
      <w:r w:rsidR="002F4A3F" w:rsidRPr="0063119B">
        <w:rPr>
          <w:rFonts w:eastAsia="MS Mincho"/>
          <w:bCs/>
          <w:szCs w:val="22"/>
          <w:lang w:eastAsia="ja-JP"/>
        </w:rPr>
        <w:t>RR</w:t>
      </w:r>
      <w:r w:rsidRPr="0063119B">
        <w:rPr>
          <w:rFonts w:eastAsia="MS Mincho"/>
          <w:bCs/>
          <w:szCs w:val="22"/>
          <w:lang w:eastAsia="ja-JP"/>
        </w:rPr>
        <w:t xml:space="preserve"> com rivaroxabano versus varfarina foi de 0,642 (IC 95%: 0,277 </w:t>
      </w:r>
      <w:r w:rsidR="002F4A3F" w:rsidRPr="0063119B">
        <w:rPr>
          <w:rFonts w:eastAsia="MS Mincho"/>
          <w:bCs/>
          <w:szCs w:val="22"/>
          <w:lang w:eastAsia="ja-JP"/>
        </w:rPr>
        <w:t xml:space="preserve">- </w:t>
      </w:r>
      <w:r w:rsidRPr="0063119B">
        <w:rPr>
          <w:rFonts w:eastAsia="MS Mincho"/>
          <w:bCs/>
          <w:szCs w:val="22"/>
          <w:lang w:eastAsia="ja-JP"/>
        </w:rPr>
        <w:t>1,484).</w:t>
      </w:r>
    </w:p>
    <w:p w14:paraId="428E195A" w14:textId="77777777" w:rsidR="00337111" w:rsidRPr="0063119B" w:rsidRDefault="00337111" w:rsidP="00337111">
      <w:pPr>
        <w:autoSpaceDE w:val="0"/>
        <w:autoSpaceDN w:val="0"/>
        <w:adjustRightInd w:val="0"/>
        <w:rPr>
          <w:rFonts w:eastAsia="MS Mincho"/>
          <w:bCs/>
          <w:szCs w:val="22"/>
          <w:lang w:eastAsia="ja-JP"/>
        </w:rPr>
      </w:pPr>
    </w:p>
    <w:p w14:paraId="606F6B02" w14:textId="77777777" w:rsidR="00337111" w:rsidRPr="0063119B" w:rsidRDefault="00337111" w:rsidP="00337111">
      <w:pPr>
        <w:rPr>
          <w:szCs w:val="22"/>
        </w:rPr>
      </w:pPr>
      <w:r w:rsidRPr="0063119B">
        <w:rPr>
          <w:szCs w:val="22"/>
        </w:rPr>
        <w:t xml:space="preserve">As taxas de incidência do objetivo primário de segurança (acontecimentos hemorrágicos principais e não principais clinicamente relevantes) foram ligeiramente inferiores no grupo de tratamento do rivaroxabano (10,3% (249/2412)) do que no grupo de tratamento enoxaparina/AVK (11,4% (274/2405)). A incidência do objetivo secundário de segurança (acontecimentos hemorrágicos principais) foi inferior no grupo do rivaroxabano (1,1% (26/2412)) do que no grupo de tratamento enoxaparina/AVK (2,2% (52/2405)) com uma </w:t>
      </w:r>
      <w:r w:rsidR="002F4A3F" w:rsidRPr="0063119B">
        <w:rPr>
          <w:szCs w:val="22"/>
        </w:rPr>
        <w:t>RR</w:t>
      </w:r>
      <w:r w:rsidRPr="0063119B">
        <w:rPr>
          <w:szCs w:val="22"/>
        </w:rPr>
        <w:t xml:space="preserve"> de 0,493 </w:t>
      </w:r>
      <w:r w:rsidRPr="0063119B">
        <w:rPr>
          <w:rFonts w:eastAsia="MS Mincho"/>
          <w:bCs/>
          <w:szCs w:val="22"/>
          <w:lang w:eastAsia="ja-JP"/>
        </w:rPr>
        <w:t xml:space="preserve">(IC 95%: 0,308 </w:t>
      </w:r>
      <w:r w:rsidR="00377739" w:rsidRPr="0063119B">
        <w:rPr>
          <w:rFonts w:eastAsia="MS Mincho"/>
          <w:bCs/>
          <w:szCs w:val="22"/>
          <w:lang w:eastAsia="ja-JP"/>
        </w:rPr>
        <w:t>-</w:t>
      </w:r>
      <w:r w:rsidRPr="0063119B">
        <w:rPr>
          <w:rFonts w:eastAsia="MS Mincho"/>
          <w:bCs/>
          <w:szCs w:val="22"/>
          <w:lang w:eastAsia="ja-JP"/>
        </w:rPr>
        <w:t xml:space="preserve"> 0,789).</w:t>
      </w:r>
    </w:p>
    <w:p w14:paraId="2D691959" w14:textId="77777777" w:rsidR="00337111" w:rsidRPr="0063119B" w:rsidRDefault="00337111" w:rsidP="00337111">
      <w:pPr>
        <w:pStyle w:val="Default"/>
        <w:rPr>
          <w:color w:val="auto"/>
          <w:sz w:val="22"/>
          <w:szCs w:val="22"/>
          <w:lang w:val="pt-PT"/>
        </w:rPr>
      </w:pPr>
    </w:p>
    <w:p w14:paraId="33FE3B35" w14:textId="77777777" w:rsidR="00337111" w:rsidRPr="0063119B" w:rsidRDefault="00337111" w:rsidP="003345A8">
      <w:pPr>
        <w:pStyle w:val="Default"/>
        <w:keepNext/>
        <w:keepLines/>
        <w:widowControl/>
        <w:rPr>
          <w:b/>
          <w:color w:val="auto"/>
          <w:sz w:val="22"/>
          <w:szCs w:val="22"/>
          <w:lang w:val="pt-PT"/>
        </w:rPr>
      </w:pPr>
      <w:r w:rsidRPr="0063119B">
        <w:rPr>
          <w:b/>
          <w:color w:val="auto"/>
          <w:sz w:val="22"/>
          <w:szCs w:val="22"/>
          <w:lang w:val="pt-PT"/>
        </w:rPr>
        <w:t>Quadro </w:t>
      </w:r>
      <w:r w:rsidR="006358A9" w:rsidRPr="0063119B">
        <w:rPr>
          <w:b/>
          <w:color w:val="auto"/>
          <w:sz w:val="22"/>
          <w:szCs w:val="22"/>
          <w:lang w:val="pt-PT"/>
        </w:rPr>
        <w:t>7</w:t>
      </w:r>
      <w:r w:rsidRPr="0063119B">
        <w:rPr>
          <w:b/>
          <w:color w:val="auto"/>
          <w:sz w:val="22"/>
          <w:szCs w:val="22"/>
          <w:lang w:val="pt-PT"/>
        </w:rPr>
        <w:t>: Resultados de eficácia e segurança do estudo de fase III Einstein PE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20"/>
        <w:gridCol w:w="230"/>
      </w:tblGrid>
      <w:tr w:rsidR="00337111" w:rsidRPr="0063119B" w14:paraId="5CCD4A7D" w14:textId="77777777" w:rsidTr="0044301C">
        <w:tc>
          <w:tcPr>
            <w:tcW w:w="3360" w:type="dxa"/>
          </w:tcPr>
          <w:p w14:paraId="3B322BDB" w14:textId="77777777" w:rsidR="00337111" w:rsidRPr="0063119B" w:rsidRDefault="00337111" w:rsidP="003345A8">
            <w:pPr>
              <w:keepNext/>
              <w:keepLines/>
              <w:rPr>
                <w:b/>
                <w:bCs/>
                <w:szCs w:val="22"/>
              </w:rPr>
            </w:pPr>
            <w:r w:rsidRPr="0063119B">
              <w:rPr>
                <w:b/>
                <w:bCs/>
                <w:szCs w:val="22"/>
              </w:rPr>
              <w:t>População do estudo</w:t>
            </w:r>
          </w:p>
        </w:tc>
        <w:tc>
          <w:tcPr>
            <w:tcW w:w="6000" w:type="dxa"/>
            <w:gridSpan w:val="3"/>
          </w:tcPr>
          <w:p w14:paraId="0EC954F7" w14:textId="77777777" w:rsidR="00337111" w:rsidRPr="0063119B" w:rsidRDefault="00337111" w:rsidP="003345A8">
            <w:pPr>
              <w:keepNext/>
              <w:keepLines/>
              <w:rPr>
                <w:b/>
                <w:bCs/>
                <w:szCs w:val="22"/>
              </w:rPr>
            </w:pPr>
            <w:r w:rsidRPr="0063119B">
              <w:rPr>
                <w:b/>
                <w:bCs/>
                <w:szCs w:val="22"/>
              </w:rPr>
              <w:t>4.832 doentes com EP sintomático agudo</w:t>
            </w:r>
          </w:p>
        </w:tc>
      </w:tr>
      <w:tr w:rsidR="00337111" w:rsidRPr="0063119B" w14:paraId="5F85D783" w14:textId="77777777" w:rsidTr="0044301C">
        <w:tc>
          <w:tcPr>
            <w:tcW w:w="3360" w:type="dxa"/>
            <w:vAlign w:val="center"/>
          </w:tcPr>
          <w:p w14:paraId="4AAF978B" w14:textId="77777777" w:rsidR="00337111" w:rsidRPr="0063119B" w:rsidRDefault="00337111" w:rsidP="003345A8">
            <w:pPr>
              <w:keepNext/>
              <w:keepLines/>
              <w:spacing w:line="260" w:lineRule="exact"/>
              <w:rPr>
                <w:b/>
                <w:bCs/>
                <w:szCs w:val="22"/>
              </w:rPr>
            </w:pPr>
            <w:r w:rsidRPr="0063119B">
              <w:rPr>
                <w:b/>
                <w:bCs/>
                <w:szCs w:val="22"/>
              </w:rPr>
              <w:t>Doses e duração do tratamento</w:t>
            </w:r>
          </w:p>
        </w:tc>
        <w:tc>
          <w:tcPr>
            <w:tcW w:w="3120" w:type="dxa"/>
          </w:tcPr>
          <w:p w14:paraId="4D558C2F" w14:textId="77777777" w:rsidR="00337111" w:rsidRPr="0063119B" w:rsidRDefault="001D6BDF" w:rsidP="003345A8">
            <w:pPr>
              <w:keepNext/>
              <w:keepLines/>
              <w:spacing w:line="260" w:lineRule="exact"/>
              <w:rPr>
                <w:b/>
                <w:bCs/>
                <w:szCs w:val="22"/>
                <w:vertAlign w:val="superscript"/>
              </w:rPr>
            </w:pPr>
            <w:r w:rsidRPr="0063119B">
              <w:rPr>
                <w:b/>
                <w:bCs/>
                <w:szCs w:val="22"/>
              </w:rPr>
              <w:t>Rivaroxabano</w:t>
            </w:r>
            <w:r w:rsidR="00337111" w:rsidRPr="0063119B">
              <w:rPr>
                <w:b/>
                <w:bCs/>
                <w:szCs w:val="22"/>
                <w:vertAlign w:val="superscript"/>
              </w:rPr>
              <w:t>a</w:t>
            </w:r>
            <w:r w:rsidR="0043749B" w:rsidRPr="0063119B">
              <w:rPr>
                <w:b/>
                <w:bCs/>
                <w:szCs w:val="22"/>
                <w:vertAlign w:val="superscript"/>
              </w:rPr>
              <w:t>)</w:t>
            </w:r>
          </w:p>
          <w:p w14:paraId="65EFB4FF" w14:textId="77777777" w:rsidR="00337111" w:rsidRPr="0063119B" w:rsidRDefault="00337111" w:rsidP="003345A8">
            <w:pPr>
              <w:keepNext/>
              <w:keepLines/>
              <w:spacing w:line="260" w:lineRule="exact"/>
              <w:rPr>
                <w:b/>
                <w:bCs/>
                <w:szCs w:val="22"/>
              </w:rPr>
            </w:pPr>
            <w:r w:rsidRPr="0063119B">
              <w:rPr>
                <w:b/>
                <w:bCs/>
                <w:szCs w:val="22"/>
              </w:rPr>
              <w:t>3, 6 ou 12 meses</w:t>
            </w:r>
          </w:p>
          <w:p w14:paraId="37FF973E" w14:textId="77777777" w:rsidR="00337111" w:rsidRPr="0063119B" w:rsidRDefault="00337111" w:rsidP="003345A8">
            <w:pPr>
              <w:keepNext/>
              <w:keepLines/>
              <w:spacing w:line="260" w:lineRule="exact"/>
              <w:rPr>
                <w:b/>
                <w:bCs/>
                <w:szCs w:val="22"/>
              </w:rPr>
            </w:pPr>
            <w:r w:rsidRPr="0063119B">
              <w:rPr>
                <w:b/>
                <w:bCs/>
                <w:szCs w:val="22"/>
              </w:rPr>
              <w:t>N=2.419</w:t>
            </w:r>
          </w:p>
        </w:tc>
        <w:tc>
          <w:tcPr>
            <w:tcW w:w="2880" w:type="dxa"/>
            <w:gridSpan w:val="2"/>
          </w:tcPr>
          <w:p w14:paraId="635A01FC" w14:textId="77777777" w:rsidR="00337111" w:rsidRPr="0063119B" w:rsidRDefault="00337111" w:rsidP="003345A8">
            <w:pPr>
              <w:keepNext/>
              <w:keepLines/>
              <w:spacing w:line="260" w:lineRule="exact"/>
              <w:rPr>
                <w:b/>
                <w:bCs/>
                <w:szCs w:val="22"/>
              </w:rPr>
            </w:pPr>
            <w:r w:rsidRPr="0063119B">
              <w:rPr>
                <w:b/>
                <w:bCs/>
                <w:szCs w:val="22"/>
              </w:rPr>
              <w:t>Enoxaparina/AVK</w:t>
            </w:r>
            <w:r w:rsidRPr="0063119B">
              <w:rPr>
                <w:b/>
                <w:bCs/>
                <w:szCs w:val="22"/>
                <w:vertAlign w:val="superscript"/>
              </w:rPr>
              <w:t>b</w:t>
            </w:r>
            <w:r w:rsidR="0043749B" w:rsidRPr="0063119B">
              <w:rPr>
                <w:b/>
                <w:bCs/>
                <w:szCs w:val="22"/>
                <w:vertAlign w:val="superscript"/>
              </w:rPr>
              <w:t>)</w:t>
            </w:r>
          </w:p>
          <w:p w14:paraId="0F0AFFEF" w14:textId="77777777" w:rsidR="00337111" w:rsidRPr="0063119B" w:rsidRDefault="00337111" w:rsidP="003345A8">
            <w:pPr>
              <w:keepNext/>
              <w:keepLines/>
              <w:spacing w:line="260" w:lineRule="exact"/>
              <w:rPr>
                <w:b/>
                <w:bCs/>
                <w:szCs w:val="22"/>
              </w:rPr>
            </w:pPr>
            <w:r w:rsidRPr="0063119B">
              <w:rPr>
                <w:b/>
                <w:bCs/>
                <w:szCs w:val="22"/>
              </w:rPr>
              <w:t>3, 6 ou 12 meses</w:t>
            </w:r>
          </w:p>
          <w:p w14:paraId="34093011" w14:textId="77777777" w:rsidR="00337111" w:rsidRPr="0063119B" w:rsidRDefault="00337111" w:rsidP="003345A8">
            <w:pPr>
              <w:keepNext/>
              <w:keepLines/>
              <w:spacing w:line="260" w:lineRule="exact"/>
              <w:rPr>
                <w:b/>
                <w:bCs/>
                <w:szCs w:val="22"/>
              </w:rPr>
            </w:pPr>
            <w:r w:rsidRPr="0063119B">
              <w:rPr>
                <w:b/>
                <w:bCs/>
                <w:szCs w:val="22"/>
              </w:rPr>
              <w:t>N=2.413</w:t>
            </w:r>
          </w:p>
        </w:tc>
      </w:tr>
      <w:tr w:rsidR="00337111" w:rsidRPr="0063119B" w14:paraId="1CC47759" w14:textId="77777777" w:rsidTr="0044301C">
        <w:tc>
          <w:tcPr>
            <w:tcW w:w="3360" w:type="dxa"/>
          </w:tcPr>
          <w:p w14:paraId="2CA9A68A" w14:textId="77777777" w:rsidR="00337111" w:rsidRPr="0063119B" w:rsidRDefault="00337111" w:rsidP="003345A8">
            <w:pPr>
              <w:keepNext/>
              <w:keepLines/>
              <w:spacing w:line="260" w:lineRule="exact"/>
              <w:rPr>
                <w:szCs w:val="22"/>
              </w:rPr>
            </w:pPr>
            <w:r w:rsidRPr="0063119B">
              <w:rPr>
                <w:szCs w:val="22"/>
              </w:rPr>
              <w:t>TEV sintomático recorrente*</w:t>
            </w:r>
          </w:p>
        </w:tc>
        <w:tc>
          <w:tcPr>
            <w:tcW w:w="3120" w:type="dxa"/>
          </w:tcPr>
          <w:p w14:paraId="0366CFD5" w14:textId="77777777" w:rsidR="00337111" w:rsidRPr="0063119B" w:rsidRDefault="00337111" w:rsidP="003345A8">
            <w:pPr>
              <w:keepNext/>
              <w:keepLines/>
              <w:spacing w:line="260" w:lineRule="exact"/>
              <w:rPr>
                <w:szCs w:val="22"/>
              </w:rPr>
            </w:pPr>
            <w:r w:rsidRPr="0063119B">
              <w:rPr>
                <w:szCs w:val="22"/>
              </w:rPr>
              <w:t>50</w:t>
            </w:r>
            <w:r w:rsidRPr="0063119B">
              <w:rPr>
                <w:szCs w:val="22"/>
              </w:rPr>
              <w:br/>
              <w:t>(2,1%)</w:t>
            </w:r>
          </w:p>
        </w:tc>
        <w:tc>
          <w:tcPr>
            <w:tcW w:w="2880" w:type="dxa"/>
            <w:gridSpan w:val="2"/>
          </w:tcPr>
          <w:p w14:paraId="1A3FCDBC" w14:textId="77777777" w:rsidR="00337111" w:rsidRPr="0063119B" w:rsidRDefault="00337111" w:rsidP="003345A8">
            <w:pPr>
              <w:keepNext/>
              <w:keepLines/>
              <w:spacing w:line="260" w:lineRule="exact"/>
              <w:rPr>
                <w:szCs w:val="22"/>
              </w:rPr>
            </w:pPr>
            <w:r w:rsidRPr="0063119B">
              <w:rPr>
                <w:szCs w:val="22"/>
              </w:rPr>
              <w:t>44</w:t>
            </w:r>
            <w:r w:rsidRPr="0063119B">
              <w:rPr>
                <w:szCs w:val="22"/>
              </w:rPr>
              <w:br/>
              <w:t>(1,8%)</w:t>
            </w:r>
          </w:p>
        </w:tc>
      </w:tr>
      <w:tr w:rsidR="00337111" w:rsidRPr="0063119B" w14:paraId="386FB0E6" w14:textId="77777777" w:rsidTr="0044301C">
        <w:tc>
          <w:tcPr>
            <w:tcW w:w="3360" w:type="dxa"/>
          </w:tcPr>
          <w:p w14:paraId="382340D6" w14:textId="77777777" w:rsidR="00337111" w:rsidRPr="0063119B" w:rsidRDefault="00337111" w:rsidP="003345A8">
            <w:pPr>
              <w:keepNext/>
              <w:keepLines/>
              <w:spacing w:line="260" w:lineRule="exact"/>
              <w:rPr>
                <w:szCs w:val="22"/>
              </w:rPr>
            </w:pPr>
            <w:r w:rsidRPr="0063119B">
              <w:rPr>
                <w:szCs w:val="22"/>
              </w:rPr>
              <w:t xml:space="preserve">    EP sintomático recorrente</w:t>
            </w:r>
          </w:p>
        </w:tc>
        <w:tc>
          <w:tcPr>
            <w:tcW w:w="3120" w:type="dxa"/>
          </w:tcPr>
          <w:p w14:paraId="3B7B31BA" w14:textId="77777777" w:rsidR="00337111" w:rsidRPr="0063119B" w:rsidRDefault="00337111" w:rsidP="003345A8">
            <w:pPr>
              <w:keepNext/>
              <w:keepLines/>
              <w:spacing w:line="260" w:lineRule="exact"/>
              <w:rPr>
                <w:szCs w:val="22"/>
              </w:rPr>
            </w:pPr>
            <w:r w:rsidRPr="0063119B">
              <w:rPr>
                <w:szCs w:val="22"/>
              </w:rPr>
              <w:t>23</w:t>
            </w:r>
            <w:r w:rsidRPr="0063119B">
              <w:rPr>
                <w:szCs w:val="22"/>
              </w:rPr>
              <w:br/>
              <w:t>(1,0%)</w:t>
            </w:r>
          </w:p>
        </w:tc>
        <w:tc>
          <w:tcPr>
            <w:tcW w:w="2880" w:type="dxa"/>
            <w:gridSpan w:val="2"/>
          </w:tcPr>
          <w:p w14:paraId="002F7A33" w14:textId="77777777" w:rsidR="00337111" w:rsidRPr="0063119B" w:rsidRDefault="00337111" w:rsidP="003345A8">
            <w:pPr>
              <w:keepNext/>
              <w:keepLines/>
              <w:spacing w:line="260" w:lineRule="exact"/>
              <w:rPr>
                <w:szCs w:val="22"/>
              </w:rPr>
            </w:pPr>
            <w:r w:rsidRPr="0063119B">
              <w:rPr>
                <w:szCs w:val="22"/>
              </w:rPr>
              <w:t>20</w:t>
            </w:r>
            <w:r w:rsidRPr="0063119B">
              <w:rPr>
                <w:szCs w:val="22"/>
              </w:rPr>
              <w:br/>
              <w:t>(0,8%)</w:t>
            </w:r>
          </w:p>
        </w:tc>
      </w:tr>
      <w:tr w:rsidR="00337111" w:rsidRPr="0063119B" w14:paraId="10215179" w14:textId="77777777" w:rsidTr="0044301C">
        <w:tc>
          <w:tcPr>
            <w:tcW w:w="3360" w:type="dxa"/>
          </w:tcPr>
          <w:p w14:paraId="2FE22E24" w14:textId="77777777" w:rsidR="00337111" w:rsidRPr="0063119B" w:rsidRDefault="00337111" w:rsidP="003345A8">
            <w:pPr>
              <w:keepNext/>
              <w:keepLines/>
              <w:spacing w:line="260" w:lineRule="exact"/>
              <w:rPr>
                <w:szCs w:val="22"/>
              </w:rPr>
            </w:pPr>
            <w:r w:rsidRPr="0063119B">
              <w:rPr>
                <w:szCs w:val="22"/>
              </w:rPr>
              <w:t xml:space="preserve">    TVP sintomática recorrente</w:t>
            </w:r>
          </w:p>
        </w:tc>
        <w:tc>
          <w:tcPr>
            <w:tcW w:w="3120" w:type="dxa"/>
          </w:tcPr>
          <w:p w14:paraId="1310E0FD" w14:textId="77777777" w:rsidR="00337111" w:rsidRPr="0063119B" w:rsidRDefault="00337111" w:rsidP="003345A8">
            <w:pPr>
              <w:keepNext/>
              <w:keepLines/>
              <w:spacing w:line="260" w:lineRule="exact"/>
              <w:rPr>
                <w:szCs w:val="22"/>
              </w:rPr>
            </w:pPr>
            <w:r w:rsidRPr="0063119B">
              <w:rPr>
                <w:szCs w:val="22"/>
              </w:rPr>
              <w:t>18</w:t>
            </w:r>
            <w:r w:rsidRPr="0063119B">
              <w:rPr>
                <w:szCs w:val="22"/>
              </w:rPr>
              <w:br/>
              <w:t>(0,7%)</w:t>
            </w:r>
          </w:p>
        </w:tc>
        <w:tc>
          <w:tcPr>
            <w:tcW w:w="2880" w:type="dxa"/>
            <w:gridSpan w:val="2"/>
          </w:tcPr>
          <w:p w14:paraId="09940F72" w14:textId="77777777" w:rsidR="00337111" w:rsidRPr="0063119B" w:rsidRDefault="00337111" w:rsidP="003345A8">
            <w:pPr>
              <w:keepNext/>
              <w:keepLines/>
              <w:spacing w:line="260" w:lineRule="exact"/>
              <w:rPr>
                <w:szCs w:val="22"/>
              </w:rPr>
            </w:pPr>
            <w:r w:rsidRPr="0063119B">
              <w:rPr>
                <w:szCs w:val="22"/>
              </w:rPr>
              <w:t>17</w:t>
            </w:r>
            <w:r w:rsidRPr="0063119B">
              <w:rPr>
                <w:szCs w:val="22"/>
              </w:rPr>
              <w:br/>
              <w:t>(0,7%)</w:t>
            </w:r>
          </w:p>
        </w:tc>
      </w:tr>
      <w:tr w:rsidR="00337111" w:rsidRPr="0063119B" w14:paraId="04874E26" w14:textId="77777777" w:rsidTr="0044301C">
        <w:tc>
          <w:tcPr>
            <w:tcW w:w="3360" w:type="dxa"/>
          </w:tcPr>
          <w:p w14:paraId="693F4640" w14:textId="77777777" w:rsidR="00337111" w:rsidRPr="0063119B" w:rsidRDefault="00337111" w:rsidP="003345A8">
            <w:pPr>
              <w:keepNext/>
              <w:keepLines/>
              <w:spacing w:line="260" w:lineRule="exact"/>
              <w:rPr>
                <w:szCs w:val="22"/>
              </w:rPr>
            </w:pPr>
            <w:r w:rsidRPr="0063119B">
              <w:rPr>
                <w:szCs w:val="22"/>
              </w:rPr>
              <w:t xml:space="preserve">    EP e TVP sintomáticos</w:t>
            </w:r>
          </w:p>
        </w:tc>
        <w:tc>
          <w:tcPr>
            <w:tcW w:w="3120" w:type="dxa"/>
          </w:tcPr>
          <w:p w14:paraId="3B770767" w14:textId="77777777" w:rsidR="00337111" w:rsidRPr="0063119B" w:rsidRDefault="00337111" w:rsidP="003345A8">
            <w:pPr>
              <w:keepNext/>
              <w:keepLines/>
              <w:spacing w:line="260" w:lineRule="exact"/>
              <w:rPr>
                <w:szCs w:val="22"/>
              </w:rPr>
            </w:pPr>
            <w:r w:rsidRPr="0063119B">
              <w:rPr>
                <w:szCs w:val="22"/>
              </w:rPr>
              <w:t>0</w:t>
            </w:r>
          </w:p>
          <w:p w14:paraId="6063C173" w14:textId="77777777" w:rsidR="00337111" w:rsidRPr="0063119B" w:rsidRDefault="00337111" w:rsidP="003345A8">
            <w:pPr>
              <w:keepNext/>
              <w:keepLines/>
              <w:spacing w:line="260" w:lineRule="exact"/>
              <w:rPr>
                <w:szCs w:val="22"/>
              </w:rPr>
            </w:pPr>
          </w:p>
        </w:tc>
        <w:tc>
          <w:tcPr>
            <w:tcW w:w="2880" w:type="dxa"/>
            <w:gridSpan w:val="2"/>
          </w:tcPr>
          <w:p w14:paraId="6E013A1B" w14:textId="77777777" w:rsidR="00337111" w:rsidRPr="0063119B" w:rsidRDefault="00337111" w:rsidP="003345A8">
            <w:pPr>
              <w:keepNext/>
              <w:keepLines/>
              <w:spacing w:line="260" w:lineRule="exact"/>
              <w:rPr>
                <w:szCs w:val="22"/>
              </w:rPr>
            </w:pPr>
            <w:r w:rsidRPr="0063119B">
              <w:rPr>
                <w:szCs w:val="22"/>
              </w:rPr>
              <w:t>2</w:t>
            </w:r>
          </w:p>
          <w:p w14:paraId="401F1C23" w14:textId="77777777" w:rsidR="00337111" w:rsidRPr="0063119B" w:rsidRDefault="00337111" w:rsidP="003345A8">
            <w:pPr>
              <w:keepNext/>
              <w:keepLines/>
              <w:spacing w:line="260" w:lineRule="exact"/>
              <w:rPr>
                <w:szCs w:val="22"/>
              </w:rPr>
            </w:pPr>
            <w:r w:rsidRPr="0063119B">
              <w:rPr>
                <w:szCs w:val="22"/>
              </w:rPr>
              <w:t>(&lt;0,1%)</w:t>
            </w:r>
          </w:p>
        </w:tc>
      </w:tr>
      <w:tr w:rsidR="00337111" w:rsidRPr="0063119B" w14:paraId="388417DC" w14:textId="77777777" w:rsidTr="0044301C">
        <w:tc>
          <w:tcPr>
            <w:tcW w:w="3360" w:type="dxa"/>
          </w:tcPr>
          <w:p w14:paraId="55CDBCB4" w14:textId="77777777" w:rsidR="00337111" w:rsidRPr="0063119B" w:rsidRDefault="00337111" w:rsidP="002F4A3F">
            <w:pPr>
              <w:keepNext/>
              <w:keepLines/>
              <w:spacing w:line="260" w:lineRule="exact"/>
              <w:ind w:left="284" w:hanging="34"/>
              <w:rPr>
                <w:szCs w:val="22"/>
              </w:rPr>
            </w:pPr>
            <w:r w:rsidRPr="0063119B">
              <w:rPr>
                <w:szCs w:val="22"/>
              </w:rPr>
              <w:t>EP fatal/</w:t>
            </w:r>
            <w:r w:rsidR="002F4A3F" w:rsidRPr="0063119B">
              <w:rPr>
                <w:szCs w:val="22"/>
              </w:rPr>
              <w:t xml:space="preserve">morte </w:t>
            </w:r>
            <w:r w:rsidRPr="0063119B">
              <w:rPr>
                <w:szCs w:val="22"/>
              </w:rPr>
              <w:t>na qual não se pode excluir EP</w:t>
            </w:r>
          </w:p>
        </w:tc>
        <w:tc>
          <w:tcPr>
            <w:tcW w:w="3120" w:type="dxa"/>
          </w:tcPr>
          <w:p w14:paraId="50CD285F" w14:textId="77777777" w:rsidR="00337111" w:rsidRPr="0063119B" w:rsidRDefault="00337111" w:rsidP="003345A8">
            <w:pPr>
              <w:keepNext/>
              <w:keepLines/>
              <w:spacing w:line="260" w:lineRule="exact"/>
              <w:rPr>
                <w:szCs w:val="22"/>
              </w:rPr>
            </w:pPr>
            <w:r w:rsidRPr="0063119B">
              <w:rPr>
                <w:szCs w:val="22"/>
              </w:rPr>
              <w:t>11</w:t>
            </w:r>
            <w:r w:rsidRPr="0063119B">
              <w:rPr>
                <w:szCs w:val="22"/>
              </w:rPr>
              <w:br/>
              <w:t>(0,5%)</w:t>
            </w:r>
          </w:p>
        </w:tc>
        <w:tc>
          <w:tcPr>
            <w:tcW w:w="2880" w:type="dxa"/>
            <w:gridSpan w:val="2"/>
          </w:tcPr>
          <w:p w14:paraId="69929C53" w14:textId="77777777" w:rsidR="00337111" w:rsidRPr="0063119B" w:rsidRDefault="00337111" w:rsidP="003345A8">
            <w:pPr>
              <w:keepNext/>
              <w:keepLines/>
              <w:spacing w:line="260" w:lineRule="exact"/>
              <w:rPr>
                <w:szCs w:val="22"/>
              </w:rPr>
            </w:pPr>
            <w:r w:rsidRPr="0063119B">
              <w:rPr>
                <w:szCs w:val="22"/>
              </w:rPr>
              <w:t>7</w:t>
            </w:r>
            <w:r w:rsidRPr="0063119B">
              <w:rPr>
                <w:szCs w:val="22"/>
              </w:rPr>
              <w:br/>
              <w:t>(0,3%)</w:t>
            </w:r>
          </w:p>
        </w:tc>
      </w:tr>
      <w:tr w:rsidR="00337111" w:rsidRPr="0063119B" w14:paraId="1EC597DA" w14:textId="77777777" w:rsidTr="0044301C">
        <w:tc>
          <w:tcPr>
            <w:tcW w:w="3360" w:type="dxa"/>
          </w:tcPr>
          <w:p w14:paraId="3E94287E" w14:textId="77777777" w:rsidR="00337111" w:rsidRPr="0063119B" w:rsidRDefault="00337111" w:rsidP="003345A8">
            <w:pPr>
              <w:keepNext/>
              <w:keepLines/>
              <w:spacing w:line="260" w:lineRule="exact"/>
              <w:rPr>
                <w:szCs w:val="22"/>
              </w:rPr>
            </w:pPr>
            <w:r w:rsidRPr="0063119B">
              <w:rPr>
                <w:szCs w:val="22"/>
              </w:rPr>
              <w:t>Hemorragia principal ou não principal clinicamente relevante</w:t>
            </w:r>
          </w:p>
        </w:tc>
        <w:tc>
          <w:tcPr>
            <w:tcW w:w="3120" w:type="dxa"/>
          </w:tcPr>
          <w:p w14:paraId="54E22DE2" w14:textId="77777777" w:rsidR="00337111" w:rsidRPr="0063119B" w:rsidRDefault="00337111" w:rsidP="003345A8">
            <w:pPr>
              <w:keepNext/>
              <w:keepLines/>
              <w:spacing w:line="260" w:lineRule="exact"/>
              <w:rPr>
                <w:szCs w:val="22"/>
              </w:rPr>
            </w:pPr>
            <w:r w:rsidRPr="0063119B">
              <w:rPr>
                <w:szCs w:val="22"/>
              </w:rPr>
              <w:t>249</w:t>
            </w:r>
            <w:r w:rsidRPr="0063119B">
              <w:rPr>
                <w:szCs w:val="22"/>
              </w:rPr>
              <w:br/>
              <w:t>(10,3%)</w:t>
            </w:r>
          </w:p>
        </w:tc>
        <w:tc>
          <w:tcPr>
            <w:tcW w:w="2880" w:type="dxa"/>
            <w:gridSpan w:val="2"/>
          </w:tcPr>
          <w:p w14:paraId="04071537" w14:textId="77777777" w:rsidR="00337111" w:rsidRPr="0063119B" w:rsidRDefault="00337111" w:rsidP="003345A8">
            <w:pPr>
              <w:keepNext/>
              <w:keepLines/>
              <w:spacing w:line="260" w:lineRule="exact"/>
              <w:rPr>
                <w:szCs w:val="22"/>
              </w:rPr>
            </w:pPr>
            <w:r w:rsidRPr="0063119B">
              <w:rPr>
                <w:szCs w:val="22"/>
              </w:rPr>
              <w:t>274</w:t>
            </w:r>
            <w:r w:rsidRPr="0063119B">
              <w:rPr>
                <w:szCs w:val="22"/>
              </w:rPr>
              <w:br/>
              <w:t>(11,4%)</w:t>
            </w:r>
          </w:p>
        </w:tc>
      </w:tr>
      <w:tr w:rsidR="00337111" w:rsidRPr="0063119B" w14:paraId="1BEA85CA" w14:textId="77777777" w:rsidTr="0044301C">
        <w:tc>
          <w:tcPr>
            <w:tcW w:w="3360" w:type="dxa"/>
          </w:tcPr>
          <w:p w14:paraId="1D5F5ADE" w14:textId="77777777" w:rsidR="00337111" w:rsidRPr="0063119B" w:rsidRDefault="00337111" w:rsidP="003345A8">
            <w:pPr>
              <w:keepNext/>
              <w:keepLines/>
              <w:spacing w:line="260" w:lineRule="exact"/>
              <w:rPr>
                <w:szCs w:val="22"/>
              </w:rPr>
            </w:pPr>
            <w:r w:rsidRPr="0063119B">
              <w:rPr>
                <w:szCs w:val="22"/>
              </w:rPr>
              <w:t>Acontecimentos hemorrágicos principais</w:t>
            </w:r>
          </w:p>
        </w:tc>
        <w:tc>
          <w:tcPr>
            <w:tcW w:w="3120" w:type="dxa"/>
          </w:tcPr>
          <w:p w14:paraId="6E2DB3DD" w14:textId="77777777" w:rsidR="00337111" w:rsidRPr="0063119B" w:rsidRDefault="00337111" w:rsidP="003345A8">
            <w:pPr>
              <w:keepNext/>
              <w:keepLines/>
              <w:spacing w:line="260" w:lineRule="exact"/>
              <w:rPr>
                <w:szCs w:val="22"/>
              </w:rPr>
            </w:pPr>
            <w:r w:rsidRPr="0063119B">
              <w:rPr>
                <w:szCs w:val="22"/>
              </w:rPr>
              <w:t>26</w:t>
            </w:r>
            <w:r w:rsidRPr="0063119B">
              <w:rPr>
                <w:szCs w:val="22"/>
              </w:rPr>
              <w:br/>
              <w:t>(1,1%)</w:t>
            </w:r>
          </w:p>
        </w:tc>
        <w:tc>
          <w:tcPr>
            <w:tcW w:w="2880" w:type="dxa"/>
            <w:gridSpan w:val="2"/>
          </w:tcPr>
          <w:p w14:paraId="6A5A0E7B" w14:textId="77777777" w:rsidR="00337111" w:rsidRPr="0063119B" w:rsidRDefault="00337111" w:rsidP="003345A8">
            <w:pPr>
              <w:keepNext/>
              <w:keepLines/>
              <w:spacing w:line="260" w:lineRule="exact"/>
              <w:rPr>
                <w:szCs w:val="22"/>
              </w:rPr>
            </w:pPr>
            <w:r w:rsidRPr="0063119B">
              <w:rPr>
                <w:szCs w:val="22"/>
              </w:rPr>
              <w:t>52</w:t>
            </w:r>
            <w:r w:rsidRPr="0063119B">
              <w:rPr>
                <w:szCs w:val="22"/>
              </w:rPr>
              <w:br/>
              <w:t>(2,2%)</w:t>
            </w:r>
          </w:p>
        </w:tc>
      </w:tr>
      <w:tr w:rsidR="00337111" w:rsidRPr="0063119B" w14:paraId="6BAC3973" w14:textId="77777777" w:rsidTr="0044301C">
        <w:trPr>
          <w:gridAfter w:val="1"/>
          <w:wAfter w:w="230" w:type="dxa"/>
        </w:trPr>
        <w:tc>
          <w:tcPr>
            <w:tcW w:w="9200" w:type="dxa"/>
            <w:gridSpan w:val="3"/>
            <w:tcBorders>
              <w:top w:val="nil"/>
              <w:left w:val="nil"/>
              <w:bottom w:val="nil"/>
              <w:right w:val="nil"/>
            </w:tcBorders>
          </w:tcPr>
          <w:p w14:paraId="0F1B4897" w14:textId="77777777" w:rsidR="00337111" w:rsidRPr="0063119B" w:rsidRDefault="00337111" w:rsidP="003345A8">
            <w:pPr>
              <w:keepNext/>
              <w:keepLines/>
              <w:tabs>
                <w:tab w:val="left" w:pos="567"/>
              </w:tabs>
              <w:rPr>
                <w:szCs w:val="22"/>
              </w:rPr>
            </w:pPr>
            <w:r w:rsidRPr="0063119B">
              <w:rPr>
                <w:szCs w:val="22"/>
              </w:rPr>
              <w:t>a)</w:t>
            </w:r>
            <w:r w:rsidRPr="0063119B">
              <w:rPr>
                <w:szCs w:val="22"/>
              </w:rPr>
              <w:tab/>
              <w:t>Rivaroxabano 15 mg duas vezes por dia durante 3 semanas seguido de 20 mg uma vez por dia</w:t>
            </w:r>
          </w:p>
          <w:p w14:paraId="24BC70CB" w14:textId="77777777" w:rsidR="00337111" w:rsidRPr="0063119B" w:rsidRDefault="00337111" w:rsidP="003345A8">
            <w:pPr>
              <w:keepNext/>
              <w:keepLines/>
              <w:tabs>
                <w:tab w:val="left" w:pos="567"/>
              </w:tabs>
              <w:ind w:left="567" w:hanging="567"/>
              <w:rPr>
                <w:szCs w:val="22"/>
              </w:rPr>
            </w:pPr>
            <w:r w:rsidRPr="0063119B">
              <w:rPr>
                <w:szCs w:val="22"/>
              </w:rPr>
              <w:t>b)</w:t>
            </w:r>
            <w:r w:rsidRPr="0063119B">
              <w:rPr>
                <w:szCs w:val="22"/>
              </w:rPr>
              <w:tab/>
              <w:t>Enoxaparina durante pelo menos 5 dias, sobreposta com e seguida de AVK</w:t>
            </w:r>
          </w:p>
          <w:p w14:paraId="6C3FEE77" w14:textId="77777777" w:rsidR="00337111" w:rsidRPr="0063119B" w:rsidRDefault="00337111" w:rsidP="002F4A3F">
            <w:pPr>
              <w:keepNext/>
              <w:keepLines/>
              <w:tabs>
                <w:tab w:val="left" w:pos="567"/>
              </w:tabs>
              <w:ind w:left="567" w:hanging="567"/>
              <w:rPr>
                <w:vanish/>
                <w:szCs w:val="22"/>
              </w:rPr>
            </w:pPr>
            <w:r w:rsidRPr="0063119B">
              <w:rPr>
                <w:b/>
                <w:szCs w:val="22"/>
              </w:rPr>
              <w:t>*</w:t>
            </w:r>
            <w:r w:rsidRPr="0063119B">
              <w:rPr>
                <w:szCs w:val="22"/>
              </w:rPr>
              <w:tab/>
              <w:t xml:space="preserve">p &lt; 0,0026 (não inferioridade para uma </w:t>
            </w:r>
            <w:r w:rsidR="002F4A3F" w:rsidRPr="0063119B">
              <w:rPr>
                <w:szCs w:val="22"/>
              </w:rPr>
              <w:t>RR</w:t>
            </w:r>
            <w:r w:rsidRPr="0063119B">
              <w:rPr>
                <w:szCs w:val="22"/>
              </w:rPr>
              <w:t xml:space="preserve"> pré-especificada de 2,0); </w:t>
            </w:r>
            <w:r w:rsidR="002F4A3F" w:rsidRPr="0063119B">
              <w:rPr>
                <w:szCs w:val="22"/>
              </w:rPr>
              <w:t>RR</w:t>
            </w:r>
            <w:r w:rsidRPr="0063119B">
              <w:rPr>
                <w:szCs w:val="22"/>
              </w:rPr>
              <w:t>: 1,123 (0,749 </w:t>
            </w:r>
            <w:r w:rsidRPr="0063119B">
              <w:rPr>
                <w:szCs w:val="22"/>
              </w:rPr>
              <w:noBreakHyphen/>
              <w:t> 1,624)</w:t>
            </w:r>
          </w:p>
        </w:tc>
      </w:tr>
    </w:tbl>
    <w:p w14:paraId="4924D21C" w14:textId="77777777" w:rsidR="00337111" w:rsidRPr="0063119B" w:rsidRDefault="00337111" w:rsidP="00337111">
      <w:pPr>
        <w:pStyle w:val="Default"/>
        <w:rPr>
          <w:color w:val="auto"/>
          <w:sz w:val="22"/>
          <w:szCs w:val="22"/>
          <w:lang w:val="pt-PT"/>
        </w:rPr>
      </w:pPr>
    </w:p>
    <w:p w14:paraId="249D5437" w14:textId="77777777" w:rsidR="00337111" w:rsidRPr="0063119B" w:rsidRDefault="00337111" w:rsidP="001F10F8">
      <w:pPr>
        <w:pStyle w:val="Default"/>
        <w:keepNext/>
        <w:keepLines/>
        <w:rPr>
          <w:color w:val="auto"/>
          <w:sz w:val="22"/>
          <w:szCs w:val="22"/>
          <w:lang w:val="pt-PT"/>
        </w:rPr>
      </w:pPr>
      <w:r w:rsidRPr="0063119B">
        <w:rPr>
          <w:color w:val="auto"/>
          <w:sz w:val="22"/>
          <w:szCs w:val="22"/>
          <w:lang w:val="pt-PT"/>
        </w:rPr>
        <w:lastRenderedPageBreak/>
        <w:t>Foi realizada uma análise agrupada pré-especificada do resultado dos estudos Einstein DVT e PE (ver Quadro</w:t>
      </w:r>
      <w:r w:rsidR="006358A9" w:rsidRPr="0063119B">
        <w:rPr>
          <w:color w:val="auto"/>
          <w:sz w:val="22"/>
          <w:szCs w:val="22"/>
          <w:lang w:val="pt-PT"/>
        </w:rPr>
        <w:t> 8</w:t>
      </w:r>
      <w:r w:rsidRPr="0063119B">
        <w:rPr>
          <w:color w:val="auto"/>
          <w:sz w:val="22"/>
          <w:szCs w:val="22"/>
          <w:lang w:val="pt-PT"/>
        </w:rPr>
        <w:t>).</w:t>
      </w:r>
    </w:p>
    <w:p w14:paraId="42B485DE" w14:textId="77777777" w:rsidR="00337111" w:rsidRPr="0063119B" w:rsidRDefault="00337111" w:rsidP="001F10F8">
      <w:pPr>
        <w:pStyle w:val="Default"/>
        <w:keepNext/>
        <w:keepLines/>
        <w:rPr>
          <w:color w:val="auto"/>
          <w:sz w:val="22"/>
          <w:szCs w:val="22"/>
          <w:lang w:val="pt-PT"/>
        </w:rPr>
      </w:pPr>
    </w:p>
    <w:p w14:paraId="22805EDB" w14:textId="77777777" w:rsidR="00337111" w:rsidRPr="0063119B" w:rsidRDefault="00337111" w:rsidP="001F10F8">
      <w:pPr>
        <w:pStyle w:val="Default"/>
        <w:keepNext/>
        <w:keepLines/>
        <w:rPr>
          <w:b/>
          <w:color w:val="auto"/>
          <w:sz w:val="22"/>
          <w:szCs w:val="22"/>
          <w:lang w:val="pt-PT"/>
        </w:rPr>
      </w:pPr>
      <w:r w:rsidRPr="0063119B">
        <w:rPr>
          <w:b/>
          <w:color w:val="auto"/>
          <w:sz w:val="22"/>
          <w:szCs w:val="22"/>
          <w:lang w:val="pt-PT"/>
        </w:rPr>
        <w:t>Quadro </w:t>
      </w:r>
      <w:r w:rsidR="006358A9" w:rsidRPr="0063119B">
        <w:rPr>
          <w:b/>
          <w:color w:val="auto"/>
          <w:sz w:val="22"/>
          <w:szCs w:val="22"/>
          <w:lang w:val="pt-PT"/>
        </w:rPr>
        <w:t>8</w:t>
      </w:r>
      <w:r w:rsidRPr="0063119B">
        <w:rPr>
          <w:b/>
          <w:color w:val="auto"/>
          <w:sz w:val="22"/>
          <w:szCs w:val="22"/>
          <w:lang w:val="pt-PT"/>
        </w:rPr>
        <w:t>: Resultados de eficácia e segurança da análise agrupada do estudos de fase III Einstein DVT e Einstein PE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20"/>
        <w:gridCol w:w="230"/>
      </w:tblGrid>
      <w:tr w:rsidR="00337111" w:rsidRPr="0063119B" w14:paraId="3DA28407" w14:textId="77777777" w:rsidTr="0044301C">
        <w:tc>
          <w:tcPr>
            <w:tcW w:w="3360" w:type="dxa"/>
          </w:tcPr>
          <w:p w14:paraId="31C3BCCB" w14:textId="77777777" w:rsidR="00337111" w:rsidRPr="001B6FEC" w:rsidRDefault="00337111" w:rsidP="001F10F8">
            <w:pPr>
              <w:keepNext/>
              <w:keepLines/>
              <w:rPr>
                <w:b/>
                <w:bCs/>
                <w:szCs w:val="22"/>
              </w:rPr>
            </w:pPr>
            <w:r w:rsidRPr="001B6FEC">
              <w:rPr>
                <w:b/>
                <w:bCs/>
                <w:szCs w:val="22"/>
              </w:rPr>
              <w:t>População do estudo</w:t>
            </w:r>
          </w:p>
        </w:tc>
        <w:tc>
          <w:tcPr>
            <w:tcW w:w="6000" w:type="dxa"/>
            <w:gridSpan w:val="3"/>
          </w:tcPr>
          <w:p w14:paraId="3D2E8B4B" w14:textId="77777777" w:rsidR="00337111" w:rsidRPr="001B6FEC" w:rsidRDefault="00337111" w:rsidP="001F10F8">
            <w:pPr>
              <w:keepNext/>
              <w:keepLines/>
              <w:rPr>
                <w:b/>
                <w:bCs/>
                <w:szCs w:val="22"/>
              </w:rPr>
            </w:pPr>
            <w:r w:rsidRPr="001B6FEC">
              <w:rPr>
                <w:b/>
                <w:bCs/>
                <w:szCs w:val="22"/>
              </w:rPr>
              <w:t>8.281 doentes com TVP sintomática aguda ou EP</w:t>
            </w:r>
          </w:p>
        </w:tc>
      </w:tr>
      <w:tr w:rsidR="00337111" w:rsidRPr="0063119B" w14:paraId="3665CCE0" w14:textId="77777777" w:rsidTr="0044301C">
        <w:tc>
          <w:tcPr>
            <w:tcW w:w="3360" w:type="dxa"/>
            <w:vAlign w:val="center"/>
          </w:tcPr>
          <w:p w14:paraId="1EAFDAD5" w14:textId="77777777" w:rsidR="00337111" w:rsidRPr="001B6FEC" w:rsidRDefault="00337111" w:rsidP="001F10F8">
            <w:pPr>
              <w:keepNext/>
              <w:keepLines/>
              <w:spacing w:line="260" w:lineRule="exact"/>
              <w:rPr>
                <w:b/>
                <w:bCs/>
                <w:szCs w:val="22"/>
              </w:rPr>
            </w:pPr>
            <w:r w:rsidRPr="001B6FEC">
              <w:rPr>
                <w:b/>
                <w:bCs/>
                <w:szCs w:val="22"/>
              </w:rPr>
              <w:t>Doses e duração do tratamento</w:t>
            </w:r>
          </w:p>
        </w:tc>
        <w:tc>
          <w:tcPr>
            <w:tcW w:w="3120" w:type="dxa"/>
          </w:tcPr>
          <w:p w14:paraId="5B6AF27F" w14:textId="77777777" w:rsidR="00337111" w:rsidRPr="001B6FEC" w:rsidRDefault="00D03670" w:rsidP="001F10F8">
            <w:pPr>
              <w:keepNext/>
              <w:keepLines/>
              <w:spacing w:line="260" w:lineRule="exact"/>
              <w:rPr>
                <w:b/>
                <w:bCs/>
                <w:szCs w:val="22"/>
                <w:vertAlign w:val="superscript"/>
              </w:rPr>
            </w:pPr>
            <w:r w:rsidRPr="001B6FEC">
              <w:rPr>
                <w:b/>
                <w:bCs/>
                <w:szCs w:val="22"/>
              </w:rPr>
              <w:t>Rivaroxabano</w:t>
            </w:r>
            <w:r w:rsidRPr="001B6FEC" w:rsidDel="00D03670">
              <w:rPr>
                <w:b/>
                <w:bCs/>
                <w:szCs w:val="22"/>
              </w:rPr>
              <w:t xml:space="preserve"> </w:t>
            </w:r>
            <w:r w:rsidR="00337111" w:rsidRPr="001B6FEC">
              <w:rPr>
                <w:b/>
                <w:bCs/>
                <w:szCs w:val="22"/>
                <w:vertAlign w:val="superscript"/>
              </w:rPr>
              <w:t>a</w:t>
            </w:r>
            <w:r w:rsidR="00BD28EE" w:rsidRPr="001B6FEC">
              <w:rPr>
                <w:b/>
                <w:bCs/>
                <w:szCs w:val="22"/>
                <w:vertAlign w:val="superscript"/>
              </w:rPr>
              <w:t>)</w:t>
            </w:r>
          </w:p>
          <w:p w14:paraId="30E5D92A" w14:textId="77777777" w:rsidR="00337111" w:rsidRPr="001B6FEC" w:rsidRDefault="00337111" w:rsidP="001F10F8">
            <w:pPr>
              <w:keepNext/>
              <w:keepLines/>
              <w:spacing w:line="260" w:lineRule="exact"/>
              <w:rPr>
                <w:b/>
                <w:bCs/>
                <w:szCs w:val="22"/>
              </w:rPr>
            </w:pPr>
            <w:r w:rsidRPr="001B6FEC">
              <w:rPr>
                <w:b/>
                <w:bCs/>
                <w:szCs w:val="22"/>
              </w:rPr>
              <w:t>3, 6 ou 12 meses</w:t>
            </w:r>
          </w:p>
          <w:p w14:paraId="7CC8F0BA" w14:textId="77777777" w:rsidR="00337111" w:rsidRPr="001B6FEC" w:rsidRDefault="00337111" w:rsidP="001F10F8">
            <w:pPr>
              <w:keepNext/>
              <w:keepLines/>
              <w:spacing w:line="260" w:lineRule="exact"/>
              <w:rPr>
                <w:b/>
                <w:bCs/>
                <w:szCs w:val="22"/>
              </w:rPr>
            </w:pPr>
            <w:r w:rsidRPr="001B6FEC">
              <w:rPr>
                <w:b/>
                <w:bCs/>
                <w:szCs w:val="22"/>
              </w:rPr>
              <w:t>N=4.150</w:t>
            </w:r>
          </w:p>
        </w:tc>
        <w:tc>
          <w:tcPr>
            <w:tcW w:w="2880" w:type="dxa"/>
            <w:gridSpan w:val="2"/>
          </w:tcPr>
          <w:p w14:paraId="43C812EB" w14:textId="77777777" w:rsidR="00337111" w:rsidRPr="001B6FEC" w:rsidRDefault="00337111" w:rsidP="001F10F8">
            <w:pPr>
              <w:keepNext/>
              <w:keepLines/>
              <w:spacing w:line="260" w:lineRule="exact"/>
              <w:rPr>
                <w:b/>
                <w:bCs/>
                <w:szCs w:val="22"/>
              </w:rPr>
            </w:pPr>
            <w:r w:rsidRPr="001B6FEC">
              <w:rPr>
                <w:b/>
                <w:bCs/>
                <w:szCs w:val="22"/>
              </w:rPr>
              <w:t>Enoxaparina/AVK</w:t>
            </w:r>
            <w:r w:rsidRPr="001B6FEC">
              <w:rPr>
                <w:b/>
                <w:bCs/>
                <w:szCs w:val="22"/>
                <w:vertAlign w:val="superscript"/>
              </w:rPr>
              <w:t>b</w:t>
            </w:r>
            <w:r w:rsidR="00BD28EE" w:rsidRPr="001B6FEC">
              <w:rPr>
                <w:b/>
                <w:bCs/>
                <w:szCs w:val="22"/>
                <w:vertAlign w:val="superscript"/>
              </w:rPr>
              <w:t>)</w:t>
            </w:r>
          </w:p>
          <w:p w14:paraId="6D8AAB3E" w14:textId="77777777" w:rsidR="00337111" w:rsidRPr="001B6FEC" w:rsidRDefault="00337111" w:rsidP="001F10F8">
            <w:pPr>
              <w:keepNext/>
              <w:keepLines/>
              <w:spacing w:line="260" w:lineRule="exact"/>
              <w:rPr>
                <w:b/>
                <w:bCs/>
                <w:szCs w:val="22"/>
              </w:rPr>
            </w:pPr>
            <w:r w:rsidRPr="001B6FEC">
              <w:rPr>
                <w:b/>
                <w:bCs/>
                <w:szCs w:val="22"/>
              </w:rPr>
              <w:t>3, 6 ou 12 meses</w:t>
            </w:r>
          </w:p>
          <w:p w14:paraId="7BD85C9C" w14:textId="77777777" w:rsidR="00337111" w:rsidRPr="001B6FEC" w:rsidRDefault="00337111" w:rsidP="001F10F8">
            <w:pPr>
              <w:keepNext/>
              <w:keepLines/>
              <w:spacing w:line="260" w:lineRule="exact"/>
              <w:rPr>
                <w:b/>
                <w:bCs/>
                <w:szCs w:val="22"/>
              </w:rPr>
            </w:pPr>
            <w:r w:rsidRPr="001B6FEC">
              <w:rPr>
                <w:b/>
                <w:bCs/>
                <w:szCs w:val="22"/>
              </w:rPr>
              <w:t>N=4.131</w:t>
            </w:r>
          </w:p>
        </w:tc>
      </w:tr>
      <w:tr w:rsidR="00337111" w:rsidRPr="0063119B" w14:paraId="0E30C198" w14:textId="77777777" w:rsidTr="0044301C">
        <w:tc>
          <w:tcPr>
            <w:tcW w:w="3360" w:type="dxa"/>
          </w:tcPr>
          <w:p w14:paraId="7A717F1E" w14:textId="77777777" w:rsidR="00337111" w:rsidRPr="0063119B" w:rsidRDefault="00337111" w:rsidP="001F10F8">
            <w:pPr>
              <w:keepNext/>
              <w:keepLines/>
              <w:spacing w:line="260" w:lineRule="exact"/>
              <w:rPr>
                <w:szCs w:val="22"/>
              </w:rPr>
            </w:pPr>
            <w:r w:rsidRPr="0063119B">
              <w:rPr>
                <w:szCs w:val="22"/>
              </w:rPr>
              <w:t>TEV sintomático recorrente*</w:t>
            </w:r>
          </w:p>
        </w:tc>
        <w:tc>
          <w:tcPr>
            <w:tcW w:w="3120" w:type="dxa"/>
          </w:tcPr>
          <w:p w14:paraId="6F26A89E" w14:textId="77777777" w:rsidR="00337111" w:rsidRPr="0063119B" w:rsidRDefault="00337111" w:rsidP="001F10F8">
            <w:pPr>
              <w:keepNext/>
              <w:keepLines/>
              <w:spacing w:line="260" w:lineRule="exact"/>
              <w:rPr>
                <w:szCs w:val="22"/>
              </w:rPr>
            </w:pPr>
            <w:r w:rsidRPr="0063119B">
              <w:rPr>
                <w:szCs w:val="22"/>
              </w:rPr>
              <w:t>86</w:t>
            </w:r>
            <w:r w:rsidRPr="0063119B">
              <w:rPr>
                <w:szCs w:val="22"/>
              </w:rPr>
              <w:br/>
              <w:t>(2,1%)</w:t>
            </w:r>
          </w:p>
        </w:tc>
        <w:tc>
          <w:tcPr>
            <w:tcW w:w="2880" w:type="dxa"/>
            <w:gridSpan w:val="2"/>
          </w:tcPr>
          <w:p w14:paraId="391FA604" w14:textId="77777777" w:rsidR="00337111" w:rsidRPr="0063119B" w:rsidRDefault="00337111" w:rsidP="001F10F8">
            <w:pPr>
              <w:keepNext/>
              <w:keepLines/>
              <w:spacing w:line="260" w:lineRule="exact"/>
              <w:rPr>
                <w:szCs w:val="22"/>
              </w:rPr>
            </w:pPr>
            <w:r w:rsidRPr="0063119B">
              <w:rPr>
                <w:szCs w:val="22"/>
              </w:rPr>
              <w:t>95</w:t>
            </w:r>
            <w:r w:rsidRPr="0063119B">
              <w:rPr>
                <w:szCs w:val="22"/>
              </w:rPr>
              <w:br/>
              <w:t>(2,3%)</w:t>
            </w:r>
          </w:p>
        </w:tc>
      </w:tr>
      <w:tr w:rsidR="00337111" w:rsidRPr="0063119B" w14:paraId="454D8746" w14:textId="77777777" w:rsidTr="0044301C">
        <w:tc>
          <w:tcPr>
            <w:tcW w:w="3360" w:type="dxa"/>
          </w:tcPr>
          <w:p w14:paraId="7F7FAB66" w14:textId="77777777" w:rsidR="00337111" w:rsidRPr="0063119B" w:rsidRDefault="00337111" w:rsidP="001F10F8">
            <w:pPr>
              <w:keepNext/>
              <w:keepLines/>
              <w:spacing w:line="260" w:lineRule="exact"/>
              <w:rPr>
                <w:szCs w:val="22"/>
              </w:rPr>
            </w:pPr>
            <w:r w:rsidRPr="0063119B">
              <w:rPr>
                <w:szCs w:val="22"/>
              </w:rPr>
              <w:t xml:space="preserve">     EP sintomático recorrente</w:t>
            </w:r>
          </w:p>
        </w:tc>
        <w:tc>
          <w:tcPr>
            <w:tcW w:w="3120" w:type="dxa"/>
          </w:tcPr>
          <w:p w14:paraId="5FDF5752" w14:textId="77777777" w:rsidR="00337111" w:rsidRPr="0063119B" w:rsidRDefault="00337111" w:rsidP="001F10F8">
            <w:pPr>
              <w:keepNext/>
              <w:keepLines/>
              <w:spacing w:line="260" w:lineRule="exact"/>
              <w:rPr>
                <w:szCs w:val="22"/>
              </w:rPr>
            </w:pPr>
            <w:r w:rsidRPr="0063119B">
              <w:rPr>
                <w:szCs w:val="22"/>
              </w:rPr>
              <w:t>43</w:t>
            </w:r>
            <w:r w:rsidRPr="0063119B">
              <w:rPr>
                <w:szCs w:val="22"/>
              </w:rPr>
              <w:br/>
              <w:t>(1,0%)</w:t>
            </w:r>
          </w:p>
        </w:tc>
        <w:tc>
          <w:tcPr>
            <w:tcW w:w="2880" w:type="dxa"/>
            <w:gridSpan w:val="2"/>
          </w:tcPr>
          <w:p w14:paraId="1625DAF4" w14:textId="77777777" w:rsidR="00337111" w:rsidRPr="0063119B" w:rsidRDefault="00337111" w:rsidP="001F10F8">
            <w:pPr>
              <w:keepNext/>
              <w:keepLines/>
              <w:spacing w:line="260" w:lineRule="exact"/>
              <w:rPr>
                <w:szCs w:val="22"/>
              </w:rPr>
            </w:pPr>
            <w:r w:rsidRPr="0063119B">
              <w:rPr>
                <w:szCs w:val="22"/>
              </w:rPr>
              <w:t>38</w:t>
            </w:r>
            <w:r w:rsidRPr="0063119B">
              <w:rPr>
                <w:szCs w:val="22"/>
              </w:rPr>
              <w:br/>
              <w:t>(0,9%)</w:t>
            </w:r>
          </w:p>
        </w:tc>
      </w:tr>
      <w:tr w:rsidR="00337111" w:rsidRPr="0063119B" w14:paraId="6FB876B0" w14:textId="77777777" w:rsidTr="0044301C">
        <w:tc>
          <w:tcPr>
            <w:tcW w:w="3360" w:type="dxa"/>
          </w:tcPr>
          <w:p w14:paraId="4A4B70F4" w14:textId="77777777" w:rsidR="00337111" w:rsidRPr="0063119B" w:rsidRDefault="00337111" w:rsidP="001F10F8">
            <w:pPr>
              <w:keepNext/>
              <w:keepLines/>
              <w:spacing w:line="260" w:lineRule="exact"/>
              <w:rPr>
                <w:szCs w:val="22"/>
              </w:rPr>
            </w:pPr>
            <w:r w:rsidRPr="0063119B">
              <w:rPr>
                <w:szCs w:val="22"/>
              </w:rPr>
              <w:t xml:space="preserve">     TVP sintomática recorrente</w:t>
            </w:r>
          </w:p>
        </w:tc>
        <w:tc>
          <w:tcPr>
            <w:tcW w:w="3120" w:type="dxa"/>
          </w:tcPr>
          <w:p w14:paraId="4B392964" w14:textId="77777777" w:rsidR="00337111" w:rsidRPr="0063119B" w:rsidRDefault="00337111" w:rsidP="001F10F8">
            <w:pPr>
              <w:keepNext/>
              <w:keepLines/>
              <w:spacing w:line="260" w:lineRule="exact"/>
              <w:rPr>
                <w:szCs w:val="22"/>
              </w:rPr>
            </w:pPr>
            <w:r w:rsidRPr="0063119B">
              <w:rPr>
                <w:szCs w:val="22"/>
              </w:rPr>
              <w:t>32</w:t>
            </w:r>
            <w:r w:rsidRPr="0063119B">
              <w:rPr>
                <w:szCs w:val="22"/>
              </w:rPr>
              <w:br/>
              <w:t>(0,8%)</w:t>
            </w:r>
          </w:p>
        </w:tc>
        <w:tc>
          <w:tcPr>
            <w:tcW w:w="2880" w:type="dxa"/>
            <w:gridSpan w:val="2"/>
          </w:tcPr>
          <w:p w14:paraId="6AF5B89E" w14:textId="77777777" w:rsidR="00337111" w:rsidRPr="0063119B" w:rsidRDefault="00337111" w:rsidP="001F10F8">
            <w:pPr>
              <w:keepNext/>
              <w:keepLines/>
              <w:spacing w:line="260" w:lineRule="exact"/>
              <w:rPr>
                <w:szCs w:val="22"/>
              </w:rPr>
            </w:pPr>
            <w:r w:rsidRPr="0063119B">
              <w:rPr>
                <w:szCs w:val="22"/>
              </w:rPr>
              <w:t>45</w:t>
            </w:r>
            <w:r w:rsidRPr="0063119B">
              <w:rPr>
                <w:szCs w:val="22"/>
              </w:rPr>
              <w:br/>
              <w:t>(1,1%)</w:t>
            </w:r>
          </w:p>
        </w:tc>
      </w:tr>
      <w:tr w:rsidR="00337111" w:rsidRPr="0063119B" w14:paraId="7BE98CC9" w14:textId="77777777" w:rsidTr="0044301C">
        <w:tc>
          <w:tcPr>
            <w:tcW w:w="3360" w:type="dxa"/>
          </w:tcPr>
          <w:p w14:paraId="12AE305B" w14:textId="77777777" w:rsidR="00337111" w:rsidRPr="0063119B" w:rsidRDefault="00337111" w:rsidP="001F10F8">
            <w:pPr>
              <w:keepNext/>
              <w:keepLines/>
              <w:spacing w:line="260" w:lineRule="exact"/>
              <w:rPr>
                <w:szCs w:val="22"/>
              </w:rPr>
            </w:pPr>
            <w:r w:rsidRPr="0063119B">
              <w:rPr>
                <w:szCs w:val="22"/>
              </w:rPr>
              <w:t xml:space="preserve">     EP e TVP sintomáticos</w:t>
            </w:r>
          </w:p>
        </w:tc>
        <w:tc>
          <w:tcPr>
            <w:tcW w:w="3120" w:type="dxa"/>
          </w:tcPr>
          <w:p w14:paraId="3F81D49F" w14:textId="77777777" w:rsidR="00337111" w:rsidRPr="0063119B" w:rsidRDefault="00337111" w:rsidP="001F10F8">
            <w:pPr>
              <w:keepNext/>
              <w:keepLines/>
              <w:spacing w:line="260" w:lineRule="exact"/>
              <w:rPr>
                <w:szCs w:val="22"/>
              </w:rPr>
            </w:pPr>
            <w:r w:rsidRPr="0063119B">
              <w:rPr>
                <w:szCs w:val="22"/>
              </w:rPr>
              <w:t>1</w:t>
            </w:r>
          </w:p>
          <w:p w14:paraId="72C6AF20" w14:textId="77777777" w:rsidR="00337111" w:rsidRPr="0063119B" w:rsidRDefault="00337111" w:rsidP="001F10F8">
            <w:pPr>
              <w:keepNext/>
              <w:keepLines/>
              <w:spacing w:line="260" w:lineRule="exact"/>
              <w:rPr>
                <w:szCs w:val="22"/>
              </w:rPr>
            </w:pPr>
            <w:r w:rsidRPr="0063119B">
              <w:rPr>
                <w:szCs w:val="22"/>
              </w:rPr>
              <w:t>(&lt;0,1%)</w:t>
            </w:r>
          </w:p>
        </w:tc>
        <w:tc>
          <w:tcPr>
            <w:tcW w:w="2880" w:type="dxa"/>
            <w:gridSpan w:val="2"/>
          </w:tcPr>
          <w:p w14:paraId="4B3956E2" w14:textId="77777777" w:rsidR="00337111" w:rsidRPr="0063119B" w:rsidRDefault="00337111" w:rsidP="001F10F8">
            <w:pPr>
              <w:keepNext/>
              <w:keepLines/>
              <w:spacing w:line="260" w:lineRule="exact"/>
              <w:rPr>
                <w:szCs w:val="22"/>
              </w:rPr>
            </w:pPr>
            <w:r w:rsidRPr="0063119B">
              <w:rPr>
                <w:szCs w:val="22"/>
              </w:rPr>
              <w:t>2</w:t>
            </w:r>
          </w:p>
          <w:p w14:paraId="71C70A78" w14:textId="77777777" w:rsidR="00337111" w:rsidRPr="0063119B" w:rsidRDefault="00337111" w:rsidP="001F10F8">
            <w:pPr>
              <w:keepNext/>
              <w:keepLines/>
              <w:spacing w:line="260" w:lineRule="exact"/>
              <w:rPr>
                <w:szCs w:val="22"/>
              </w:rPr>
            </w:pPr>
            <w:r w:rsidRPr="0063119B">
              <w:rPr>
                <w:szCs w:val="22"/>
              </w:rPr>
              <w:t>(&lt;0,1%)</w:t>
            </w:r>
          </w:p>
        </w:tc>
      </w:tr>
      <w:tr w:rsidR="00337111" w:rsidRPr="0063119B" w14:paraId="15B2A760" w14:textId="77777777" w:rsidTr="0044301C">
        <w:tc>
          <w:tcPr>
            <w:tcW w:w="3360" w:type="dxa"/>
          </w:tcPr>
          <w:p w14:paraId="49CAEA23" w14:textId="77777777" w:rsidR="00337111" w:rsidRPr="0063119B" w:rsidRDefault="00337111" w:rsidP="001F10F8">
            <w:pPr>
              <w:keepNext/>
              <w:keepLines/>
              <w:spacing w:line="260" w:lineRule="exact"/>
              <w:ind w:left="284" w:hanging="284"/>
              <w:rPr>
                <w:szCs w:val="22"/>
              </w:rPr>
            </w:pPr>
            <w:r w:rsidRPr="0063119B">
              <w:rPr>
                <w:szCs w:val="22"/>
              </w:rPr>
              <w:t xml:space="preserve">     EP fatal/</w:t>
            </w:r>
            <w:r w:rsidR="002F4A3F" w:rsidRPr="0063119B">
              <w:rPr>
                <w:szCs w:val="22"/>
              </w:rPr>
              <w:t>m</w:t>
            </w:r>
            <w:r w:rsidRPr="0063119B">
              <w:rPr>
                <w:szCs w:val="22"/>
              </w:rPr>
              <w:t>orte na qual não se pode excluir EP</w:t>
            </w:r>
          </w:p>
        </w:tc>
        <w:tc>
          <w:tcPr>
            <w:tcW w:w="3120" w:type="dxa"/>
          </w:tcPr>
          <w:p w14:paraId="088528F2" w14:textId="77777777" w:rsidR="00337111" w:rsidRPr="0063119B" w:rsidRDefault="00337111" w:rsidP="001F10F8">
            <w:pPr>
              <w:keepNext/>
              <w:keepLines/>
              <w:spacing w:line="260" w:lineRule="exact"/>
              <w:rPr>
                <w:szCs w:val="22"/>
              </w:rPr>
            </w:pPr>
            <w:r w:rsidRPr="0063119B">
              <w:rPr>
                <w:szCs w:val="22"/>
              </w:rPr>
              <w:t>15</w:t>
            </w:r>
            <w:r w:rsidRPr="0063119B">
              <w:rPr>
                <w:szCs w:val="22"/>
              </w:rPr>
              <w:br/>
              <w:t>(0,4%)</w:t>
            </w:r>
          </w:p>
        </w:tc>
        <w:tc>
          <w:tcPr>
            <w:tcW w:w="2880" w:type="dxa"/>
            <w:gridSpan w:val="2"/>
          </w:tcPr>
          <w:p w14:paraId="7780726D" w14:textId="77777777" w:rsidR="00337111" w:rsidRPr="0063119B" w:rsidRDefault="00337111" w:rsidP="001F10F8">
            <w:pPr>
              <w:keepNext/>
              <w:keepLines/>
              <w:spacing w:line="260" w:lineRule="exact"/>
              <w:rPr>
                <w:szCs w:val="22"/>
              </w:rPr>
            </w:pPr>
            <w:r w:rsidRPr="0063119B">
              <w:rPr>
                <w:szCs w:val="22"/>
              </w:rPr>
              <w:t>13</w:t>
            </w:r>
            <w:r w:rsidRPr="0063119B">
              <w:rPr>
                <w:szCs w:val="22"/>
              </w:rPr>
              <w:br/>
              <w:t>(0,3%)</w:t>
            </w:r>
          </w:p>
        </w:tc>
      </w:tr>
      <w:tr w:rsidR="00337111" w:rsidRPr="0063119B" w14:paraId="6D0884F6" w14:textId="77777777" w:rsidTr="0044301C">
        <w:tc>
          <w:tcPr>
            <w:tcW w:w="3360" w:type="dxa"/>
          </w:tcPr>
          <w:p w14:paraId="01CBD762" w14:textId="77777777" w:rsidR="00337111" w:rsidRPr="0063119B" w:rsidRDefault="00337111" w:rsidP="001F10F8">
            <w:pPr>
              <w:keepNext/>
              <w:keepLines/>
              <w:spacing w:line="260" w:lineRule="exact"/>
              <w:rPr>
                <w:szCs w:val="22"/>
              </w:rPr>
            </w:pPr>
            <w:r w:rsidRPr="0063119B">
              <w:rPr>
                <w:szCs w:val="22"/>
              </w:rPr>
              <w:t>Hemorragia principal ou não principal clinicamente relevante</w:t>
            </w:r>
          </w:p>
        </w:tc>
        <w:tc>
          <w:tcPr>
            <w:tcW w:w="3120" w:type="dxa"/>
          </w:tcPr>
          <w:p w14:paraId="04128559" w14:textId="77777777" w:rsidR="00337111" w:rsidRPr="0063119B" w:rsidRDefault="00337111" w:rsidP="001F10F8">
            <w:pPr>
              <w:keepNext/>
              <w:keepLines/>
              <w:spacing w:line="260" w:lineRule="exact"/>
              <w:rPr>
                <w:szCs w:val="22"/>
              </w:rPr>
            </w:pPr>
            <w:r w:rsidRPr="0063119B">
              <w:rPr>
                <w:szCs w:val="22"/>
              </w:rPr>
              <w:t>388</w:t>
            </w:r>
            <w:r w:rsidRPr="0063119B">
              <w:rPr>
                <w:szCs w:val="22"/>
              </w:rPr>
              <w:br/>
              <w:t>(9,4%)</w:t>
            </w:r>
          </w:p>
        </w:tc>
        <w:tc>
          <w:tcPr>
            <w:tcW w:w="2880" w:type="dxa"/>
            <w:gridSpan w:val="2"/>
          </w:tcPr>
          <w:p w14:paraId="55926A65" w14:textId="77777777" w:rsidR="00337111" w:rsidRPr="0063119B" w:rsidRDefault="00337111" w:rsidP="001F10F8">
            <w:pPr>
              <w:keepNext/>
              <w:keepLines/>
              <w:spacing w:line="260" w:lineRule="exact"/>
              <w:rPr>
                <w:szCs w:val="22"/>
              </w:rPr>
            </w:pPr>
            <w:r w:rsidRPr="0063119B">
              <w:rPr>
                <w:szCs w:val="22"/>
              </w:rPr>
              <w:t>412</w:t>
            </w:r>
            <w:r w:rsidRPr="0063119B">
              <w:rPr>
                <w:szCs w:val="22"/>
              </w:rPr>
              <w:br/>
              <w:t>(10,0%)</w:t>
            </w:r>
          </w:p>
        </w:tc>
      </w:tr>
      <w:tr w:rsidR="00337111" w:rsidRPr="0063119B" w14:paraId="4C26D456" w14:textId="77777777" w:rsidTr="0044301C">
        <w:tc>
          <w:tcPr>
            <w:tcW w:w="3360" w:type="dxa"/>
          </w:tcPr>
          <w:p w14:paraId="7AE1D1F1" w14:textId="77777777" w:rsidR="00337111" w:rsidRPr="0063119B" w:rsidRDefault="00337111" w:rsidP="001F10F8">
            <w:pPr>
              <w:keepNext/>
              <w:keepLines/>
              <w:spacing w:line="260" w:lineRule="exact"/>
              <w:rPr>
                <w:szCs w:val="22"/>
              </w:rPr>
            </w:pPr>
            <w:r w:rsidRPr="0063119B">
              <w:rPr>
                <w:szCs w:val="22"/>
              </w:rPr>
              <w:t>Acontecimentos hemorrágicos principais</w:t>
            </w:r>
          </w:p>
        </w:tc>
        <w:tc>
          <w:tcPr>
            <w:tcW w:w="3120" w:type="dxa"/>
          </w:tcPr>
          <w:p w14:paraId="443FFF10" w14:textId="77777777" w:rsidR="00337111" w:rsidRPr="0063119B" w:rsidRDefault="00337111" w:rsidP="001F10F8">
            <w:pPr>
              <w:keepNext/>
              <w:keepLines/>
              <w:spacing w:line="260" w:lineRule="exact"/>
              <w:rPr>
                <w:szCs w:val="22"/>
              </w:rPr>
            </w:pPr>
            <w:r w:rsidRPr="0063119B">
              <w:rPr>
                <w:szCs w:val="22"/>
              </w:rPr>
              <w:t>40</w:t>
            </w:r>
            <w:r w:rsidRPr="0063119B">
              <w:rPr>
                <w:szCs w:val="22"/>
              </w:rPr>
              <w:br/>
              <w:t>(1,0%)</w:t>
            </w:r>
          </w:p>
        </w:tc>
        <w:tc>
          <w:tcPr>
            <w:tcW w:w="2880" w:type="dxa"/>
            <w:gridSpan w:val="2"/>
          </w:tcPr>
          <w:p w14:paraId="6628F408" w14:textId="77777777" w:rsidR="00337111" w:rsidRPr="0063119B" w:rsidRDefault="00337111" w:rsidP="001F10F8">
            <w:pPr>
              <w:keepNext/>
              <w:keepLines/>
              <w:spacing w:line="260" w:lineRule="exact"/>
              <w:rPr>
                <w:szCs w:val="22"/>
              </w:rPr>
            </w:pPr>
            <w:r w:rsidRPr="0063119B">
              <w:rPr>
                <w:szCs w:val="22"/>
              </w:rPr>
              <w:t>72</w:t>
            </w:r>
            <w:r w:rsidRPr="0063119B">
              <w:rPr>
                <w:szCs w:val="22"/>
              </w:rPr>
              <w:br/>
              <w:t>(1,7%)</w:t>
            </w:r>
          </w:p>
        </w:tc>
      </w:tr>
      <w:tr w:rsidR="00337111" w:rsidRPr="0063119B" w14:paraId="08D70FE8" w14:textId="77777777" w:rsidTr="0044301C">
        <w:trPr>
          <w:gridAfter w:val="1"/>
          <w:wAfter w:w="230" w:type="dxa"/>
        </w:trPr>
        <w:tc>
          <w:tcPr>
            <w:tcW w:w="9200" w:type="dxa"/>
            <w:gridSpan w:val="3"/>
            <w:tcBorders>
              <w:top w:val="nil"/>
              <w:left w:val="nil"/>
              <w:bottom w:val="nil"/>
              <w:right w:val="nil"/>
            </w:tcBorders>
          </w:tcPr>
          <w:p w14:paraId="08ACC3A2" w14:textId="77777777" w:rsidR="00337111" w:rsidRPr="0063119B" w:rsidRDefault="00337111" w:rsidP="0044301C">
            <w:pPr>
              <w:tabs>
                <w:tab w:val="left" w:pos="567"/>
              </w:tabs>
              <w:rPr>
                <w:szCs w:val="22"/>
              </w:rPr>
            </w:pPr>
            <w:r w:rsidRPr="0063119B">
              <w:rPr>
                <w:szCs w:val="22"/>
              </w:rPr>
              <w:t>a)</w:t>
            </w:r>
            <w:r w:rsidRPr="0063119B">
              <w:rPr>
                <w:szCs w:val="22"/>
              </w:rPr>
              <w:tab/>
              <w:t>Rivaroxabano 15 mg duas vezes por dia durante 3 semanas seguido de 20 mg uma vez por dia</w:t>
            </w:r>
          </w:p>
          <w:p w14:paraId="66D9CFE7" w14:textId="77777777" w:rsidR="00337111" w:rsidRPr="0063119B" w:rsidRDefault="00337111" w:rsidP="0044301C">
            <w:pPr>
              <w:tabs>
                <w:tab w:val="left" w:pos="567"/>
              </w:tabs>
              <w:ind w:left="567" w:hanging="567"/>
              <w:rPr>
                <w:szCs w:val="22"/>
              </w:rPr>
            </w:pPr>
            <w:r w:rsidRPr="0063119B">
              <w:rPr>
                <w:szCs w:val="22"/>
              </w:rPr>
              <w:t>b)</w:t>
            </w:r>
            <w:r w:rsidRPr="0063119B">
              <w:rPr>
                <w:szCs w:val="22"/>
              </w:rPr>
              <w:tab/>
              <w:t>Enoxaparina durante pelo menos 5 dias, sobreposta com e seguida de AVK</w:t>
            </w:r>
          </w:p>
          <w:p w14:paraId="4D09B7A5" w14:textId="77777777" w:rsidR="00337111" w:rsidRPr="0063119B" w:rsidRDefault="00337111" w:rsidP="002F4A3F">
            <w:pPr>
              <w:tabs>
                <w:tab w:val="left" w:pos="567"/>
              </w:tabs>
              <w:ind w:left="567" w:hanging="567"/>
              <w:rPr>
                <w:vanish/>
                <w:szCs w:val="22"/>
              </w:rPr>
            </w:pPr>
            <w:r w:rsidRPr="0063119B">
              <w:rPr>
                <w:b/>
                <w:szCs w:val="22"/>
              </w:rPr>
              <w:t>*</w:t>
            </w:r>
            <w:r w:rsidRPr="0063119B">
              <w:rPr>
                <w:szCs w:val="22"/>
              </w:rPr>
              <w:tab/>
              <w:t xml:space="preserve">p &lt; 0,0001 (não inferioridade para uma </w:t>
            </w:r>
            <w:r w:rsidR="002F4A3F" w:rsidRPr="0063119B">
              <w:rPr>
                <w:szCs w:val="22"/>
              </w:rPr>
              <w:t>RR</w:t>
            </w:r>
            <w:r w:rsidRPr="0063119B">
              <w:rPr>
                <w:szCs w:val="22"/>
              </w:rPr>
              <w:t xml:space="preserve"> pré-especificada de 1,75); </w:t>
            </w:r>
            <w:r w:rsidR="002F4A3F" w:rsidRPr="0063119B">
              <w:rPr>
                <w:szCs w:val="22"/>
              </w:rPr>
              <w:t>RR</w:t>
            </w:r>
            <w:r w:rsidRPr="0063119B">
              <w:rPr>
                <w:szCs w:val="22"/>
              </w:rPr>
              <w:t>: 0,886 (0,661 </w:t>
            </w:r>
            <w:r w:rsidRPr="0063119B">
              <w:rPr>
                <w:szCs w:val="22"/>
              </w:rPr>
              <w:noBreakHyphen/>
              <w:t> 1,186)</w:t>
            </w:r>
          </w:p>
        </w:tc>
      </w:tr>
    </w:tbl>
    <w:p w14:paraId="3D89FE64" w14:textId="77777777" w:rsidR="00337111" w:rsidRPr="0063119B" w:rsidRDefault="00337111" w:rsidP="00337111">
      <w:pPr>
        <w:pStyle w:val="Default"/>
        <w:rPr>
          <w:color w:val="auto"/>
          <w:sz w:val="22"/>
          <w:szCs w:val="22"/>
          <w:lang w:val="pt-PT"/>
        </w:rPr>
      </w:pPr>
    </w:p>
    <w:p w14:paraId="71F10443" w14:textId="77777777" w:rsidR="00337111" w:rsidRPr="0063119B" w:rsidRDefault="00337111" w:rsidP="00337111">
      <w:pPr>
        <w:pStyle w:val="Default"/>
        <w:rPr>
          <w:color w:val="auto"/>
          <w:sz w:val="22"/>
          <w:szCs w:val="22"/>
          <w:lang w:val="pt-PT"/>
        </w:rPr>
      </w:pPr>
      <w:r w:rsidRPr="0063119B">
        <w:rPr>
          <w:color w:val="auto"/>
          <w:sz w:val="22"/>
          <w:szCs w:val="22"/>
          <w:lang w:val="pt-PT"/>
        </w:rPr>
        <w:t>O benefício clínico efetivo pré</w:t>
      </w:r>
      <w:r w:rsidRPr="0063119B">
        <w:rPr>
          <w:color w:val="auto"/>
          <w:sz w:val="22"/>
          <w:szCs w:val="22"/>
          <w:lang w:val="pt-PT"/>
        </w:rPr>
        <w:noBreakHyphen/>
        <w:t xml:space="preserve">especificado (objetivo primário da eficácia mais acontecimentos hemorrágicos principais) de uma análise agrupada foi notificado com uma </w:t>
      </w:r>
      <w:r w:rsidR="002F4A3F" w:rsidRPr="0063119B">
        <w:rPr>
          <w:color w:val="auto"/>
          <w:sz w:val="22"/>
          <w:szCs w:val="22"/>
          <w:lang w:val="pt-PT"/>
        </w:rPr>
        <w:t>RR</w:t>
      </w:r>
      <w:r w:rsidRPr="0063119B">
        <w:rPr>
          <w:color w:val="auto"/>
          <w:sz w:val="22"/>
          <w:szCs w:val="22"/>
          <w:lang w:val="pt-PT"/>
        </w:rPr>
        <w:t xml:space="preserve"> de 0,771 ((IC 95%: 0,614 </w:t>
      </w:r>
      <w:r w:rsidRPr="0063119B">
        <w:rPr>
          <w:color w:val="auto"/>
          <w:sz w:val="22"/>
          <w:szCs w:val="22"/>
          <w:lang w:val="pt-PT"/>
        </w:rPr>
        <w:noBreakHyphen/>
        <w:t xml:space="preserve"> 0,967), valor-p nominal com p</w:t>
      </w:r>
      <w:r w:rsidR="00BB08D0" w:rsidRPr="0063119B">
        <w:rPr>
          <w:color w:val="auto"/>
          <w:sz w:val="22"/>
          <w:szCs w:val="22"/>
          <w:lang w:val="pt-PT"/>
        </w:rPr>
        <w:t> </w:t>
      </w:r>
      <w:r w:rsidRPr="0063119B">
        <w:rPr>
          <w:color w:val="auto"/>
          <w:sz w:val="22"/>
          <w:szCs w:val="22"/>
          <w:lang w:val="pt-PT"/>
        </w:rPr>
        <w:t>=</w:t>
      </w:r>
      <w:r w:rsidR="00BB08D0" w:rsidRPr="0063119B">
        <w:rPr>
          <w:color w:val="auto"/>
          <w:sz w:val="22"/>
          <w:szCs w:val="22"/>
          <w:lang w:val="pt-PT"/>
        </w:rPr>
        <w:t> </w:t>
      </w:r>
      <w:r w:rsidRPr="0063119B">
        <w:rPr>
          <w:color w:val="auto"/>
          <w:sz w:val="22"/>
          <w:szCs w:val="22"/>
          <w:lang w:val="pt-PT"/>
        </w:rPr>
        <w:t>0,0244).</w:t>
      </w:r>
    </w:p>
    <w:p w14:paraId="463D788C" w14:textId="77777777" w:rsidR="00337111" w:rsidRPr="0063119B" w:rsidRDefault="00337111" w:rsidP="00337111">
      <w:pPr>
        <w:pStyle w:val="Default"/>
        <w:rPr>
          <w:color w:val="auto"/>
          <w:sz w:val="22"/>
          <w:szCs w:val="22"/>
          <w:lang w:val="pt-PT"/>
        </w:rPr>
      </w:pPr>
    </w:p>
    <w:p w14:paraId="3F467697" w14:textId="77777777" w:rsidR="00337111" w:rsidRPr="0063119B" w:rsidRDefault="00337111" w:rsidP="00337111">
      <w:pPr>
        <w:pStyle w:val="Default"/>
        <w:rPr>
          <w:iCs/>
          <w:color w:val="auto"/>
          <w:sz w:val="22"/>
          <w:szCs w:val="22"/>
          <w:lang w:val="pt-PT"/>
        </w:rPr>
      </w:pPr>
      <w:r w:rsidRPr="0063119B">
        <w:rPr>
          <w:color w:val="auto"/>
          <w:sz w:val="22"/>
          <w:szCs w:val="22"/>
          <w:lang w:val="pt-PT"/>
        </w:rPr>
        <w:t>No estudo Einstein Extension (ver Quadro </w:t>
      </w:r>
      <w:r w:rsidR="006358A9" w:rsidRPr="0063119B">
        <w:rPr>
          <w:color w:val="auto"/>
          <w:sz w:val="22"/>
          <w:szCs w:val="22"/>
          <w:lang w:val="pt-PT"/>
        </w:rPr>
        <w:t>9</w:t>
      </w:r>
      <w:r w:rsidRPr="0063119B">
        <w:rPr>
          <w:color w:val="auto"/>
          <w:sz w:val="22"/>
          <w:szCs w:val="22"/>
          <w:lang w:val="pt-PT"/>
        </w:rPr>
        <w:t xml:space="preserve">) o rivaroxabano foi superior ao placebo no que respeita aos objetivos primários e secundários da eficácia. </w:t>
      </w:r>
      <w:r w:rsidRPr="0063119B">
        <w:rPr>
          <w:iCs/>
          <w:color w:val="auto"/>
          <w:sz w:val="22"/>
          <w:szCs w:val="22"/>
          <w:lang w:val="pt-PT"/>
        </w:rPr>
        <w:t>Em relação ao objetivo primário de segurança (acontecimentos hemorrágicos principais) verificou</w:t>
      </w:r>
      <w:r w:rsidRPr="0063119B">
        <w:rPr>
          <w:iCs/>
          <w:color w:val="auto"/>
          <w:sz w:val="22"/>
          <w:szCs w:val="22"/>
          <w:lang w:val="pt-PT"/>
        </w:rPr>
        <w:noBreakHyphen/>
        <w:t>se uma taxa de incidência numericamente mais elevada não significativa em doentes tratados com 20 mg de rivaroxabano uma vez por dia em comparação com o placebo. O objetivo secundário de segurança (acontecimentos hemorrágicos principais ou não principais clinicamente relevantes) apresentou taxas mais elevadas em doentes tratados com 20 mg de rivaroxabano uma vez por dia em comparação com o placebo.</w:t>
      </w:r>
    </w:p>
    <w:p w14:paraId="0D404FA2" w14:textId="77777777" w:rsidR="00337111" w:rsidRPr="0063119B" w:rsidRDefault="00337111" w:rsidP="00337111">
      <w:pPr>
        <w:pStyle w:val="Default"/>
        <w:rPr>
          <w:color w:val="auto"/>
          <w:sz w:val="22"/>
          <w:szCs w:val="22"/>
          <w:lang w:val="pt-PT"/>
        </w:rPr>
      </w:pPr>
    </w:p>
    <w:p w14:paraId="773BA5FB" w14:textId="77777777" w:rsidR="00337111" w:rsidRPr="0063119B" w:rsidRDefault="00337111" w:rsidP="001F10F8">
      <w:pPr>
        <w:keepNext/>
        <w:keepLines/>
        <w:rPr>
          <w:vanish/>
          <w:szCs w:val="22"/>
        </w:rPr>
      </w:pPr>
      <w:r w:rsidRPr="0063119B">
        <w:rPr>
          <w:b/>
          <w:szCs w:val="22"/>
        </w:rPr>
        <w:lastRenderedPageBreak/>
        <w:t>Quadro </w:t>
      </w:r>
      <w:r w:rsidR="006358A9" w:rsidRPr="0063119B">
        <w:rPr>
          <w:b/>
          <w:szCs w:val="22"/>
        </w:rPr>
        <w:t>9</w:t>
      </w:r>
      <w:r w:rsidRPr="0063119B">
        <w:rPr>
          <w:b/>
          <w:szCs w:val="22"/>
        </w:rPr>
        <w:t>: Resultados de eficácia e segurança do estudo de fase III Einstein Extension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842"/>
      </w:tblGrid>
      <w:tr w:rsidR="00337111" w:rsidRPr="0063119B" w14:paraId="52C68A5E" w14:textId="77777777" w:rsidTr="00DA6697">
        <w:tc>
          <w:tcPr>
            <w:tcW w:w="3360" w:type="dxa"/>
          </w:tcPr>
          <w:p w14:paraId="465B8DDD" w14:textId="77777777" w:rsidR="00337111" w:rsidRPr="001B6FEC" w:rsidRDefault="00337111" w:rsidP="001F10F8">
            <w:pPr>
              <w:keepNext/>
              <w:keepLines/>
              <w:spacing w:line="260" w:lineRule="exact"/>
              <w:rPr>
                <w:b/>
                <w:bCs/>
                <w:szCs w:val="22"/>
              </w:rPr>
            </w:pPr>
            <w:r w:rsidRPr="001B6FEC">
              <w:rPr>
                <w:b/>
                <w:bCs/>
                <w:szCs w:val="22"/>
              </w:rPr>
              <w:t>População do estudo</w:t>
            </w:r>
          </w:p>
        </w:tc>
        <w:tc>
          <w:tcPr>
            <w:tcW w:w="5962" w:type="dxa"/>
            <w:gridSpan w:val="2"/>
          </w:tcPr>
          <w:p w14:paraId="415E1E8B" w14:textId="77777777" w:rsidR="00337111" w:rsidRPr="001B6FEC" w:rsidRDefault="00337111" w:rsidP="001F10F8">
            <w:pPr>
              <w:keepNext/>
              <w:keepLines/>
              <w:spacing w:line="260" w:lineRule="exact"/>
              <w:rPr>
                <w:b/>
                <w:bCs/>
                <w:iCs/>
                <w:szCs w:val="22"/>
              </w:rPr>
            </w:pPr>
            <w:r w:rsidRPr="001B6FEC">
              <w:rPr>
                <w:b/>
                <w:bCs/>
                <w:szCs w:val="22"/>
              </w:rPr>
              <w:t xml:space="preserve">1.197 doentes submetidos a tratamento continuado e prevenção </w:t>
            </w:r>
            <w:r w:rsidRPr="001B6FEC">
              <w:rPr>
                <w:b/>
                <w:bCs/>
                <w:iCs/>
                <w:szCs w:val="22"/>
              </w:rPr>
              <w:t>do tromboembolismo venoso recorrente</w:t>
            </w:r>
          </w:p>
        </w:tc>
      </w:tr>
      <w:tr w:rsidR="00337111" w:rsidRPr="0063119B" w14:paraId="2EE9FA25" w14:textId="77777777" w:rsidTr="00DA6697">
        <w:tc>
          <w:tcPr>
            <w:tcW w:w="3360" w:type="dxa"/>
            <w:vAlign w:val="center"/>
          </w:tcPr>
          <w:p w14:paraId="25B72A1E" w14:textId="77777777" w:rsidR="00337111" w:rsidRPr="001B6FEC" w:rsidRDefault="00337111" w:rsidP="001F10F8">
            <w:pPr>
              <w:keepNext/>
              <w:keepLines/>
              <w:spacing w:line="260" w:lineRule="exact"/>
              <w:rPr>
                <w:b/>
                <w:bCs/>
                <w:szCs w:val="22"/>
              </w:rPr>
            </w:pPr>
            <w:r w:rsidRPr="001B6FEC">
              <w:rPr>
                <w:b/>
                <w:bCs/>
                <w:szCs w:val="22"/>
              </w:rPr>
              <w:t>Doses e duração do tratamento</w:t>
            </w:r>
          </w:p>
        </w:tc>
        <w:tc>
          <w:tcPr>
            <w:tcW w:w="3120" w:type="dxa"/>
          </w:tcPr>
          <w:p w14:paraId="7ED77EF0" w14:textId="77777777" w:rsidR="00337111" w:rsidRPr="001B6FEC" w:rsidRDefault="001D6BDF" w:rsidP="001F10F8">
            <w:pPr>
              <w:keepNext/>
              <w:keepLines/>
              <w:spacing w:line="260" w:lineRule="exact"/>
              <w:rPr>
                <w:b/>
                <w:bCs/>
                <w:szCs w:val="22"/>
              </w:rPr>
            </w:pPr>
            <w:r w:rsidRPr="001B6FEC">
              <w:rPr>
                <w:b/>
                <w:bCs/>
                <w:szCs w:val="22"/>
              </w:rPr>
              <w:t>rivaroxabano</w:t>
            </w:r>
            <w:r w:rsidR="00337111" w:rsidRPr="001B6FEC">
              <w:rPr>
                <w:b/>
                <w:bCs/>
                <w:szCs w:val="22"/>
                <w:vertAlign w:val="superscript"/>
              </w:rPr>
              <w:t>a</w:t>
            </w:r>
            <w:r w:rsidR="00BD28EE" w:rsidRPr="001B6FEC">
              <w:rPr>
                <w:b/>
                <w:bCs/>
                <w:szCs w:val="22"/>
                <w:vertAlign w:val="superscript"/>
              </w:rPr>
              <w:t>)</w:t>
            </w:r>
            <w:r w:rsidR="00337111" w:rsidRPr="001B6FEC">
              <w:rPr>
                <w:b/>
                <w:bCs/>
                <w:szCs w:val="22"/>
              </w:rPr>
              <w:t xml:space="preserve"> </w:t>
            </w:r>
            <w:r w:rsidR="00337111" w:rsidRPr="001B6FEC">
              <w:rPr>
                <w:b/>
                <w:bCs/>
                <w:szCs w:val="22"/>
              </w:rPr>
              <w:br/>
              <w:t>6 ou 12 meses</w:t>
            </w:r>
          </w:p>
          <w:p w14:paraId="2C2DA650" w14:textId="77777777" w:rsidR="00337111" w:rsidRPr="001B6FEC" w:rsidRDefault="00337111" w:rsidP="001F10F8">
            <w:pPr>
              <w:keepNext/>
              <w:keepLines/>
              <w:spacing w:line="260" w:lineRule="exact"/>
              <w:rPr>
                <w:b/>
                <w:bCs/>
                <w:szCs w:val="22"/>
              </w:rPr>
            </w:pPr>
            <w:r w:rsidRPr="001B6FEC">
              <w:rPr>
                <w:b/>
                <w:bCs/>
                <w:szCs w:val="22"/>
              </w:rPr>
              <w:t>N=602</w:t>
            </w:r>
          </w:p>
        </w:tc>
        <w:tc>
          <w:tcPr>
            <w:tcW w:w="2842" w:type="dxa"/>
          </w:tcPr>
          <w:p w14:paraId="6E521EE8" w14:textId="77777777" w:rsidR="00337111" w:rsidRPr="001B6FEC" w:rsidRDefault="00337111" w:rsidP="001F10F8">
            <w:pPr>
              <w:keepNext/>
              <w:keepLines/>
              <w:spacing w:line="260" w:lineRule="exact"/>
              <w:rPr>
                <w:b/>
                <w:bCs/>
                <w:szCs w:val="22"/>
              </w:rPr>
            </w:pPr>
            <w:r w:rsidRPr="001B6FEC">
              <w:rPr>
                <w:b/>
                <w:bCs/>
                <w:szCs w:val="22"/>
              </w:rPr>
              <w:t>Placebo</w:t>
            </w:r>
            <w:r w:rsidRPr="001B6FEC">
              <w:rPr>
                <w:b/>
                <w:bCs/>
                <w:szCs w:val="22"/>
              </w:rPr>
              <w:br/>
              <w:t>6 ou 12 meses</w:t>
            </w:r>
          </w:p>
          <w:p w14:paraId="5F788DEF" w14:textId="77777777" w:rsidR="00337111" w:rsidRPr="001B6FEC" w:rsidRDefault="00337111" w:rsidP="001F10F8">
            <w:pPr>
              <w:keepNext/>
              <w:keepLines/>
              <w:spacing w:line="260" w:lineRule="exact"/>
              <w:rPr>
                <w:b/>
                <w:bCs/>
                <w:szCs w:val="22"/>
              </w:rPr>
            </w:pPr>
            <w:r w:rsidRPr="001B6FEC">
              <w:rPr>
                <w:b/>
                <w:bCs/>
                <w:szCs w:val="22"/>
              </w:rPr>
              <w:t>N=594</w:t>
            </w:r>
          </w:p>
        </w:tc>
      </w:tr>
      <w:tr w:rsidR="00337111" w:rsidRPr="0063119B" w14:paraId="069CF530" w14:textId="77777777" w:rsidTr="00DA6697">
        <w:tc>
          <w:tcPr>
            <w:tcW w:w="3360" w:type="dxa"/>
          </w:tcPr>
          <w:p w14:paraId="612E1BA1" w14:textId="77777777" w:rsidR="00337111" w:rsidRPr="0063119B" w:rsidRDefault="00337111" w:rsidP="001F10F8">
            <w:pPr>
              <w:keepNext/>
              <w:keepLines/>
              <w:spacing w:line="260" w:lineRule="exact"/>
              <w:rPr>
                <w:szCs w:val="22"/>
              </w:rPr>
            </w:pPr>
            <w:r w:rsidRPr="0063119B">
              <w:rPr>
                <w:szCs w:val="22"/>
              </w:rPr>
              <w:t>TEV sintomático recorrente*</w:t>
            </w:r>
          </w:p>
        </w:tc>
        <w:tc>
          <w:tcPr>
            <w:tcW w:w="3120" w:type="dxa"/>
          </w:tcPr>
          <w:p w14:paraId="40E6E68D" w14:textId="77777777" w:rsidR="00337111" w:rsidRPr="0063119B" w:rsidRDefault="00337111" w:rsidP="001F10F8">
            <w:pPr>
              <w:keepNext/>
              <w:keepLines/>
              <w:spacing w:line="260" w:lineRule="exact"/>
              <w:rPr>
                <w:szCs w:val="22"/>
              </w:rPr>
            </w:pPr>
            <w:r w:rsidRPr="0063119B">
              <w:rPr>
                <w:szCs w:val="22"/>
              </w:rPr>
              <w:t>8</w:t>
            </w:r>
            <w:r w:rsidRPr="0063119B">
              <w:rPr>
                <w:szCs w:val="22"/>
              </w:rPr>
              <w:br/>
              <w:t>(1,3%)</w:t>
            </w:r>
          </w:p>
        </w:tc>
        <w:tc>
          <w:tcPr>
            <w:tcW w:w="2842" w:type="dxa"/>
          </w:tcPr>
          <w:p w14:paraId="75277ABF" w14:textId="77777777" w:rsidR="00337111" w:rsidRPr="0063119B" w:rsidRDefault="00337111" w:rsidP="001F10F8">
            <w:pPr>
              <w:keepNext/>
              <w:keepLines/>
              <w:spacing w:line="260" w:lineRule="exact"/>
              <w:rPr>
                <w:szCs w:val="22"/>
              </w:rPr>
            </w:pPr>
            <w:r w:rsidRPr="0063119B">
              <w:rPr>
                <w:szCs w:val="22"/>
              </w:rPr>
              <w:t>42</w:t>
            </w:r>
            <w:r w:rsidRPr="0063119B">
              <w:rPr>
                <w:szCs w:val="22"/>
              </w:rPr>
              <w:br/>
              <w:t>(7,1%)</w:t>
            </w:r>
          </w:p>
        </w:tc>
      </w:tr>
      <w:tr w:rsidR="00337111" w:rsidRPr="0063119B" w14:paraId="137DFDE5" w14:textId="77777777" w:rsidTr="00DA6697">
        <w:tc>
          <w:tcPr>
            <w:tcW w:w="3360" w:type="dxa"/>
          </w:tcPr>
          <w:p w14:paraId="4E76F965" w14:textId="77777777" w:rsidR="00337111" w:rsidRPr="0063119B" w:rsidRDefault="00337111" w:rsidP="001F10F8">
            <w:pPr>
              <w:keepNext/>
              <w:keepLines/>
              <w:spacing w:line="260" w:lineRule="exact"/>
              <w:rPr>
                <w:szCs w:val="22"/>
              </w:rPr>
            </w:pPr>
            <w:r w:rsidRPr="0063119B">
              <w:rPr>
                <w:szCs w:val="22"/>
              </w:rPr>
              <w:t xml:space="preserve">      EP sintomático recorrente</w:t>
            </w:r>
          </w:p>
        </w:tc>
        <w:tc>
          <w:tcPr>
            <w:tcW w:w="3120" w:type="dxa"/>
          </w:tcPr>
          <w:p w14:paraId="454A720E" w14:textId="77777777" w:rsidR="00337111" w:rsidRPr="0063119B" w:rsidRDefault="00337111" w:rsidP="001F10F8">
            <w:pPr>
              <w:keepNext/>
              <w:keepLines/>
              <w:spacing w:line="260" w:lineRule="exact"/>
              <w:rPr>
                <w:szCs w:val="22"/>
              </w:rPr>
            </w:pPr>
            <w:r w:rsidRPr="0063119B">
              <w:rPr>
                <w:szCs w:val="22"/>
              </w:rPr>
              <w:t>2</w:t>
            </w:r>
            <w:r w:rsidRPr="0063119B">
              <w:rPr>
                <w:szCs w:val="22"/>
              </w:rPr>
              <w:br/>
              <w:t>(0,3%)</w:t>
            </w:r>
          </w:p>
        </w:tc>
        <w:tc>
          <w:tcPr>
            <w:tcW w:w="2842" w:type="dxa"/>
          </w:tcPr>
          <w:p w14:paraId="54065F2C" w14:textId="77777777" w:rsidR="00337111" w:rsidRPr="0063119B" w:rsidRDefault="00337111" w:rsidP="001F10F8">
            <w:pPr>
              <w:keepNext/>
              <w:keepLines/>
              <w:spacing w:line="260" w:lineRule="exact"/>
              <w:rPr>
                <w:szCs w:val="22"/>
              </w:rPr>
            </w:pPr>
            <w:r w:rsidRPr="0063119B">
              <w:rPr>
                <w:szCs w:val="22"/>
              </w:rPr>
              <w:t>13</w:t>
            </w:r>
            <w:r w:rsidRPr="0063119B">
              <w:rPr>
                <w:szCs w:val="22"/>
              </w:rPr>
              <w:br/>
              <w:t>(2,2%)</w:t>
            </w:r>
          </w:p>
        </w:tc>
      </w:tr>
      <w:tr w:rsidR="00337111" w:rsidRPr="0063119B" w14:paraId="258FDF9C" w14:textId="77777777" w:rsidTr="00DA6697">
        <w:tc>
          <w:tcPr>
            <w:tcW w:w="3360" w:type="dxa"/>
          </w:tcPr>
          <w:p w14:paraId="6381E4AD" w14:textId="77777777" w:rsidR="00337111" w:rsidRPr="0063119B" w:rsidRDefault="00337111" w:rsidP="001F10F8">
            <w:pPr>
              <w:keepNext/>
              <w:keepLines/>
              <w:spacing w:line="260" w:lineRule="exact"/>
              <w:rPr>
                <w:szCs w:val="22"/>
              </w:rPr>
            </w:pPr>
            <w:r w:rsidRPr="0063119B">
              <w:rPr>
                <w:szCs w:val="22"/>
              </w:rPr>
              <w:t xml:space="preserve">     TVP sintomática recorrente</w:t>
            </w:r>
          </w:p>
        </w:tc>
        <w:tc>
          <w:tcPr>
            <w:tcW w:w="3120" w:type="dxa"/>
          </w:tcPr>
          <w:p w14:paraId="092E9A51" w14:textId="77777777" w:rsidR="00337111" w:rsidRPr="0063119B" w:rsidRDefault="00337111" w:rsidP="001F10F8">
            <w:pPr>
              <w:keepNext/>
              <w:keepLines/>
              <w:spacing w:line="260" w:lineRule="exact"/>
              <w:rPr>
                <w:szCs w:val="22"/>
              </w:rPr>
            </w:pPr>
            <w:r w:rsidRPr="0063119B">
              <w:rPr>
                <w:szCs w:val="22"/>
              </w:rPr>
              <w:t>5</w:t>
            </w:r>
            <w:r w:rsidRPr="0063119B">
              <w:rPr>
                <w:szCs w:val="22"/>
              </w:rPr>
              <w:br/>
              <w:t>(0,8%)</w:t>
            </w:r>
          </w:p>
        </w:tc>
        <w:tc>
          <w:tcPr>
            <w:tcW w:w="2842" w:type="dxa"/>
          </w:tcPr>
          <w:p w14:paraId="5BE2C441" w14:textId="77777777" w:rsidR="00337111" w:rsidRPr="0063119B" w:rsidRDefault="00337111" w:rsidP="001F10F8">
            <w:pPr>
              <w:keepNext/>
              <w:keepLines/>
              <w:spacing w:line="260" w:lineRule="exact"/>
              <w:rPr>
                <w:szCs w:val="22"/>
              </w:rPr>
            </w:pPr>
            <w:r w:rsidRPr="0063119B">
              <w:rPr>
                <w:szCs w:val="22"/>
              </w:rPr>
              <w:t>31</w:t>
            </w:r>
            <w:r w:rsidRPr="0063119B">
              <w:rPr>
                <w:szCs w:val="22"/>
              </w:rPr>
              <w:br/>
              <w:t>(5,2%)</w:t>
            </w:r>
          </w:p>
        </w:tc>
      </w:tr>
      <w:tr w:rsidR="00337111" w:rsidRPr="0063119B" w14:paraId="12848585" w14:textId="77777777" w:rsidTr="00DA6697">
        <w:tc>
          <w:tcPr>
            <w:tcW w:w="3360" w:type="dxa"/>
          </w:tcPr>
          <w:p w14:paraId="1B823007" w14:textId="77777777" w:rsidR="00337111" w:rsidRPr="0063119B" w:rsidRDefault="00337111" w:rsidP="001F10F8">
            <w:pPr>
              <w:keepNext/>
              <w:keepLines/>
              <w:spacing w:line="260" w:lineRule="exact"/>
              <w:ind w:left="284" w:hanging="284"/>
              <w:rPr>
                <w:szCs w:val="22"/>
              </w:rPr>
            </w:pPr>
            <w:r w:rsidRPr="0063119B">
              <w:rPr>
                <w:szCs w:val="22"/>
              </w:rPr>
              <w:t xml:space="preserve">     EP fatal/</w:t>
            </w:r>
            <w:r w:rsidR="002F4A3F" w:rsidRPr="0063119B">
              <w:rPr>
                <w:szCs w:val="22"/>
              </w:rPr>
              <w:t>m</w:t>
            </w:r>
            <w:r w:rsidRPr="0063119B">
              <w:rPr>
                <w:szCs w:val="22"/>
              </w:rPr>
              <w:t>orte na qual não se pode excluir EP</w:t>
            </w:r>
          </w:p>
        </w:tc>
        <w:tc>
          <w:tcPr>
            <w:tcW w:w="3120" w:type="dxa"/>
          </w:tcPr>
          <w:p w14:paraId="6C79338A" w14:textId="77777777" w:rsidR="00337111" w:rsidRPr="0063119B" w:rsidRDefault="00337111" w:rsidP="001F10F8">
            <w:pPr>
              <w:keepNext/>
              <w:keepLines/>
              <w:spacing w:line="260" w:lineRule="exact"/>
              <w:rPr>
                <w:szCs w:val="22"/>
              </w:rPr>
            </w:pPr>
            <w:r w:rsidRPr="0063119B">
              <w:rPr>
                <w:szCs w:val="22"/>
              </w:rPr>
              <w:t>1</w:t>
            </w:r>
          </w:p>
          <w:p w14:paraId="00BB1B6A" w14:textId="77777777" w:rsidR="00337111" w:rsidRPr="0063119B" w:rsidRDefault="00337111" w:rsidP="001F10F8">
            <w:pPr>
              <w:keepNext/>
              <w:keepLines/>
              <w:spacing w:line="260" w:lineRule="exact"/>
              <w:rPr>
                <w:szCs w:val="22"/>
              </w:rPr>
            </w:pPr>
            <w:r w:rsidRPr="0063119B">
              <w:rPr>
                <w:szCs w:val="22"/>
              </w:rPr>
              <w:t>(0,2%)</w:t>
            </w:r>
          </w:p>
        </w:tc>
        <w:tc>
          <w:tcPr>
            <w:tcW w:w="2842" w:type="dxa"/>
          </w:tcPr>
          <w:p w14:paraId="251762BD" w14:textId="77777777" w:rsidR="00337111" w:rsidRPr="0063119B" w:rsidRDefault="00337111" w:rsidP="001F10F8">
            <w:pPr>
              <w:keepNext/>
              <w:keepLines/>
              <w:spacing w:line="260" w:lineRule="exact"/>
              <w:rPr>
                <w:szCs w:val="22"/>
              </w:rPr>
            </w:pPr>
            <w:r w:rsidRPr="0063119B">
              <w:rPr>
                <w:szCs w:val="22"/>
              </w:rPr>
              <w:t>1</w:t>
            </w:r>
          </w:p>
          <w:p w14:paraId="0D33AD1A" w14:textId="77777777" w:rsidR="00337111" w:rsidRPr="0063119B" w:rsidRDefault="00337111" w:rsidP="001F10F8">
            <w:pPr>
              <w:keepNext/>
              <w:keepLines/>
              <w:spacing w:line="260" w:lineRule="exact"/>
              <w:rPr>
                <w:szCs w:val="22"/>
              </w:rPr>
            </w:pPr>
            <w:r w:rsidRPr="0063119B">
              <w:rPr>
                <w:szCs w:val="22"/>
              </w:rPr>
              <w:t>(0,2%)</w:t>
            </w:r>
          </w:p>
        </w:tc>
      </w:tr>
      <w:tr w:rsidR="00337111" w:rsidRPr="0063119B" w14:paraId="21174EDE" w14:textId="77777777" w:rsidTr="00DA6697">
        <w:tc>
          <w:tcPr>
            <w:tcW w:w="3360" w:type="dxa"/>
          </w:tcPr>
          <w:p w14:paraId="0102EA97" w14:textId="77777777" w:rsidR="00337111" w:rsidRPr="0063119B" w:rsidRDefault="00337111" w:rsidP="001F10F8">
            <w:pPr>
              <w:keepNext/>
              <w:keepLines/>
              <w:spacing w:line="260" w:lineRule="exact"/>
              <w:rPr>
                <w:szCs w:val="22"/>
              </w:rPr>
            </w:pPr>
            <w:r w:rsidRPr="0063119B">
              <w:rPr>
                <w:szCs w:val="22"/>
              </w:rPr>
              <w:t>Acontecimentos hemorrágicos principais</w:t>
            </w:r>
          </w:p>
        </w:tc>
        <w:tc>
          <w:tcPr>
            <w:tcW w:w="3120" w:type="dxa"/>
          </w:tcPr>
          <w:p w14:paraId="67EE6594" w14:textId="77777777" w:rsidR="00337111" w:rsidRPr="0063119B" w:rsidRDefault="00337111" w:rsidP="001F10F8">
            <w:pPr>
              <w:keepNext/>
              <w:keepLines/>
              <w:spacing w:line="260" w:lineRule="exact"/>
              <w:rPr>
                <w:szCs w:val="22"/>
              </w:rPr>
            </w:pPr>
            <w:r w:rsidRPr="0063119B">
              <w:rPr>
                <w:szCs w:val="22"/>
              </w:rPr>
              <w:t>4</w:t>
            </w:r>
            <w:r w:rsidRPr="0063119B">
              <w:rPr>
                <w:szCs w:val="22"/>
              </w:rPr>
              <w:br/>
              <w:t>(0,7%)</w:t>
            </w:r>
          </w:p>
        </w:tc>
        <w:tc>
          <w:tcPr>
            <w:tcW w:w="2842" w:type="dxa"/>
          </w:tcPr>
          <w:p w14:paraId="3FBBC23C" w14:textId="77777777" w:rsidR="00337111" w:rsidRPr="0063119B" w:rsidRDefault="00337111" w:rsidP="001F10F8">
            <w:pPr>
              <w:keepNext/>
              <w:keepLines/>
              <w:spacing w:line="260" w:lineRule="exact"/>
              <w:rPr>
                <w:szCs w:val="22"/>
              </w:rPr>
            </w:pPr>
            <w:r w:rsidRPr="0063119B">
              <w:rPr>
                <w:szCs w:val="22"/>
              </w:rPr>
              <w:t>0</w:t>
            </w:r>
            <w:r w:rsidRPr="0063119B">
              <w:rPr>
                <w:szCs w:val="22"/>
              </w:rPr>
              <w:br/>
              <w:t>(0,0%)</w:t>
            </w:r>
          </w:p>
        </w:tc>
      </w:tr>
      <w:tr w:rsidR="00337111" w:rsidRPr="0063119B" w14:paraId="5ED7691E" w14:textId="77777777" w:rsidTr="00DA6697">
        <w:tc>
          <w:tcPr>
            <w:tcW w:w="3360" w:type="dxa"/>
          </w:tcPr>
          <w:p w14:paraId="163950AD" w14:textId="77777777" w:rsidR="00337111" w:rsidRPr="0063119B" w:rsidRDefault="00337111" w:rsidP="0044301C">
            <w:pPr>
              <w:spacing w:line="260" w:lineRule="exact"/>
              <w:rPr>
                <w:szCs w:val="22"/>
              </w:rPr>
            </w:pPr>
            <w:r w:rsidRPr="0063119B">
              <w:rPr>
                <w:szCs w:val="22"/>
              </w:rPr>
              <w:t>Hemorragia principal ou não principal clinicamente relevante</w:t>
            </w:r>
          </w:p>
        </w:tc>
        <w:tc>
          <w:tcPr>
            <w:tcW w:w="3120" w:type="dxa"/>
          </w:tcPr>
          <w:p w14:paraId="2FD8AEE7" w14:textId="77777777" w:rsidR="00337111" w:rsidRPr="0063119B" w:rsidRDefault="00337111" w:rsidP="0044301C">
            <w:pPr>
              <w:spacing w:line="260" w:lineRule="exact"/>
              <w:rPr>
                <w:szCs w:val="22"/>
              </w:rPr>
            </w:pPr>
            <w:r w:rsidRPr="0063119B">
              <w:rPr>
                <w:szCs w:val="22"/>
              </w:rPr>
              <w:t>32</w:t>
            </w:r>
            <w:r w:rsidRPr="0063119B">
              <w:rPr>
                <w:szCs w:val="22"/>
              </w:rPr>
              <w:br/>
              <w:t>(5,4%)</w:t>
            </w:r>
          </w:p>
        </w:tc>
        <w:tc>
          <w:tcPr>
            <w:tcW w:w="2842" w:type="dxa"/>
          </w:tcPr>
          <w:p w14:paraId="26BA9449" w14:textId="77777777" w:rsidR="00337111" w:rsidRPr="0063119B" w:rsidRDefault="00337111" w:rsidP="0044301C">
            <w:pPr>
              <w:spacing w:line="260" w:lineRule="exact"/>
              <w:rPr>
                <w:szCs w:val="22"/>
              </w:rPr>
            </w:pPr>
            <w:r w:rsidRPr="0063119B">
              <w:rPr>
                <w:szCs w:val="22"/>
              </w:rPr>
              <w:t>7</w:t>
            </w:r>
            <w:r w:rsidRPr="0063119B">
              <w:rPr>
                <w:szCs w:val="22"/>
              </w:rPr>
              <w:br/>
              <w:t>(1,2%)</w:t>
            </w:r>
          </w:p>
        </w:tc>
      </w:tr>
      <w:tr w:rsidR="001F10F8" w:rsidRPr="0063119B" w14:paraId="07766BAE" w14:textId="77777777" w:rsidTr="00DA6697">
        <w:tc>
          <w:tcPr>
            <w:tcW w:w="9322" w:type="dxa"/>
            <w:gridSpan w:val="3"/>
            <w:tcBorders>
              <w:top w:val="nil"/>
              <w:left w:val="nil"/>
              <w:bottom w:val="nil"/>
              <w:right w:val="nil"/>
            </w:tcBorders>
          </w:tcPr>
          <w:p w14:paraId="08E8915F" w14:textId="77777777" w:rsidR="00337111" w:rsidRPr="0063119B" w:rsidRDefault="00337111" w:rsidP="0044301C">
            <w:pPr>
              <w:tabs>
                <w:tab w:val="left" w:pos="567"/>
              </w:tabs>
              <w:rPr>
                <w:szCs w:val="22"/>
              </w:rPr>
            </w:pPr>
            <w:r w:rsidRPr="0063119B">
              <w:rPr>
                <w:szCs w:val="22"/>
              </w:rPr>
              <w:t>a)</w:t>
            </w:r>
            <w:r w:rsidRPr="0063119B">
              <w:rPr>
                <w:szCs w:val="22"/>
              </w:rPr>
              <w:tab/>
              <w:t>Rivaroxabano 20 mg uma vez por dia</w:t>
            </w:r>
          </w:p>
          <w:p w14:paraId="5D1DAB72" w14:textId="77777777" w:rsidR="00337111" w:rsidRPr="0063119B" w:rsidRDefault="00337111" w:rsidP="0044301C">
            <w:pPr>
              <w:tabs>
                <w:tab w:val="left" w:pos="567"/>
              </w:tabs>
              <w:rPr>
                <w:szCs w:val="22"/>
              </w:rPr>
            </w:pPr>
            <w:r w:rsidRPr="0063119B">
              <w:rPr>
                <w:b/>
                <w:szCs w:val="22"/>
              </w:rPr>
              <w:t>*</w:t>
            </w:r>
            <w:r w:rsidRPr="0063119B">
              <w:rPr>
                <w:szCs w:val="22"/>
              </w:rPr>
              <w:tab/>
              <w:t xml:space="preserve">p &lt; 0,0001 (superioridade); </w:t>
            </w:r>
            <w:r w:rsidR="002F4A3F" w:rsidRPr="0063119B">
              <w:rPr>
                <w:szCs w:val="22"/>
              </w:rPr>
              <w:t>RR</w:t>
            </w:r>
            <w:r w:rsidRPr="0063119B">
              <w:rPr>
                <w:szCs w:val="22"/>
              </w:rPr>
              <w:t>: 0,185 (0,087 </w:t>
            </w:r>
            <w:r w:rsidRPr="0063119B">
              <w:rPr>
                <w:szCs w:val="22"/>
              </w:rPr>
              <w:noBreakHyphen/>
              <w:t> 0,393)</w:t>
            </w:r>
          </w:p>
          <w:p w14:paraId="56472E9F" w14:textId="77777777" w:rsidR="00E67357" w:rsidRPr="0063119B" w:rsidRDefault="00E67357" w:rsidP="00E67357">
            <w:pPr>
              <w:suppressAutoHyphens/>
              <w:rPr>
                <w:rFonts w:eastAsia="PMingLiU"/>
                <w:szCs w:val="22"/>
                <w:lang w:eastAsia="zh-TW"/>
              </w:rPr>
            </w:pPr>
          </w:p>
          <w:p w14:paraId="03D46D6C" w14:textId="77777777" w:rsidR="00FB7430" w:rsidRPr="0063119B" w:rsidRDefault="00E67357" w:rsidP="00DA6697">
            <w:pPr>
              <w:suppressAutoHyphens/>
              <w:rPr>
                <w:szCs w:val="22"/>
              </w:rPr>
            </w:pPr>
            <w:r w:rsidRPr="0063119B">
              <w:rPr>
                <w:rFonts w:eastAsia="PMingLiU"/>
                <w:szCs w:val="22"/>
                <w:lang w:eastAsia="zh-TW"/>
              </w:rPr>
              <w:t xml:space="preserve">No estudo Einstein Choice (ver Quadro 10), </w:t>
            </w:r>
            <w:r w:rsidR="001D6BDF" w:rsidRPr="0063119B">
              <w:rPr>
                <w:rFonts w:eastAsia="PMingLiU"/>
                <w:szCs w:val="22"/>
                <w:lang w:eastAsia="zh-TW"/>
              </w:rPr>
              <w:t>as doses de</w:t>
            </w:r>
            <w:r w:rsidRPr="0063119B">
              <w:rPr>
                <w:rFonts w:eastAsia="PMingLiU"/>
                <w:szCs w:val="22"/>
                <w:lang w:eastAsia="zh-TW"/>
              </w:rPr>
              <w:t xml:space="preserve"> 20 mg e 10 mg</w:t>
            </w:r>
            <w:r w:rsidR="001D6BDF" w:rsidRPr="0063119B">
              <w:rPr>
                <w:rFonts w:eastAsia="PMingLiU"/>
                <w:szCs w:val="22"/>
                <w:lang w:eastAsia="zh-TW"/>
              </w:rPr>
              <w:t xml:space="preserve"> de </w:t>
            </w:r>
            <w:r w:rsidR="001D6BDF" w:rsidRPr="0063119B">
              <w:rPr>
                <w:szCs w:val="22"/>
              </w:rPr>
              <w:t>rivaroxabano</w:t>
            </w:r>
            <w:r w:rsidRPr="0063119B">
              <w:rPr>
                <w:rFonts w:eastAsia="PMingLiU"/>
                <w:szCs w:val="22"/>
                <w:lang w:eastAsia="zh-TW"/>
              </w:rPr>
              <w:t xml:space="preserve"> foram amb</w:t>
            </w:r>
            <w:r w:rsidR="001D6BDF" w:rsidRPr="0063119B">
              <w:rPr>
                <w:rFonts w:eastAsia="PMingLiU"/>
                <w:szCs w:val="22"/>
                <w:lang w:eastAsia="zh-TW"/>
              </w:rPr>
              <w:t>a</w:t>
            </w:r>
            <w:r w:rsidRPr="0063119B">
              <w:rPr>
                <w:rFonts w:eastAsia="PMingLiU"/>
                <w:szCs w:val="22"/>
                <w:lang w:eastAsia="zh-TW"/>
              </w:rPr>
              <w:t>s superior</w:t>
            </w:r>
            <w:r w:rsidR="001D6BDF" w:rsidRPr="0063119B">
              <w:rPr>
                <w:rFonts w:eastAsia="PMingLiU"/>
                <w:szCs w:val="22"/>
                <w:lang w:eastAsia="zh-TW"/>
              </w:rPr>
              <w:t>es</w:t>
            </w:r>
            <w:r w:rsidRPr="0063119B">
              <w:rPr>
                <w:rFonts w:eastAsia="PMingLiU"/>
                <w:szCs w:val="22"/>
                <w:lang w:eastAsia="zh-TW"/>
              </w:rPr>
              <w:t xml:space="preserve"> aos 100 mg de ácido acetilsalicílico para o objetivo primário da eficácia. O objetivo principal da segurança (acontecimentos hemorrágicos </w:t>
            </w:r>
            <w:r w:rsidR="00417496" w:rsidRPr="0063119B">
              <w:rPr>
                <w:rFonts w:eastAsia="PMingLiU"/>
                <w:szCs w:val="22"/>
                <w:lang w:eastAsia="zh-TW"/>
              </w:rPr>
              <w:t>principai</w:t>
            </w:r>
            <w:r w:rsidR="00417496" w:rsidRPr="0063119B">
              <w:rPr>
                <w:rFonts w:eastAsia="PMingLiU"/>
                <w:i/>
                <w:szCs w:val="22"/>
                <w:lang w:eastAsia="zh-TW"/>
              </w:rPr>
              <w:t>s</w:t>
            </w:r>
            <w:r w:rsidRPr="0063119B">
              <w:rPr>
                <w:rFonts w:eastAsia="PMingLiU"/>
                <w:szCs w:val="22"/>
                <w:lang w:eastAsia="zh-TW"/>
              </w:rPr>
              <w:t xml:space="preserve">) foi semelhante para os doentes tratados com </w:t>
            </w:r>
            <w:r w:rsidR="001D6BDF" w:rsidRPr="0063119B">
              <w:rPr>
                <w:szCs w:val="22"/>
              </w:rPr>
              <w:t>rivaroxabano</w:t>
            </w:r>
            <w:r w:rsidR="001D6BDF" w:rsidRPr="0063119B">
              <w:rPr>
                <w:rFonts w:eastAsia="PMingLiU"/>
                <w:szCs w:val="22"/>
                <w:lang w:eastAsia="zh-TW"/>
              </w:rPr>
              <w:t xml:space="preserve"> nas doses de</w:t>
            </w:r>
            <w:r w:rsidRPr="0063119B">
              <w:rPr>
                <w:rFonts w:eastAsia="PMingLiU"/>
                <w:szCs w:val="22"/>
                <w:lang w:eastAsia="zh-TW"/>
              </w:rPr>
              <w:t xml:space="preserve"> 20 mg e 10 mg uma vez por dia, em comparação com 100 mg de ácido acetilsalicílico.</w:t>
            </w:r>
            <w:r w:rsidR="00C3132C" w:rsidRPr="0063119B">
              <w:rPr>
                <w:szCs w:val="22"/>
              </w:rPr>
              <w:t xml:space="preserve"> </w:t>
            </w:r>
          </w:p>
        </w:tc>
      </w:tr>
    </w:tbl>
    <w:p w14:paraId="650DA276" w14:textId="77777777" w:rsidR="0097178D" w:rsidRPr="0063119B" w:rsidRDefault="0097178D" w:rsidP="00337111">
      <w:pPr>
        <w:suppressAutoHyphens/>
        <w:rPr>
          <w:noProof/>
          <w:szCs w:val="22"/>
        </w:rPr>
      </w:pPr>
    </w:p>
    <w:tbl>
      <w:tblPr>
        <w:tblW w:w="9214" w:type="dxa"/>
        <w:tblInd w:w="108" w:type="dxa"/>
        <w:tblLayout w:type="fixed"/>
        <w:tblLook w:val="01E0" w:firstRow="1" w:lastRow="1" w:firstColumn="1" w:lastColumn="1" w:noHBand="0" w:noVBand="0"/>
      </w:tblPr>
      <w:tblGrid>
        <w:gridCol w:w="2767"/>
        <w:gridCol w:w="2185"/>
        <w:gridCol w:w="2069"/>
        <w:gridCol w:w="2193"/>
      </w:tblGrid>
      <w:tr w:rsidR="00DA6697" w:rsidRPr="0063119B" w14:paraId="495ACAC3" w14:textId="77777777" w:rsidTr="00DA6697">
        <w:tc>
          <w:tcPr>
            <w:tcW w:w="9214" w:type="dxa"/>
            <w:gridSpan w:val="4"/>
          </w:tcPr>
          <w:p w14:paraId="571E882B" w14:textId="77777777" w:rsidR="00DA6697" w:rsidRPr="0063119B" w:rsidRDefault="00DA6697" w:rsidP="00C7421C">
            <w:pPr>
              <w:pStyle w:val="Caption"/>
              <w:ind w:left="0"/>
              <w:jc w:val="both"/>
              <w:rPr>
                <w:szCs w:val="22"/>
                <w:lang w:val="pt-PT"/>
              </w:rPr>
            </w:pPr>
            <w:r w:rsidRPr="0063119B">
              <w:rPr>
                <w:szCs w:val="22"/>
                <w:lang w:val="pt-PT"/>
              </w:rPr>
              <w:lastRenderedPageBreak/>
              <w:t>Quadro 10: Resultados da eficácia e segurança do estudo de fase III Einstein Choice</w:t>
            </w:r>
          </w:p>
        </w:tc>
      </w:tr>
      <w:tr w:rsidR="00DA6697" w:rsidRPr="0063119B" w14:paraId="151E5BF8"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7" w:type="dxa"/>
            <w:vAlign w:val="center"/>
          </w:tcPr>
          <w:p w14:paraId="3B217F52" w14:textId="77777777" w:rsidR="00DA6697" w:rsidRPr="0063119B" w:rsidRDefault="00DA6697" w:rsidP="00DA6697">
            <w:pPr>
              <w:pStyle w:val="BayerTableColumnHeadings"/>
              <w:keepNext/>
              <w:ind w:left="34"/>
              <w:jc w:val="left"/>
              <w:rPr>
                <w:bCs/>
                <w:szCs w:val="22"/>
              </w:rPr>
            </w:pPr>
            <w:proofErr w:type="spellStart"/>
            <w:r w:rsidRPr="0063119B">
              <w:rPr>
                <w:bCs/>
                <w:szCs w:val="22"/>
              </w:rPr>
              <w:t>População</w:t>
            </w:r>
            <w:proofErr w:type="spellEnd"/>
            <w:r w:rsidRPr="0063119B">
              <w:rPr>
                <w:bCs/>
                <w:szCs w:val="22"/>
              </w:rPr>
              <w:t xml:space="preserve"> do </w:t>
            </w:r>
            <w:proofErr w:type="spellStart"/>
            <w:r w:rsidRPr="0063119B">
              <w:rPr>
                <w:bCs/>
                <w:szCs w:val="22"/>
              </w:rPr>
              <w:t>estudo</w:t>
            </w:r>
            <w:proofErr w:type="spellEnd"/>
          </w:p>
        </w:tc>
        <w:tc>
          <w:tcPr>
            <w:tcW w:w="6447" w:type="dxa"/>
            <w:gridSpan w:val="3"/>
          </w:tcPr>
          <w:p w14:paraId="0F1E3686" w14:textId="77777777" w:rsidR="00DA6697" w:rsidRPr="0063119B" w:rsidRDefault="00DA6697" w:rsidP="00C7421C">
            <w:pPr>
              <w:pStyle w:val="BayerTableColumnHeadings"/>
              <w:jc w:val="left"/>
              <w:rPr>
                <w:bCs/>
                <w:szCs w:val="22"/>
                <w:lang w:val="pt-PT"/>
              </w:rPr>
            </w:pPr>
            <w:r w:rsidRPr="0063119B">
              <w:rPr>
                <w:bCs/>
                <w:szCs w:val="22"/>
                <w:lang w:val="pt-PT"/>
              </w:rPr>
              <w:t xml:space="preserve">3.396 doentes continuaram a fazer </w:t>
            </w:r>
            <w:r w:rsidRPr="0063119B">
              <w:rPr>
                <w:bCs/>
                <w:iCs/>
                <w:szCs w:val="22"/>
                <w:lang w:val="pt-PT"/>
              </w:rPr>
              <w:t>prevenção do tromboembolismo venoso recorrente</w:t>
            </w:r>
          </w:p>
        </w:tc>
      </w:tr>
      <w:tr w:rsidR="00DA6697" w:rsidRPr="0063119B" w14:paraId="46E8AF13"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7" w:type="dxa"/>
            <w:vAlign w:val="center"/>
          </w:tcPr>
          <w:p w14:paraId="48BAEFCB" w14:textId="77777777" w:rsidR="00DA6697" w:rsidRPr="0063119B" w:rsidRDefault="00DA6697" w:rsidP="00C7421C">
            <w:pPr>
              <w:pStyle w:val="BayerTableRowHeadings"/>
              <w:spacing w:before="60" w:after="60"/>
              <w:ind w:left="34"/>
              <w:rPr>
                <w:b/>
                <w:bCs/>
                <w:szCs w:val="22"/>
              </w:rPr>
            </w:pPr>
            <w:r w:rsidRPr="0063119B">
              <w:rPr>
                <w:b/>
                <w:bCs/>
                <w:szCs w:val="22"/>
              </w:rPr>
              <w:t xml:space="preserve">Doses do </w:t>
            </w:r>
            <w:proofErr w:type="spellStart"/>
            <w:r w:rsidRPr="0063119B">
              <w:rPr>
                <w:b/>
                <w:bCs/>
                <w:szCs w:val="22"/>
              </w:rPr>
              <w:t>tratamento</w:t>
            </w:r>
            <w:proofErr w:type="spellEnd"/>
            <w:r w:rsidRPr="0063119B">
              <w:rPr>
                <w:b/>
                <w:bCs/>
                <w:szCs w:val="22"/>
              </w:rPr>
              <w:t xml:space="preserve"> </w:t>
            </w:r>
          </w:p>
        </w:tc>
        <w:tc>
          <w:tcPr>
            <w:tcW w:w="2185" w:type="dxa"/>
            <w:vAlign w:val="center"/>
          </w:tcPr>
          <w:p w14:paraId="468E0926" w14:textId="77777777" w:rsidR="00DA6697" w:rsidRPr="0063119B" w:rsidRDefault="001D6BDF" w:rsidP="00C7421C">
            <w:pPr>
              <w:pStyle w:val="BayerBodyTextFull"/>
              <w:keepNext/>
              <w:spacing w:before="60" w:after="60"/>
              <w:ind w:left="12"/>
              <w:rPr>
                <w:b/>
                <w:bCs/>
                <w:sz w:val="22"/>
                <w:szCs w:val="22"/>
                <w:lang w:val="pt-PT"/>
              </w:rPr>
            </w:pPr>
            <w:r w:rsidRPr="0063119B">
              <w:rPr>
                <w:b/>
                <w:bCs/>
                <w:sz w:val="22"/>
                <w:szCs w:val="22"/>
                <w:lang w:val="pt-PT"/>
              </w:rPr>
              <w:t>Rivaroxabano</w:t>
            </w:r>
            <w:r w:rsidR="00DA6697" w:rsidRPr="0063119B">
              <w:rPr>
                <w:b/>
                <w:bCs/>
                <w:sz w:val="22"/>
                <w:szCs w:val="22"/>
                <w:lang w:val="pt-PT"/>
              </w:rPr>
              <w:t xml:space="preserve"> 20 mg uma vez por dia</w:t>
            </w:r>
          </w:p>
          <w:p w14:paraId="5201DECE" w14:textId="77777777" w:rsidR="00DA6697" w:rsidRPr="0063119B" w:rsidRDefault="00DA6697" w:rsidP="00C7421C">
            <w:pPr>
              <w:pStyle w:val="BayerBodyTextFull"/>
              <w:keepNext/>
              <w:spacing w:before="60" w:after="60"/>
              <w:ind w:left="12"/>
              <w:rPr>
                <w:b/>
                <w:bCs/>
                <w:sz w:val="22"/>
                <w:szCs w:val="22"/>
              </w:rPr>
            </w:pPr>
            <w:r w:rsidRPr="0063119B">
              <w:rPr>
                <w:b/>
                <w:bCs/>
                <w:sz w:val="22"/>
                <w:szCs w:val="22"/>
              </w:rPr>
              <w:t>N=1.107</w:t>
            </w:r>
          </w:p>
        </w:tc>
        <w:tc>
          <w:tcPr>
            <w:tcW w:w="2069" w:type="dxa"/>
            <w:vAlign w:val="center"/>
          </w:tcPr>
          <w:p w14:paraId="2CCD632C" w14:textId="77777777" w:rsidR="00DA6697" w:rsidRPr="0063119B" w:rsidRDefault="001D6BDF" w:rsidP="00C7421C">
            <w:pPr>
              <w:pStyle w:val="BayerBodyTextFull"/>
              <w:keepNext/>
              <w:spacing w:before="60" w:after="60"/>
              <w:ind w:left="12"/>
              <w:rPr>
                <w:b/>
                <w:bCs/>
                <w:sz w:val="22"/>
                <w:szCs w:val="22"/>
                <w:lang w:val="pt-PT"/>
              </w:rPr>
            </w:pPr>
            <w:r w:rsidRPr="0063119B">
              <w:rPr>
                <w:b/>
                <w:bCs/>
                <w:sz w:val="22"/>
                <w:szCs w:val="22"/>
                <w:lang w:val="pt-PT"/>
              </w:rPr>
              <w:t>Rivaroxabano</w:t>
            </w:r>
            <w:r w:rsidR="00DA6697" w:rsidRPr="0063119B">
              <w:rPr>
                <w:b/>
                <w:bCs/>
                <w:sz w:val="22"/>
                <w:szCs w:val="22"/>
                <w:lang w:val="pt-PT"/>
              </w:rPr>
              <w:t xml:space="preserve"> 10 mg uma vez por dia</w:t>
            </w:r>
          </w:p>
          <w:p w14:paraId="5E625CC2" w14:textId="77777777" w:rsidR="00DA6697" w:rsidRPr="0063119B" w:rsidRDefault="00DA6697" w:rsidP="00C7421C">
            <w:pPr>
              <w:pStyle w:val="BayerBodyTextFull"/>
              <w:keepNext/>
              <w:spacing w:before="60" w:after="60"/>
              <w:ind w:left="12"/>
              <w:rPr>
                <w:b/>
                <w:bCs/>
                <w:sz w:val="22"/>
                <w:szCs w:val="22"/>
                <w:lang w:val="pt-PT"/>
              </w:rPr>
            </w:pPr>
            <w:r w:rsidRPr="0063119B">
              <w:rPr>
                <w:b/>
                <w:bCs/>
                <w:sz w:val="22"/>
                <w:szCs w:val="22"/>
                <w:lang w:val="pt-PT"/>
              </w:rPr>
              <w:t>N=1.127</w:t>
            </w:r>
          </w:p>
        </w:tc>
        <w:tc>
          <w:tcPr>
            <w:tcW w:w="2193" w:type="dxa"/>
            <w:vAlign w:val="center"/>
          </w:tcPr>
          <w:p w14:paraId="7E8D6D24" w14:textId="77777777" w:rsidR="00DA6697" w:rsidRPr="0063119B" w:rsidRDefault="00DA6697" w:rsidP="00C7421C">
            <w:pPr>
              <w:pStyle w:val="BayerBodyTextFull"/>
              <w:keepNext/>
              <w:spacing w:before="60" w:after="60"/>
              <w:ind w:left="12"/>
              <w:rPr>
                <w:b/>
                <w:bCs/>
                <w:sz w:val="22"/>
                <w:szCs w:val="22"/>
                <w:lang w:val="pt-PT"/>
              </w:rPr>
            </w:pPr>
            <w:r w:rsidRPr="0063119B">
              <w:rPr>
                <w:b/>
                <w:bCs/>
                <w:sz w:val="22"/>
                <w:szCs w:val="22"/>
                <w:lang w:val="pt-PT"/>
              </w:rPr>
              <w:t>AAS 100 mg uma vez por dia</w:t>
            </w:r>
          </w:p>
          <w:p w14:paraId="12A10926" w14:textId="77777777" w:rsidR="00DA6697" w:rsidRPr="0063119B" w:rsidRDefault="00DA6697" w:rsidP="00C7421C">
            <w:pPr>
              <w:pStyle w:val="BayerBodyTextFull"/>
              <w:keepNext/>
              <w:spacing w:before="60" w:after="60"/>
              <w:ind w:left="12"/>
              <w:rPr>
                <w:b/>
                <w:bCs/>
                <w:sz w:val="22"/>
                <w:szCs w:val="22"/>
                <w:lang w:val="pt-PT"/>
              </w:rPr>
            </w:pPr>
            <w:r w:rsidRPr="0063119B">
              <w:rPr>
                <w:b/>
                <w:bCs/>
                <w:sz w:val="22"/>
                <w:szCs w:val="22"/>
                <w:lang w:val="pt-PT"/>
              </w:rPr>
              <w:t>N=1.131</w:t>
            </w:r>
          </w:p>
        </w:tc>
      </w:tr>
      <w:tr w:rsidR="00DA6697" w:rsidRPr="0063119B" w14:paraId="7E4F33AB"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6791558D" w14:textId="77777777" w:rsidR="00DA6697" w:rsidRPr="0063119B" w:rsidRDefault="00DA6697" w:rsidP="00C7421C">
            <w:pPr>
              <w:pStyle w:val="BayerTableRowHeadings"/>
              <w:spacing w:before="60" w:after="60"/>
              <w:ind w:left="34"/>
              <w:rPr>
                <w:szCs w:val="22"/>
                <w:lang w:val="pt-PT"/>
              </w:rPr>
            </w:pPr>
            <w:r w:rsidRPr="0063119B">
              <w:rPr>
                <w:szCs w:val="22"/>
                <w:lang w:val="pt-PT"/>
              </w:rPr>
              <w:t>Duração mediana do tratamento [intervalo interquartil]</w:t>
            </w:r>
          </w:p>
        </w:tc>
        <w:tc>
          <w:tcPr>
            <w:tcW w:w="2185" w:type="dxa"/>
            <w:vAlign w:val="center"/>
          </w:tcPr>
          <w:p w14:paraId="4D8BE068" w14:textId="77777777" w:rsidR="00DA6697" w:rsidRPr="0063119B" w:rsidRDefault="00DA6697" w:rsidP="00C7421C">
            <w:pPr>
              <w:pStyle w:val="BayerBodyTextFull"/>
              <w:keepNext/>
              <w:spacing w:before="60" w:after="60"/>
              <w:ind w:left="12"/>
              <w:rPr>
                <w:sz w:val="22"/>
                <w:szCs w:val="22"/>
              </w:rPr>
            </w:pPr>
            <w:r w:rsidRPr="0063119B">
              <w:rPr>
                <w:sz w:val="22"/>
                <w:szCs w:val="22"/>
              </w:rPr>
              <w:t>349 [189-362] </w:t>
            </w:r>
            <w:proofErr w:type="spellStart"/>
            <w:r w:rsidRPr="0063119B">
              <w:rPr>
                <w:sz w:val="22"/>
                <w:szCs w:val="22"/>
              </w:rPr>
              <w:t>dias</w:t>
            </w:r>
            <w:proofErr w:type="spellEnd"/>
          </w:p>
        </w:tc>
        <w:tc>
          <w:tcPr>
            <w:tcW w:w="2069" w:type="dxa"/>
            <w:vAlign w:val="center"/>
          </w:tcPr>
          <w:p w14:paraId="0A2CDBFD" w14:textId="77777777" w:rsidR="00DA6697" w:rsidRPr="0063119B" w:rsidRDefault="00DA6697" w:rsidP="00C7421C">
            <w:pPr>
              <w:pStyle w:val="BayerBodyTextFull"/>
              <w:keepNext/>
              <w:spacing w:before="60" w:after="60"/>
              <w:ind w:left="12"/>
              <w:rPr>
                <w:sz w:val="22"/>
                <w:szCs w:val="22"/>
              </w:rPr>
            </w:pPr>
            <w:r w:rsidRPr="0063119B">
              <w:rPr>
                <w:sz w:val="22"/>
                <w:szCs w:val="22"/>
              </w:rPr>
              <w:t>353 [190-362] </w:t>
            </w:r>
            <w:proofErr w:type="spellStart"/>
            <w:r w:rsidRPr="0063119B">
              <w:rPr>
                <w:sz w:val="22"/>
                <w:szCs w:val="22"/>
              </w:rPr>
              <w:t>dias</w:t>
            </w:r>
            <w:proofErr w:type="spellEnd"/>
          </w:p>
        </w:tc>
        <w:tc>
          <w:tcPr>
            <w:tcW w:w="2193" w:type="dxa"/>
            <w:vAlign w:val="center"/>
          </w:tcPr>
          <w:p w14:paraId="76002318" w14:textId="77777777" w:rsidR="00DA6697" w:rsidRPr="0063119B" w:rsidRDefault="00DA6697" w:rsidP="00C7421C">
            <w:pPr>
              <w:pStyle w:val="BayerBodyTextFull"/>
              <w:keepNext/>
              <w:spacing w:before="60" w:after="60"/>
              <w:ind w:left="12"/>
              <w:rPr>
                <w:sz w:val="22"/>
                <w:szCs w:val="22"/>
              </w:rPr>
            </w:pPr>
            <w:r w:rsidRPr="0063119B">
              <w:rPr>
                <w:sz w:val="22"/>
                <w:szCs w:val="22"/>
              </w:rPr>
              <w:t>350 [186-362] </w:t>
            </w:r>
            <w:proofErr w:type="spellStart"/>
            <w:r w:rsidRPr="0063119B">
              <w:rPr>
                <w:sz w:val="22"/>
                <w:szCs w:val="22"/>
              </w:rPr>
              <w:t>dias</w:t>
            </w:r>
            <w:proofErr w:type="spellEnd"/>
          </w:p>
        </w:tc>
      </w:tr>
      <w:tr w:rsidR="00DA6697" w:rsidRPr="0063119B" w14:paraId="3BD7B9B4"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3F7E3350" w14:textId="77777777" w:rsidR="00DA6697" w:rsidRPr="0063119B" w:rsidRDefault="00DA6697" w:rsidP="00C7421C">
            <w:pPr>
              <w:pStyle w:val="BayerTableRowHeadings"/>
              <w:spacing w:before="60" w:after="60"/>
              <w:ind w:left="34"/>
              <w:rPr>
                <w:szCs w:val="22"/>
              </w:rPr>
            </w:pPr>
            <w:r w:rsidRPr="0063119B">
              <w:rPr>
                <w:szCs w:val="22"/>
              </w:rPr>
              <w:t xml:space="preserve">TEV </w:t>
            </w:r>
            <w:proofErr w:type="spellStart"/>
            <w:r w:rsidRPr="0063119B">
              <w:rPr>
                <w:szCs w:val="22"/>
              </w:rPr>
              <w:t>sintomático</w:t>
            </w:r>
            <w:proofErr w:type="spellEnd"/>
            <w:r w:rsidRPr="0063119B">
              <w:rPr>
                <w:szCs w:val="22"/>
              </w:rPr>
              <w:t xml:space="preserve"> </w:t>
            </w:r>
            <w:proofErr w:type="spellStart"/>
            <w:r w:rsidRPr="0063119B">
              <w:rPr>
                <w:szCs w:val="22"/>
              </w:rPr>
              <w:t>recorrente</w:t>
            </w:r>
            <w:proofErr w:type="spellEnd"/>
          </w:p>
        </w:tc>
        <w:tc>
          <w:tcPr>
            <w:tcW w:w="2185" w:type="dxa"/>
            <w:vAlign w:val="center"/>
          </w:tcPr>
          <w:p w14:paraId="67835834" w14:textId="77777777" w:rsidR="00DA6697" w:rsidRPr="0063119B" w:rsidRDefault="00DA6697" w:rsidP="00C7421C">
            <w:pPr>
              <w:pStyle w:val="BayerBodyTextFull"/>
              <w:keepNext/>
              <w:spacing w:before="60" w:after="60"/>
              <w:ind w:left="12"/>
              <w:rPr>
                <w:sz w:val="22"/>
                <w:szCs w:val="22"/>
              </w:rPr>
            </w:pPr>
            <w:r w:rsidRPr="0063119B">
              <w:rPr>
                <w:sz w:val="22"/>
                <w:szCs w:val="22"/>
              </w:rPr>
              <w:t>17</w:t>
            </w:r>
            <w:r w:rsidRPr="0063119B">
              <w:rPr>
                <w:sz w:val="22"/>
                <w:szCs w:val="22"/>
              </w:rPr>
              <w:br/>
              <w:t>(1,5</w:t>
            </w:r>
            <w:proofErr w:type="gramStart"/>
            <w:r w:rsidRPr="0063119B">
              <w:rPr>
                <w:sz w:val="22"/>
                <w:szCs w:val="22"/>
              </w:rPr>
              <w:t>%)*</w:t>
            </w:r>
            <w:proofErr w:type="gramEnd"/>
          </w:p>
        </w:tc>
        <w:tc>
          <w:tcPr>
            <w:tcW w:w="2069" w:type="dxa"/>
            <w:vAlign w:val="center"/>
          </w:tcPr>
          <w:p w14:paraId="34DBC26B" w14:textId="77777777" w:rsidR="00DA6697" w:rsidRPr="0063119B" w:rsidRDefault="00DA6697" w:rsidP="00C7421C">
            <w:pPr>
              <w:pStyle w:val="BayerBodyTextFull"/>
              <w:keepNext/>
              <w:spacing w:before="60" w:after="60"/>
              <w:ind w:left="12"/>
              <w:rPr>
                <w:sz w:val="22"/>
                <w:szCs w:val="22"/>
              </w:rPr>
            </w:pPr>
            <w:r w:rsidRPr="0063119B">
              <w:rPr>
                <w:sz w:val="22"/>
                <w:szCs w:val="22"/>
              </w:rPr>
              <w:t>13</w:t>
            </w:r>
            <w:r w:rsidRPr="0063119B">
              <w:rPr>
                <w:sz w:val="22"/>
                <w:szCs w:val="22"/>
              </w:rPr>
              <w:br/>
              <w:t>(1,2</w:t>
            </w:r>
            <w:proofErr w:type="gramStart"/>
            <w:r w:rsidRPr="0063119B">
              <w:rPr>
                <w:sz w:val="22"/>
                <w:szCs w:val="22"/>
              </w:rPr>
              <w:t>%)*</w:t>
            </w:r>
            <w:proofErr w:type="gramEnd"/>
            <w:r w:rsidRPr="0063119B">
              <w:rPr>
                <w:sz w:val="22"/>
                <w:szCs w:val="22"/>
              </w:rPr>
              <w:t>*</w:t>
            </w:r>
          </w:p>
        </w:tc>
        <w:tc>
          <w:tcPr>
            <w:tcW w:w="2193" w:type="dxa"/>
            <w:vAlign w:val="center"/>
          </w:tcPr>
          <w:p w14:paraId="6DBE628D" w14:textId="77777777" w:rsidR="00DA6697" w:rsidRPr="0063119B" w:rsidRDefault="00DA6697" w:rsidP="00C7421C">
            <w:pPr>
              <w:pStyle w:val="BayerBodyTextFull"/>
              <w:keepNext/>
              <w:spacing w:before="60" w:after="60"/>
              <w:ind w:left="12"/>
              <w:rPr>
                <w:sz w:val="22"/>
                <w:szCs w:val="22"/>
              </w:rPr>
            </w:pPr>
            <w:r w:rsidRPr="0063119B">
              <w:rPr>
                <w:sz w:val="22"/>
                <w:szCs w:val="22"/>
              </w:rPr>
              <w:t>50</w:t>
            </w:r>
            <w:r w:rsidRPr="0063119B">
              <w:rPr>
                <w:sz w:val="22"/>
                <w:szCs w:val="22"/>
              </w:rPr>
              <w:br/>
              <w:t>(4,4%)</w:t>
            </w:r>
          </w:p>
        </w:tc>
      </w:tr>
      <w:tr w:rsidR="00DA6697" w:rsidRPr="0063119B" w14:paraId="419E8211"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5DFBF93E" w14:textId="77777777" w:rsidR="00DA6697" w:rsidRPr="0063119B" w:rsidRDefault="00DA6697" w:rsidP="00C7421C">
            <w:pPr>
              <w:pStyle w:val="BayerTableRowHeadings"/>
              <w:tabs>
                <w:tab w:val="left" w:pos="372"/>
              </w:tabs>
              <w:spacing w:before="60" w:after="60"/>
              <w:ind w:left="318"/>
              <w:rPr>
                <w:szCs w:val="22"/>
              </w:rPr>
            </w:pPr>
            <w:r w:rsidRPr="0063119B">
              <w:rPr>
                <w:szCs w:val="22"/>
              </w:rPr>
              <w:t xml:space="preserve">EP </w:t>
            </w:r>
            <w:proofErr w:type="spellStart"/>
            <w:r w:rsidRPr="0063119B">
              <w:rPr>
                <w:szCs w:val="22"/>
              </w:rPr>
              <w:t>sintomático</w:t>
            </w:r>
            <w:proofErr w:type="spellEnd"/>
            <w:r w:rsidRPr="0063119B">
              <w:rPr>
                <w:szCs w:val="22"/>
              </w:rPr>
              <w:t xml:space="preserve"> </w:t>
            </w:r>
            <w:proofErr w:type="spellStart"/>
            <w:r w:rsidRPr="0063119B">
              <w:rPr>
                <w:szCs w:val="22"/>
              </w:rPr>
              <w:t>recorrente</w:t>
            </w:r>
            <w:proofErr w:type="spellEnd"/>
          </w:p>
        </w:tc>
        <w:tc>
          <w:tcPr>
            <w:tcW w:w="2185" w:type="dxa"/>
            <w:vAlign w:val="center"/>
          </w:tcPr>
          <w:p w14:paraId="2695AAF9" w14:textId="77777777" w:rsidR="00DA6697" w:rsidRPr="0063119B" w:rsidRDefault="00DA6697" w:rsidP="00C7421C">
            <w:pPr>
              <w:pStyle w:val="BayerBodyTextFull"/>
              <w:keepNext/>
              <w:spacing w:before="60" w:after="60"/>
              <w:ind w:left="12"/>
              <w:rPr>
                <w:sz w:val="22"/>
                <w:szCs w:val="22"/>
              </w:rPr>
            </w:pPr>
            <w:r w:rsidRPr="0063119B">
              <w:rPr>
                <w:sz w:val="22"/>
                <w:szCs w:val="22"/>
              </w:rPr>
              <w:t>6</w:t>
            </w:r>
            <w:r w:rsidRPr="0063119B">
              <w:rPr>
                <w:sz w:val="22"/>
                <w:szCs w:val="22"/>
              </w:rPr>
              <w:br/>
              <w:t>(0,5%)</w:t>
            </w:r>
          </w:p>
        </w:tc>
        <w:tc>
          <w:tcPr>
            <w:tcW w:w="2069" w:type="dxa"/>
            <w:vAlign w:val="center"/>
          </w:tcPr>
          <w:p w14:paraId="56CCD810" w14:textId="77777777" w:rsidR="00DA6697" w:rsidRPr="0063119B" w:rsidRDefault="00DA6697" w:rsidP="00C7421C">
            <w:pPr>
              <w:pStyle w:val="BayerBodyTextFull"/>
              <w:keepNext/>
              <w:spacing w:before="60" w:after="60"/>
              <w:ind w:left="12"/>
              <w:rPr>
                <w:sz w:val="22"/>
                <w:szCs w:val="22"/>
              </w:rPr>
            </w:pPr>
            <w:r w:rsidRPr="0063119B">
              <w:rPr>
                <w:sz w:val="22"/>
                <w:szCs w:val="22"/>
              </w:rPr>
              <w:t>6</w:t>
            </w:r>
            <w:r w:rsidRPr="0063119B">
              <w:rPr>
                <w:sz w:val="22"/>
                <w:szCs w:val="22"/>
              </w:rPr>
              <w:br/>
              <w:t>(0,5%)</w:t>
            </w:r>
          </w:p>
        </w:tc>
        <w:tc>
          <w:tcPr>
            <w:tcW w:w="2193" w:type="dxa"/>
            <w:vAlign w:val="center"/>
          </w:tcPr>
          <w:p w14:paraId="0B89D434" w14:textId="77777777" w:rsidR="00DA6697" w:rsidRPr="0063119B" w:rsidRDefault="00DA6697" w:rsidP="00C7421C">
            <w:pPr>
              <w:pStyle w:val="BayerBodyTextFull"/>
              <w:keepNext/>
              <w:spacing w:before="60" w:after="60"/>
              <w:ind w:left="12"/>
              <w:rPr>
                <w:sz w:val="22"/>
                <w:szCs w:val="22"/>
              </w:rPr>
            </w:pPr>
            <w:r w:rsidRPr="0063119B">
              <w:rPr>
                <w:sz w:val="22"/>
                <w:szCs w:val="22"/>
              </w:rPr>
              <w:t>19</w:t>
            </w:r>
            <w:r w:rsidRPr="0063119B">
              <w:rPr>
                <w:sz w:val="22"/>
                <w:szCs w:val="22"/>
              </w:rPr>
              <w:br/>
              <w:t>(1,7%)</w:t>
            </w:r>
          </w:p>
        </w:tc>
      </w:tr>
      <w:tr w:rsidR="00DA6697" w:rsidRPr="0063119B" w14:paraId="4B690C4B"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78F0A256" w14:textId="77777777" w:rsidR="00DA6697" w:rsidRPr="0063119B" w:rsidRDefault="00DA6697" w:rsidP="00C7421C">
            <w:pPr>
              <w:pStyle w:val="BayerTableRowHeadings"/>
              <w:tabs>
                <w:tab w:val="left" w:pos="-108"/>
              </w:tabs>
              <w:spacing w:before="60" w:after="60"/>
              <w:ind w:left="318"/>
              <w:rPr>
                <w:szCs w:val="22"/>
              </w:rPr>
            </w:pPr>
            <w:r w:rsidRPr="0063119B">
              <w:rPr>
                <w:szCs w:val="22"/>
              </w:rPr>
              <w:t xml:space="preserve">TVP </w:t>
            </w:r>
            <w:proofErr w:type="spellStart"/>
            <w:r w:rsidRPr="0063119B">
              <w:rPr>
                <w:szCs w:val="22"/>
              </w:rPr>
              <w:t>sintomática</w:t>
            </w:r>
            <w:proofErr w:type="spellEnd"/>
            <w:r w:rsidRPr="0063119B">
              <w:rPr>
                <w:szCs w:val="22"/>
              </w:rPr>
              <w:t xml:space="preserve"> </w:t>
            </w:r>
            <w:proofErr w:type="spellStart"/>
            <w:r w:rsidRPr="0063119B">
              <w:rPr>
                <w:szCs w:val="22"/>
              </w:rPr>
              <w:t>recorrente</w:t>
            </w:r>
            <w:proofErr w:type="spellEnd"/>
          </w:p>
        </w:tc>
        <w:tc>
          <w:tcPr>
            <w:tcW w:w="2185" w:type="dxa"/>
            <w:vAlign w:val="center"/>
          </w:tcPr>
          <w:p w14:paraId="4290A71E" w14:textId="77777777" w:rsidR="00DA6697" w:rsidRPr="0063119B" w:rsidRDefault="00DA6697" w:rsidP="00C7421C">
            <w:pPr>
              <w:pStyle w:val="BayerBodyTextFull"/>
              <w:keepNext/>
              <w:spacing w:before="60" w:after="60"/>
              <w:ind w:left="12"/>
              <w:rPr>
                <w:sz w:val="22"/>
                <w:szCs w:val="22"/>
              </w:rPr>
            </w:pPr>
            <w:r w:rsidRPr="0063119B">
              <w:rPr>
                <w:sz w:val="22"/>
                <w:szCs w:val="22"/>
              </w:rPr>
              <w:t>9</w:t>
            </w:r>
            <w:r w:rsidRPr="0063119B">
              <w:rPr>
                <w:sz w:val="22"/>
                <w:szCs w:val="22"/>
              </w:rPr>
              <w:br/>
              <w:t>(0,8%)</w:t>
            </w:r>
          </w:p>
        </w:tc>
        <w:tc>
          <w:tcPr>
            <w:tcW w:w="2069" w:type="dxa"/>
            <w:vAlign w:val="center"/>
          </w:tcPr>
          <w:p w14:paraId="4267F6B3" w14:textId="77777777" w:rsidR="00DA6697" w:rsidRPr="0063119B" w:rsidRDefault="00DA6697" w:rsidP="00C7421C">
            <w:pPr>
              <w:pStyle w:val="BayerBodyTextFull"/>
              <w:keepNext/>
              <w:spacing w:before="60" w:after="60"/>
              <w:ind w:left="12"/>
              <w:rPr>
                <w:sz w:val="22"/>
                <w:szCs w:val="22"/>
              </w:rPr>
            </w:pPr>
            <w:r w:rsidRPr="0063119B">
              <w:rPr>
                <w:sz w:val="22"/>
                <w:szCs w:val="22"/>
              </w:rPr>
              <w:t>8</w:t>
            </w:r>
            <w:r w:rsidRPr="0063119B">
              <w:rPr>
                <w:sz w:val="22"/>
                <w:szCs w:val="22"/>
              </w:rPr>
              <w:br/>
              <w:t>(0,7%)</w:t>
            </w:r>
          </w:p>
        </w:tc>
        <w:tc>
          <w:tcPr>
            <w:tcW w:w="2193" w:type="dxa"/>
            <w:vAlign w:val="center"/>
          </w:tcPr>
          <w:p w14:paraId="297011D6" w14:textId="77777777" w:rsidR="00DA6697" w:rsidRPr="0063119B" w:rsidRDefault="00DA6697" w:rsidP="00C7421C">
            <w:pPr>
              <w:pStyle w:val="BayerBodyTextFull"/>
              <w:keepNext/>
              <w:spacing w:before="60" w:after="60"/>
              <w:ind w:left="12"/>
              <w:rPr>
                <w:sz w:val="22"/>
                <w:szCs w:val="22"/>
              </w:rPr>
            </w:pPr>
            <w:r w:rsidRPr="0063119B">
              <w:rPr>
                <w:sz w:val="22"/>
                <w:szCs w:val="22"/>
              </w:rPr>
              <w:t>30</w:t>
            </w:r>
            <w:r w:rsidRPr="0063119B">
              <w:rPr>
                <w:sz w:val="22"/>
                <w:szCs w:val="22"/>
              </w:rPr>
              <w:br/>
              <w:t>(2,7%)</w:t>
            </w:r>
          </w:p>
        </w:tc>
      </w:tr>
      <w:tr w:rsidR="00DA6697" w:rsidRPr="0063119B" w14:paraId="0478464B"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18097303" w14:textId="77777777" w:rsidR="00DA6697" w:rsidRPr="0063119B" w:rsidRDefault="00DA6697" w:rsidP="00C7421C">
            <w:pPr>
              <w:pStyle w:val="BayerTableRowHeadings"/>
              <w:tabs>
                <w:tab w:val="left" w:pos="-1242"/>
              </w:tabs>
              <w:spacing w:before="60" w:after="60"/>
              <w:ind w:left="318"/>
              <w:rPr>
                <w:szCs w:val="22"/>
                <w:lang w:val="pt-PT"/>
              </w:rPr>
            </w:pPr>
            <w:r w:rsidRPr="0063119B">
              <w:rPr>
                <w:szCs w:val="22"/>
                <w:lang w:val="pt-PT"/>
              </w:rPr>
              <w:t>EP fatal/morte na qual não se pode excluir EP</w:t>
            </w:r>
          </w:p>
        </w:tc>
        <w:tc>
          <w:tcPr>
            <w:tcW w:w="2185" w:type="dxa"/>
            <w:vAlign w:val="center"/>
          </w:tcPr>
          <w:p w14:paraId="3D8E04CB" w14:textId="77777777" w:rsidR="00DA6697" w:rsidRPr="0063119B" w:rsidRDefault="00DA6697" w:rsidP="00C7421C">
            <w:pPr>
              <w:pStyle w:val="BayerBodyTextFull"/>
              <w:keepNext/>
              <w:spacing w:before="60" w:after="60"/>
              <w:ind w:left="12"/>
              <w:rPr>
                <w:sz w:val="22"/>
                <w:szCs w:val="22"/>
              </w:rPr>
            </w:pPr>
            <w:r w:rsidRPr="0063119B">
              <w:rPr>
                <w:sz w:val="22"/>
                <w:szCs w:val="22"/>
              </w:rPr>
              <w:t>2</w:t>
            </w:r>
            <w:r w:rsidRPr="0063119B">
              <w:rPr>
                <w:sz w:val="22"/>
                <w:szCs w:val="22"/>
              </w:rPr>
              <w:br/>
              <w:t>(0,2%)</w:t>
            </w:r>
          </w:p>
        </w:tc>
        <w:tc>
          <w:tcPr>
            <w:tcW w:w="2069" w:type="dxa"/>
            <w:vAlign w:val="center"/>
          </w:tcPr>
          <w:p w14:paraId="0C5ABD43" w14:textId="77777777" w:rsidR="00DA6697" w:rsidRPr="0063119B" w:rsidRDefault="00DA6697" w:rsidP="00C7421C">
            <w:pPr>
              <w:pStyle w:val="BayerBodyTextFull"/>
              <w:keepNext/>
              <w:spacing w:before="60" w:after="60"/>
              <w:ind w:left="12"/>
              <w:rPr>
                <w:sz w:val="22"/>
                <w:szCs w:val="22"/>
              </w:rPr>
            </w:pPr>
            <w:r w:rsidRPr="0063119B">
              <w:rPr>
                <w:sz w:val="22"/>
                <w:szCs w:val="22"/>
              </w:rPr>
              <w:t>0</w:t>
            </w:r>
            <w:r w:rsidRPr="0063119B">
              <w:rPr>
                <w:sz w:val="22"/>
                <w:szCs w:val="22"/>
              </w:rPr>
              <w:br/>
            </w:r>
          </w:p>
        </w:tc>
        <w:tc>
          <w:tcPr>
            <w:tcW w:w="2193" w:type="dxa"/>
            <w:vAlign w:val="center"/>
          </w:tcPr>
          <w:p w14:paraId="101B5AD5" w14:textId="77777777" w:rsidR="00DA6697" w:rsidRPr="0063119B" w:rsidRDefault="00DA6697" w:rsidP="00C7421C">
            <w:pPr>
              <w:pStyle w:val="BayerBodyTextFull"/>
              <w:keepNext/>
              <w:spacing w:before="60" w:after="60"/>
              <w:ind w:left="12"/>
              <w:rPr>
                <w:sz w:val="22"/>
                <w:szCs w:val="22"/>
              </w:rPr>
            </w:pPr>
            <w:r w:rsidRPr="0063119B">
              <w:rPr>
                <w:sz w:val="22"/>
                <w:szCs w:val="22"/>
              </w:rPr>
              <w:t>2</w:t>
            </w:r>
            <w:r w:rsidRPr="0063119B">
              <w:rPr>
                <w:sz w:val="22"/>
                <w:szCs w:val="22"/>
              </w:rPr>
              <w:br/>
              <w:t>(0,2%)</w:t>
            </w:r>
          </w:p>
        </w:tc>
      </w:tr>
      <w:tr w:rsidR="00DA6697" w:rsidRPr="0063119B" w14:paraId="0BA6C9F3"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152D6578" w14:textId="77777777" w:rsidR="00DA6697" w:rsidRPr="0063119B" w:rsidRDefault="00DA6697" w:rsidP="00C7421C">
            <w:pPr>
              <w:pStyle w:val="BayerTableRowHeadings"/>
              <w:spacing w:before="60" w:after="60"/>
              <w:ind w:left="34"/>
              <w:rPr>
                <w:szCs w:val="22"/>
                <w:lang w:val="pt-PT"/>
              </w:rPr>
            </w:pPr>
            <w:r w:rsidRPr="0063119B">
              <w:rPr>
                <w:szCs w:val="22"/>
                <w:lang w:val="pt-PT"/>
              </w:rPr>
              <w:t>TEV sintomático recorrente, EM, AVC ou embolismo sistémico não do SNC</w:t>
            </w:r>
          </w:p>
        </w:tc>
        <w:tc>
          <w:tcPr>
            <w:tcW w:w="2185" w:type="dxa"/>
            <w:vAlign w:val="center"/>
          </w:tcPr>
          <w:p w14:paraId="099A653E" w14:textId="77777777" w:rsidR="00DA6697" w:rsidRPr="0063119B" w:rsidRDefault="00DA6697" w:rsidP="00C7421C">
            <w:pPr>
              <w:pStyle w:val="BayerBodyTextFull"/>
              <w:keepNext/>
              <w:spacing w:before="60" w:after="60"/>
              <w:ind w:left="12"/>
              <w:rPr>
                <w:sz w:val="22"/>
                <w:szCs w:val="22"/>
              </w:rPr>
            </w:pPr>
            <w:r w:rsidRPr="0063119B">
              <w:rPr>
                <w:sz w:val="22"/>
                <w:szCs w:val="22"/>
              </w:rPr>
              <w:t>19</w:t>
            </w:r>
            <w:r w:rsidRPr="0063119B">
              <w:rPr>
                <w:sz w:val="22"/>
                <w:szCs w:val="22"/>
              </w:rPr>
              <w:br/>
              <w:t>(1,7%)</w:t>
            </w:r>
          </w:p>
        </w:tc>
        <w:tc>
          <w:tcPr>
            <w:tcW w:w="2069" w:type="dxa"/>
            <w:vAlign w:val="center"/>
          </w:tcPr>
          <w:p w14:paraId="032ABB4B" w14:textId="77777777" w:rsidR="00DA6697" w:rsidRPr="0063119B" w:rsidRDefault="00DA6697" w:rsidP="00C7421C">
            <w:pPr>
              <w:pStyle w:val="BayerBodyTextFull"/>
              <w:keepNext/>
              <w:spacing w:before="60" w:after="60"/>
              <w:ind w:left="12"/>
              <w:rPr>
                <w:sz w:val="22"/>
                <w:szCs w:val="22"/>
              </w:rPr>
            </w:pPr>
            <w:r w:rsidRPr="0063119B">
              <w:rPr>
                <w:sz w:val="22"/>
                <w:szCs w:val="22"/>
              </w:rPr>
              <w:t>18</w:t>
            </w:r>
            <w:r w:rsidRPr="0063119B">
              <w:rPr>
                <w:sz w:val="22"/>
                <w:szCs w:val="22"/>
              </w:rPr>
              <w:br/>
              <w:t>(1,6%)</w:t>
            </w:r>
          </w:p>
        </w:tc>
        <w:tc>
          <w:tcPr>
            <w:tcW w:w="2193" w:type="dxa"/>
            <w:vAlign w:val="center"/>
          </w:tcPr>
          <w:p w14:paraId="195FCF77" w14:textId="77777777" w:rsidR="00DA6697" w:rsidRPr="0063119B" w:rsidRDefault="00DA6697" w:rsidP="00C7421C">
            <w:pPr>
              <w:pStyle w:val="BayerBodyTextFull"/>
              <w:keepNext/>
              <w:spacing w:before="60" w:after="60"/>
              <w:ind w:left="12"/>
              <w:rPr>
                <w:sz w:val="22"/>
                <w:szCs w:val="22"/>
              </w:rPr>
            </w:pPr>
            <w:r w:rsidRPr="0063119B">
              <w:rPr>
                <w:sz w:val="22"/>
                <w:szCs w:val="22"/>
              </w:rPr>
              <w:t>56</w:t>
            </w:r>
            <w:r w:rsidRPr="0063119B">
              <w:rPr>
                <w:sz w:val="22"/>
                <w:szCs w:val="22"/>
              </w:rPr>
              <w:br/>
              <w:t>(5,0%)</w:t>
            </w:r>
          </w:p>
        </w:tc>
      </w:tr>
      <w:tr w:rsidR="00DA6697" w:rsidRPr="0063119B" w14:paraId="515E9613"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189E1EDC" w14:textId="77777777" w:rsidR="00DA6697" w:rsidRPr="0063119B" w:rsidRDefault="00DA6697" w:rsidP="00C7421C">
            <w:pPr>
              <w:pStyle w:val="BayerTableRowHeadings"/>
              <w:spacing w:before="60" w:after="60"/>
              <w:ind w:left="34"/>
              <w:rPr>
                <w:szCs w:val="22"/>
              </w:rPr>
            </w:pPr>
            <w:proofErr w:type="spellStart"/>
            <w:r w:rsidRPr="0063119B">
              <w:rPr>
                <w:szCs w:val="22"/>
              </w:rPr>
              <w:t>Acontecimentos</w:t>
            </w:r>
            <w:proofErr w:type="spellEnd"/>
            <w:r w:rsidRPr="0063119B">
              <w:rPr>
                <w:szCs w:val="22"/>
              </w:rPr>
              <w:t xml:space="preserve"> </w:t>
            </w:r>
            <w:proofErr w:type="spellStart"/>
            <w:r w:rsidRPr="0063119B">
              <w:rPr>
                <w:szCs w:val="22"/>
              </w:rPr>
              <w:t>hemorrágicos</w:t>
            </w:r>
            <w:proofErr w:type="spellEnd"/>
            <w:r w:rsidRPr="0063119B">
              <w:rPr>
                <w:szCs w:val="22"/>
              </w:rPr>
              <w:t xml:space="preserve"> </w:t>
            </w:r>
            <w:proofErr w:type="spellStart"/>
            <w:r w:rsidRPr="0063119B">
              <w:rPr>
                <w:szCs w:val="22"/>
              </w:rPr>
              <w:t>principais</w:t>
            </w:r>
            <w:proofErr w:type="spellEnd"/>
          </w:p>
        </w:tc>
        <w:tc>
          <w:tcPr>
            <w:tcW w:w="2185" w:type="dxa"/>
            <w:vAlign w:val="center"/>
          </w:tcPr>
          <w:p w14:paraId="05129E84" w14:textId="77777777" w:rsidR="00DA6697" w:rsidRPr="0063119B" w:rsidRDefault="00DA6697" w:rsidP="00C7421C">
            <w:pPr>
              <w:pStyle w:val="BayerBodyTextFull"/>
              <w:keepNext/>
              <w:spacing w:before="60" w:after="60"/>
              <w:ind w:left="12"/>
              <w:rPr>
                <w:sz w:val="22"/>
                <w:szCs w:val="22"/>
              </w:rPr>
            </w:pPr>
            <w:r w:rsidRPr="0063119B">
              <w:rPr>
                <w:sz w:val="22"/>
                <w:szCs w:val="22"/>
              </w:rPr>
              <w:t>6</w:t>
            </w:r>
            <w:r w:rsidRPr="0063119B">
              <w:rPr>
                <w:sz w:val="22"/>
                <w:szCs w:val="22"/>
              </w:rPr>
              <w:br/>
              <w:t>(0,5%)</w:t>
            </w:r>
          </w:p>
        </w:tc>
        <w:tc>
          <w:tcPr>
            <w:tcW w:w="2069" w:type="dxa"/>
            <w:vAlign w:val="center"/>
          </w:tcPr>
          <w:p w14:paraId="3657D118" w14:textId="77777777" w:rsidR="00DA6697" w:rsidRPr="0063119B" w:rsidRDefault="00DA6697" w:rsidP="00C7421C">
            <w:pPr>
              <w:pStyle w:val="BayerBodyTextFull"/>
              <w:keepNext/>
              <w:spacing w:before="60" w:after="60"/>
              <w:ind w:left="12"/>
              <w:rPr>
                <w:sz w:val="22"/>
                <w:szCs w:val="22"/>
              </w:rPr>
            </w:pPr>
            <w:r w:rsidRPr="0063119B">
              <w:rPr>
                <w:sz w:val="22"/>
                <w:szCs w:val="22"/>
              </w:rPr>
              <w:t>5</w:t>
            </w:r>
            <w:r w:rsidRPr="0063119B">
              <w:rPr>
                <w:sz w:val="22"/>
                <w:szCs w:val="22"/>
              </w:rPr>
              <w:br/>
              <w:t>(0,4%)</w:t>
            </w:r>
          </w:p>
        </w:tc>
        <w:tc>
          <w:tcPr>
            <w:tcW w:w="2193" w:type="dxa"/>
            <w:vAlign w:val="center"/>
          </w:tcPr>
          <w:p w14:paraId="61FD66D3" w14:textId="77777777" w:rsidR="00DA6697" w:rsidRPr="0063119B" w:rsidRDefault="00DA6697" w:rsidP="00C7421C">
            <w:pPr>
              <w:pStyle w:val="BayerBodyTextFull"/>
              <w:keepNext/>
              <w:spacing w:before="60" w:after="60"/>
              <w:ind w:left="12"/>
              <w:rPr>
                <w:sz w:val="22"/>
                <w:szCs w:val="22"/>
              </w:rPr>
            </w:pPr>
            <w:r w:rsidRPr="0063119B">
              <w:rPr>
                <w:sz w:val="22"/>
                <w:szCs w:val="22"/>
              </w:rPr>
              <w:t>3</w:t>
            </w:r>
            <w:r w:rsidRPr="0063119B">
              <w:rPr>
                <w:sz w:val="22"/>
                <w:szCs w:val="22"/>
              </w:rPr>
              <w:br/>
              <w:t>(0,3%)</w:t>
            </w:r>
          </w:p>
        </w:tc>
      </w:tr>
      <w:tr w:rsidR="00DA6697" w:rsidRPr="0063119B" w14:paraId="575D5C31"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34B0468C" w14:textId="77777777" w:rsidR="00DA6697" w:rsidRPr="0063119B" w:rsidRDefault="00DA6697" w:rsidP="00C7421C">
            <w:pPr>
              <w:pStyle w:val="BayerTableRowHeadings"/>
              <w:spacing w:before="60" w:after="60"/>
              <w:rPr>
                <w:szCs w:val="22"/>
                <w:lang w:val="pt-PT"/>
              </w:rPr>
            </w:pPr>
            <w:r w:rsidRPr="0063119B">
              <w:rPr>
                <w:szCs w:val="22"/>
                <w:lang w:val="pt-PT"/>
              </w:rPr>
              <w:t>Hemorragia não principal clinicamente relevante</w:t>
            </w:r>
          </w:p>
        </w:tc>
        <w:tc>
          <w:tcPr>
            <w:tcW w:w="2185" w:type="dxa"/>
            <w:vAlign w:val="center"/>
          </w:tcPr>
          <w:p w14:paraId="698F350F" w14:textId="77777777" w:rsidR="00DA6697" w:rsidRPr="0063119B" w:rsidRDefault="00DA6697" w:rsidP="00C7421C">
            <w:pPr>
              <w:pStyle w:val="BayerBodyTextFull"/>
              <w:keepNext/>
              <w:spacing w:before="60" w:after="60"/>
              <w:ind w:left="12"/>
              <w:rPr>
                <w:sz w:val="22"/>
                <w:szCs w:val="22"/>
              </w:rPr>
            </w:pPr>
            <w:r w:rsidRPr="0063119B">
              <w:rPr>
                <w:sz w:val="22"/>
                <w:szCs w:val="22"/>
              </w:rPr>
              <w:t xml:space="preserve">30 </w:t>
            </w:r>
            <w:r w:rsidRPr="0063119B">
              <w:rPr>
                <w:sz w:val="22"/>
                <w:szCs w:val="22"/>
              </w:rPr>
              <w:br/>
              <w:t>(2,7%)</w:t>
            </w:r>
          </w:p>
        </w:tc>
        <w:tc>
          <w:tcPr>
            <w:tcW w:w="2069" w:type="dxa"/>
            <w:vAlign w:val="center"/>
          </w:tcPr>
          <w:p w14:paraId="35F3763D" w14:textId="77777777" w:rsidR="00DA6697" w:rsidRPr="0063119B" w:rsidRDefault="00DA6697" w:rsidP="00C7421C">
            <w:pPr>
              <w:pStyle w:val="BayerBodyTextFull"/>
              <w:keepNext/>
              <w:spacing w:before="60" w:after="60"/>
              <w:ind w:left="12"/>
              <w:rPr>
                <w:sz w:val="22"/>
                <w:szCs w:val="22"/>
              </w:rPr>
            </w:pPr>
            <w:r w:rsidRPr="0063119B">
              <w:rPr>
                <w:sz w:val="22"/>
                <w:szCs w:val="22"/>
              </w:rPr>
              <w:t xml:space="preserve">22 </w:t>
            </w:r>
            <w:r w:rsidRPr="0063119B">
              <w:rPr>
                <w:sz w:val="22"/>
                <w:szCs w:val="22"/>
              </w:rPr>
              <w:br/>
              <w:t>(2,0%)</w:t>
            </w:r>
          </w:p>
        </w:tc>
        <w:tc>
          <w:tcPr>
            <w:tcW w:w="2193" w:type="dxa"/>
            <w:vAlign w:val="center"/>
          </w:tcPr>
          <w:p w14:paraId="580BCA51" w14:textId="77777777" w:rsidR="00DA6697" w:rsidRPr="0063119B" w:rsidRDefault="00DA6697" w:rsidP="00C7421C">
            <w:pPr>
              <w:pStyle w:val="BayerBodyTextFull"/>
              <w:keepNext/>
              <w:spacing w:before="60" w:after="60"/>
              <w:ind w:left="12"/>
              <w:rPr>
                <w:sz w:val="22"/>
                <w:szCs w:val="22"/>
              </w:rPr>
            </w:pPr>
            <w:r w:rsidRPr="0063119B">
              <w:rPr>
                <w:sz w:val="22"/>
                <w:szCs w:val="22"/>
              </w:rPr>
              <w:t>20</w:t>
            </w:r>
            <w:r w:rsidRPr="0063119B">
              <w:rPr>
                <w:sz w:val="22"/>
                <w:szCs w:val="22"/>
              </w:rPr>
              <w:br/>
              <w:t>(1,8%)</w:t>
            </w:r>
          </w:p>
        </w:tc>
      </w:tr>
      <w:tr w:rsidR="00DA6697" w:rsidRPr="0063119B" w14:paraId="3C9A5FCB"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33A6AAAE" w14:textId="77777777" w:rsidR="00DA6697" w:rsidRPr="0063119B" w:rsidRDefault="00DA6697" w:rsidP="00C7421C">
            <w:pPr>
              <w:pStyle w:val="BayerTableRowHeadings"/>
              <w:spacing w:before="60" w:after="60"/>
              <w:rPr>
                <w:szCs w:val="22"/>
                <w:lang w:val="pt-PT"/>
              </w:rPr>
            </w:pPr>
            <w:r w:rsidRPr="0063119B">
              <w:rPr>
                <w:szCs w:val="22"/>
                <w:lang w:val="pt-PT"/>
              </w:rPr>
              <w:t>TEV sintomático recorrente ou hemorragia principal (benefício clínico efetivo)</w:t>
            </w:r>
          </w:p>
        </w:tc>
        <w:tc>
          <w:tcPr>
            <w:tcW w:w="2185" w:type="dxa"/>
            <w:vAlign w:val="center"/>
          </w:tcPr>
          <w:p w14:paraId="1BEE97C0" w14:textId="77777777" w:rsidR="00DA6697" w:rsidRPr="0063119B" w:rsidRDefault="00DA6697" w:rsidP="00C7421C">
            <w:pPr>
              <w:pStyle w:val="BayerBodyTextFull"/>
              <w:keepNext/>
              <w:spacing w:before="60" w:after="60"/>
              <w:ind w:left="12"/>
              <w:rPr>
                <w:sz w:val="22"/>
                <w:szCs w:val="22"/>
              </w:rPr>
            </w:pPr>
            <w:r w:rsidRPr="0063119B">
              <w:rPr>
                <w:sz w:val="22"/>
                <w:szCs w:val="22"/>
              </w:rPr>
              <w:t>23</w:t>
            </w:r>
            <w:r w:rsidRPr="0063119B">
              <w:rPr>
                <w:sz w:val="22"/>
                <w:szCs w:val="22"/>
              </w:rPr>
              <w:br/>
              <w:t>(2,1</w:t>
            </w:r>
            <w:proofErr w:type="gramStart"/>
            <w:r w:rsidRPr="0063119B">
              <w:rPr>
                <w:sz w:val="22"/>
                <w:szCs w:val="22"/>
              </w:rPr>
              <w:t>%)</w:t>
            </w:r>
            <w:r w:rsidRPr="0063119B">
              <w:rPr>
                <w:sz w:val="22"/>
                <w:szCs w:val="22"/>
                <w:vertAlign w:val="superscript"/>
              </w:rPr>
              <w:t>+</w:t>
            </w:r>
            <w:proofErr w:type="gramEnd"/>
          </w:p>
        </w:tc>
        <w:tc>
          <w:tcPr>
            <w:tcW w:w="2069" w:type="dxa"/>
            <w:vAlign w:val="center"/>
          </w:tcPr>
          <w:p w14:paraId="2B405F9E" w14:textId="77777777" w:rsidR="00DA6697" w:rsidRPr="0063119B" w:rsidRDefault="00DA6697" w:rsidP="00C7421C">
            <w:pPr>
              <w:pStyle w:val="BayerBodyTextFull"/>
              <w:keepNext/>
              <w:spacing w:before="60" w:after="60"/>
              <w:ind w:left="12"/>
              <w:rPr>
                <w:sz w:val="22"/>
                <w:szCs w:val="22"/>
              </w:rPr>
            </w:pPr>
            <w:r w:rsidRPr="0063119B">
              <w:rPr>
                <w:sz w:val="22"/>
                <w:szCs w:val="22"/>
              </w:rPr>
              <w:t xml:space="preserve">17 </w:t>
            </w:r>
            <w:r w:rsidRPr="0063119B">
              <w:rPr>
                <w:sz w:val="22"/>
                <w:szCs w:val="22"/>
              </w:rPr>
              <w:br/>
              <w:t>(1,5</w:t>
            </w:r>
            <w:proofErr w:type="gramStart"/>
            <w:r w:rsidRPr="0063119B">
              <w:rPr>
                <w:sz w:val="22"/>
                <w:szCs w:val="22"/>
              </w:rPr>
              <w:t>%)</w:t>
            </w:r>
            <w:r w:rsidRPr="0063119B">
              <w:rPr>
                <w:sz w:val="22"/>
                <w:szCs w:val="22"/>
                <w:vertAlign w:val="superscript"/>
              </w:rPr>
              <w:t>+</w:t>
            </w:r>
            <w:proofErr w:type="gramEnd"/>
            <w:r w:rsidRPr="0063119B">
              <w:rPr>
                <w:sz w:val="22"/>
                <w:szCs w:val="22"/>
                <w:vertAlign w:val="superscript"/>
              </w:rPr>
              <w:t>+</w:t>
            </w:r>
          </w:p>
        </w:tc>
        <w:tc>
          <w:tcPr>
            <w:tcW w:w="2193" w:type="dxa"/>
            <w:vAlign w:val="center"/>
          </w:tcPr>
          <w:p w14:paraId="5FA0F315" w14:textId="77777777" w:rsidR="00DA6697" w:rsidRPr="0063119B" w:rsidRDefault="00DA6697" w:rsidP="00C7421C">
            <w:pPr>
              <w:pStyle w:val="BayerBodyTextFull"/>
              <w:keepNext/>
              <w:spacing w:before="60" w:after="60"/>
              <w:ind w:left="12"/>
              <w:rPr>
                <w:sz w:val="22"/>
                <w:szCs w:val="22"/>
              </w:rPr>
            </w:pPr>
            <w:r w:rsidRPr="0063119B">
              <w:rPr>
                <w:sz w:val="22"/>
                <w:szCs w:val="22"/>
              </w:rPr>
              <w:t xml:space="preserve">53 </w:t>
            </w:r>
            <w:r w:rsidRPr="0063119B">
              <w:rPr>
                <w:sz w:val="22"/>
                <w:szCs w:val="22"/>
              </w:rPr>
              <w:br/>
              <w:t>(4,7%)</w:t>
            </w:r>
          </w:p>
        </w:tc>
      </w:tr>
      <w:tr w:rsidR="00DA6697" w:rsidRPr="0063119B" w14:paraId="3883A87A" w14:textId="77777777" w:rsidTr="00DA6697">
        <w:tc>
          <w:tcPr>
            <w:tcW w:w="9214" w:type="dxa"/>
            <w:gridSpan w:val="4"/>
          </w:tcPr>
          <w:p w14:paraId="0959CF8F" w14:textId="77777777" w:rsidR="00DA6697" w:rsidRPr="0063119B" w:rsidRDefault="00DA6697" w:rsidP="00C7421C">
            <w:pPr>
              <w:pStyle w:val="BayerTableFootnote"/>
              <w:tabs>
                <w:tab w:val="right" w:pos="480"/>
                <w:tab w:val="left" w:pos="600"/>
              </w:tabs>
              <w:spacing w:after="0"/>
              <w:ind w:left="0" w:firstLine="0"/>
              <w:rPr>
                <w:szCs w:val="22"/>
                <w:lang w:val="pt-PT"/>
              </w:rPr>
            </w:pPr>
            <w:r w:rsidRPr="0063119B">
              <w:rPr>
                <w:szCs w:val="22"/>
                <w:lang w:val="pt-PT"/>
              </w:rPr>
              <w:t xml:space="preserve">* </w:t>
            </w:r>
            <w:r w:rsidRPr="0063119B">
              <w:rPr>
                <w:szCs w:val="22"/>
                <w:lang w:val="pt-PT"/>
              </w:rPr>
              <w:tab/>
              <w:t xml:space="preserve">p&lt;0,001 (superioridade) </w:t>
            </w:r>
            <w:r w:rsidR="001D6BDF" w:rsidRPr="0063119B">
              <w:rPr>
                <w:szCs w:val="22"/>
                <w:lang w:val="pt-PT"/>
              </w:rPr>
              <w:t>rivaroxabano</w:t>
            </w:r>
            <w:r w:rsidRPr="0063119B">
              <w:rPr>
                <w:szCs w:val="22"/>
                <w:lang w:val="pt-PT"/>
              </w:rPr>
              <w:t xml:space="preserve"> 20 mg uma vez por dia vs AAS 100 mg uma vez por dia; RR=0,34 (0,20-0,59)</w:t>
            </w:r>
          </w:p>
          <w:p w14:paraId="557C4823" w14:textId="77777777" w:rsidR="00DA6697" w:rsidRPr="0063119B" w:rsidRDefault="00DA6697" w:rsidP="00C7421C">
            <w:pPr>
              <w:pStyle w:val="BayerTableFootnote"/>
              <w:tabs>
                <w:tab w:val="right" w:pos="480"/>
                <w:tab w:val="left" w:pos="600"/>
              </w:tabs>
              <w:spacing w:after="0"/>
              <w:ind w:left="0" w:firstLine="0"/>
              <w:rPr>
                <w:szCs w:val="22"/>
                <w:lang w:val="pt-PT"/>
              </w:rPr>
            </w:pPr>
            <w:r w:rsidRPr="0063119B">
              <w:rPr>
                <w:szCs w:val="22"/>
                <w:lang w:val="pt-PT"/>
              </w:rPr>
              <w:t xml:space="preserve">** p&lt;0,001 (superioridade) </w:t>
            </w:r>
            <w:r w:rsidR="001D6BDF" w:rsidRPr="0063119B">
              <w:rPr>
                <w:szCs w:val="22"/>
                <w:lang w:val="pt-PT"/>
              </w:rPr>
              <w:t>rivaroxabano</w:t>
            </w:r>
            <w:r w:rsidRPr="0063119B">
              <w:rPr>
                <w:szCs w:val="22"/>
                <w:lang w:val="pt-PT"/>
              </w:rPr>
              <w:t xml:space="preserve"> 10 mg uma vez por dia vs AAS 100 mg uma vez por dia; RR=0,26 (0,14-0,47)</w:t>
            </w:r>
          </w:p>
          <w:p w14:paraId="1BE8407B" w14:textId="77777777" w:rsidR="00DA6697" w:rsidRPr="0063119B" w:rsidRDefault="00DA6697" w:rsidP="00C7421C">
            <w:pPr>
              <w:rPr>
                <w:szCs w:val="22"/>
              </w:rPr>
            </w:pPr>
            <w:r w:rsidRPr="0063119B">
              <w:rPr>
                <w:szCs w:val="22"/>
                <w:vertAlign w:val="superscript"/>
              </w:rPr>
              <w:t xml:space="preserve">+ </w:t>
            </w:r>
            <w:r w:rsidR="001D6BDF" w:rsidRPr="0063119B">
              <w:rPr>
                <w:szCs w:val="22"/>
              </w:rPr>
              <w:t>Rivaroxabano</w:t>
            </w:r>
            <w:r w:rsidRPr="0063119B">
              <w:rPr>
                <w:szCs w:val="22"/>
              </w:rPr>
              <w:t xml:space="preserve"> 20 mg uam vez por dia vs. AAS 100 mg uma vez por dia; RR=0,44 (0,27-0,71), p=0,0009 (nominal) </w:t>
            </w:r>
          </w:p>
          <w:p w14:paraId="37FE7963" w14:textId="77777777" w:rsidR="00DA6697" w:rsidRPr="0063119B" w:rsidRDefault="00DA6697" w:rsidP="00C7421C">
            <w:pPr>
              <w:pStyle w:val="BayerTableFootnote"/>
              <w:tabs>
                <w:tab w:val="right" w:pos="480"/>
                <w:tab w:val="left" w:pos="600"/>
              </w:tabs>
              <w:ind w:left="0" w:firstLine="0"/>
              <w:rPr>
                <w:szCs w:val="22"/>
                <w:lang w:val="pt-PT"/>
              </w:rPr>
            </w:pPr>
            <w:r w:rsidRPr="0063119B">
              <w:rPr>
                <w:szCs w:val="22"/>
                <w:vertAlign w:val="superscript"/>
                <w:lang w:val="pt-PT"/>
              </w:rPr>
              <w:t>++</w:t>
            </w:r>
            <w:r w:rsidRPr="0063119B">
              <w:rPr>
                <w:szCs w:val="22"/>
                <w:lang w:val="pt-PT"/>
              </w:rPr>
              <w:t xml:space="preserve"> </w:t>
            </w:r>
            <w:r w:rsidR="001D6BDF" w:rsidRPr="0063119B">
              <w:rPr>
                <w:szCs w:val="22"/>
                <w:lang w:val="pt-PT"/>
              </w:rPr>
              <w:t>Rivaroxabano</w:t>
            </w:r>
            <w:r w:rsidRPr="0063119B">
              <w:rPr>
                <w:szCs w:val="22"/>
                <w:lang w:val="pt-PT"/>
              </w:rPr>
              <w:t xml:space="preserve"> 10 mg uma vez por dia vs. AAS 100 mg uma vez por dia; RR=0,32 (0,18-0,55), p&lt;0,0001 (nominal)</w:t>
            </w:r>
          </w:p>
        </w:tc>
      </w:tr>
    </w:tbl>
    <w:p w14:paraId="2DE31E2C" w14:textId="77777777" w:rsidR="00DA6697" w:rsidRPr="0063119B" w:rsidRDefault="00DA6697" w:rsidP="00DA6697">
      <w:pPr>
        <w:tabs>
          <w:tab w:val="left" w:pos="567"/>
        </w:tabs>
        <w:rPr>
          <w:szCs w:val="22"/>
        </w:rPr>
      </w:pPr>
    </w:p>
    <w:p w14:paraId="7D094D41" w14:textId="77777777" w:rsidR="00DA6697" w:rsidRPr="0063119B" w:rsidRDefault="00DA6697" w:rsidP="00DA6697">
      <w:pPr>
        <w:rPr>
          <w:szCs w:val="22"/>
        </w:rPr>
      </w:pPr>
      <w:r w:rsidRPr="0063119B">
        <w:rPr>
          <w:szCs w:val="22"/>
        </w:rPr>
        <w:t xml:space="preserve">Adicionalmente ao programa de fase III EINSTEIN, foi realizado um estudo de coorte prospectivo, não intervencional, aberto (XALIA) com adjudicação central do resultado incluindo TEV recorrente, acontecimentos hemorrágicos principais e morte. Foram incluídos 5,142 doentes com TVP aguda para investigar a segurança a longo prazo do rivaroxabano comparado com a terapêutica anticoagulante padrão na prática clínica. As taxas de acontecimentos hemorrágicos principais, TEV recorrente e mortalidade de todas as causas para o rivaroxabano foram de 0,7%, 1,4% e 0,5% respectivamente. Houve diferenças nas características basais dos doentes incluindo idade, cancro e compromisso renal. Uma análise pré-especificada e estratificada por </w:t>
      </w:r>
      <w:r w:rsidRPr="0063119B">
        <w:rPr>
          <w:i/>
          <w:szCs w:val="22"/>
        </w:rPr>
        <w:t xml:space="preserve">propensity score </w:t>
      </w:r>
      <w:r w:rsidRPr="0063119B">
        <w:rPr>
          <w:szCs w:val="22"/>
        </w:rPr>
        <w:t>foi utilizada para ajustar as diferenças basais quantificadas mas o confundimento residual pode, apesar disso, influenciar os resultados. As RR ajustadas comparando rivaroxabano e a terapêutica padrão para acontecimentos hemorrágicos principais, TEV recorrente e mortalidade de todas as causas foram de 0,77 (IC 95% 0,40 - 1,50), 0,91 (IC 95% 0,54 - 1,54) e 0,51 (IC 95% 0,24 - 1,07), respectivamente.</w:t>
      </w:r>
    </w:p>
    <w:p w14:paraId="68E5BD8F" w14:textId="77777777" w:rsidR="00DA6697" w:rsidRPr="0063119B" w:rsidRDefault="00DA6697" w:rsidP="00DA6697">
      <w:pPr>
        <w:suppressAutoHyphens/>
        <w:rPr>
          <w:noProof/>
          <w:szCs w:val="22"/>
        </w:rPr>
      </w:pPr>
      <w:r w:rsidRPr="0063119B">
        <w:rPr>
          <w:szCs w:val="22"/>
        </w:rPr>
        <w:lastRenderedPageBreak/>
        <w:t>Estes resultados observados em doentes na prática clínica são consistentes com o perfil de segurança estabelecido para esta indicação.</w:t>
      </w:r>
    </w:p>
    <w:p w14:paraId="50A5F608" w14:textId="00EC3CD3" w:rsidR="00DA6697" w:rsidRDefault="00DA6697" w:rsidP="00337111">
      <w:pPr>
        <w:suppressAutoHyphens/>
        <w:rPr>
          <w:noProof/>
          <w:szCs w:val="22"/>
        </w:rPr>
      </w:pPr>
    </w:p>
    <w:p w14:paraId="01E628EC" w14:textId="3AD5DE46" w:rsidR="003F7749" w:rsidRDefault="003F7749" w:rsidP="00337111">
      <w:pPr>
        <w:suppressAutoHyphens/>
      </w:pPr>
      <w:r>
        <w:t>Num estudo pós-autorização, não intervencional em mais de 40.000 doentes oriundos de quatro países, sem história de cancro, o rivaroxabano foi prescrito para o tratamento ou prevenção do TVP e EP. As taxas de acontecimentos por 100 doentes-ano, para os acontecimentos tromboembólicos/TEV sintomáticos/clinicamente aparentes, que levaram à hospitalização variaram de 0,64 (IC 95% 0,40 - 0,97) no Reino Unido a 2,30 (IC 95% 2,11 - 2,51) para a Alemanha. As hemorragias resultando em hospitalização ocorreram em taxas de acontecimentos por 100 doentes-ano de 0,31 (IC 95% 0,23 - 0,42) para a hemorragia intracraniana, 0,89 (IC 95% 0,67 - 1,17) para a hemorragia gastrointestinal, 0,44 (IC 95% 0,26 - 0,74) para a hemorragia urogenital e 0,41 (IC 95% 0,31 - 0,54) para outras hemorragias.</w:t>
      </w:r>
    </w:p>
    <w:p w14:paraId="39BCFD7F" w14:textId="77777777" w:rsidR="003F7749" w:rsidRDefault="003F7749" w:rsidP="00337111">
      <w:pPr>
        <w:suppressAutoHyphens/>
        <w:rPr>
          <w:noProof/>
          <w:szCs w:val="22"/>
        </w:rPr>
      </w:pPr>
    </w:p>
    <w:p w14:paraId="09DC7E01" w14:textId="77777777" w:rsidR="00DA427C" w:rsidRPr="00DA427C" w:rsidRDefault="00DA427C" w:rsidP="00DA427C">
      <w:pPr>
        <w:autoSpaceDE w:val="0"/>
        <w:autoSpaceDN w:val="0"/>
        <w:adjustRightInd w:val="0"/>
        <w:rPr>
          <w:color w:val="000000"/>
          <w:szCs w:val="22"/>
          <w:lang w:eastAsia="pt-PT"/>
        </w:rPr>
      </w:pPr>
      <w:r w:rsidRPr="00DA427C">
        <w:rPr>
          <w:color w:val="000000"/>
          <w:szCs w:val="22"/>
          <w:lang w:eastAsia="pt-PT"/>
        </w:rPr>
        <w:t xml:space="preserve">População pediátrica </w:t>
      </w:r>
    </w:p>
    <w:p w14:paraId="6ADAB1D2" w14:textId="77777777" w:rsidR="00DA427C" w:rsidRPr="00DA427C" w:rsidRDefault="00DA427C" w:rsidP="00DA427C">
      <w:pPr>
        <w:autoSpaceDE w:val="0"/>
        <w:autoSpaceDN w:val="0"/>
        <w:adjustRightInd w:val="0"/>
        <w:rPr>
          <w:color w:val="000000"/>
          <w:szCs w:val="22"/>
          <w:lang w:eastAsia="pt-PT"/>
        </w:rPr>
      </w:pPr>
      <w:r w:rsidRPr="00DA427C">
        <w:rPr>
          <w:i/>
          <w:iCs/>
          <w:color w:val="000000"/>
          <w:szCs w:val="22"/>
          <w:lang w:eastAsia="pt-PT"/>
        </w:rPr>
        <w:t xml:space="preserve">Tratamento do TEV e prevenção da recorrência de TEV em doentes pediátricos </w:t>
      </w:r>
    </w:p>
    <w:p w14:paraId="62E4ADBD" w14:textId="77777777" w:rsidR="00DA427C" w:rsidRPr="00DA427C" w:rsidRDefault="00DA427C" w:rsidP="00DA427C">
      <w:pPr>
        <w:autoSpaceDE w:val="0"/>
        <w:autoSpaceDN w:val="0"/>
        <w:adjustRightInd w:val="0"/>
        <w:rPr>
          <w:color w:val="000000"/>
          <w:szCs w:val="22"/>
          <w:lang w:eastAsia="pt-PT"/>
        </w:rPr>
      </w:pPr>
      <w:r w:rsidRPr="00DA427C">
        <w:rPr>
          <w:color w:val="000000"/>
          <w:szCs w:val="22"/>
          <w:lang w:eastAsia="pt-PT"/>
        </w:rPr>
        <w:t xml:space="preserve">Foi estudado um total de 727 crianças com TEV agudo confirmado, das quais 528 receberam rivaroxabano, em seis estudos pediátricos, multicêntricos, abertos. A administração da dose ajustada em função do peso corporal em doentes desde o nascimento e até menos de 18 anos de idade resultou numa exposição ao rivaroxabano semelhante à observada em doentes adultos com TVP tratados com 20 mg de rivaroxabano uma vez por dia, conforme confirmado no estudo de fase III (ver secção 5.2). </w:t>
      </w:r>
    </w:p>
    <w:p w14:paraId="79EA0D97" w14:textId="77777777" w:rsidR="00DA427C" w:rsidRDefault="00DA427C" w:rsidP="00DA427C">
      <w:pPr>
        <w:autoSpaceDE w:val="0"/>
        <w:autoSpaceDN w:val="0"/>
        <w:adjustRightInd w:val="0"/>
        <w:rPr>
          <w:color w:val="000000"/>
          <w:szCs w:val="22"/>
          <w:lang w:eastAsia="pt-PT"/>
        </w:rPr>
      </w:pPr>
      <w:r w:rsidRPr="00DA427C">
        <w:rPr>
          <w:color w:val="000000"/>
          <w:szCs w:val="22"/>
          <w:lang w:eastAsia="pt-PT"/>
        </w:rPr>
        <w:t xml:space="preserve">O estudo de fase III EINSTEIN Junior consistiu num estudo clínico multicêntrico, aleatorizado, aberto, controlado com substância ativa, em 500 doentes pediátricos (com idade entre o nascimento e &lt; 18 anos) com TEV agudo confirmado. </w:t>
      </w:r>
    </w:p>
    <w:p w14:paraId="23184335" w14:textId="77777777" w:rsidR="00DA427C" w:rsidRDefault="00DA427C" w:rsidP="00DA427C">
      <w:pPr>
        <w:autoSpaceDE w:val="0"/>
        <w:autoSpaceDN w:val="0"/>
        <w:adjustRightInd w:val="0"/>
        <w:rPr>
          <w:color w:val="000000"/>
          <w:szCs w:val="22"/>
          <w:lang w:eastAsia="pt-PT"/>
        </w:rPr>
      </w:pPr>
    </w:p>
    <w:p w14:paraId="74D70AB6" w14:textId="77777777" w:rsidR="00DA427C" w:rsidRDefault="00DA427C" w:rsidP="00DA427C">
      <w:pPr>
        <w:autoSpaceDE w:val="0"/>
        <w:autoSpaceDN w:val="0"/>
        <w:adjustRightInd w:val="0"/>
        <w:rPr>
          <w:color w:val="000000"/>
          <w:szCs w:val="22"/>
          <w:lang w:eastAsia="pt-PT"/>
        </w:rPr>
      </w:pPr>
      <w:r w:rsidRPr="00DA427C">
        <w:rPr>
          <w:color w:val="000000"/>
          <w:szCs w:val="22"/>
          <w:lang w:eastAsia="pt-PT"/>
        </w:rPr>
        <w:t xml:space="preserve">Haviam 276 crianças com 12 a &lt; 18 anos de idade, 101 crianças com 6 a &lt; 12 anos de idade, 69 crianças com 2 a &lt; 6 anos de idade e 54 crianças com &lt; 2 anos de idade. </w:t>
      </w:r>
    </w:p>
    <w:p w14:paraId="78C2ECBD" w14:textId="77777777" w:rsidR="00DA427C" w:rsidRPr="00DA427C" w:rsidRDefault="00DA427C" w:rsidP="00DA427C">
      <w:pPr>
        <w:autoSpaceDE w:val="0"/>
        <w:autoSpaceDN w:val="0"/>
        <w:adjustRightInd w:val="0"/>
        <w:rPr>
          <w:color w:val="000000"/>
          <w:szCs w:val="22"/>
          <w:lang w:eastAsia="pt-PT"/>
        </w:rPr>
      </w:pPr>
    </w:p>
    <w:p w14:paraId="6900FBFA" w14:textId="710B3630" w:rsidR="00DA427C" w:rsidRPr="00DA427C" w:rsidRDefault="00DA427C" w:rsidP="00DA427C">
      <w:pPr>
        <w:autoSpaceDE w:val="0"/>
        <w:autoSpaceDN w:val="0"/>
        <w:adjustRightInd w:val="0"/>
        <w:rPr>
          <w:color w:val="000000"/>
          <w:szCs w:val="22"/>
          <w:lang w:eastAsia="pt-PT"/>
        </w:rPr>
      </w:pPr>
      <w:r w:rsidRPr="00DA427C">
        <w:rPr>
          <w:color w:val="000000"/>
          <w:szCs w:val="22"/>
          <w:lang w:eastAsia="pt-PT"/>
        </w:rPr>
        <w:t>O índice de TEV foi classificado como TEV relacionado com o cateter venoso central (TEV-CVC; 90/335 doentes no grupo do rivaroxabano, 37/165 doentes no grupo comparador), trombose dos seios e veias cerebrais (TSVC; 74/335 doentes no grupo do rivaroxabano, 43/165 doentes no grupo do comparador), e todos os outros incluindo TVP e EP (não-TEV-CVC; 171/335 doentes do grupo do rivaroxabano, 8</w:t>
      </w:r>
      <w:r w:rsidR="000536F1">
        <w:rPr>
          <w:color w:val="000000"/>
          <w:szCs w:val="22"/>
          <w:lang w:eastAsia="pt-PT"/>
        </w:rPr>
        <w:t>5</w:t>
      </w:r>
      <w:r w:rsidRPr="00DA427C">
        <w:rPr>
          <w:color w:val="000000"/>
          <w:szCs w:val="22"/>
          <w:lang w:eastAsia="pt-PT"/>
        </w:rPr>
        <w:t xml:space="preserve">/165 doentes do grupo do comparador). A apresentação mais frequente do índice de trombose em crianças com 12 a &lt; 18 anos de idade foi o não-TEV-CVC em 211 (76,4%); nas crianças com 6 a &lt; 12 anos de idade e com 2 a &lt; 6 anos de idade foi a TSVC em 48 (47,5%) e 35 (50,7%), respetivamente; e nas crianças com &lt; 2 anos de idade foi o TEV-CVC em 37 (68,5%). Não existem crianças &lt; 6 meses com TSVC no grupo do rivaroxabano. 22 dos doentes com TSVS tiveram uma infeção do SNC (13 doentes no grupo rivaroxabano e 9 doentes no grupo comparador). </w:t>
      </w:r>
    </w:p>
    <w:p w14:paraId="65CFA69F" w14:textId="77777777" w:rsidR="00DA427C" w:rsidRDefault="00DA427C" w:rsidP="00DA427C">
      <w:pPr>
        <w:autoSpaceDE w:val="0"/>
        <w:autoSpaceDN w:val="0"/>
        <w:adjustRightInd w:val="0"/>
        <w:rPr>
          <w:color w:val="000000"/>
          <w:szCs w:val="22"/>
          <w:lang w:eastAsia="pt-PT"/>
        </w:rPr>
      </w:pPr>
    </w:p>
    <w:p w14:paraId="6A3804D1" w14:textId="77777777" w:rsidR="00DA427C" w:rsidRDefault="00DA427C" w:rsidP="00DA427C">
      <w:pPr>
        <w:autoSpaceDE w:val="0"/>
        <w:autoSpaceDN w:val="0"/>
        <w:adjustRightInd w:val="0"/>
        <w:rPr>
          <w:color w:val="000000"/>
          <w:szCs w:val="22"/>
          <w:lang w:eastAsia="pt-PT"/>
        </w:rPr>
      </w:pPr>
      <w:r w:rsidRPr="00DA427C">
        <w:rPr>
          <w:color w:val="000000"/>
          <w:szCs w:val="22"/>
          <w:lang w:eastAsia="pt-PT"/>
        </w:rPr>
        <w:t xml:space="preserve">O TEV foi provocado por fatores de risco persistentes, transitórios ou persistentes e transitórios em 438 (87,6%) crianças. </w:t>
      </w:r>
    </w:p>
    <w:p w14:paraId="021DA4B7" w14:textId="77777777" w:rsidR="00DA427C" w:rsidRPr="00DA427C" w:rsidRDefault="00DA427C" w:rsidP="00DA427C">
      <w:pPr>
        <w:autoSpaceDE w:val="0"/>
        <w:autoSpaceDN w:val="0"/>
        <w:adjustRightInd w:val="0"/>
        <w:rPr>
          <w:color w:val="000000"/>
          <w:szCs w:val="22"/>
          <w:lang w:eastAsia="pt-PT"/>
        </w:rPr>
      </w:pPr>
    </w:p>
    <w:p w14:paraId="4644AB57" w14:textId="77777777" w:rsidR="00DA427C" w:rsidRDefault="00DA427C" w:rsidP="00DA427C">
      <w:pPr>
        <w:autoSpaceDE w:val="0"/>
        <w:autoSpaceDN w:val="0"/>
        <w:adjustRightInd w:val="0"/>
        <w:rPr>
          <w:color w:val="000000"/>
          <w:szCs w:val="22"/>
          <w:lang w:eastAsia="pt-PT"/>
        </w:rPr>
      </w:pPr>
      <w:r w:rsidRPr="00DA427C">
        <w:rPr>
          <w:color w:val="000000"/>
          <w:szCs w:val="22"/>
          <w:lang w:eastAsia="pt-PT"/>
        </w:rPr>
        <w:t xml:space="preserve">Os doentes receberam um tratamento inicial com doses terapêuticas de HNF, HBPM ou fondaparinux durante, pelo menos, 5 dias, e foram aleatorizados em 2:1 para receberem doses de rivaroxabano ajustadas em função do peso corporal ou o grupo comparador (heparinas, AVK) durante um período de tratamento do estudo principal de 3 meses (1 mês para crianças com &lt; 2 anos de idade com TEV-CVC). No final do período de tratamento do estudo principal, o teste de diagnóstico por imagiologia, que foi obtido no início do estudo, era repetido se clinicamente necessário. O tratamento do estudo podia ser cessado nesta altura ou continuado até 12 meses (para crianças com &lt; 2 anos de idade com TEV-CVC até 3 meses) no total, de acordo com o critério do investigador. </w:t>
      </w:r>
    </w:p>
    <w:p w14:paraId="536DFE8D" w14:textId="77777777" w:rsidR="00DA427C" w:rsidRPr="00DA427C" w:rsidRDefault="00DA427C" w:rsidP="00DA427C">
      <w:pPr>
        <w:autoSpaceDE w:val="0"/>
        <w:autoSpaceDN w:val="0"/>
        <w:adjustRightInd w:val="0"/>
        <w:rPr>
          <w:color w:val="000000"/>
          <w:szCs w:val="22"/>
          <w:lang w:eastAsia="pt-PT"/>
        </w:rPr>
      </w:pPr>
    </w:p>
    <w:p w14:paraId="3DCB3ED0" w14:textId="77777777" w:rsidR="00DA427C" w:rsidRDefault="00DA427C" w:rsidP="00DA427C">
      <w:pPr>
        <w:autoSpaceDE w:val="0"/>
        <w:autoSpaceDN w:val="0"/>
        <w:adjustRightInd w:val="0"/>
        <w:rPr>
          <w:color w:val="000000"/>
          <w:szCs w:val="22"/>
          <w:lang w:eastAsia="pt-PT"/>
        </w:rPr>
      </w:pPr>
      <w:r w:rsidRPr="00DA427C">
        <w:rPr>
          <w:color w:val="000000"/>
          <w:szCs w:val="22"/>
          <w:lang w:eastAsia="pt-PT"/>
        </w:rPr>
        <w:t xml:space="preserve">O objetivo primário da eficácia era o TEV sintomático recorrente. O objetivo primário da segurança era o compósito de hemorragia principal e hemorragia não-principal clinicamente relevante (HNMCR). Todos os resultados da eficácia e da segurança foram adjudicados centralmente por uma comissão independente em ocultação para a alocação do tratamento. Os resultados da eficácia e da segurança estão apresentados nos quadros 11 e 12 a seguir. </w:t>
      </w:r>
    </w:p>
    <w:p w14:paraId="3935985D" w14:textId="77777777" w:rsidR="00DA427C" w:rsidRPr="00DA427C" w:rsidRDefault="00DA427C" w:rsidP="00DA427C">
      <w:pPr>
        <w:autoSpaceDE w:val="0"/>
        <w:autoSpaceDN w:val="0"/>
        <w:adjustRightInd w:val="0"/>
        <w:rPr>
          <w:color w:val="000000"/>
          <w:szCs w:val="22"/>
          <w:lang w:eastAsia="pt-PT"/>
        </w:rPr>
      </w:pPr>
    </w:p>
    <w:p w14:paraId="582309B7" w14:textId="77777777" w:rsidR="00DA427C" w:rsidRDefault="00DA427C" w:rsidP="00DA427C">
      <w:pPr>
        <w:suppressAutoHyphens/>
        <w:rPr>
          <w:szCs w:val="22"/>
        </w:rPr>
      </w:pPr>
      <w:r w:rsidRPr="00DA427C">
        <w:rPr>
          <w:color w:val="000000"/>
          <w:szCs w:val="22"/>
          <w:lang w:eastAsia="pt-PT"/>
        </w:rPr>
        <w:lastRenderedPageBreak/>
        <w:t xml:space="preserve">Ocorreram TEV recorrentes em 4 dos 335 doentes no grupo do </w:t>
      </w:r>
      <w:r w:rsidR="00A06C46">
        <w:rPr>
          <w:noProof/>
          <w:szCs w:val="22"/>
        </w:rPr>
        <w:t>Rivaroxabano</w:t>
      </w:r>
      <w:r w:rsidR="00A06C46" w:rsidRPr="0063119B">
        <w:rPr>
          <w:noProof/>
          <w:szCs w:val="22"/>
        </w:rPr>
        <w:t xml:space="preserve"> Accord</w:t>
      </w:r>
      <w:r w:rsidR="00A06C46" w:rsidRPr="00DA427C">
        <w:rPr>
          <w:color w:val="000000"/>
          <w:szCs w:val="22"/>
          <w:lang w:eastAsia="pt-PT"/>
        </w:rPr>
        <w:t xml:space="preserve"> </w:t>
      </w:r>
      <w:r w:rsidRPr="00DA427C">
        <w:rPr>
          <w:color w:val="000000"/>
          <w:szCs w:val="22"/>
          <w:lang w:eastAsia="pt-PT"/>
        </w:rPr>
        <w:t xml:space="preserve">e em 5 dos 165 doentes no grupo comparador. O compósito de hemorragia principal e HNMCR foi comunicado em 10 dos 329 doentes (3%) tratados com </w:t>
      </w:r>
      <w:r w:rsidR="00A06C46">
        <w:rPr>
          <w:noProof/>
          <w:szCs w:val="22"/>
        </w:rPr>
        <w:t>Rivaroxabano</w:t>
      </w:r>
      <w:r w:rsidR="00A06C46" w:rsidRPr="0063119B">
        <w:rPr>
          <w:noProof/>
          <w:szCs w:val="22"/>
        </w:rPr>
        <w:t xml:space="preserve"> Accord</w:t>
      </w:r>
      <w:r w:rsidR="00A06C46" w:rsidRPr="00DA427C">
        <w:rPr>
          <w:color w:val="000000"/>
          <w:szCs w:val="22"/>
          <w:lang w:eastAsia="pt-PT"/>
        </w:rPr>
        <w:t xml:space="preserve"> </w:t>
      </w:r>
      <w:r w:rsidRPr="00DA427C">
        <w:rPr>
          <w:color w:val="000000"/>
          <w:szCs w:val="22"/>
          <w:lang w:eastAsia="pt-PT"/>
        </w:rPr>
        <w:t xml:space="preserve">e em 3 dos 162 doentes (1,9%) tratados com o comparador. Foi reportado benefício clínico líquido (TEV sintomático recorrente mais acontecimentos de hemorragia principal) em 4 dos 335 doentes no grupo do </w:t>
      </w:r>
      <w:r w:rsidR="00A06C46">
        <w:rPr>
          <w:noProof/>
          <w:szCs w:val="22"/>
        </w:rPr>
        <w:t>Rivaroxabano</w:t>
      </w:r>
      <w:r w:rsidR="00A06C46" w:rsidRPr="0063119B">
        <w:rPr>
          <w:noProof/>
          <w:szCs w:val="22"/>
        </w:rPr>
        <w:t xml:space="preserve"> Accord</w:t>
      </w:r>
      <w:r w:rsidR="00A06C46" w:rsidRPr="00DA427C">
        <w:rPr>
          <w:color w:val="000000"/>
          <w:szCs w:val="22"/>
          <w:lang w:eastAsia="pt-PT"/>
        </w:rPr>
        <w:t xml:space="preserve"> </w:t>
      </w:r>
      <w:r w:rsidRPr="00DA427C">
        <w:rPr>
          <w:color w:val="000000"/>
          <w:szCs w:val="22"/>
          <w:lang w:eastAsia="pt-PT"/>
        </w:rPr>
        <w:t xml:space="preserve">e em 7 dos 165 doentes no grupo comparador. A normalização da carga trombótica em imagiologia repetida ocorreu em 128 dos 335 doentes tratados com </w:t>
      </w:r>
      <w:r w:rsidR="00A06C46">
        <w:rPr>
          <w:noProof/>
          <w:szCs w:val="22"/>
        </w:rPr>
        <w:t>Rivaroxabano</w:t>
      </w:r>
      <w:r w:rsidR="00A06C46" w:rsidRPr="0063119B">
        <w:rPr>
          <w:noProof/>
          <w:szCs w:val="22"/>
        </w:rPr>
        <w:t xml:space="preserve"> Accord</w:t>
      </w:r>
      <w:r w:rsidR="00A06C46" w:rsidRPr="00DA427C">
        <w:rPr>
          <w:color w:val="000000"/>
          <w:szCs w:val="22"/>
          <w:lang w:eastAsia="pt-PT"/>
        </w:rPr>
        <w:t xml:space="preserve"> </w:t>
      </w:r>
      <w:r w:rsidRPr="00DA427C">
        <w:rPr>
          <w:color w:val="000000"/>
          <w:szCs w:val="22"/>
          <w:lang w:eastAsia="pt-PT"/>
        </w:rPr>
        <w:t>e em 43 dos 165 doentes no grupo comparador. Estes achados foram geralmente semelhantes entre os grupos</w:t>
      </w:r>
      <w:r>
        <w:rPr>
          <w:color w:val="000000"/>
          <w:szCs w:val="22"/>
          <w:lang w:eastAsia="pt-PT"/>
        </w:rPr>
        <w:t xml:space="preserve"> </w:t>
      </w:r>
      <w:r>
        <w:rPr>
          <w:szCs w:val="22"/>
        </w:rPr>
        <w:t>etários. Existiram 119 (36,2%) crianças com hemorragia emergente do tratamento no grupo do rivaroxabano e 45 (27,8%) crianças no grupo do comparador.</w:t>
      </w:r>
    </w:p>
    <w:p w14:paraId="53389AD4" w14:textId="77777777" w:rsidR="00DA427C" w:rsidRDefault="00DA427C" w:rsidP="00DA427C">
      <w:pPr>
        <w:suppressAutoHyphens/>
        <w:rPr>
          <w:szCs w:val="22"/>
        </w:rPr>
      </w:pPr>
    </w:p>
    <w:p w14:paraId="3D989FB1" w14:textId="77777777" w:rsidR="00DA427C" w:rsidRDefault="00DA427C" w:rsidP="00DA427C">
      <w:pPr>
        <w:suppressAutoHyphens/>
        <w:rPr>
          <w:szCs w:val="22"/>
        </w:rPr>
      </w:pPr>
    </w:p>
    <w:p w14:paraId="233319A0" w14:textId="77777777" w:rsidR="00DA427C" w:rsidRDefault="00DA427C" w:rsidP="00DA427C">
      <w:pPr>
        <w:suppressAutoHyphens/>
        <w:rPr>
          <w:szCs w:val="22"/>
        </w:rPr>
      </w:pPr>
      <w:r>
        <w:rPr>
          <w:b/>
          <w:bCs/>
          <w:szCs w:val="22"/>
        </w:rPr>
        <w:t>Quadro 11: Resultados da eficácia no final do período de tratamento principal</w:t>
      </w:r>
    </w:p>
    <w:p w14:paraId="7A6ADE2C" w14:textId="77777777" w:rsidR="00DA427C" w:rsidRDefault="00DA427C" w:rsidP="00DA427C">
      <w:pPr>
        <w:suppressAutoHyphens/>
        <w:rPr>
          <w:szCs w:val="22"/>
        </w:rPr>
      </w:pP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DA427C" w14:paraId="1D0AAAE8" w14:textId="77777777" w:rsidTr="002F17B1">
        <w:trPr>
          <w:trHeight w:hRule="exact" w:val="516"/>
        </w:trPr>
        <w:tc>
          <w:tcPr>
            <w:tcW w:w="5212" w:type="dxa"/>
            <w:tcBorders>
              <w:top w:val="single" w:sz="6" w:space="0" w:color="7E7E7E"/>
              <w:left w:val="single" w:sz="6" w:space="0" w:color="7E7E7E"/>
              <w:bottom w:val="single" w:sz="6" w:space="0" w:color="7E7E7E"/>
              <w:right w:val="single" w:sz="6" w:space="0" w:color="7E7E7E"/>
            </w:tcBorders>
            <w:hideMark/>
          </w:tcPr>
          <w:p w14:paraId="70DA3006" w14:textId="77777777" w:rsidR="00DA427C" w:rsidRDefault="00DA427C" w:rsidP="00DA427C">
            <w:pPr>
              <w:pStyle w:val="Default"/>
              <w:rPr>
                <w:szCs w:val="22"/>
              </w:rPr>
            </w:pPr>
            <w:proofErr w:type="spellStart"/>
            <w:r>
              <w:rPr>
                <w:b/>
                <w:bCs/>
                <w:sz w:val="22"/>
                <w:szCs w:val="22"/>
              </w:rPr>
              <w:t>Acontecimento</w:t>
            </w:r>
            <w:proofErr w:type="spellEnd"/>
            <w:r>
              <w:rPr>
                <w:b/>
                <w:bCs/>
                <w:sz w:val="22"/>
                <w:szCs w:val="22"/>
              </w:rPr>
              <w:t xml:space="preserve"> </w:t>
            </w:r>
          </w:p>
          <w:p w14:paraId="7D7141B3" w14:textId="77777777" w:rsidR="00DA427C" w:rsidRDefault="00DA427C">
            <w:pPr>
              <w:tabs>
                <w:tab w:val="left" w:pos="708"/>
              </w:tabs>
              <w:rPr>
                <w:szCs w:val="22"/>
                <w:lang w:val="en-US" w:bidi="gu-IN"/>
              </w:rPr>
            </w:pPr>
          </w:p>
        </w:tc>
        <w:tc>
          <w:tcPr>
            <w:tcW w:w="2126" w:type="dxa"/>
            <w:tcBorders>
              <w:top w:val="single" w:sz="6" w:space="0" w:color="7E7E7E"/>
              <w:left w:val="single" w:sz="6" w:space="0" w:color="7E7E7E"/>
              <w:bottom w:val="single" w:sz="6" w:space="0" w:color="7E7E7E"/>
              <w:right w:val="single" w:sz="6" w:space="0" w:color="7E7E7E"/>
            </w:tcBorders>
            <w:hideMark/>
          </w:tcPr>
          <w:p w14:paraId="7CF2630A" w14:textId="77777777" w:rsidR="00DA427C" w:rsidRDefault="00DA427C" w:rsidP="00EF3721">
            <w:pPr>
              <w:tabs>
                <w:tab w:val="left" w:pos="708"/>
              </w:tabs>
              <w:jc w:val="center"/>
              <w:rPr>
                <w:szCs w:val="22"/>
                <w:lang w:val="en-US" w:bidi="gu-IN"/>
              </w:rPr>
            </w:pPr>
            <w:proofErr w:type="spellStart"/>
            <w:r>
              <w:rPr>
                <w:b/>
                <w:szCs w:val="22"/>
                <w:lang w:val="en-US" w:bidi="gu-IN"/>
              </w:rPr>
              <w:t>Rivaroxabano</w:t>
            </w:r>
            <w:proofErr w:type="spellEnd"/>
            <w:r>
              <w:rPr>
                <w:b/>
                <w:szCs w:val="22"/>
                <w:lang w:val="en-US" w:bidi="gu-IN"/>
              </w:rPr>
              <w:t xml:space="preserve"> N=335*</w:t>
            </w:r>
          </w:p>
        </w:tc>
        <w:tc>
          <w:tcPr>
            <w:tcW w:w="2126" w:type="dxa"/>
            <w:tcBorders>
              <w:top w:val="single" w:sz="6" w:space="0" w:color="7E7E7E"/>
              <w:left w:val="single" w:sz="6" w:space="0" w:color="7E7E7E"/>
              <w:bottom w:val="single" w:sz="6" w:space="0" w:color="7E7E7E"/>
              <w:right w:val="single" w:sz="6" w:space="0" w:color="7E7E7E"/>
            </w:tcBorders>
            <w:hideMark/>
          </w:tcPr>
          <w:p w14:paraId="79CE6FF0" w14:textId="77777777" w:rsidR="00DA427C" w:rsidRDefault="00DA427C" w:rsidP="00EF3721">
            <w:pPr>
              <w:tabs>
                <w:tab w:val="left" w:pos="708"/>
              </w:tabs>
              <w:jc w:val="center"/>
              <w:rPr>
                <w:b/>
                <w:szCs w:val="22"/>
                <w:lang w:val="en-US" w:bidi="gu-IN"/>
              </w:rPr>
            </w:pPr>
            <w:proofErr w:type="spellStart"/>
            <w:r>
              <w:rPr>
                <w:b/>
                <w:szCs w:val="22"/>
                <w:lang w:val="en-US" w:bidi="gu-IN"/>
              </w:rPr>
              <w:t>Comparador</w:t>
            </w:r>
            <w:proofErr w:type="spellEnd"/>
          </w:p>
          <w:p w14:paraId="7FA94D62" w14:textId="77777777" w:rsidR="00DA427C" w:rsidRDefault="00DA427C" w:rsidP="00EF3721">
            <w:pPr>
              <w:tabs>
                <w:tab w:val="left" w:pos="708"/>
              </w:tabs>
              <w:jc w:val="center"/>
              <w:rPr>
                <w:szCs w:val="22"/>
                <w:lang w:val="en-US" w:bidi="gu-IN"/>
              </w:rPr>
            </w:pPr>
            <w:r>
              <w:rPr>
                <w:b/>
                <w:szCs w:val="22"/>
                <w:lang w:val="en-US" w:bidi="gu-IN"/>
              </w:rPr>
              <w:t>N=165*</w:t>
            </w:r>
          </w:p>
        </w:tc>
      </w:tr>
      <w:tr w:rsidR="00DA427C" w14:paraId="2D96DF6A" w14:textId="77777777" w:rsidTr="002F17B1">
        <w:trPr>
          <w:trHeight w:hRule="exact" w:val="270"/>
        </w:trPr>
        <w:tc>
          <w:tcPr>
            <w:tcW w:w="5212" w:type="dxa"/>
            <w:vMerge w:val="restart"/>
            <w:tcBorders>
              <w:top w:val="single" w:sz="6" w:space="0" w:color="7E7E7E"/>
              <w:left w:val="single" w:sz="6" w:space="0" w:color="7E7E7E"/>
              <w:bottom w:val="single" w:sz="6" w:space="0" w:color="7E7E7E"/>
              <w:right w:val="single" w:sz="6" w:space="0" w:color="7E7E7E"/>
            </w:tcBorders>
            <w:hideMark/>
          </w:tcPr>
          <w:p w14:paraId="3D4B34F6" w14:textId="77777777" w:rsidR="00DA427C" w:rsidRPr="00EF3721" w:rsidRDefault="00DA427C" w:rsidP="00EF3721">
            <w:pPr>
              <w:pStyle w:val="Default"/>
              <w:rPr>
                <w:szCs w:val="22"/>
                <w:lang w:val="pt-PT"/>
              </w:rPr>
            </w:pPr>
            <w:r w:rsidRPr="00EF3721">
              <w:rPr>
                <w:sz w:val="22"/>
                <w:szCs w:val="22"/>
                <w:lang w:val="pt-PT"/>
              </w:rPr>
              <w:t xml:space="preserve">TEV recorrente (objetivo primário da eficácia) </w:t>
            </w:r>
          </w:p>
        </w:tc>
        <w:tc>
          <w:tcPr>
            <w:tcW w:w="2126" w:type="dxa"/>
            <w:tcBorders>
              <w:top w:val="single" w:sz="6" w:space="0" w:color="7E7E7E"/>
              <w:left w:val="single" w:sz="6" w:space="0" w:color="7E7E7E"/>
              <w:bottom w:val="nil"/>
              <w:right w:val="single" w:sz="6" w:space="0" w:color="7E7E7E"/>
            </w:tcBorders>
            <w:hideMark/>
          </w:tcPr>
          <w:p w14:paraId="093BA16E" w14:textId="77777777" w:rsidR="00DA427C" w:rsidRDefault="00DA427C" w:rsidP="00EF3721">
            <w:pPr>
              <w:tabs>
                <w:tab w:val="left" w:pos="708"/>
              </w:tabs>
              <w:jc w:val="center"/>
              <w:rPr>
                <w:szCs w:val="22"/>
                <w:lang w:val="en-US" w:bidi="gu-IN"/>
              </w:rPr>
            </w:pPr>
            <w:r>
              <w:rPr>
                <w:szCs w:val="22"/>
                <w:lang w:val="en-US" w:bidi="gu-IN"/>
              </w:rPr>
              <w:t>4</w:t>
            </w:r>
          </w:p>
        </w:tc>
        <w:tc>
          <w:tcPr>
            <w:tcW w:w="2126" w:type="dxa"/>
            <w:tcBorders>
              <w:top w:val="single" w:sz="6" w:space="0" w:color="7E7E7E"/>
              <w:left w:val="single" w:sz="6" w:space="0" w:color="7E7E7E"/>
              <w:bottom w:val="nil"/>
              <w:right w:val="single" w:sz="6" w:space="0" w:color="7E7E7E"/>
            </w:tcBorders>
            <w:hideMark/>
          </w:tcPr>
          <w:p w14:paraId="4FACA731" w14:textId="77777777" w:rsidR="00DA427C" w:rsidRDefault="00DA427C" w:rsidP="00EF3721">
            <w:pPr>
              <w:tabs>
                <w:tab w:val="left" w:pos="708"/>
              </w:tabs>
              <w:jc w:val="center"/>
              <w:rPr>
                <w:szCs w:val="22"/>
                <w:lang w:val="en-US" w:bidi="gu-IN"/>
              </w:rPr>
            </w:pPr>
            <w:r>
              <w:rPr>
                <w:szCs w:val="22"/>
                <w:lang w:val="en-US" w:bidi="gu-IN"/>
              </w:rPr>
              <w:t>5</w:t>
            </w:r>
          </w:p>
        </w:tc>
      </w:tr>
      <w:tr w:rsidR="00DA427C" w14:paraId="47038D3E" w14:textId="77777777" w:rsidTr="002F17B1">
        <w:trPr>
          <w:trHeight w:hRule="exact" w:val="253"/>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1005AC78" w14:textId="77777777" w:rsidR="00DA427C" w:rsidRDefault="00DA427C">
            <w:pPr>
              <w:rPr>
                <w:szCs w:val="22"/>
                <w:lang w:val="en-US" w:bidi="gu-IN"/>
              </w:rPr>
            </w:pPr>
          </w:p>
        </w:tc>
        <w:tc>
          <w:tcPr>
            <w:tcW w:w="2126" w:type="dxa"/>
            <w:tcBorders>
              <w:top w:val="nil"/>
              <w:left w:val="single" w:sz="6" w:space="0" w:color="7E7E7E"/>
              <w:bottom w:val="nil"/>
              <w:right w:val="single" w:sz="6" w:space="0" w:color="7E7E7E"/>
            </w:tcBorders>
            <w:hideMark/>
          </w:tcPr>
          <w:p w14:paraId="44B62B98" w14:textId="77777777" w:rsidR="00DA427C" w:rsidRDefault="00DA427C" w:rsidP="00EF3721">
            <w:pPr>
              <w:tabs>
                <w:tab w:val="left" w:pos="708"/>
              </w:tabs>
              <w:jc w:val="center"/>
              <w:rPr>
                <w:szCs w:val="22"/>
                <w:lang w:val="en-US" w:bidi="gu-IN"/>
              </w:rPr>
            </w:pPr>
            <w:r>
              <w:rPr>
                <w:szCs w:val="22"/>
                <w:lang w:val="en-US" w:bidi="gu-IN"/>
              </w:rPr>
              <w:t>(1.2%, 95% IC</w:t>
            </w:r>
          </w:p>
        </w:tc>
        <w:tc>
          <w:tcPr>
            <w:tcW w:w="2126" w:type="dxa"/>
            <w:tcBorders>
              <w:top w:val="nil"/>
              <w:left w:val="single" w:sz="6" w:space="0" w:color="7E7E7E"/>
              <w:bottom w:val="nil"/>
              <w:right w:val="single" w:sz="6" w:space="0" w:color="7E7E7E"/>
            </w:tcBorders>
            <w:hideMark/>
          </w:tcPr>
          <w:p w14:paraId="1BB3424F" w14:textId="77777777" w:rsidR="00DA427C" w:rsidRDefault="00DA427C" w:rsidP="00EF3721">
            <w:pPr>
              <w:tabs>
                <w:tab w:val="left" w:pos="708"/>
              </w:tabs>
              <w:jc w:val="center"/>
              <w:rPr>
                <w:szCs w:val="22"/>
                <w:lang w:val="en-US" w:bidi="gu-IN"/>
              </w:rPr>
            </w:pPr>
            <w:r>
              <w:rPr>
                <w:szCs w:val="22"/>
                <w:lang w:val="en-US" w:bidi="gu-IN"/>
              </w:rPr>
              <w:t>(3.0%, 95% IC</w:t>
            </w:r>
          </w:p>
        </w:tc>
      </w:tr>
      <w:tr w:rsidR="00DA427C" w14:paraId="7A8CDDD3" w14:textId="77777777" w:rsidTr="002F17B1">
        <w:trPr>
          <w:trHeight w:hRule="exact" w:val="246"/>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6E4E545E" w14:textId="77777777" w:rsidR="00DA427C" w:rsidRDefault="00DA427C">
            <w:pPr>
              <w:rPr>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4E0799FA" w14:textId="77777777" w:rsidR="00DA427C" w:rsidRDefault="00DA427C" w:rsidP="00EF3721">
            <w:pPr>
              <w:tabs>
                <w:tab w:val="left" w:pos="708"/>
              </w:tabs>
              <w:jc w:val="center"/>
              <w:rPr>
                <w:szCs w:val="22"/>
                <w:lang w:val="en-US" w:bidi="gu-IN"/>
              </w:rPr>
            </w:pPr>
            <w:r>
              <w:rPr>
                <w:szCs w:val="22"/>
                <w:lang w:val="en-US" w:bidi="gu-IN"/>
              </w:rPr>
              <w:t>0.4% – 3.0%)</w:t>
            </w:r>
          </w:p>
        </w:tc>
        <w:tc>
          <w:tcPr>
            <w:tcW w:w="2126" w:type="dxa"/>
            <w:tcBorders>
              <w:top w:val="nil"/>
              <w:left w:val="single" w:sz="6" w:space="0" w:color="7E7E7E"/>
              <w:bottom w:val="single" w:sz="6" w:space="0" w:color="7E7E7E"/>
              <w:right w:val="single" w:sz="6" w:space="0" w:color="7E7E7E"/>
            </w:tcBorders>
            <w:hideMark/>
          </w:tcPr>
          <w:p w14:paraId="14AAE12B" w14:textId="77777777" w:rsidR="00DA427C" w:rsidRDefault="00DA427C" w:rsidP="00EF3721">
            <w:pPr>
              <w:tabs>
                <w:tab w:val="left" w:pos="708"/>
              </w:tabs>
              <w:jc w:val="center"/>
              <w:rPr>
                <w:szCs w:val="22"/>
                <w:lang w:val="en-US" w:bidi="gu-IN"/>
              </w:rPr>
            </w:pPr>
            <w:r>
              <w:rPr>
                <w:szCs w:val="22"/>
                <w:lang w:val="en-US" w:bidi="gu-IN"/>
              </w:rPr>
              <w:t>1.2% - 6.6%)</w:t>
            </w:r>
          </w:p>
        </w:tc>
      </w:tr>
      <w:tr w:rsidR="00DA427C" w14:paraId="32590CB0" w14:textId="77777777" w:rsidTr="002F17B1">
        <w:trPr>
          <w:trHeight w:hRule="exact" w:val="270"/>
        </w:trPr>
        <w:tc>
          <w:tcPr>
            <w:tcW w:w="5212" w:type="dxa"/>
            <w:tcBorders>
              <w:top w:val="single" w:sz="6" w:space="0" w:color="7E7E7E"/>
              <w:left w:val="single" w:sz="6" w:space="0" w:color="7E7E7E"/>
              <w:bottom w:val="nil"/>
              <w:right w:val="single" w:sz="6" w:space="0" w:color="7E7E7E"/>
            </w:tcBorders>
            <w:hideMark/>
          </w:tcPr>
          <w:p w14:paraId="0926D221" w14:textId="77777777" w:rsidR="00DA427C" w:rsidRDefault="00DA427C" w:rsidP="00DA427C">
            <w:pPr>
              <w:pStyle w:val="Default"/>
              <w:rPr>
                <w:szCs w:val="22"/>
              </w:rPr>
            </w:pPr>
            <w:proofErr w:type="spellStart"/>
            <w:r>
              <w:rPr>
                <w:sz w:val="22"/>
                <w:szCs w:val="22"/>
              </w:rPr>
              <w:t>Compósito</w:t>
            </w:r>
            <w:proofErr w:type="spellEnd"/>
            <w:r>
              <w:rPr>
                <w:sz w:val="22"/>
                <w:szCs w:val="22"/>
              </w:rPr>
              <w:t xml:space="preserve">: TEV </w:t>
            </w:r>
            <w:proofErr w:type="spellStart"/>
            <w:r>
              <w:rPr>
                <w:sz w:val="22"/>
                <w:szCs w:val="22"/>
              </w:rPr>
              <w:t>sintomático</w:t>
            </w:r>
            <w:proofErr w:type="spellEnd"/>
            <w:r>
              <w:rPr>
                <w:sz w:val="22"/>
                <w:szCs w:val="22"/>
              </w:rPr>
              <w:t xml:space="preserve"> </w:t>
            </w:r>
            <w:proofErr w:type="spellStart"/>
            <w:r>
              <w:rPr>
                <w:sz w:val="22"/>
                <w:szCs w:val="22"/>
              </w:rPr>
              <w:t>recorrente</w:t>
            </w:r>
            <w:proofErr w:type="spellEnd"/>
            <w:r>
              <w:rPr>
                <w:sz w:val="22"/>
                <w:szCs w:val="22"/>
              </w:rPr>
              <w:t xml:space="preserve"> + </w:t>
            </w:r>
            <w:proofErr w:type="spellStart"/>
            <w:r>
              <w:rPr>
                <w:sz w:val="22"/>
                <w:szCs w:val="22"/>
              </w:rPr>
              <w:t>deterioração</w:t>
            </w:r>
            <w:proofErr w:type="spellEnd"/>
            <w:r>
              <w:rPr>
                <w:sz w:val="22"/>
                <w:szCs w:val="22"/>
              </w:rPr>
              <w:t xml:space="preserve"> </w:t>
            </w:r>
          </w:p>
          <w:p w14:paraId="3157F3D0" w14:textId="77777777" w:rsidR="00DA427C" w:rsidRDefault="00DA427C">
            <w:pPr>
              <w:tabs>
                <w:tab w:val="left" w:pos="708"/>
              </w:tabs>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16313267" w14:textId="77777777" w:rsidR="00DA427C" w:rsidRDefault="00DA427C" w:rsidP="00EF3721">
            <w:pPr>
              <w:tabs>
                <w:tab w:val="left" w:pos="708"/>
              </w:tabs>
              <w:jc w:val="center"/>
              <w:rPr>
                <w:szCs w:val="22"/>
                <w:lang w:val="en-US" w:bidi="gu-IN"/>
              </w:rPr>
            </w:pPr>
            <w:r>
              <w:rPr>
                <w:szCs w:val="22"/>
                <w:lang w:val="en-US" w:bidi="gu-IN"/>
              </w:rPr>
              <w:t>5</w:t>
            </w:r>
          </w:p>
        </w:tc>
        <w:tc>
          <w:tcPr>
            <w:tcW w:w="2126" w:type="dxa"/>
            <w:tcBorders>
              <w:top w:val="single" w:sz="6" w:space="0" w:color="7E7E7E"/>
              <w:left w:val="single" w:sz="6" w:space="0" w:color="7E7E7E"/>
              <w:bottom w:val="nil"/>
              <w:right w:val="single" w:sz="6" w:space="0" w:color="7E7E7E"/>
            </w:tcBorders>
            <w:hideMark/>
          </w:tcPr>
          <w:p w14:paraId="786769F6" w14:textId="77777777" w:rsidR="00DA427C" w:rsidRDefault="00DA427C" w:rsidP="00EF3721">
            <w:pPr>
              <w:tabs>
                <w:tab w:val="left" w:pos="708"/>
              </w:tabs>
              <w:jc w:val="center"/>
              <w:rPr>
                <w:szCs w:val="22"/>
                <w:lang w:val="en-US" w:bidi="gu-IN"/>
              </w:rPr>
            </w:pPr>
            <w:r>
              <w:rPr>
                <w:szCs w:val="22"/>
                <w:lang w:val="en-US" w:bidi="gu-IN"/>
              </w:rPr>
              <w:t>6</w:t>
            </w:r>
          </w:p>
        </w:tc>
      </w:tr>
      <w:tr w:rsidR="00DA427C" w14:paraId="5BB2591D" w14:textId="77777777" w:rsidTr="002F17B1">
        <w:trPr>
          <w:trHeight w:hRule="exact" w:val="253"/>
        </w:trPr>
        <w:tc>
          <w:tcPr>
            <w:tcW w:w="5212" w:type="dxa"/>
            <w:vMerge w:val="restart"/>
            <w:tcBorders>
              <w:top w:val="nil"/>
              <w:left w:val="single" w:sz="6" w:space="0" w:color="7E7E7E"/>
              <w:bottom w:val="single" w:sz="6" w:space="0" w:color="7E7E7E"/>
              <w:right w:val="single" w:sz="6" w:space="0" w:color="7E7E7E"/>
            </w:tcBorders>
            <w:hideMark/>
          </w:tcPr>
          <w:p w14:paraId="1D487B67" w14:textId="77777777" w:rsidR="00DA427C" w:rsidRDefault="00DA427C">
            <w:pPr>
              <w:tabs>
                <w:tab w:val="left" w:pos="708"/>
              </w:tabs>
              <w:rPr>
                <w:szCs w:val="22"/>
                <w:lang w:val="en-US" w:bidi="gu-IN"/>
              </w:rPr>
            </w:pPr>
            <w:proofErr w:type="spellStart"/>
            <w:r w:rsidRPr="00DA427C">
              <w:rPr>
                <w:szCs w:val="22"/>
                <w:lang w:val="en-US" w:bidi="gu-IN"/>
              </w:rPr>
              <w:t>assintomática</w:t>
            </w:r>
            <w:proofErr w:type="spellEnd"/>
            <w:r w:rsidRPr="00DA427C">
              <w:rPr>
                <w:szCs w:val="22"/>
                <w:lang w:val="en-US" w:bidi="gu-IN"/>
              </w:rPr>
              <w:t xml:space="preserve"> </w:t>
            </w:r>
            <w:proofErr w:type="spellStart"/>
            <w:r w:rsidRPr="00DA427C">
              <w:rPr>
                <w:szCs w:val="22"/>
                <w:lang w:val="en-US" w:bidi="gu-IN"/>
              </w:rPr>
              <w:t>na</w:t>
            </w:r>
            <w:proofErr w:type="spellEnd"/>
            <w:r w:rsidRPr="00DA427C">
              <w:rPr>
                <w:szCs w:val="22"/>
                <w:lang w:val="en-US" w:bidi="gu-IN"/>
              </w:rPr>
              <w:t xml:space="preserve"> </w:t>
            </w:r>
            <w:proofErr w:type="spellStart"/>
            <w:r w:rsidRPr="00DA427C">
              <w:rPr>
                <w:szCs w:val="22"/>
                <w:lang w:val="en-US" w:bidi="gu-IN"/>
              </w:rPr>
              <w:t>imagiologia</w:t>
            </w:r>
            <w:proofErr w:type="spellEnd"/>
            <w:r w:rsidRPr="00DA427C">
              <w:rPr>
                <w:szCs w:val="22"/>
                <w:lang w:val="en-US" w:bidi="gu-IN"/>
              </w:rPr>
              <w:t xml:space="preserve"> </w:t>
            </w:r>
            <w:proofErr w:type="spellStart"/>
            <w:r w:rsidRPr="00DA427C">
              <w:rPr>
                <w:szCs w:val="22"/>
                <w:lang w:val="en-US" w:bidi="gu-IN"/>
              </w:rPr>
              <w:t>repetida</w:t>
            </w:r>
            <w:proofErr w:type="spellEnd"/>
          </w:p>
        </w:tc>
        <w:tc>
          <w:tcPr>
            <w:tcW w:w="2126" w:type="dxa"/>
            <w:tcBorders>
              <w:top w:val="nil"/>
              <w:left w:val="single" w:sz="6" w:space="0" w:color="7E7E7E"/>
              <w:bottom w:val="nil"/>
              <w:right w:val="single" w:sz="6" w:space="0" w:color="7E7E7E"/>
            </w:tcBorders>
            <w:hideMark/>
          </w:tcPr>
          <w:p w14:paraId="00B2F27E" w14:textId="77777777" w:rsidR="00DA427C" w:rsidRDefault="00DA427C" w:rsidP="00EF3721">
            <w:pPr>
              <w:tabs>
                <w:tab w:val="left" w:pos="708"/>
              </w:tabs>
              <w:jc w:val="center"/>
              <w:rPr>
                <w:szCs w:val="22"/>
                <w:lang w:val="en-US" w:bidi="gu-IN"/>
              </w:rPr>
            </w:pPr>
            <w:r>
              <w:rPr>
                <w:szCs w:val="22"/>
                <w:lang w:val="en-US" w:bidi="gu-IN"/>
              </w:rPr>
              <w:t>(1.5%, 95% IC</w:t>
            </w:r>
          </w:p>
        </w:tc>
        <w:tc>
          <w:tcPr>
            <w:tcW w:w="2126" w:type="dxa"/>
            <w:tcBorders>
              <w:top w:val="nil"/>
              <w:left w:val="single" w:sz="6" w:space="0" w:color="7E7E7E"/>
              <w:bottom w:val="nil"/>
              <w:right w:val="single" w:sz="6" w:space="0" w:color="7E7E7E"/>
            </w:tcBorders>
            <w:hideMark/>
          </w:tcPr>
          <w:p w14:paraId="6C0D779B" w14:textId="77777777" w:rsidR="00DA427C" w:rsidRDefault="00DA427C" w:rsidP="00EF3721">
            <w:pPr>
              <w:tabs>
                <w:tab w:val="left" w:pos="708"/>
              </w:tabs>
              <w:jc w:val="center"/>
              <w:rPr>
                <w:szCs w:val="22"/>
                <w:lang w:val="en-US" w:bidi="gu-IN"/>
              </w:rPr>
            </w:pPr>
            <w:r>
              <w:rPr>
                <w:szCs w:val="22"/>
                <w:lang w:val="en-US" w:bidi="gu-IN"/>
              </w:rPr>
              <w:t>(3.6%, 95% IC</w:t>
            </w:r>
          </w:p>
        </w:tc>
      </w:tr>
      <w:tr w:rsidR="00DA427C" w14:paraId="2FF75A06" w14:textId="77777777" w:rsidTr="002F17B1">
        <w:trPr>
          <w:trHeight w:hRule="exact" w:val="246"/>
        </w:trPr>
        <w:tc>
          <w:tcPr>
            <w:tcW w:w="5212" w:type="dxa"/>
            <w:vMerge/>
            <w:tcBorders>
              <w:top w:val="nil"/>
              <w:left w:val="single" w:sz="6" w:space="0" w:color="7E7E7E"/>
              <w:bottom w:val="single" w:sz="6" w:space="0" w:color="7E7E7E"/>
              <w:right w:val="single" w:sz="6" w:space="0" w:color="7E7E7E"/>
            </w:tcBorders>
            <w:vAlign w:val="center"/>
            <w:hideMark/>
          </w:tcPr>
          <w:p w14:paraId="641190D0" w14:textId="77777777" w:rsidR="00DA427C" w:rsidRDefault="00DA427C">
            <w:pPr>
              <w:rPr>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10ED6F41" w14:textId="77777777" w:rsidR="00DA427C" w:rsidRDefault="00DA427C" w:rsidP="00EF3721">
            <w:pPr>
              <w:tabs>
                <w:tab w:val="left" w:pos="708"/>
              </w:tabs>
              <w:jc w:val="center"/>
              <w:rPr>
                <w:szCs w:val="22"/>
                <w:lang w:val="en-US" w:bidi="gu-IN"/>
              </w:rPr>
            </w:pPr>
            <w:r>
              <w:rPr>
                <w:szCs w:val="22"/>
                <w:lang w:val="en-US" w:bidi="gu-IN"/>
              </w:rPr>
              <w:t>0.6% – 3.4%)</w:t>
            </w:r>
          </w:p>
        </w:tc>
        <w:tc>
          <w:tcPr>
            <w:tcW w:w="2126" w:type="dxa"/>
            <w:tcBorders>
              <w:top w:val="nil"/>
              <w:left w:val="single" w:sz="6" w:space="0" w:color="7E7E7E"/>
              <w:bottom w:val="single" w:sz="6" w:space="0" w:color="7E7E7E"/>
              <w:right w:val="single" w:sz="6" w:space="0" w:color="7E7E7E"/>
            </w:tcBorders>
            <w:hideMark/>
          </w:tcPr>
          <w:p w14:paraId="7FD1D578" w14:textId="77777777" w:rsidR="00DA427C" w:rsidRDefault="00DA427C" w:rsidP="00EF3721">
            <w:pPr>
              <w:tabs>
                <w:tab w:val="left" w:pos="708"/>
              </w:tabs>
              <w:jc w:val="center"/>
              <w:rPr>
                <w:szCs w:val="22"/>
                <w:lang w:val="en-US" w:bidi="gu-IN"/>
              </w:rPr>
            </w:pPr>
            <w:r>
              <w:rPr>
                <w:szCs w:val="22"/>
                <w:lang w:val="en-US" w:bidi="gu-IN"/>
              </w:rPr>
              <w:t>1.6% – 7.6%)</w:t>
            </w:r>
          </w:p>
        </w:tc>
      </w:tr>
      <w:tr w:rsidR="00DA427C" w14:paraId="62A4B110" w14:textId="77777777" w:rsidTr="002F17B1">
        <w:trPr>
          <w:trHeight w:hRule="exact" w:val="270"/>
        </w:trPr>
        <w:tc>
          <w:tcPr>
            <w:tcW w:w="5212" w:type="dxa"/>
            <w:tcBorders>
              <w:top w:val="single" w:sz="6" w:space="0" w:color="7E7E7E"/>
              <w:left w:val="single" w:sz="6" w:space="0" w:color="7E7E7E"/>
              <w:bottom w:val="nil"/>
              <w:right w:val="single" w:sz="6" w:space="0" w:color="7E7E7E"/>
            </w:tcBorders>
            <w:hideMark/>
          </w:tcPr>
          <w:p w14:paraId="3F4574B7" w14:textId="77777777" w:rsidR="00DA427C" w:rsidRDefault="00DA427C" w:rsidP="00DA427C">
            <w:pPr>
              <w:pStyle w:val="Default"/>
              <w:rPr>
                <w:szCs w:val="22"/>
              </w:rPr>
            </w:pPr>
            <w:proofErr w:type="spellStart"/>
            <w:r>
              <w:rPr>
                <w:sz w:val="22"/>
                <w:szCs w:val="22"/>
              </w:rPr>
              <w:t>Compósito</w:t>
            </w:r>
            <w:proofErr w:type="spellEnd"/>
            <w:r>
              <w:rPr>
                <w:sz w:val="22"/>
                <w:szCs w:val="22"/>
              </w:rPr>
              <w:t xml:space="preserve">: TEV </w:t>
            </w:r>
            <w:proofErr w:type="spellStart"/>
            <w:r>
              <w:rPr>
                <w:sz w:val="22"/>
                <w:szCs w:val="22"/>
              </w:rPr>
              <w:t>sintomático</w:t>
            </w:r>
            <w:proofErr w:type="spellEnd"/>
            <w:r>
              <w:rPr>
                <w:sz w:val="22"/>
                <w:szCs w:val="22"/>
              </w:rPr>
              <w:t xml:space="preserve"> </w:t>
            </w:r>
            <w:proofErr w:type="spellStart"/>
            <w:r>
              <w:rPr>
                <w:sz w:val="22"/>
                <w:szCs w:val="22"/>
              </w:rPr>
              <w:t>recorrente</w:t>
            </w:r>
            <w:proofErr w:type="spellEnd"/>
            <w:r>
              <w:rPr>
                <w:sz w:val="22"/>
                <w:szCs w:val="22"/>
              </w:rPr>
              <w:t xml:space="preserve"> + </w:t>
            </w:r>
            <w:proofErr w:type="spellStart"/>
            <w:r>
              <w:rPr>
                <w:sz w:val="22"/>
                <w:szCs w:val="22"/>
              </w:rPr>
              <w:t>deterioração</w:t>
            </w:r>
            <w:proofErr w:type="spellEnd"/>
            <w:r>
              <w:rPr>
                <w:sz w:val="22"/>
                <w:szCs w:val="22"/>
              </w:rPr>
              <w:t xml:space="preserve"> </w:t>
            </w:r>
          </w:p>
          <w:p w14:paraId="669B76D5" w14:textId="77777777" w:rsidR="00DA427C" w:rsidRDefault="00DA427C">
            <w:pPr>
              <w:tabs>
                <w:tab w:val="left" w:pos="708"/>
              </w:tabs>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752AA7DC" w14:textId="77777777" w:rsidR="00DA427C" w:rsidRDefault="00DA427C" w:rsidP="00EF3721">
            <w:pPr>
              <w:tabs>
                <w:tab w:val="left" w:pos="708"/>
              </w:tabs>
              <w:jc w:val="center"/>
              <w:rPr>
                <w:szCs w:val="22"/>
                <w:lang w:val="en-US" w:bidi="gu-IN"/>
              </w:rPr>
            </w:pPr>
            <w:r>
              <w:rPr>
                <w:szCs w:val="22"/>
                <w:lang w:val="en-US" w:bidi="gu-IN"/>
              </w:rPr>
              <w:t>21</w:t>
            </w:r>
          </w:p>
        </w:tc>
        <w:tc>
          <w:tcPr>
            <w:tcW w:w="2126" w:type="dxa"/>
            <w:tcBorders>
              <w:top w:val="single" w:sz="6" w:space="0" w:color="7E7E7E"/>
              <w:left w:val="single" w:sz="6" w:space="0" w:color="7E7E7E"/>
              <w:bottom w:val="nil"/>
              <w:right w:val="single" w:sz="6" w:space="0" w:color="7E7E7E"/>
            </w:tcBorders>
            <w:hideMark/>
          </w:tcPr>
          <w:p w14:paraId="0076A500" w14:textId="77777777" w:rsidR="00DA427C" w:rsidRDefault="00DA427C" w:rsidP="00EF3721">
            <w:pPr>
              <w:tabs>
                <w:tab w:val="left" w:pos="708"/>
              </w:tabs>
              <w:jc w:val="center"/>
              <w:rPr>
                <w:szCs w:val="22"/>
                <w:lang w:val="en-US" w:bidi="gu-IN"/>
              </w:rPr>
            </w:pPr>
            <w:r>
              <w:rPr>
                <w:szCs w:val="22"/>
                <w:lang w:val="en-US" w:bidi="gu-IN"/>
              </w:rPr>
              <w:t>19</w:t>
            </w:r>
          </w:p>
        </w:tc>
      </w:tr>
      <w:tr w:rsidR="00DA427C" w14:paraId="64CE4B8F" w14:textId="77777777" w:rsidTr="002F17B1">
        <w:trPr>
          <w:trHeight w:hRule="exact" w:val="253"/>
        </w:trPr>
        <w:tc>
          <w:tcPr>
            <w:tcW w:w="5212" w:type="dxa"/>
            <w:tcBorders>
              <w:top w:val="nil"/>
              <w:left w:val="single" w:sz="6" w:space="0" w:color="7E7E7E"/>
              <w:bottom w:val="nil"/>
              <w:right w:val="single" w:sz="6" w:space="0" w:color="7E7E7E"/>
            </w:tcBorders>
            <w:hideMark/>
          </w:tcPr>
          <w:p w14:paraId="63299844" w14:textId="77777777" w:rsidR="00DA427C" w:rsidRPr="00EF3721" w:rsidRDefault="00DA427C">
            <w:pPr>
              <w:tabs>
                <w:tab w:val="left" w:pos="708"/>
              </w:tabs>
              <w:rPr>
                <w:szCs w:val="22"/>
                <w:lang w:bidi="gu-IN"/>
              </w:rPr>
            </w:pPr>
            <w:r w:rsidRPr="00EF3721">
              <w:rPr>
                <w:szCs w:val="22"/>
                <w:lang w:bidi="gu-IN"/>
              </w:rPr>
              <w:t>assintomática + ausência de alterações na imagiologia</w:t>
            </w:r>
          </w:p>
        </w:tc>
        <w:tc>
          <w:tcPr>
            <w:tcW w:w="2126" w:type="dxa"/>
            <w:tcBorders>
              <w:top w:val="nil"/>
              <w:left w:val="single" w:sz="6" w:space="0" w:color="7E7E7E"/>
              <w:bottom w:val="nil"/>
              <w:right w:val="single" w:sz="6" w:space="0" w:color="7E7E7E"/>
            </w:tcBorders>
            <w:hideMark/>
          </w:tcPr>
          <w:p w14:paraId="4DC34BC2" w14:textId="77777777" w:rsidR="00DA427C" w:rsidRDefault="00DA427C" w:rsidP="00EF3721">
            <w:pPr>
              <w:tabs>
                <w:tab w:val="left" w:pos="708"/>
              </w:tabs>
              <w:jc w:val="center"/>
              <w:rPr>
                <w:szCs w:val="22"/>
                <w:lang w:val="en-US" w:bidi="gu-IN"/>
              </w:rPr>
            </w:pPr>
            <w:r>
              <w:rPr>
                <w:szCs w:val="22"/>
                <w:lang w:val="en-US" w:bidi="gu-IN"/>
              </w:rPr>
              <w:t>(6.3%, 95% IC</w:t>
            </w:r>
          </w:p>
        </w:tc>
        <w:tc>
          <w:tcPr>
            <w:tcW w:w="2126" w:type="dxa"/>
            <w:tcBorders>
              <w:top w:val="nil"/>
              <w:left w:val="single" w:sz="6" w:space="0" w:color="7E7E7E"/>
              <w:bottom w:val="nil"/>
              <w:right w:val="single" w:sz="6" w:space="0" w:color="7E7E7E"/>
            </w:tcBorders>
            <w:hideMark/>
          </w:tcPr>
          <w:p w14:paraId="583E3042" w14:textId="77777777" w:rsidR="00DA427C" w:rsidRDefault="00DA427C" w:rsidP="00EF3721">
            <w:pPr>
              <w:tabs>
                <w:tab w:val="left" w:pos="708"/>
              </w:tabs>
              <w:jc w:val="center"/>
              <w:rPr>
                <w:szCs w:val="22"/>
                <w:lang w:val="en-US" w:bidi="gu-IN"/>
              </w:rPr>
            </w:pPr>
            <w:r>
              <w:rPr>
                <w:szCs w:val="22"/>
                <w:lang w:val="en-US" w:bidi="gu-IN"/>
              </w:rPr>
              <w:t>(11.5%, 95% IC</w:t>
            </w:r>
          </w:p>
        </w:tc>
      </w:tr>
      <w:tr w:rsidR="00DA427C" w14:paraId="6324CAE4" w14:textId="77777777" w:rsidTr="002F17B1">
        <w:trPr>
          <w:trHeight w:hRule="exact" w:val="308"/>
        </w:trPr>
        <w:tc>
          <w:tcPr>
            <w:tcW w:w="5212" w:type="dxa"/>
            <w:tcBorders>
              <w:top w:val="nil"/>
              <w:left w:val="single" w:sz="6" w:space="0" w:color="7E7E7E"/>
              <w:bottom w:val="single" w:sz="6" w:space="0" w:color="7E7E7E"/>
              <w:right w:val="single" w:sz="6" w:space="0" w:color="7E7E7E"/>
            </w:tcBorders>
            <w:hideMark/>
          </w:tcPr>
          <w:p w14:paraId="5935A941" w14:textId="77777777" w:rsidR="00DA427C" w:rsidRDefault="00DA427C">
            <w:pPr>
              <w:tabs>
                <w:tab w:val="left" w:pos="708"/>
              </w:tabs>
              <w:rPr>
                <w:szCs w:val="22"/>
                <w:lang w:val="en-US" w:bidi="gu-IN"/>
              </w:rPr>
            </w:pPr>
            <w:proofErr w:type="spellStart"/>
            <w:r>
              <w:rPr>
                <w:szCs w:val="22"/>
                <w:lang w:val="en-US" w:bidi="gu-IN"/>
              </w:rPr>
              <w:t>repetida</w:t>
            </w:r>
            <w:proofErr w:type="spellEnd"/>
          </w:p>
        </w:tc>
        <w:tc>
          <w:tcPr>
            <w:tcW w:w="2126" w:type="dxa"/>
            <w:tcBorders>
              <w:top w:val="nil"/>
              <w:left w:val="single" w:sz="6" w:space="0" w:color="7E7E7E"/>
              <w:bottom w:val="single" w:sz="6" w:space="0" w:color="7E7E7E"/>
              <w:right w:val="single" w:sz="6" w:space="0" w:color="7E7E7E"/>
            </w:tcBorders>
            <w:hideMark/>
          </w:tcPr>
          <w:p w14:paraId="7AAB0990" w14:textId="77777777" w:rsidR="00DA427C" w:rsidRDefault="00DA427C" w:rsidP="00EF3721">
            <w:pPr>
              <w:tabs>
                <w:tab w:val="left" w:pos="708"/>
              </w:tabs>
              <w:jc w:val="center"/>
              <w:rPr>
                <w:szCs w:val="22"/>
                <w:lang w:val="en-US" w:bidi="gu-IN"/>
              </w:rPr>
            </w:pPr>
            <w:r>
              <w:rPr>
                <w:szCs w:val="22"/>
                <w:lang w:val="en-US" w:bidi="gu-IN"/>
              </w:rPr>
              <w:t>4.0% – 9.2%)</w:t>
            </w:r>
          </w:p>
        </w:tc>
        <w:tc>
          <w:tcPr>
            <w:tcW w:w="2126" w:type="dxa"/>
            <w:tcBorders>
              <w:top w:val="nil"/>
              <w:left w:val="single" w:sz="6" w:space="0" w:color="7E7E7E"/>
              <w:bottom w:val="single" w:sz="6" w:space="0" w:color="7E7E7E"/>
              <w:right w:val="single" w:sz="6" w:space="0" w:color="7E7E7E"/>
            </w:tcBorders>
            <w:hideMark/>
          </w:tcPr>
          <w:p w14:paraId="0E9AC92F" w14:textId="77777777" w:rsidR="00DA427C" w:rsidRDefault="00DA427C" w:rsidP="00EF3721">
            <w:pPr>
              <w:tabs>
                <w:tab w:val="left" w:pos="708"/>
              </w:tabs>
              <w:jc w:val="center"/>
              <w:rPr>
                <w:szCs w:val="22"/>
                <w:lang w:val="en-US" w:bidi="gu-IN"/>
              </w:rPr>
            </w:pPr>
            <w:r>
              <w:rPr>
                <w:szCs w:val="22"/>
                <w:lang w:val="en-US" w:bidi="gu-IN"/>
              </w:rPr>
              <w:t>7.3% – 17.4%)</w:t>
            </w:r>
          </w:p>
        </w:tc>
      </w:tr>
      <w:tr w:rsidR="00DA427C" w14:paraId="13FC2760" w14:textId="77777777" w:rsidTr="002F17B1">
        <w:trPr>
          <w:trHeight w:hRule="exact" w:val="270"/>
        </w:trPr>
        <w:tc>
          <w:tcPr>
            <w:tcW w:w="5212" w:type="dxa"/>
            <w:vMerge w:val="restart"/>
            <w:tcBorders>
              <w:top w:val="single" w:sz="6" w:space="0" w:color="7E7E7E"/>
              <w:left w:val="single" w:sz="6" w:space="0" w:color="7E7E7E"/>
              <w:bottom w:val="single" w:sz="6" w:space="0" w:color="7E7E7E"/>
              <w:right w:val="single" w:sz="6" w:space="0" w:color="7E7E7E"/>
            </w:tcBorders>
            <w:hideMark/>
          </w:tcPr>
          <w:p w14:paraId="15887D39" w14:textId="77777777" w:rsidR="00DA427C" w:rsidRDefault="00DA427C" w:rsidP="00DA427C">
            <w:pPr>
              <w:pStyle w:val="Default"/>
              <w:rPr>
                <w:szCs w:val="22"/>
              </w:rPr>
            </w:pPr>
            <w:proofErr w:type="spellStart"/>
            <w:r>
              <w:rPr>
                <w:sz w:val="22"/>
                <w:szCs w:val="22"/>
              </w:rPr>
              <w:t>Normalização</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imagiologia</w:t>
            </w:r>
            <w:proofErr w:type="spellEnd"/>
            <w:r>
              <w:rPr>
                <w:sz w:val="22"/>
                <w:szCs w:val="22"/>
              </w:rPr>
              <w:t xml:space="preserve"> </w:t>
            </w:r>
            <w:proofErr w:type="spellStart"/>
            <w:r>
              <w:rPr>
                <w:sz w:val="22"/>
                <w:szCs w:val="22"/>
              </w:rPr>
              <w:t>repetida</w:t>
            </w:r>
            <w:proofErr w:type="spellEnd"/>
            <w:r>
              <w:rPr>
                <w:sz w:val="22"/>
                <w:szCs w:val="22"/>
              </w:rPr>
              <w:t xml:space="preserve"> </w:t>
            </w:r>
          </w:p>
          <w:p w14:paraId="3038B8DE" w14:textId="77777777" w:rsidR="00DA427C" w:rsidRDefault="00DA427C">
            <w:pPr>
              <w:tabs>
                <w:tab w:val="left" w:pos="708"/>
              </w:tabs>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0B18E93B" w14:textId="77777777" w:rsidR="00DA427C" w:rsidRDefault="00DA427C" w:rsidP="00EF3721">
            <w:pPr>
              <w:tabs>
                <w:tab w:val="left" w:pos="708"/>
              </w:tabs>
              <w:jc w:val="center"/>
              <w:rPr>
                <w:szCs w:val="22"/>
                <w:lang w:val="en-US" w:bidi="gu-IN"/>
              </w:rPr>
            </w:pPr>
            <w:r>
              <w:rPr>
                <w:szCs w:val="22"/>
                <w:lang w:val="en-US" w:bidi="gu-IN"/>
              </w:rPr>
              <w:t>128</w:t>
            </w:r>
          </w:p>
        </w:tc>
        <w:tc>
          <w:tcPr>
            <w:tcW w:w="2126" w:type="dxa"/>
            <w:tcBorders>
              <w:top w:val="single" w:sz="6" w:space="0" w:color="7E7E7E"/>
              <w:left w:val="single" w:sz="6" w:space="0" w:color="7E7E7E"/>
              <w:bottom w:val="nil"/>
              <w:right w:val="single" w:sz="6" w:space="0" w:color="7E7E7E"/>
            </w:tcBorders>
            <w:hideMark/>
          </w:tcPr>
          <w:p w14:paraId="55B821F9" w14:textId="77777777" w:rsidR="00DA427C" w:rsidRDefault="00DA427C" w:rsidP="00EF3721">
            <w:pPr>
              <w:tabs>
                <w:tab w:val="left" w:pos="708"/>
              </w:tabs>
              <w:jc w:val="center"/>
              <w:rPr>
                <w:szCs w:val="22"/>
                <w:lang w:val="en-US" w:bidi="gu-IN"/>
              </w:rPr>
            </w:pPr>
            <w:r>
              <w:rPr>
                <w:szCs w:val="22"/>
                <w:lang w:val="en-US" w:bidi="gu-IN"/>
              </w:rPr>
              <w:t>43</w:t>
            </w:r>
          </w:p>
        </w:tc>
      </w:tr>
      <w:tr w:rsidR="00DA427C" w14:paraId="1B20CF31" w14:textId="77777777" w:rsidTr="002F17B1">
        <w:trPr>
          <w:trHeight w:hRule="exact" w:val="253"/>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4B7F4027" w14:textId="77777777" w:rsidR="00DA427C" w:rsidRDefault="00DA427C">
            <w:pPr>
              <w:rPr>
                <w:szCs w:val="22"/>
                <w:lang w:val="en-US" w:bidi="gu-IN"/>
              </w:rPr>
            </w:pPr>
          </w:p>
        </w:tc>
        <w:tc>
          <w:tcPr>
            <w:tcW w:w="2126" w:type="dxa"/>
            <w:tcBorders>
              <w:top w:val="nil"/>
              <w:left w:val="single" w:sz="6" w:space="0" w:color="7E7E7E"/>
              <w:bottom w:val="nil"/>
              <w:right w:val="single" w:sz="6" w:space="0" w:color="7E7E7E"/>
            </w:tcBorders>
            <w:hideMark/>
          </w:tcPr>
          <w:p w14:paraId="6BCCED6F" w14:textId="77777777" w:rsidR="00DA427C" w:rsidRDefault="00DA427C" w:rsidP="00EF3721">
            <w:pPr>
              <w:tabs>
                <w:tab w:val="left" w:pos="708"/>
              </w:tabs>
              <w:jc w:val="center"/>
              <w:rPr>
                <w:szCs w:val="22"/>
                <w:lang w:val="en-US" w:bidi="gu-IN"/>
              </w:rPr>
            </w:pPr>
            <w:r>
              <w:rPr>
                <w:szCs w:val="22"/>
                <w:lang w:val="en-US" w:bidi="gu-IN"/>
              </w:rPr>
              <w:t>(38.2%, 95% IC</w:t>
            </w:r>
          </w:p>
        </w:tc>
        <w:tc>
          <w:tcPr>
            <w:tcW w:w="2126" w:type="dxa"/>
            <w:tcBorders>
              <w:top w:val="nil"/>
              <w:left w:val="single" w:sz="6" w:space="0" w:color="7E7E7E"/>
              <w:bottom w:val="nil"/>
              <w:right w:val="single" w:sz="6" w:space="0" w:color="7E7E7E"/>
            </w:tcBorders>
            <w:hideMark/>
          </w:tcPr>
          <w:p w14:paraId="2FBDB04A" w14:textId="77777777" w:rsidR="00DA427C" w:rsidRDefault="00DA427C" w:rsidP="00EF3721">
            <w:pPr>
              <w:tabs>
                <w:tab w:val="left" w:pos="708"/>
              </w:tabs>
              <w:jc w:val="center"/>
              <w:rPr>
                <w:szCs w:val="22"/>
                <w:lang w:val="en-US" w:bidi="gu-IN"/>
              </w:rPr>
            </w:pPr>
            <w:r>
              <w:rPr>
                <w:szCs w:val="22"/>
                <w:lang w:val="en-US" w:bidi="gu-IN"/>
              </w:rPr>
              <w:t>(26.1%, 95% IC</w:t>
            </w:r>
          </w:p>
        </w:tc>
      </w:tr>
      <w:tr w:rsidR="00DA427C" w14:paraId="3D315863" w14:textId="77777777" w:rsidTr="002F17B1">
        <w:trPr>
          <w:trHeight w:hRule="exact" w:val="334"/>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54B94924" w14:textId="77777777" w:rsidR="00DA427C" w:rsidRDefault="00DA427C">
            <w:pPr>
              <w:rPr>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6337C8B6" w14:textId="77777777" w:rsidR="00DA427C" w:rsidRDefault="00DA427C" w:rsidP="00EF3721">
            <w:pPr>
              <w:tabs>
                <w:tab w:val="left" w:pos="708"/>
              </w:tabs>
              <w:jc w:val="center"/>
              <w:rPr>
                <w:szCs w:val="22"/>
                <w:lang w:val="en-US" w:bidi="gu-IN"/>
              </w:rPr>
            </w:pPr>
            <w:r>
              <w:rPr>
                <w:szCs w:val="22"/>
                <w:lang w:val="en-US" w:bidi="gu-IN"/>
              </w:rPr>
              <w:t>33.0% - 43.5%)</w:t>
            </w:r>
          </w:p>
        </w:tc>
        <w:tc>
          <w:tcPr>
            <w:tcW w:w="2126" w:type="dxa"/>
            <w:tcBorders>
              <w:top w:val="nil"/>
              <w:left w:val="single" w:sz="6" w:space="0" w:color="7E7E7E"/>
              <w:bottom w:val="single" w:sz="6" w:space="0" w:color="7E7E7E"/>
              <w:right w:val="single" w:sz="6" w:space="0" w:color="7E7E7E"/>
            </w:tcBorders>
            <w:hideMark/>
          </w:tcPr>
          <w:p w14:paraId="6E1BD7C3" w14:textId="77777777" w:rsidR="00DA427C" w:rsidRDefault="00DA427C" w:rsidP="00EF3721">
            <w:pPr>
              <w:tabs>
                <w:tab w:val="left" w:pos="708"/>
              </w:tabs>
              <w:jc w:val="center"/>
              <w:rPr>
                <w:szCs w:val="22"/>
                <w:lang w:val="en-US" w:bidi="gu-IN"/>
              </w:rPr>
            </w:pPr>
            <w:r>
              <w:rPr>
                <w:szCs w:val="22"/>
                <w:lang w:val="en-US" w:bidi="gu-IN"/>
              </w:rPr>
              <w:t>19.8% - 33.0%)</w:t>
            </w:r>
          </w:p>
        </w:tc>
      </w:tr>
      <w:tr w:rsidR="00DA427C" w14:paraId="1604D722" w14:textId="77777777" w:rsidTr="002F17B1">
        <w:trPr>
          <w:trHeight w:hRule="exact" w:val="270"/>
        </w:trPr>
        <w:tc>
          <w:tcPr>
            <w:tcW w:w="5212" w:type="dxa"/>
            <w:tcBorders>
              <w:top w:val="single" w:sz="6" w:space="0" w:color="7E7E7E"/>
              <w:left w:val="single" w:sz="6" w:space="0" w:color="7E7E7E"/>
              <w:bottom w:val="nil"/>
              <w:right w:val="single" w:sz="6" w:space="0" w:color="7E7E7E"/>
            </w:tcBorders>
            <w:hideMark/>
          </w:tcPr>
          <w:p w14:paraId="2918B43E" w14:textId="77777777" w:rsidR="00DA427C" w:rsidRDefault="00DA427C" w:rsidP="00DA427C">
            <w:pPr>
              <w:pStyle w:val="Default"/>
              <w:rPr>
                <w:szCs w:val="22"/>
              </w:rPr>
            </w:pPr>
            <w:proofErr w:type="spellStart"/>
            <w:r>
              <w:rPr>
                <w:sz w:val="22"/>
                <w:szCs w:val="22"/>
              </w:rPr>
              <w:t>Compósito</w:t>
            </w:r>
            <w:proofErr w:type="spellEnd"/>
            <w:r>
              <w:rPr>
                <w:sz w:val="22"/>
                <w:szCs w:val="22"/>
              </w:rPr>
              <w:t xml:space="preserve">: TEV </w:t>
            </w:r>
            <w:proofErr w:type="spellStart"/>
            <w:r>
              <w:rPr>
                <w:sz w:val="22"/>
                <w:szCs w:val="22"/>
              </w:rPr>
              <w:t>sintomático</w:t>
            </w:r>
            <w:proofErr w:type="spellEnd"/>
            <w:r>
              <w:rPr>
                <w:sz w:val="22"/>
                <w:szCs w:val="22"/>
              </w:rPr>
              <w:t xml:space="preserve"> </w:t>
            </w:r>
            <w:proofErr w:type="spellStart"/>
            <w:r>
              <w:rPr>
                <w:sz w:val="22"/>
                <w:szCs w:val="22"/>
              </w:rPr>
              <w:t>recorrente</w:t>
            </w:r>
            <w:proofErr w:type="spellEnd"/>
            <w:r>
              <w:rPr>
                <w:sz w:val="22"/>
                <w:szCs w:val="22"/>
              </w:rPr>
              <w:t xml:space="preserve"> + </w:t>
            </w:r>
            <w:proofErr w:type="spellStart"/>
            <w:r>
              <w:rPr>
                <w:sz w:val="22"/>
                <w:szCs w:val="22"/>
              </w:rPr>
              <w:t>hemorragia</w:t>
            </w:r>
            <w:proofErr w:type="spellEnd"/>
            <w:r>
              <w:rPr>
                <w:sz w:val="22"/>
                <w:szCs w:val="22"/>
              </w:rPr>
              <w:t xml:space="preserve"> </w:t>
            </w:r>
          </w:p>
          <w:p w14:paraId="33C7860A" w14:textId="77777777" w:rsidR="00DA427C" w:rsidRDefault="00DA427C">
            <w:pPr>
              <w:tabs>
                <w:tab w:val="left" w:pos="708"/>
              </w:tabs>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086E0D78" w14:textId="77777777" w:rsidR="00DA427C" w:rsidRDefault="00DA427C" w:rsidP="00EF3721">
            <w:pPr>
              <w:tabs>
                <w:tab w:val="left" w:pos="708"/>
              </w:tabs>
              <w:jc w:val="center"/>
              <w:rPr>
                <w:szCs w:val="22"/>
                <w:lang w:val="en-US" w:bidi="gu-IN"/>
              </w:rPr>
            </w:pPr>
            <w:r>
              <w:rPr>
                <w:szCs w:val="22"/>
                <w:lang w:val="en-US" w:bidi="gu-IN"/>
              </w:rPr>
              <w:t>4</w:t>
            </w:r>
          </w:p>
        </w:tc>
        <w:tc>
          <w:tcPr>
            <w:tcW w:w="2126" w:type="dxa"/>
            <w:tcBorders>
              <w:top w:val="single" w:sz="6" w:space="0" w:color="7E7E7E"/>
              <w:left w:val="single" w:sz="6" w:space="0" w:color="7E7E7E"/>
              <w:bottom w:val="nil"/>
              <w:right w:val="single" w:sz="6" w:space="0" w:color="7E7E7E"/>
            </w:tcBorders>
            <w:hideMark/>
          </w:tcPr>
          <w:p w14:paraId="01077449" w14:textId="77777777" w:rsidR="00DA427C" w:rsidRDefault="00DA427C" w:rsidP="00EF3721">
            <w:pPr>
              <w:tabs>
                <w:tab w:val="left" w:pos="708"/>
              </w:tabs>
              <w:jc w:val="center"/>
              <w:rPr>
                <w:szCs w:val="22"/>
                <w:lang w:val="en-US" w:bidi="gu-IN"/>
              </w:rPr>
            </w:pPr>
            <w:r>
              <w:rPr>
                <w:szCs w:val="22"/>
                <w:lang w:val="en-US" w:bidi="gu-IN"/>
              </w:rPr>
              <w:t>7</w:t>
            </w:r>
          </w:p>
        </w:tc>
      </w:tr>
      <w:tr w:rsidR="00DA427C" w14:paraId="48370D92" w14:textId="77777777" w:rsidTr="002F17B1">
        <w:trPr>
          <w:trHeight w:hRule="exact" w:val="253"/>
        </w:trPr>
        <w:tc>
          <w:tcPr>
            <w:tcW w:w="5212" w:type="dxa"/>
            <w:vMerge w:val="restart"/>
            <w:tcBorders>
              <w:top w:val="nil"/>
              <w:left w:val="single" w:sz="6" w:space="0" w:color="7E7E7E"/>
              <w:bottom w:val="single" w:sz="6" w:space="0" w:color="7E7E7E"/>
              <w:right w:val="single" w:sz="6" w:space="0" w:color="7E7E7E"/>
            </w:tcBorders>
            <w:hideMark/>
          </w:tcPr>
          <w:p w14:paraId="52BDF92F" w14:textId="77777777" w:rsidR="00DA427C" w:rsidRDefault="00DA427C">
            <w:pPr>
              <w:tabs>
                <w:tab w:val="left" w:pos="708"/>
              </w:tabs>
              <w:rPr>
                <w:szCs w:val="22"/>
                <w:lang w:val="en-US" w:bidi="gu-IN"/>
              </w:rPr>
            </w:pPr>
            <w:r w:rsidRPr="00DA427C">
              <w:rPr>
                <w:szCs w:val="22"/>
                <w:lang w:val="en-US" w:bidi="gu-IN"/>
              </w:rPr>
              <w:t>principal (</w:t>
            </w:r>
            <w:proofErr w:type="spellStart"/>
            <w:r w:rsidRPr="00DA427C">
              <w:rPr>
                <w:szCs w:val="22"/>
                <w:lang w:val="en-US" w:bidi="gu-IN"/>
              </w:rPr>
              <w:t>benefício</w:t>
            </w:r>
            <w:proofErr w:type="spellEnd"/>
            <w:r w:rsidRPr="00DA427C">
              <w:rPr>
                <w:szCs w:val="22"/>
                <w:lang w:val="en-US" w:bidi="gu-IN"/>
              </w:rPr>
              <w:t xml:space="preserve"> </w:t>
            </w:r>
            <w:proofErr w:type="spellStart"/>
            <w:r w:rsidRPr="00DA427C">
              <w:rPr>
                <w:szCs w:val="22"/>
                <w:lang w:val="en-US" w:bidi="gu-IN"/>
              </w:rPr>
              <w:t>clínico</w:t>
            </w:r>
            <w:proofErr w:type="spellEnd"/>
            <w:r w:rsidRPr="00DA427C">
              <w:rPr>
                <w:szCs w:val="22"/>
                <w:lang w:val="en-US" w:bidi="gu-IN"/>
              </w:rPr>
              <w:t xml:space="preserve"> </w:t>
            </w:r>
            <w:proofErr w:type="spellStart"/>
            <w:r w:rsidRPr="00DA427C">
              <w:rPr>
                <w:szCs w:val="22"/>
                <w:lang w:val="en-US" w:bidi="gu-IN"/>
              </w:rPr>
              <w:t>líquido</w:t>
            </w:r>
            <w:proofErr w:type="spellEnd"/>
            <w:r w:rsidRPr="00DA427C">
              <w:rPr>
                <w:szCs w:val="22"/>
                <w:lang w:val="en-US" w:bidi="gu-IN"/>
              </w:rPr>
              <w:t>)</w:t>
            </w:r>
          </w:p>
        </w:tc>
        <w:tc>
          <w:tcPr>
            <w:tcW w:w="2126" w:type="dxa"/>
            <w:tcBorders>
              <w:top w:val="nil"/>
              <w:left w:val="single" w:sz="6" w:space="0" w:color="7E7E7E"/>
              <w:bottom w:val="nil"/>
              <w:right w:val="single" w:sz="6" w:space="0" w:color="7E7E7E"/>
            </w:tcBorders>
            <w:hideMark/>
          </w:tcPr>
          <w:p w14:paraId="5D0D7081" w14:textId="77777777" w:rsidR="00DA427C" w:rsidRDefault="00DA427C" w:rsidP="00EF3721">
            <w:pPr>
              <w:tabs>
                <w:tab w:val="left" w:pos="708"/>
              </w:tabs>
              <w:jc w:val="center"/>
              <w:rPr>
                <w:szCs w:val="22"/>
                <w:lang w:val="en-US" w:bidi="gu-IN"/>
              </w:rPr>
            </w:pPr>
            <w:r>
              <w:rPr>
                <w:szCs w:val="22"/>
                <w:lang w:val="en-US" w:bidi="gu-IN"/>
              </w:rPr>
              <w:t>(1.2%, 95% IC</w:t>
            </w:r>
          </w:p>
        </w:tc>
        <w:tc>
          <w:tcPr>
            <w:tcW w:w="2126" w:type="dxa"/>
            <w:tcBorders>
              <w:top w:val="nil"/>
              <w:left w:val="single" w:sz="6" w:space="0" w:color="7E7E7E"/>
              <w:bottom w:val="nil"/>
              <w:right w:val="single" w:sz="6" w:space="0" w:color="7E7E7E"/>
            </w:tcBorders>
            <w:hideMark/>
          </w:tcPr>
          <w:p w14:paraId="67A1E0B9" w14:textId="77777777" w:rsidR="00DA427C" w:rsidRDefault="00DA427C" w:rsidP="00EF3721">
            <w:pPr>
              <w:tabs>
                <w:tab w:val="left" w:pos="708"/>
              </w:tabs>
              <w:jc w:val="center"/>
              <w:rPr>
                <w:szCs w:val="22"/>
                <w:lang w:val="en-US" w:bidi="gu-IN"/>
              </w:rPr>
            </w:pPr>
            <w:r>
              <w:rPr>
                <w:szCs w:val="22"/>
                <w:lang w:val="en-US" w:bidi="gu-IN"/>
              </w:rPr>
              <w:t>(4.2%, 95% IC</w:t>
            </w:r>
          </w:p>
        </w:tc>
      </w:tr>
      <w:tr w:rsidR="00DA427C" w14:paraId="62E4771F" w14:textId="77777777" w:rsidTr="002F17B1">
        <w:trPr>
          <w:trHeight w:hRule="exact" w:val="460"/>
        </w:trPr>
        <w:tc>
          <w:tcPr>
            <w:tcW w:w="5212" w:type="dxa"/>
            <w:vMerge/>
            <w:tcBorders>
              <w:top w:val="nil"/>
              <w:left w:val="single" w:sz="6" w:space="0" w:color="7E7E7E"/>
              <w:bottom w:val="single" w:sz="6" w:space="0" w:color="7E7E7E"/>
              <w:right w:val="single" w:sz="6" w:space="0" w:color="7E7E7E"/>
            </w:tcBorders>
            <w:vAlign w:val="center"/>
            <w:hideMark/>
          </w:tcPr>
          <w:p w14:paraId="03107741" w14:textId="77777777" w:rsidR="00DA427C" w:rsidRDefault="00DA427C">
            <w:pPr>
              <w:rPr>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29BBAA98" w14:textId="77777777" w:rsidR="00DA427C" w:rsidRDefault="00DA427C" w:rsidP="00EF3721">
            <w:pPr>
              <w:tabs>
                <w:tab w:val="left" w:pos="708"/>
              </w:tabs>
              <w:jc w:val="center"/>
              <w:rPr>
                <w:szCs w:val="22"/>
                <w:lang w:val="en-US" w:bidi="gu-IN"/>
              </w:rPr>
            </w:pPr>
            <w:r>
              <w:rPr>
                <w:szCs w:val="22"/>
                <w:lang w:val="en-US" w:bidi="gu-IN"/>
              </w:rPr>
              <w:t>0.4% - 3.0%)</w:t>
            </w:r>
          </w:p>
        </w:tc>
        <w:tc>
          <w:tcPr>
            <w:tcW w:w="2126" w:type="dxa"/>
            <w:tcBorders>
              <w:top w:val="nil"/>
              <w:left w:val="single" w:sz="6" w:space="0" w:color="7E7E7E"/>
              <w:bottom w:val="single" w:sz="6" w:space="0" w:color="7E7E7E"/>
              <w:right w:val="single" w:sz="6" w:space="0" w:color="7E7E7E"/>
            </w:tcBorders>
            <w:hideMark/>
          </w:tcPr>
          <w:p w14:paraId="1F8C429E" w14:textId="77777777" w:rsidR="00DA427C" w:rsidRDefault="00DA427C" w:rsidP="00EF3721">
            <w:pPr>
              <w:tabs>
                <w:tab w:val="left" w:pos="708"/>
              </w:tabs>
              <w:jc w:val="center"/>
              <w:rPr>
                <w:szCs w:val="22"/>
                <w:lang w:val="en-US" w:bidi="gu-IN"/>
              </w:rPr>
            </w:pPr>
            <w:r>
              <w:rPr>
                <w:szCs w:val="22"/>
                <w:lang w:val="en-US" w:bidi="gu-IN"/>
              </w:rPr>
              <w:t>2.0% - 8.4%)</w:t>
            </w:r>
          </w:p>
        </w:tc>
      </w:tr>
      <w:tr w:rsidR="00DA427C" w14:paraId="3CE5F20A" w14:textId="77777777" w:rsidTr="002F17B1">
        <w:trPr>
          <w:trHeight w:hRule="exact" w:val="269"/>
        </w:trPr>
        <w:tc>
          <w:tcPr>
            <w:tcW w:w="5212" w:type="dxa"/>
            <w:vMerge w:val="restart"/>
            <w:tcBorders>
              <w:top w:val="single" w:sz="6" w:space="0" w:color="7E7E7E"/>
              <w:left w:val="single" w:sz="6" w:space="0" w:color="7E7E7E"/>
              <w:bottom w:val="single" w:sz="6" w:space="0" w:color="7E7E7E"/>
              <w:right w:val="single" w:sz="6" w:space="0" w:color="7E7E7E"/>
            </w:tcBorders>
            <w:hideMark/>
          </w:tcPr>
          <w:p w14:paraId="71BAC44A" w14:textId="77777777" w:rsidR="00DA427C" w:rsidRPr="00EF3721" w:rsidRDefault="00DA427C" w:rsidP="00DA427C">
            <w:pPr>
              <w:pStyle w:val="Default"/>
              <w:rPr>
                <w:szCs w:val="22"/>
                <w:lang w:val="pt-PT"/>
              </w:rPr>
            </w:pPr>
            <w:r w:rsidRPr="00EF3721">
              <w:rPr>
                <w:sz w:val="22"/>
                <w:szCs w:val="22"/>
                <w:lang w:val="pt-PT"/>
              </w:rPr>
              <w:t xml:space="preserve">Embolia pulmonar fatal ou não fatal </w:t>
            </w:r>
          </w:p>
          <w:p w14:paraId="25093788" w14:textId="77777777" w:rsidR="00DA427C" w:rsidRPr="00EF3721" w:rsidRDefault="00DA427C">
            <w:pPr>
              <w:tabs>
                <w:tab w:val="left" w:pos="708"/>
              </w:tabs>
              <w:rPr>
                <w:szCs w:val="22"/>
                <w:lang w:bidi="gu-IN"/>
              </w:rPr>
            </w:pPr>
          </w:p>
        </w:tc>
        <w:tc>
          <w:tcPr>
            <w:tcW w:w="2126" w:type="dxa"/>
            <w:tcBorders>
              <w:top w:val="single" w:sz="6" w:space="0" w:color="7E7E7E"/>
              <w:left w:val="single" w:sz="6" w:space="0" w:color="7E7E7E"/>
              <w:bottom w:val="nil"/>
              <w:right w:val="single" w:sz="6" w:space="0" w:color="7E7E7E"/>
            </w:tcBorders>
            <w:hideMark/>
          </w:tcPr>
          <w:p w14:paraId="6DA41E91" w14:textId="77777777" w:rsidR="00DA427C" w:rsidRDefault="00DA427C" w:rsidP="00EF3721">
            <w:pPr>
              <w:tabs>
                <w:tab w:val="left" w:pos="708"/>
              </w:tabs>
              <w:jc w:val="center"/>
              <w:rPr>
                <w:szCs w:val="22"/>
                <w:lang w:val="en-US" w:bidi="gu-IN"/>
              </w:rPr>
            </w:pPr>
            <w:r>
              <w:rPr>
                <w:szCs w:val="22"/>
                <w:lang w:val="en-US" w:bidi="gu-IN"/>
              </w:rPr>
              <w:t>1</w:t>
            </w:r>
          </w:p>
        </w:tc>
        <w:tc>
          <w:tcPr>
            <w:tcW w:w="2126" w:type="dxa"/>
            <w:tcBorders>
              <w:top w:val="single" w:sz="6" w:space="0" w:color="7E7E7E"/>
              <w:left w:val="single" w:sz="6" w:space="0" w:color="7E7E7E"/>
              <w:bottom w:val="nil"/>
              <w:right w:val="single" w:sz="6" w:space="0" w:color="7E7E7E"/>
            </w:tcBorders>
            <w:hideMark/>
          </w:tcPr>
          <w:p w14:paraId="4C35896D" w14:textId="77777777" w:rsidR="00DA427C" w:rsidRDefault="00DA427C" w:rsidP="00EF3721">
            <w:pPr>
              <w:tabs>
                <w:tab w:val="left" w:pos="708"/>
              </w:tabs>
              <w:jc w:val="center"/>
              <w:rPr>
                <w:szCs w:val="22"/>
                <w:lang w:val="en-US" w:bidi="gu-IN"/>
              </w:rPr>
            </w:pPr>
            <w:r>
              <w:rPr>
                <w:szCs w:val="22"/>
                <w:lang w:val="en-US" w:bidi="gu-IN"/>
              </w:rPr>
              <w:t>1</w:t>
            </w:r>
          </w:p>
        </w:tc>
      </w:tr>
      <w:tr w:rsidR="00DA427C" w14:paraId="4F4F0254" w14:textId="77777777" w:rsidTr="002F17B1">
        <w:trPr>
          <w:trHeight w:hRule="exact" w:val="253"/>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5C83427F" w14:textId="77777777" w:rsidR="00DA427C" w:rsidRDefault="00DA427C">
            <w:pPr>
              <w:rPr>
                <w:szCs w:val="22"/>
                <w:lang w:val="en-US" w:bidi="gu-IN"/>
              </w:rPr>
            </w:pPr>
          </w:p>
        </w:tc>
        <w:tc>
          <w:tcPr>
            <w:tcW w:w="2126" w:type="dxa"/>
            <w:tcBorders>
              <w:top w:val="nil"/>
              <w:left w:val="single" w:sz="6" w:space="0" w:color="7E7E7E"/>
              <w:bottom w:val="nil"/>
              <w:right w:val="single" w:sz="6" w:space="0" w:color="7E7E7E"/>
            </w:tcBorders>
            <w:hideMark/>
          </w:tcPr>
          <w:p w14:paraId="329AEC50" w14:textId="77777777" w:rsidR="00DA427C" w:rsidRDefault="00DA427C" w:rsidP="00EF3721">
            <w:pPr>
              <w:tabs>
                <w:tab w:val="left" w:pos="708"/>
              </w:tabs>
              <w:jc w:val="center"/>
              <w:rPr>
                <w:szCs w:val="22"/>
                <w:lang w:val="en-US" w:bidi="gu-IN"/>
              </w:rPr>
            </w:pPr>
            <w:r>
              <w:rPr>
                <w:szCs w:val="22"/>
                <w:lang w:val="en-US" w:bidi="gu-IN"/>
              </w:rPr>
              <w:t>(0.3%, 95% IC</w:t>
            </w:r>
          </w:p>
        </w:tc>
        <w:tc>
          <w:tcPr>
            <w:tcW w:w="2126" w:type="dxa"/>
            <w:tcBorders>
              <w:top w:val="nil"/>
              <w:left w:val="single" w:sz="6" w:space="0" w:color="7E7E7E"/>
              <w:bottom w:val="nil"/>
              <w:right w:val="single" w:sz="6" w:space="0" w:color="7E7E7E"/>
            </w:tcBorders>
            <w:hideMark/>
          </w:tcPr>
          <w:p w14:paraId="7C687B4C" w14:textId="77777777" w:rsidR="00DA427C" w:rsidRDefault="00DA427C" w:rsidP="00EF3721">
            <w:pPr>
              <w:tabs>
                <w:tab w:val="left" w:pos="708"/>
              </w:tabs>
              <w:jc w:val="center"/>
              <w:rPr>
                <w:szCs w:val="22"/>
                <w:lang w:val="en-US" w:bidi="gu-IN"/>
              </w:rPr>
            </w:pPr>
            <w:r>
              <w:rPr>
                <w:szCs w:val="22"/>
                <w:lang w:val="en-US" w:bidi="gu-IN"/>
              </w:rPr>
              <w:t>(0.6%, 95% IC</w:t>
            </w:r>
          </w:p>
        </w:tc>
      </w:tr>
      <w:tr w:rsidR="00DA427C" w14:paraId="43879589" w14:textId="77777777" w:rsidTr="002F17B1">
        <w:trPr>
          <w:trHeight w:hRule="exact" w:val="333"/>
        </w:trPr>
        <w:tc>
          <w:tcPr>
            <w:tcW w:w="5212" w:type="dxa"/>
            <w:vMerge/>
            <w:tcBorders>
              <w:top w:val="single" w:sz="6" w:space="0" w:color="7E7E7E"/>
              <w:left w:val="single" w:sz="6" w:space="0" w:color="7E7E7E"/>
              <w:bottom w:val="single" w:sz="6" w:space="0" w:color="7E7E7E"/>
              <w:right w:val="single" w:sz="6" w:space="0" w:color="7E7E7E"/>
            </w:tcBorders>
            <w:vAlign w:val="center"/>
            <w:hideMark/>
          </w:tcPr>
          <w:p w14:paraId="251923C3" w14:textId="77777777" w:rsidR="00DA427C" w:rsidRDefault="00DA427C">
            <w:pPr>
              <w:rPr>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507DC21C" w14:textId="77777777" w:rsidR="00DA427C" w:rsidRDefault="00DA427C" w:rsidP="00EF3721">
            <w:pPr>
              <w:tabs>
                <w:tab w:val="left" w:pos="708"/>
              </w:tabs>
              <w:jc w:val="center"/>
              <w:rPr>
                <w:szCs w:val="22"/>
                <w:lang w:val="en-US" w:bidi="gu-IN"/>
              </w:rPr>
            </w:pPr>
            <w:r>
              <w:rPr>
                <w:szCs w:val="22"/>
                <w:lang w:val="en-US" w:bidi="gu-IN"/>
              </w:rPr>
              <w:t>0.0% – 1.6%)</w:t>
            </w:r>
          </w:p>
        </w:tc>
        <w:tc>
          <w:tcPr>
            <w:tcW w:w="2126" w:type="dxa"/>
            <w:tcBorders>
              <w:top w:val="nil"/>
              <w:left w:val="single" w:sz="6" w:space="0" w:color="7E7E7E"/>
              <w:bottom w:val="single" w:sz="6" w:space="0" w:color="7E7E7E"/>
              <w:right w:val="single" w:sz="6" w:space="0" w:color="7E7E7E"/>
            </w:tcBorders>
            <w:hideMark/>
          </w:tcPr>
          <w:p w14:paraId="038C96F3" w14:textId="77777777" w:rsidR="00DA427C" w:rsidRDefault="00DA427C" w:rsidP="00EF3721">
            <w:pPr>
              <w:tabs>
                <w:tab w:val="left" w:pos="708"/>
              </w:tabs>
              <w:jc w:val="center"/>
              <w:rPr>
                <w:szCs w:val="22"/>
                <w:lang w:val="en-US" w:bidi="gu-IN"/>
              </w:rPr>
            </w:pPr>
            <w:r>
              <w:rPr>
                <w:szCs w:val="22"/>
                <w:lang w:val="en-US" w:bidi="gu-IN"/>
              </w:rPr>
              <w:t>0.0% – 3.1%)</w:t>
            </w:r>
          </w:p>
        </w:tc>
      </w:tr>
    </w:tbl>
    <w:p w14:paraId="43807785" w14:textId="77777777" w:rsidR="00DA427C" w:rsidRDefault="002F17B1" w:rsidP="00DA427C">
      <w:pPr>
        <w:suppressAutoHyphens/>
        <w:rPr>
          <w:szCs w:val="22"/>
        </w:rPr>
      </w:pPr>
      <w:r>
        <w:rPr>
          <w:szCs w:val="22"/>
        </w:rPr>
        <w:t>*CAC = conjunto de análise completo, todas as crianças que foram aleatorizadas</w:t>
      </w:r>
    </w:p>
    <w:p w14:paraId="3275FF7C" w14:textId="77777777" w:rsidR="002F17B1" w:rsidRDefault="002F17B1" w:rsidP="00DA427C">
      <w:pPr>
        <w:suppressAutoHyphens/>
        <w:rPr>
          <w:szCs w:val="22"/>
        </w:rPr>
      </w:pPr>
    </w:p>
    <w:p w14:paraId="73D70D8A" w14:textId="77777777" w:rsidR="002F17B1" w:rsidRDefault="002F17B1" w:rsidP="00DA427C">
      <w:pPr>
        <w:suppressAutoHyphens/>
        <w:rPr>
          <w:color w:val="000000"/>
          <w:szCs w:val="22"/>
          <w:lang w:eastAsia="pt-PT"/>
        </w:rPr>
      </w:pPr>
      <w:r>
        <w:rPr>
          <w:b/>
          <w:bCs/>
          <w:szCs w:val="22"/>
        </w:rPr>
        <w:t>Quadro 12: Resultados da segurança no final do período de tratamento principal</w:t>
      </w:r>
    </w:p>
    <w:p w14:paraId="1C2F4AA4" w14:textId="77777777" w:rsidR="00DA427C" w:rsidRDefault="00DA427C" w:rsidP="00DA427C">
      <w:pPr>
        <w:suppressAutoHyphens/>
        <w:rPr>
          <w:noProof/>
          <w:szCs w:val="22"/>
        </w:rPr>
      </w:pPr>
    </w:p>
    <w:tbl>
      <w:tblPr>
        <w:tblW w:w="9465" w:type="dxa"/>
        <w:tblInd w:w="117" w:type="dxa"/>
        <w:tblLayout w:type="fixed"/>
        <w:tblCellMar>
          <w:left w:w="0" w:type="dxa"/>
          <w:right w:w="0" w:type="dxa"/>
        </w:tblCellMar>
        <w:tblLook w:val="01E0" w:firstRow="1" w:lastRow="1" w:firstColumn="1" w:lastColumn="1" w:noHBand="0" w:noVBand="0"/>
      </w:tblPr>
      <w:tblGrid>
        <w:gridCol w:w="5213"/>
        <w:gridCol w:w="2126"/>
        <w:gridCol w:w="2126"/>
      </w:tblGrid>
      <w:tr w:rsidR="002F17B1" w14:paraId="70B90F95" w14:textId="77777777" w:rsidTr="002F17B1">
        <w:trPr>
          <w:trHeight w:hRule="exact" w:val="516"/>
        </w:trPr>
        <w:tc>
          <w:tcPr>
            <w:tcW w:w="5213" w:type="dxa"/>
            <w:tcBorders>
              <w:top w:val="single" w:sz="6" w:space="0" w:color="7E7E7E"/>
              <w:left w:val="single" w:sz="6" w:space="0" w:color="7E7E7E"/>
              <w:bottom w:val="single" w:sz="6" w:space="0" w:color="7E7E7E"/>
              <w:right w:val="single" w:sz="6" w:space="0" w:color="7E7E7E"/>
            </w:tcBorders>
          </w:tcPr>
          <w:p w14:paraId="5D4F3172" w14:textId="77777777" w:rsidR="002F17B1" w:rsidRPr="006A13A4" w:rsidRDefault="002F17B1">
            <w:pPr>
              <w:tabs>
                <w:tab w:val="left" w:pos="708"/>
              </w:tabs>
              <w:rPr>
                <w:szCs w:val="22"/>
                <w:lang w:bidi="gu-IN"/>
              </w:rPr>
            </w:pPr>
          </w:p>
        </w:tc>
        <w:tc>
          <w:tcPr>
            <w:tcW w:w="2126" w:type="dxa"/>
            <w:tcBorders>
              <w:top w:val="single" w:sz="6" w:space="0" w:color="7E7E7E"/>
              <w:left w:val="single" w:sz="6" w:space="0" w:color="7E7E7E"/>
              <w:bottom w:val="single" w:sz="6" w:space="0" w:color="7E7E7E"/>
              <w:right w:val="single" w:sz="6" w:space="0" w:color="7E7E7E"/>
            </w:tcBorders>
            <w:hideMark/>
          </w:tcPr>
          <w:p w14:paraId="4228C146" w14:textId="77777777" w:rsidR="002F17B1" w:rsidRDefault="002F17B1" w:rsidP="00EF3721">
            <w:pPr>
              <w:tabs>
                <w:tab w:val="left" w:pos="708"/>
              </w:tabs>
              <w:jc w:val="center"/>
              <w:rPr>
                <w:szCs w:val="22"/>
                <w:lang w:val="en-US" w:bidi="gu-IN"/>
              </w:rPr>
            </w:pPr>
            <w:proofErr w:type="spellStart"/>
            <w:r>
              <w:rPr>
                <w:b/>
                <w:szCs w:val="22"/>
                <w:lang w:val="en-US" w:bidi="gu-IN"/>
              </w:rPr>
              <w:t>Rivaroxabano</w:t>
            </w:r>
            <w:proofErr w:type="spellEnd"/>
            <w:r>
              <w:rPr>
                <w:b/>
                <w:szCs w:val="22"/>
                <w:lang w:val="en-US" w:bidi="gu-IN"/>
              </w:rPr>
              <w:t xml:space="preserve"> N=329*</w:t>
            </w:r>
          </w:p>
        </w:tc>
        <w:tc>
          <w:tcPr>
            <w:tcW w:w="2126" w:type="dxa"/>
            <w:tcBorders>
              <w:top w:val="single" w:sz="6" w:space="0" w:color="7E7E7E"/>
              <w:left w:val="single" w:sz="6" w:space="0" w:color="7E7E7E"/>
              <w:bottom w:val="single" w:sz="6" w:space="0" w:color="7E7E7E"/>
              <w:right w:val="single" w:sz="6" w:space="0" w:color="7E7E7E"/>
            </w:tcBorders>
            <w:hideMark/>
          </w:tcPr>
          <w:p w14:paraId="308B729F" w14:textId="77777777" w:rsidR="002F17B1" w:rsidRDefault="002F17B1" w:rsidP="00EF3721">
            <w:pPr>
              <w:tabs>
                <w:tab w:val="left" w:pos="708"/>
              </w:tabs>
              <w:jc w:val="center"/>
              <w:rPr>
                <w:szCs w:val="22"/>
                <w:lang w:val="en-US" w:bidi="gu-IN"/>
              </w:rPr>
            </w:pPr>
            <w:proofErr w:type="spellStart"/>
            <w:r>
              <w:rPr>
                <w:b/>
                <w:szCs w:val="22"/>
                <w:lang w:val="en-US" w:bidi="gu-IN"/>
              </w:rPr>
              <w:t>Comparador</w:t>
            </w:r>
            <w:proofErr w:type="spellEnd"/>
            <w:r>
              <w:rPr>
                <w:b/>
                <w:szCs w:val="22"/>
                <w:lang w:val="en-US" w:bidi="gu-IN"/>
              </w:rPr>
              <w:t xml:space="preserve"> N=162*</w:t>
            </w:r>
          </w:p>
        </w:tc>
      </w:tr>
      <w:tr w:rsidR="002F17B1" w14:paraId="0B463FDE" w14:textId="77777777" w:rsidTr="002F17B1">
        <w:trPr>
          <w:trHeight w:hRule="exact" w:val="270"/>
        </w:trPr>
        <w:tc>
          <w:tcPr>
            <w:tcW w:w="5213" w:type="dxa"/>
            <w:tcBorders>
              <w:top w:val="single" w:sz="6" w:space="0" w:color="7E7E7E"/>
              <w:left w:val="single" w:sz="6" w:space="0" w:color="7E7E7E"/>
              <w:bottom w:val="nil"/>
              <w:right w:val="single" w:sz="6" w:space="0" w:color="7E7E7E"/>
            </w:tcBorders>
            <w:hideMark/>
          </w:tcPr>
          <w:p w14:paraId="0697AE75" w14:textId="77777777" w:rsidR="002F17B1" w:rsidRDefault="002F17B1" w:rsidP="002F17B1">
            <w:pPr>
              <w:pStyle w:val="Default"/>
              <w:rPr>
                <w:szCs w:val="22"/>
              </w:rPr>
            </w:pPr>
            <w:proofErr w:type="spellStart"/>
            <w:r>
              <w:rPr>
                <w:sz w:val="22"/>
                <w:szCs w:val="22"/>
              </w:rPr>
              <w:t>Compósito</w:t>
            </w:r>
            <w:proofErr w:type="spellEnd"/>
            <w:r>
              <w:rPr>
                <w:sz w:val="22"/>
                <w:szCs w:val="22"/>
              </w:rPr>
              <w:t xml:space="preserve">: </w:t>
            </w:r>
            <w:proofErr w:type="spellStart"/>
            <w:r>
              <w:rPr>
                <w:sz w:val="22"/>
                <w:szCs w:val="22"/>
              </w:rPr>
              <w:t>hemorragia</w:t>
            </w:r>
            <w:proofErr w:type="spellEnd"/>
            <w:r>
              <w:rPr>
                <w:sz w:val="22"/>
                <w:szCs w:val="22"/>
              </w:rPr>
              <w:t xml:space="preserve"> principal + HNMCR (</w:t>
            </w:r>
            <w:proofErr w:type="spellStart"/>
            <w:r>
              <w:rPr>
                <w:sz w:val="22"/>
                <w:szCs w:val="22"/>
              </w:rPr>
              <w:t>objetivo</w:t>
            </w:r>
            <w:proofErr w:type="spellEnd"/>
            <w:r>
              <w:rPr>
                <w:sz w:val="22"/>
                <w:szCs w:val="22"/>
              </w:rPr>
              <w:t xml:space="preserve"> </w:t>
            </w:r>
          </w:p>
          <w:p w14:paraId="040C8491" w14:textId="77777777" w:rsidR="002F17B1" w:rsidRDefault="002F17B1">
            <w:pPr>
              <w:tabs>
                <w:tab w:val="left" w:pos="708"/>
              </w:tabs>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6F465BC8" w14:textId="77777777" w:rsidR="002F17B1" w:rsidRDefault="002F17B1" w:rsidP="00EF3721">
            <w:pPr>
              <w:tabs>
                <w:tab w:val="left" w:pos="708"/>
              </w:tabs>
              <w:jc w:val="center"/>
              <w:rPr>
                <w:szCs w:val="22"/>
                <w:lang w:val="en-US" w:bidi="gu-IN"/>
              </w:rPr>
            </w:pPr>
            <w:r>
              <w:rPr>
                <w:szCs w:val="22"/>
                <w:lang w:val="en-US" w:bidi="gu-IN"/>
              </w:rPr>
              <w:t>10</w:t>
            </w:r>
          </w:p>
        </w:tc>
        <w:tc>
          <w:tcPr>
            <w:tcW w:w="2126" w:type="dxa"/>
            <w:tcBorders>
              <w:top w:val="single" w:sz="6" w:space="0" w:color="7E7E7E"/>
              <w:left w:val="single" w:sz="6" w:space="0" w:color="7E7E7E"/>
              <w:bottom w:val="nil"/>
              <w:right w:val="single" w:sz="6" w:space="0" w:color="7E7E7E"/>
            </w:tcBorders>
            <w:hideMark/>
          </w:tcPr>
          <w:p w14:paraId="793BEED4" w14:textId="77777777" w:rsidR="002F17B1" w:rsidRDefault="002F17B1" w:rsidP="00EF3721">
            <w:pPr>
              <w:tabs>
                <w:tab w:val="left" w:pos="708"/>
              </w:tabs>
              <w:jc w:val="center"/>
              <w:rPr>
                <w:szCs w:val="22"/>
                <w:lang w:val="en-US" w:bidi="gu-IN"/>
              </w:rPr>
            </w:pPr>
            <w:r>
              <w:rPr>
                <w:szCs w:val="22"/>
                <w:lang w:val="en-US" w:bidi="gu-IN"/>
              </w:rPr>
              <w:t>3</w:t>
            </w:r>
          </w:p>
        </w:tc>
      </w:tr>
      <w:tr w:rsidR="002F17B1" w14:paraId="77BEA87E" w14:textId="77777777" w:rsidTr="002F17B1">
        <w:trPr>
          <w:trHeight w:hRule="exact" w:val="253"/>
        </w:trPr>
        <w:tc>
          <w:tcPr>
            <w:tcW w:w="5213" w:type="dxa"/>
            <w:vMerge w:val="restart"/>
            <w:tcBorders>
              <w:top w:val="nil"/>
              <w:left w:val="single" w:sz="6" w:space="0" w:color="7E7E7E"/>
              <w:bottom w:val="single" w:sz="6" w:space="0" w:color="7E7E7E"/>
              <w:right w:val="single" w:sz="6" w:space="0" w:color="7E7E7E"/>
            </w:tcBorders>
            <w:hideMark/>
          </w:tcPr>
          <w:p w14:paraId="210CDD13" w14:textId="77777777" w:rsidR="002F17B1" w:rsidRDefault="002F17B1">
            <w:pPr>
              <w:tabs>
                <w:tab w:val="left" w:pos="708"/>
              </w:tabs>
              <w:rPr>
                <w:szCs w:val="22"/>
                <w:lang w:val="en-US" w:bidi="gu-IN"/>
              </w:rPr>
            </w:pPr>
            <w:proofErr w:type="spellStart"/>
            <w:r w:rsidRPr="002F17B1">
              <w:rPr>
                <w:szCs w:val="22"/>
                <w:lang w:val="en-US" w:bidi="gu-IN"/>
              </w:rPr>
              <w:t>primário</w:t>
            </w:r>
            <w:proofErr w:type="spellEnd"/>
            <w:r w:rsidRPr="002F17B1">
              <w:rPr>
                <w:szCs w:val="22"/>
                <w:lang w:val="en-US" w:bidi="gu-IN"/>
              </w:rPr>
              <w:t xml:space="preserve"> da </w:t>
            </w:r>
            <w:proofErr w:type="spellStart"/>
            <w:r w:rsidRPr="002F17B1">
              <w:rPr>
                <w:szCs w:val="22"/>
                <w:lang w:val="en-US" w:bidi="gu-IN"/>
              </w:rPr>
              <w:t>segurança</w:t>
            </w:r>
            <w:proofErr w:type="spellEnd"/>
            <w:r w:rsidRPr="002F17B1">
              <w:rPr>
                <w:szCs w:val="22"/>
                <w:lang w:val="en-US" w:bidi="gu-IN"/>
              </w:rPr>
              <w:t>)</w:t>
            </w:r>
          </w:p>
        </w:tc>
        <w:tc>
          <w:tcPr>
            <w:tcW w:w="2126" w:type="dxa"/>
            <w:tcBorders>
              <w:top w:val="nil"/>
              <w:left w:val="single" w:sz="6" w:space="0" w:color="7E7E7E"/>
              <w:bottom w:val="nil"/>
              <w:right w:val="single" w:sz="6" w:space="0" w:color="7E7E7E"/>
            </w:tcBorders>
            <w:hideMark/>
          </w:tcPr>
          <w:p w14:paraId="0589E8F0" w14:textId="77777777" w:rsidR="002F17B1" w:rsidRDefault="002F17B1" w:rsidP="00EF3721">
            <w:pPr>
              <w:tabs>
                <w:tab w:val="left" w:pos="708"/>
              </w:tabs>
              <w:jc w:val="center"/>
              <w:rPr>
                <w:szCs w:val="22"/>
                <w:lang w:val="en-US" w:bidi="gu-IN"/>
              </w:rPr>
            </w:pPr>
            <w:r>
              <w:rPr>
                <w:szCs w:val="22"/>
                <w:lang w:val="en-US" w:bidi="gu-IN"/>
              </w:rPr>
              <w:t>(3.0%, 95% IC</w:t>
            </w:r>
          </w:p>
        </w:tc>
        <w:tc>
          <w:tcPr>
            <w:tcW w:w="2126" w:type="dxa"/>
            <w:tcBorders>
              <w:top w:val="nil"/>
              <w:left w:val="single" w:sz="6" w:space="0" w:color="7E7E7E"/>
              <w:bottom w:val="nil"/>
              <w:right w:val="single" w:sz="6" w:space="0" w:color="7E7E7E"/>
            </w:tcBorders>
            <w:hideMark/>
          </w:tcPr>
          <w:p w14:paraId="16B9FA29" w14:textId="77777777" w:rsidR="002F17B1" w:rsidRDefault="002F17B1" w:rsidP="00EF3721">
            <w:pPr>
              <w:tabs>
                <w:tab w:val="left" w:pos="708"/>
              </w:tabs>
              <w:jc w:val="center"/>
              <w:rPr>
                <w:szCs w:val="22"/>
                <w:lang w:val="en-US" w:bidi="gu-IN"/>
              </w:rPr>
            </w:pPr>
            <w:r>
              <w:rPr>
                <w:szCs w:val="22"/>
                <w:lang w:val="en-US" w:bidi="gu-IN"/>
              </w:rPr>
              <w:t>(1.9%, 95% IC</w:t>
            </w:r>
          </w:p>
        </w:tc>
      </w:tr>
      <w:tr w:rsidR="002F17B1" w14:paraId="457B00EC" w14:textId="77777777" w:rsidTr="002F17B1">
        <w:trPr>
          <w:trHeight w:hRule="exact" w:val="246"/>
        </w:trPr>
        <w:tc>
          <w:tcPr>
            <w:tcW w:w="5213" w:type="dxa"/>
            <w:vMerge/>
            <w:tcBorders>
              <w:top w:val="nil"/>
              <w:left w:val="single" w:sz="6" w:space="0" w:color="7E7E7E"/>
              <w:bottom w:val="single" w:sz="6" w:space="0" w:color="7E7E7E"/>
              <w:right w:val="single" w:sz="6" w:space="0" w:color="7E7E7E"/>
            </w:tcBorders>
            <w:vAlign w:val="center"/>
            <w:hideMark/>
          </w:tcPr>
          <w:p w14:paraId="6852F36A" w14:textId="77777777" w:rsidR="002F17B1" w:rsidRDefault="002F17B1">
            <w:pPr>
              <w:rPr>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51511D45" w14:textId="77777777" w:rsidR="002F17B1" w:rsidRDefault="002F17B1" w:rsidP="00EF3721">
            <w:pPr>
              <w:tabs>
                <w:tab w:val="left" w:pos="708"/>
              </w:tabs>
              <w:jc w:val="center"/>
              <w:rPr>
                <w:szCs w:val="22"/>
                <w:lang w:val="en-US" w:bidi="gu-IN"/>
              </w:rPr>
            </w:pPr>
            <w:r>
              <w:rPr>
                <w:szCs w:val="22"/>
                <w:lang w:val="en-US" w:bidi="gu-IN"/>
              </w:rPr>
              <w:t>1.6% - 5.5%)</w:t>
            </w:r>
          </w:p>
        </w:tc>
        <w:tc>
          <w:tcPr>
            <w:tcW w:w="2126" w:type="dxa"/>
            <w:tcBorders>
              <w:top w:val="nil"/>
              <w:left w:val="single" w:sz="6" w:space="0" w:color="7E7E7E"/>
              <w:bottom w:val="single" w:sz="6" w:space="0" w:color="7E7E7E"/>
              <w:right w:val="single" w:sz="6" w:space="0" w:color="7E7E7E"/>
            </w:tcBorders>
            <w:hideMark/>
          </w:tcPr>
          <w:p w14:paraId="2FDCD242" w14:textId="77777777" w:rsidR="002F17B1" w:rsidRDefault="002F17B1" w:rsidP="00EF3721">
            <w:pPr>
              <w:tabs>
                <w:tab w:val="left" w:pos="708"/>
              </w:tabs>
              <w:jc w:val="center"/>
              <w:rPr>
                <w:szCs w:val="22"/>
                <w:lang w:val="en-US" w:bidi="gu-IN"/>
              </w:rPr>
            </w:pPr>
            <w:r>
              <w:rPr>
                <w:szCs w:val="22"/>
                <w:lang w:val="en-US" w:bidi="gu-IN"/>
              </w:rPr>
              <w:t>0.5% - 5.3%)</w:t>
            </w:r>
          </w:p>
        </w:tc>
      </w:tr>
      <w:tr w:rsidR="002F17B1" w14:paraId="664DAD90" w14:textId="77777777" w:rsidTr="002F17B1">
        <w:trPr>
          <w:trHeight w:hRule="exact" w:val="270"/>
        </w:trPr>
        <w:tc>
          <w:tcPr>
            <w:tcW w:w="5213" w:type="dxa"/>
            <w:vMerge w:val="restart"/>
            <w:tcBorders>
              <w:top w:val="single" w:sz="6" w:space="0" w:color="7E7E7E"/>
              <w:left w:val="single" w:sz="6" w:space="0" w:color="7E7E7E"/>
              <w:bottom w:val="single" w:sz="6" w:space="0" w:color="7E7E7E"/>
              <w:right w:val="single" w:sz="6" w:space="0" w:color="7E7E7E"/>
            </w:tcBorders>
            <w:hideMark/>
          </w:tcPr>
          <w:p w14:paraId="1ADF3A80" w14:textId="77777777" w:rsidR="002F17B1" w:rsidRDefault="002F17B1" w:rsidP="002F17B1">
            <w:pPr>
              <w:pStyle w:val="Default"/>
              <w:rPr>
                <w:szCs w:val="22"/>
              </w:rPr>
            </w:pPr>
            <w:proofErr w:type="spellStart"/>
            <w:r>
              <w:rPr>
                <w:sz w:val="22"/>
                <w:szCs w:val="22"/>
              </w:rPr>
              <w:t>Hemorragia</w:t>
            </w:r>
            <w:proofErr w:type="spellEnd"/>
            <w:r>
              <w:rPr>
                <w:sz w:val="22"/>
                <w:szCs w:val="22"/>
              </w:rPr>
              <w:t xml:space="preserve"> principal </w:t>
            </w:r>
          </w:p>
          <w:p w14:paraId="00D3EF09" w14:textId="77777777" w:rsidR="002F17B1" w:rsidRDefault="002F17B1">
            <w:pPr>
              <w:tabs>
                <w:tab w:val="left" w:pos="708"/>
              </w:tabs>
              <w:rPr>
                <w:szCs w:val="22"/>
                <w:lang w:val="en-US" w:bidi="gu-IN"/>
              </w:rPr>
            </w:pPr>
          </w:p>
        </w:tc>
        <w:tc>
          <w:tcPr>
            <w:tcW w:w="2126" w:type="dxa"/>
            <w:tcBorders>
              <w:top w:val="single" w:sz="6" w:space="0" w:color="7E7E7E"/>
              <w:left w:val="single" w:sz="6" w:space="0" w:color="7E7E7E"/>
              <w:bottom w:val="nil"/>
              <w:right w:val="single" w:sz="6" w:space="0" w:color="7E7E7E"/>
            </w:tcBorders>
            <w:hideMark/>
          </w:tcPr>
          <w:p w14:paraId="5D85D807" w14:textId="77777777" w:rsidR="002F17B1" w:rsidRDefault="002F17B1" w:rsidP="00EF3721">
            <w:pPr>
              <w:tabs>
                <w:tab w:val="left" w:pos="708"/>
              </w:tabs>
              <w:jc w:val="center"/>
              <w:rPr>
                <w:szCs w:val="22"/>
                <w:lang w:val="en-US" w:bidi="gu-IN"/>
              </w:rPr>
            </w:pPr>
            <w:r>
              <w:rPr>
                <w:szCs w:val="22"/>
                <w:lang w:val="en-US" w:bidi="gu-IN"/>
              </w:rPr>
              <w:t>0</w:t>
            </w:r>
          </w:p>
        </w:tc>
        <w:tc>
          <w:tcPr>
            <w:tcW w:w="2126" w:type="dxa"/>
            <w:tcBorders>
              <w:top w:val="single" w:sz="6" w:space="0" w:color="7E7E7E"/>
              <w:left w:val="single" w:sz="6" w:space="0" w:color="7E7E7E"/>
              <w:bottom w:val="nil"/>
              <w:right w:val="single" w:sz="6" w:space="0" w:color="7E7E7E"/>
            </w:tcBorders>
            <w:hideMark/>
          </w:tcPr>
          <w:p w14:paraId="72BD6161" w14:textId="77777777" w:rsidR="002F17B1" w:rsidRDefault="002F17B1" w:rsidP="00EF3721">
            <w:pPr>
              <w:tabs>
                <w:tab w:val="left" w:pos="708"/>
              </w:tabs>
              <w:jc w:val="center"/>
              <w:rPr>
                <w:szCs w:val="22"/>
                <w:lang w:val="en-US" w:bidi="gu-IN"/>
              </w:rPr>
            </w:pPr>
            <w:r>
              <w:rPr>
                <w:szCs w:val="22"/>
                <w:lang w:val="en-US" w:bidi="gu-IN"/>
              </w:rPr>
              <w:t>2</w:t>
            </w:r>
          </w:p>
        </w:tc>
      </w:tr>
      <w:tr w:rsidR="002F17B1" w14:paraId="79FFC9A5" w14:textId="77777777" w:rsidTr="002F17B1">
        <w:trPr>
          <w:trHeight w:hRule="exact" w:val="253"/>
        </w:trPr>
        <w:tc>
          <w:tcPr>
            <w:tcW w:w="5213" w:type="dxa"/>
            <w:vMerge/>
            <w:tcBorders>
              <w:top w:val="single" w:sz="6" w:space="0" w:color="7E7E7E"/>
              <w:left w:val="single" w:sz="6" w:space="0" w:color="7E7E7E"/>
              <w:bottom w:val="single" w:sz="6" w:space="0" w:color="7E7E7E"/>
              <w:right w:val="single" w:sz="6" w:space="0" w:color="7E7E7E"/>
            </w:tcBorders>
            <w:vAlign w:val="center"/>
            <w:hideMark/>
          </w:tcPr>
          <w:p w14:paraId="4D0859BC" w14:textId="77777777" w:rsidR="002F17B1" w:rsidRDefault="002F17B1">
            <w:pPr>
              <w:rPr>
                <w:szCs w:val="22"/>
                <w:lang w:val="en-US" w:bidi="gu-IN"/>
              </w:rPr>
            </w:pPr>
          </w:p>
        </w:tc>
        <w:tc>
          <w:tcPr>
            <w:tcW w:w="2126" w:type="dxa"/>
            <w:tcBorders>
              <w:top w:val="nil"/>
              <w:left w:val="single" w:sz="6" w:space="0" w:color="7E7E7E"/>
              <w:bottom w:val="nil"/>
              <w:right w:val="single" w:sz="6" w:space="0" w:color="7E7E7E"/>
            </w:tcBorders>
            <w:hideMark/>
          </w:tcPr>
          <w:p w14:paraId="546754C4" w14:textId="77777777" w:rsidR="002F17B1" w:rsidRDefault="002F17B1" w:rsidP="00EF3721">
            <w:pPr>
              <w:tabs>
                <w:tab w:val="left" w:pos="708"/>
              </w:tabs>
              <w:jc w:val="center"/>
              <w:rPr>
                <w:szCs w:val="22"/>
                <w:lang w:val="en-US" w:bidi="gu-IN"/>
              </w:rPr>
            </w:pPr>
            <w:r>
              <w:rPr>
                <w:szCs w:val="22"/>
                <w:lang w:val="en-US" w:bidi="gu-IN"/>
              </w:rPr>
              <w:t>(0.0%, 95% IC</w:t>
            </w:r>
          </w:p>
        </w:tc>
        <w:tc>
          <w:tcPr>
            <w:tcW w:w="2126" w:type="dxa"/>
            <w:tcBorders>
              <w:top w:val="nil"/>
              <w:left w:val="single" w:sz="6" w:space="0" w:color="7E7E7E"/>
              <w:bottom w:val="nil"/>
              <w:right w:val="single" w:sz="6" w:space="0" w:color="7E7E7E"/>
            </w:tcBorders>
            <w:hideMark/>
          </w:tcPr>
          <w:p w14:paraId="1B2BCA62" w14:textId="77777777" w:rsidR="002F17B1" w:rsidRDefault="002F17B1" w:rsidP="00EF3721">
            <w:pPr>
              <w:tabs>
                <w:tab w:val="left" w:pos="708"/>
              </w:tabs>
              <w:jc w:val="center"/>
              <w:rPr>
                <w:szCs w:val="22"/>
                <w:lang w:val="en-US" w:bidi="gu-IN"/>
              </w:rPr>
            </w:pPr>
            <w:r>
              <w:rPr>
                <w:szCs w:val="22"/>
                <w:lang w:val="en-US" w:bidi="gu-IN"/>
              </w:rPr>
              <w:t>(1.2%, 95% IC</w:t>
            </w:r>
          </w:p>
        </w:tc>
      </w:tr>
      <w:tr w:rsidR="002F17B1" w14:paraId="3188FB6D" w14:textId="77777777" w:rsidTr="002F17B1">
        <w:trPr>
          <w:trHeight w:hRule="exact" w:val="246"/>
        </w:trPr>
        <w:tc>
          <w:tcPr>
            <w:tcW w:w="5213" w:type="dxa"/>
            <w:vMerge/>
            <w:tcBorders>
              <w:top w:val="single" w:sz="6" w:space="0" w:color="7E7E7E"/>
              <w:left w:val="single" w:sz="6" w:space="0" w:color="7E7E7E"/>
              <w:bottom w:val="single" w:sz="6" w:space="0" w:color="7E7E7E"/>
              <w:right w:val="single" w:sz="6" w:space="0" w:color="7E7E7E"/>
            </w:tcBorders>
            <w:vAlign w:val="center"/>
            <w:hideMark/>
          </w:tcPr>
          <w:p w14:paraId="64E7BA0C" w14:textId="77777777" w:rsidR="002F17B1" w:rsidRDefault="002F17B1">
            <w:pPr>
              <w:rPr>
                <w:szCs w:val="22"/>
                <w:lang w:val="en-US" w:bidi="gu-IN"/>
              </w:rPr>
            </w:pPr>
          </w:p>
        </w:tc>
        <w:tc>
          <w:tcPr>
            <w:tcW w:w="2126" w:type="dxa"/>
            <w:tcBorders>
              <w:top w:val="nil"/>
              <w:left w:val="single" w:sz="6" w:space="0" w:color="7E7E7E"/>
              <w:bottom w:val="single" w:sz="6" w:space="0" w:color="7E7E7E"/>
              <w:right w:val="single" w:sz="6" w:space="0" w:color="7E7E7E"/>
            </w:tcBorders>
            <w:hideMark/>
          </w:tcPr>
          <w:p w14:paraId="28D948FC" w14:textId="77777777" w:rsidR="002F17B1" w:rsidRDefault="002F17B1" w:rsidP="00EF3721">
            <w:pPr>
              <w:tabs>
                <w:tab w:val="left" w:pos="708"/>
              </w:tabs>
              <w:jc w:val="center"/>
              <w:rPr>
                <w:szCs w:val="22"/>
                <w:lang w:val="en-US" w:bidi="gu-IN"/>
              </w:rPr>
            </w:pPr>
            <w:r>
              <w:rPr>
                <w:szCs w:val="22"/>
                <w:lang w:val="en-US" w:bidi="gu-IN"/>
              </w:rPr>
              <w:t>0.0% - 1.1%)</w:t>
            </w:r>
          </w:p>
        </w:tc>
        <w:tc>
          <w:tcPr>
            <w:tcW w:w="2126" w:type="dxa"/>
            <w:tcBorders>
              <w:top w:val="nil"/>
              <w:left w:val="single" w:sz="6" w:space="0" w:color="7E7E7E"/>
              <w:bottom w:val="single" w:sz="6" w:space="0" w:color="7E7E7E"/>
              <w:right w:val="single" w:sz="6" w:space="0" w:color="7E7E7E"/>
            </w:tcBorders>
            <w:hideMark/>
          </w:tcPr>
          <w:p w14:paraId="32D1B13B" w14:textId="77777777" w:rsidR="002F17B1" w:rsidRDefault="002F17B1" w:rsidP="00EF3721">
            <w:pPr>
              <w:tabs>
                <w:tab w:val="left" w:pos="708"/>
              </w:tabs>
              <w:jc w:val="center"/>
              <w:rPr>
                <w:szCs w:val="22"/>
                <w:lang w:val="en-US" w:bidi="gu-IN"/>
              </w:rPr>
            </w:pPr>
            <w:r>
              <w:rPr>
                <w:szCs w:val="22"/>
                <w:lang w:val="en-US" w:bidi="gu-IN"/>
              </w:rPr>
              <w:t>0.2% - 4.3%)</w:t>
            </w:r>
          </w:p>
        </w:tc>
      </w:tr>
      <w:tr w:rsidR="002F17B1" w14:paraId="1C973F42" w14:textId="77777777" w:rsidTr="002F17B1">
        <w:trPr>
          <w:trHeight w:hRule="exact" w:val="263"/>
        </w:trPr>
        <w:tc>
          <w:tcPr>
            <w:tcW w:w="5213" w:type="dxa"/>
            <w:tcBorders>
              <w:top w:val="single" w:sz="6" w:space="0" w:color="7E7E7E"/>
              <w:left w:val="single" w:sz="6" w:space="0" w:color="7E7E7E"/>
              <w:bottom w:val="single" w:sz="6" w:space="0" w:color="7E7E7E"/>
              <w:right w:val="single" w:sz="6" w:space="0" w:color="7E7E7E"/>
            </w:tcBorders>
            <w:hideMark/>
          </w:tcPr>
          <w:p w14:paraId="6F225A03" w14:textId="77777777" w:rsidR="002F17B1" w:rsidRDefault="002F17B1" w:rsidP="002F17B1">
            <w:pPr>
              <w:pStyle w:val="Default"/>
              <w:rPr>
                <w:szCs w:val="22"/>
              </w:rPr>
            </w:pPr>
            <w:r>
              <w:rPr>
                <w:sz w:val="22"/>
                <w:szCs w:val="22"/>
              </w:rPr>
              <w:t xml:space="preserve">Quaisquer </w:t>
            </w:r>
            <w:proofErr w:type="spellStart"/>
            <w:r>
              <w:rPr>
                <w:sz w:val="22"/>
                <w:szCs w:val="22"/>
              </w:rPr>
              <w:t>hemorragias</w:t>
            </w:r>
            <w:proofErr w:type="spellEnd"/>
            <w:r>
              <w:rPr>
                <w:sz w:val="22"/>
                <w:szCs w:val="22"/>
              </w:rPr>
              <w:t xml:space="preserve"> </w:t>
            </w:r>
            <w:proofErr w:type="spellStart"/>
            <w:r>
              <w:rPr>
                <w:sz w:val="22"/>
                <w:szCs w:val="22"/>
              </w:rPr>
              <w:t>emergentes</w:t>
            </w:r>
            <w:proofErr w:type="spellEnd"/>
            <w:r>
              <w:rPr>
                <w:sz w:val="22"/>
                <w:szCs w:val="22"/>
              </w:rPr>
              <w:t xml:space="preserve"> do </w:t>
            </w:r>
            <w:proofErr w:type="spellStart"/>
            <w:r>
              <w:rPr>
                <w:sz w:val="22"/>
                <w:szCs w:val="22"/>
              </w:rPr>
              <w:t>tratamento</w:t>
            </w:r>
            <w:proofErr w:type="spellEnd"/>
            <w:r>
              <w:rPr>
                <w:sz w:val="22"/>
                <w:szCs w:val="22"/>
              </w:rPr>
              <w:t xml:space="preserve"> </w:t>
            </w:r>
          </w:p>
          <w:p w14:paraId="13E427FE" w14:textId="77777777" w:rsidR="002F17B1" w:rsidRDefault="002F17B1">
            <w:pPr>
              <w:tabs>
                <w:tab w:val="left" w:pos="708"/>
              </w:tabs>
              <w:rPr>
                <w:szCs w:val="22"/>
                <w:lang w:val="en-US" w:bidi="gu-IN"/>
              </w:rPr>
            </w:pPr>
          </w:p>
        </w:tc>
        <w:tc>
          <w:tcPr>
            <w:tcW w:w="2126" w:type="dxa"/>
            <w:tcBorders>
              <w:top w:val="single" w:sz="6" w:space="0" w:color="7E7E7E"/>
              <w:left w:val="single" w:sz="6" w:space="0" w:color="7E7E7E"/>
              <w:bottom w:val="single" w:sz="6" w:space="0" w:color="7E7E7E"/>
              <w:right w:val="single" w:sz="6" w:space="0" w:color="7E7E7E"/>
            </w:tcBorders>
            <w:hideMark/>
          </w:tcPr>
          <w:p w14:paraId="32DEFB57" w14:textId="77777777" w:rsidR="002F17B1" w:rsidRDefault="002F17B1" w:rsidP="00EF3721">
            <w:pPr>
              <w:tabs>
                <w:tab w:val="left" w:pos="708"/>
              </w:tabs>
              <w:jc w:val="center"/>
              <w:rPr>
                <w:szCs w:val="22"/>
                <w:lang w:val="en-US" w:bidi="gu-IN"/>
              </w:rPr>
            </w:pPr>
            <w:r>
              <w:rPr>
                <w:szCs w:val="22"/>
                <w:lang w:val="en-US" w:bidi="gu-IN"/>
              </w:rPr>
              <w:t>119 (36.2%)</w:t>
            </w:r>
          </w:p>
        </w:tc>
        <w:tc>
          <w:tcPr>
            <w:tcW w:w="2126" w:type="dxa"/>
            <w:tcBorders>
              <w:top w:val="single" w:sz="6" w:space="0" w:color="7E7E7E"/>
              <w:left w:val="single" w:sz="6" w:space="0" w:color="7E7E7E"/>
              <w:bottom w:val="single" w:sz="6" w:space="0" w:color="7E7E7E"/>
              <w:right w:val="single" w:sz="6" w:space="0" w:color="7E7E7E"/>
            </w:tcBorders>
            <w:hideMark/>
          </w:tcPr>
          <w:p w14:paraId="2F5CF7B2" w14:textId="77777777" w:rsidR="002F17B1" w:rsidRDefault="002F17B1" w:rsidP="00EF3721">
            <w:pPr>
              <w:tabs>
                <w:tab w:val="left" w:pos="708"/>
              </w:tabs>
              <w:jc w:val="center"/>
              <w:rPr>
                <w:szCs w:val="22"/>
                <w:lang w:val="en-US" w:bidi="gu-IN"/>
              </w:rPr>
            </w:pPr>
            <w:r>
              <w:rPr>
                <w:szCs w:val="22"/>
                <w:lang w:val="en-US" w:bidi="gu-IN"/>
              </w:rPr>
              <w:t>45 (27.8%)</w:t>
            </w:r>
          </w:p>
        </w:tc>
      </w:tr>
    </w:tbl>
    <w:p w14:paraId="7162876A" w14:textId="77777777" w:rsidR="002F17B1" w:rsidRPr="002F17B1" w:rsidRDefault="002F17B1" w:rsidP="002F17B1">
      <w:pPr>
        <w:autoSpaceDE w:val="0"/>
        <w:autoSpaceDN w:val="0"/>
        <w:adjustRightInd w:val="0"/>
        <w:rPr>
          <w:color w:val="000000"/>
          <w:szCs w:val="22"/>
          <w:lang w:eastAsia="pt-PT"/>
        </w:rPr>
      </w:pPr>
      <w:r w:rsidRPr="002F17B1">
        <w:rPr>
          <w:color w:val="000000"/>
          <w:szCs w:val="22"/>
          <w:lang w:eastAsia="pt-PT"/>
        </w:rPr>
        <w:t xml:space="preserve">*CAS = conjunto de análise da segurança, todas as crianças que foram aleatorizadas e que receberam pelo menos 1 dose da medicação do estudo </w:t>
      </w:r>
    </w:p>
    <w:p w14:paraId="6BF1CF70" w14:textId="77777777" w:rsidR="002F17B1" w:rsidRDefault="002F17B1" w:rsidP="002F17B1">
      <w:pPr>
        <w:suppressAutoHyphens/>
        <w:rPr>
          <w:color w:val="000000"/>
          <w:szCs w:val="22"/>
          <w:lang w:eastAsia="pt-PT"/>
        </w:rPr>
      </w:pPr>
    </w:p>
    <w:p w14:paraId="36AFE51D" w14:textId="77777777" w:rsidR="002F17B1" w:rsidRDefault="002F17B1" w:rsidP="002F17B1">
      <w:pPr>
        <w:suppressAutoHyphens/>
        <w:rPr>
          <w:color w:val="000000"/>
          <w:szCs w:val="22"/>
          <w:lang w:eastAsia="pt-PT"/>
        </w:rPr>
      </w:pPr>
      <w:r w:rsidRPr="002F17B1">
        <w:rPr>
          <w:color w:val="000000"/>
          <w:szCs w:val="22"/>
          <w:lang w:eastAsia="pt-PT"/>
        </w:rPr>
        <w:t>O perfil de eficácia e segurança do rivaroxabano foi muito semelhante entre a população pediátrica com TEV e a população adulta com TVP/EP, contudo, a proporção de indivíduos com qualquer hemorragia foi superior na população pediátrica com TEV quando comparada à população adulta com TVP/EP.</w:t>
      </w:r>
    </w:p>
    <w:p w14:paraId="14F552E5" w14:textId="77777777" w:rsidR="002F17B1" w:rsidRPr="0063119B" w:rsidRDefault="002F17B1" w:rsidP="002F17B1">
      <w:pPr>
        <w:suppressAutoHyphens/>
        <w:rPr>
          <w:noProof/>
          <w:szCs w:val="22"/>
        </w:rPr>
      </w:pPr>
    </w:p>
    <w:p w14:paraId="2279C800" w14:textId="77777777" w:rsidR="00FB50D4" w:rsidRDefault="00FB50D4" w:rsidP="00FB50D4">
      <w:pPr>
        <w:keepNext/>
        <w:suppressAutoHyphens/>
        <w:rPr>
          <w:noProof/>
          <w:szCs w:val="22"/>
          <w:u w:val="single"/>
        </w:rPr>
      </w:pPr>
      <w:r w:rsidRPr="0063119B">
        <w:rPr>
          <w:noProof/>
          <w:szCs w:val="22"/>
          <w:u w:val="single"/>
        </w:rPr>
        <w:lastRenderedPageBreak/>
        <w:t xml:space="preserve">Doentes de alto risco com síndrome antifosfolipídica triplo positivos </w:t>
      </w:r>
    </w:p>
    <w:p w14:paraId="34FA734E" w14:textId="77777777" w:rsidR="00FB36A2" w:rsidRPr="0063119B" w:rsidRDefault="00FB36A2" w:rsidP="00FB50D4">
      <w:pPr>
        <w:keepNext/>
        <w:suppressAutoHyphens/>
        <w:rPr>
          <w:noProof/>
          <w:szCs w:val="22"/>
          <w:u w:val="single"/>
        </w:rPr>
      </w:pPr>
    </w:p>
    <w:p w14:paraId="07263FDF" w14:textId="77777777" w:rsidR="00FB50D4" w:rsidRPr="0063119B" w:rsidRDefault="00FB50D4" w:rsidP="00FB50D4">
      <w:pPr>
        <w:rPr>
          <w:noProof/>
          <w:szCs w:val="22"/>
        </w:rPr>
      </w:pPr>
      <w:r w:rsidRPr="0063119B">
        <w:rPr>
          <w:noProof/>
          <w:szCs w:val="22"/>
        </w:rPr>
        <w:t>Foi realizado um estudo multicêntrico, aleatorizado, sem ocultação, promovido pelo investigador, com avaliação em ocultação do parâmetro de avaliação final para comparar o rivaroxabano com a varfarina em doentes com antecedentes de trombose, diagnosticados com síndrome antifosfolipídica e com risco elevado de acontecimentos tromboembólicos (positivos para a presença dos 3 anticorpos antifosfolípidos: anticoagulante lúpico, anticorpos anticardiolipina e anticorpos anti-beta2 glicoproteína-I). Após o recrutamento de 120 doentes o estudo foi prematuramente terminado devido a um excesso de acontecimentos entre os doentes no braço do rivaroxabano. O tempo de seguimento médio do estudo foi de 569 dias. Foram aleatorizados 59 doentes para o tratamento com 20 mg de rivaroxabano (15 mg para doentes com depuração da creatinina (CrCl) &lt;50 ml/min) e 61 doentes para o tratamento com varfarina (INR 2,0-3,0). Ocorreram acontecimentos tromboembólicos (4 acidentes vasculares cerebrais isquémicos e 3 enfartes do miocárdio) em 12% dos doentes aleatorizados para o tratamento com rivaroxabano. Não foram notificados acontecimentos nos doentes aleatorizados para o tratamento com varfarina. Ocorreram hemorragias graves em 4 doentes (7%) do grupo do rivaroxabano e em 2 doentes (3%) do grupo da varfarina.</w:t>
      </w:r>
    </w:p>
    <w:p w14:paraId="616CFAE4" w14:textId="77777777" w:rsidR="00FB50D4" w:rsidRPr="0063119B" w:rsidRDefault="00FB50D4" w:rsidP="00337111">
      <w:pPr>
        <w:suppressAutoHyphens/>
        <w:rPr>
          <w:noProof/>
          <w:szCs w:val="22"/>
        </w:rPr>
      </w:pPr>
    </w:p>
    <w:p w14:paraId="2CE1F577" w14:textId="77777777" w:rsidR="00337111" w:rsidRDefault="00337111" w:rsidP="00337111">
      <w:pPr>
        <w:suppressAutoHyphens/>
        <w:rPr>
          <w:noProof/>
          <w:szCs w:val="22"/>
          <w:u w:val="single"/>
        </w:rPr>
      </w:pPr>
      <w:r w:rsidRPr="0063119B">
        <w:rPr>
          <w:noProof/>
          <w:szCs w:val="22"/>
          <w:u w:val="single"/>
        </w:rPr>
        <w:t>População pediátrica</w:t>
      </w:r>
    </w:p>
    <w:p w14:paraId="73929AA3" w14:textId="77777777" w:rsidR="00FB36A2" w:rsidRPr="0063119B" w:rsidRDefault="00FB36A2" w:rsidP="00337111">
      <w:pPr>
        <w:suppressAutoHyphens/>
        <w:rPr>
          <w:noProof/>
          <w:szCs w:val="22"/>
          <w:u w:val="single"/>
        </w:rPr>
      </w:pPr>
    </w:p>
    <w:p w14:paraId="5A435932" w14:textId="77777777" w:rsidR="00337111" w:rsidRPr="0063119B" w:rsidRDefault="00337111" w:rsidP="00337111">
      <w:pPr>
        <w:suppressAutoHyphens/>
        <w:rPr>
          <w:rFonts w:eastAsia="SimSun"/>
          <w:szCs w:val="22"/>
          <w:lang w:eastAsia="zh-CN"/>
        </w:rPr>
      </w:pPr>
      <w:r w:rsidRPr="0063119B">
        <w:rPr>
          <w:rFonts w:eastAsia="SimSun"/>
          <w:szCs w:val="22"/>
          <w:lang w:eastAsia="zh-CN"/>
        </w:rPr>
        <w:t xml:space="preserve">A </w:t>
      </w:r>
      <w:r w:rsidRPr="0063119B">
        <w:rPr>
          <w:noProof/>
          <w:szCs w:val="22"/>
        </w:rPr>
        <w:t xml:space="preserve">Agência Europeia de Medicamentos dispensou a obrigação de submissão dos resultados dos estudos com </w:t>
      </w:r>
      <w:r w:rsidR="001D6BDF" w:rsidRPr="0063119B">
        <w:rPr>
          <w:noProof/>
          <w:szCs w:val="22"/>
        </w:rPr>
        <w:t xml:space="preserve">o medicamento de referência contendo rivaroxabano </w:t>
      </w:r>
      <w:r w:rsidRPr="0063119B">
        <w:rPr>
          <w:rFonts w:eastAsia="SimSun"/>
          <w:szCs w:val="22"/>
          <w:lang w:eastAsia="zh-CN"/>
        </w:rPr>
        <w:t xml:space="preserve">em todos os subgrupos da população pediátrica na prevenção </w:t>
      </w:r>
      <w:r w:rsidR="008C187A" w:rsidRPr="0063119B">
        <w:rPr>
          <w:rFonts w:eastAsia="SimSun"/>
          <w:szCs w:val="22"/>
          <w:lang w:eastAsia="zh-CN"/>
        </w:rPr>
        <w:t xml:space="preserve">de </w:t>
      </w:r>
      <w:r w:rsidRPr="0063119B">
        <w:rPr>
          <w:rFonts w:eastAsia="SimSun"/>
          <w:szCs w:val="22"/>
          <w:lang w:eastAsia="zh-CN"/>
        </w:rPr>
        <w:t xml:space="preserve">acontecimentos tromboembólicos </w:t>
      </w:r>
      <w:r w:rsidR="004E410E" w:rsidRPr="0063119B">
        <w:rPr>
          <w:rFonts w:eastAsia="SimSun"/>
          <w:szCs w:val="22"/>
          <w:lang w:eastAsia="zh-CN"/>
        </w:rPr>
        <w:t>(v</w:t>
      </w:r>
      <w:r w:rsidRPr="0063119B">
        <w:rPr>
          <w:rFonts w:eastAsia="SimSun"/>
          <w:szCs w:val="22"/>
          <w:lang w:eastAsia="zh-CN"/>
        </w:rPr>
        <w:t>er secção 4.2 para informação sobre utilização pediátrica</w:t>
      </w:r>
      <w:r w:rsidR="004E410E" w:rsidRPr="0063119B">
        <w:rPr>
          <w:rFonts w:eastAsia="SimSun"/>
          <w:szCs w:val="22"/>
          <w:lang w:eastAsia="zh-CN"/>
        </w:rPr>
        <w:t>)</w:t>
      </w:r>
      <w:r w:rsidRPr="0063119B">
        <w:rPr>
          <w:rFonts w:eastAsia="SimSun"/>
          <w:szCs w:val="22"/>
          <w:lang w:eastAsia="zh-CN"/>
        </w:rPr>
        <w:t>.</w:t>
      </w:r>
    </w:p>
    <w:p w14:paraId="64C1C846" w14:textId="77777777" w:rsidR="00337111" w:rsidRPr="0063119B" w:rsidRDefault="00337111" w:rsidP="00337111">
      <w:pPr>
        <w:suppressAutoHyphens/>
        <w:ind w:left="567" w:hanging="567"/>
        <w:rPr>
          <w:b/>
          <w:noProof/>
          <w:szCs w:val="22"/>
        </w:rPr>
      </w:pPr>
    </w:p>
    <w:p w14:paraId="792D21F5" w14:textId="77777777" w:rsidR="00337111" w:rsidRPr="0063119B" w:rsidRDefault="00337111" w:rsidP="00337111">
      <w:pPr>
        <w:keepNext/>
        <w:suppressAutoHyphens/>
        <w:ind w:left="567" w:hanging="567"/>
        <w:rPr>
          <w:noProof/>
          <w:szCs w:val="22"/>
        </w:rPr>
      </w:pPr>
      <w:r w:rsidRPr="0063119B">
        <w:rPr>
          <w:b/>
          <w:noProof/>
          <w:szCs w:val="22"/>
        </w:rPr>
        <w:t>5.2</w:t>
      </w:r>
      <w:r w:rsidRPr="0063119B">
        <w:rPr>
          <w:b/>
          <w:noProof/>
          <w:szCs w:val="22"/>
        </w:rPr>
        <w:tab/>
        <w:t>Propriedades farmacocinéticas</w:t>
      </w:r>
    </w:p>
    <w:p w14:paraId="537CAFDC" w14:textId="77777777" w:rsidR="00337111" w:rsidRPr="0063119B" w:rsidRDefault="00337111" w:rsidP="00337111">
      <w:pPr>
        <w:keepNext/>
        <w:suppressAutoHyphens/>
        <w:rPr>
          <w:noProof/>
          <w:szCs w:val="22"/>
        </w:rPr>
      </w:pPr>
    </w:p>
    <w:p w14:paraId="71736E80" w14:textId="77777777" w:rsidR="00337111" w:rsidRPr="0063119B" w:rsidRDefault="00337111" w:rsidP="00337111">
      <w:pPr>
        <w:keepNext/>
        <w:rPr>
          <w:noProof/>
          <w:szCs w:val="22"/>
          <w:u w:val="single"/>
        </w:rPr>
      </w:pPr>
      <w:r w:rsidRPr="0063119B">
        <w:rPr>
          <w:noProof/>
          <w:szCs w:val="22"/>
          <w:u w:val="single"/>
        </w:rPr>
        <w:t>Absorção</w:t>
      </w:r>
    </w:p>
    <w:p w14:paraId="74630DB2" w14:textId="77777777" w:rsidR="002F17B1" w:rsidRDefault="002F17B1" w:rsidP="00337111">
      <w:pPr>
        <w:keepNext/>
        <w:rPr>
          <w:szCs w:val="22"/>
        </w:rPr>
      </w:pPr>
    </w:p>
    <w:p w14:paraId="171166C5" w14:textId="77777777" w:rsidR="00FE3820" w:rsidRPr="0063119B" w:rsidRDefault="002F17B1" w:rsidP="00337111">
      <w:pPr>
        <w:keepNext/>
        <w:rPr>
          <w:noProof/>
          <w:szCs w:val="22"/>
        </w:rPr>
      </w:pPr>
      <w:r>
        <w:rPr>
          <w:szCs w:val="22"/>
        </w:rPr>
        <w:t>A informação seguinte baseia-se nos dados obtidos em adultos.</w:t>
      </w:r>
    </w:p>
    <w:p w14:paraId="11A045D9" w14:textId="77777777" w:rsidR="00337111" w:rsidRDefault="00FE3820" w:rsidP="00337111">
      <w:pPr>
        <w:keepNext/>
        <w:rPr>
          <w:noProof/>
          <w:szCs w:val="22"/>
        </w:rPr>
      </w:pPr>
      <w:r w:rsidRPr="0063119B">
        <w:rPr>
          <w:noProof/>
          <w:szCs w:val="22"/>
        </w:rPr>
        <w:t>O r</w:t>
      </w:r>
      <w:r w:rsidR="00337111" w:rsidRPr="0063119B">
        <w:rPr>
          <w:noProof/>
          <w:szCs w:val="22"/>
        </w:rPr>
        <w:t>ivaroxabano é rapidamente absorvido e atinge as concentrações máximas (C</w:t>
      </w:r>
      <w:r w:rsidR="00337111" w:rsidRPr="0063119B">
        <w:rPr>
          <w:noProof/>
          <w:szCs w:val="22"/>
          <w:vertAlign w:val="subscript"/>
        </w:rPr>
        <w:t>max</w:t>
      </w:r>
      <w:r w:rsidR="00337111" w:rsidRPr="0063119B">
        <w:rPr>
          <w:noProof/>
          <w:szCs w:val="22"/>
        </w:rPr>
        <w:t xml:space="preserve">) 2 a 4 horas após a ingestão do comprimido. </w:t>
      </w:r>
    </w:p>
    <w:p w14:paraId="4CA444BD" w14:textId="77777777" w:rsidR="002F17B1" w:rsidRPr="0063119B" w:rsidRDefault="002F17B1" w:rsidP="00337111">
      <w:pPr>
        <w:keepNext/>
        <w:rPr>
          <w:noProof/>
          <w:szCs w:val="22"/>
        </w:rPr>
      </w:pPr>
    </w:p>
    <w:p w14:paraId="54EDD542" w14:textId="77777777" w:rsidR="002F17B1" w:rsidRPr="0063119B" w:rsidRDefault="00337111" w:rsidP="00337111">
      <w:pPr>
        <w:rPr>
          <w:noProof/>
          <w:szCs w:val="22"/>
        </w:rPr>
      </w:pPr>
      <w:r w:rsidRPr="0063119B">
        <w:rPr>
          <w:rFonts w:eastAsia="SimSun"/>
          <w:szCs w:val="22"/>
        </w:rPr>
        <w:t>A absorção oral de rivaroxabano é quase completa e a biodisponibilidade oral é elevada (80 </w:t>
      </w:r>
      <w:r w:rsidRPr="0063119B">
        <w:rPr>
          <w:rFonts w:eastAsia="SimSun"/>
          <w:szCs w:val="22"/>
        </w:rPr>
        <w:noBreakHyphen/>
        <w:t xml:space="preserve"> 100%) com o comprimido de </w:t>
      </w:r>
      <w:r w:rsidR="00D55DA2" w:rsidRPr="0063119B">
        <w:rPr>
          <w:rFonts w:eastAsia="SimSun"/>
          <w:szCs w:val="22"/>
        </w:rPr>
        <w:t>2,5 mg e</w:t>
      </w:r>
      <w:r w:rsidRPr="0063119B">
        <w:rPr>
          <w:rFonts w:eastAsia="SimSun"/>
          <w:szCs w:val="22"/>
        </w:rPr>
        <w:t>10 mg independentemente do estado de jejum/pós</w:t>
      </w:r>
      <w:r w:rsidRPr="0063119B">
        <w:rPr>
          <w:rFonts w:eastAsia="SimSun"/>
          <w:szCs w:val="22"/>
        </w:rPr>
        <w:noBreakHyphen/>
        <w:t>prandial.</w:t>
      </w:r>
      <w:r w:rsidRPr="0063119B">
        <w:rPr>
          <w:noProof/>
          <w:szCs w:val="22"/>
        </w:rPr>
        <w:t xml:space="preserve"> A ingestão com alimentos não afeta a AUC ou a C</w:t>
      </w:r>
      <w:r w:rsidRPr="0063119B">
        <w:rPr>
          <w:noProof/>
          <w:szCs w:val="22"/>
          <w:vertAlign w:val="subscript"/>
        </w:rPr>
        <w:t>max</w:t>
      </w:r>
      <w:r w:rsidRPr="0063119B">
        <w:rPr>
          <w:noProof/>
          <w:szCs w:val="22"/>
        </w:rPr>
        <w:t xml:space="preserve"> da dose de </w:t>
      </w:r>
      <w:r w:rsidR="00D55DA2" w:rsidRPr="0063119B">
        <w:rPr>
          <w:noProof/>
          <w:szCs w:val="22"/>
        </w:rPr>
        <w:t xml:space="preserve">2,5 mg e </w:t>
      </w:r>
      <w:r w:rsidRPr="0063119B">
        <w:rPr>
          <w:noProof/>
          <w:szCs w:val="22"/>
        </w:rPr>
        <w:t xml:space="preserve">10 mg de rivaroxabano. </w:t>
      </w:r>
    </w:p>
    <w:p w14:paraId="431B3392" w14:textId="77777777" w:rsidR="00337111" w:rsidRPr="0063119B" w:rsidRDefault="00337111" w:rsidP="00337111">
      <w:pPr>
        <w:rPr>
          <w:noProof/>
          <w:szCs w:val="22"/>
        </w:rPr>
      </w:pPr>
      <w:r w:rsidRPr="0063119B">
        <w:rPr>
          <w:rFonts w:eastAsia="SimSun"/>
          <w:szCs w:val="22"/>
        </w:rPr>
        <w:t xml:space="preserve">Devido a uma absorção menos extensa, foi determinada uma biodisponibilidade oral de 66% para o comprimido de 20 mg em jejum. Quando </w:t>
      </w:r>
      <w:r w:rsidR="001D6BDF" w:rsidRPr="0063119B">
        <w:rPr>
          <w:rFonts w:eastAsia="SimSun"/>
          <w:szCs w:val="22"/>
        </w:rPr>
        <w:t xml:space="preserve">o </w:t>
      </w:r>
      <w:r w:rsidR="001D6BDF" w:rsidRPr="0063119B">
        <w:rPr>
          <w:szCs w:val="22"/>
        </w:rPr>
        <w:t>rivaroxabano</w:t>
      </w:r>
      <w:r w:rsidR="001D6BDF" w:rsidRPr="0063119B">
        <w:rPr>
          <w:rFonts w:eastAsia="SimSun"/>
          <w:szCs w:val="22"/>
        </w:rPr>
        <w:t xml:space="preserve"> </w:t>
      </w:r>
      <w:r w:rsidRPr="0063119B">
        <w:rPr>
          <w:rFonts w:eastAsia="SimSun"/>
          <w:szCs w:val="22"/>
        </w:rPr>
        <w:t>20 mg comprimidos é tomado juntamente com alimentos observou</w:t>
      </w:r>
      <w:r w:rsidRPr="0063119B">
        <w:rPr>
          <w:rFonts w:eastAsia="SimSun"/>
          <w:szCs w:val="22"/>
        </w:rPr>
        <w:noBreakHyphen/>
        <w:t xml:space="preserve">se um aumento da AUC de 39% em comparação com a ingestão do comprimido em jejum, indicando uma absorção quase completa e uma biodisponibilidade oral elevada. Os comprimidos de </w:t>
      </w:r>
      <w:r w:rsidR="001D6BDF" w:rsidRPr="0063119B">
        <w:rPr>
          <w:szCs w:val="22"/>
        </w:rPr>
        <w:t>rivaroxabano</w:t>
      </w:r>
      <w:r w:rsidRPr="0063119B">
        <w:rPr>
          <w:rFonts w:eastAsia="SimSun"/>
          <w:szCs w:val="22"/>
        </w:rPr>
        <w:t xml:space="preserve"> de 15 mg e de 20 mg devem ser tomados com alimentos (ver secção 4.2).</w:t>
      </w:r>
    </w:p>
    <w:p w14:paraId="059645C7" w14:textId="77777777" w:rsidR="00337111" w:rsidRPr="0063119B" w:rsidRDefault="00337111" w:rsidP="00337111">
      <w:pPr>
        <w:rPr>
          <w:noProof/>
          <w:szCs w:val="22"/>
        </w:rPr>
      </w:pPr>
      <w:r w:rsidRPr="0063119B">
        <w:rPr>
          <w:noProof/>
          <w:szCs w:val="22"/>
        </w:rPr>
        <w:t>A farmacocinética do rivaroxabano é aproximadamente linear até cerca de 15 mg uma vez ao dia no estado de jejum. Em condições pós</w:t>
      </w:r>
      <w:r w:rsidRPr="0063119B">
        <w:rPr>
          <w:noProof/>
          <w:szCs w:val="22"/>
        </w:rPr>
        <w:noBreakHyphen/>
        <w:t xml:space="preserve">prandiais, </w:t>
      </w:r>
      <w:r w:rsidR="00607DE4">
        <w:rPr>
          <w:noProof/>
          <w:szCs w:val="22"/>
        </w:rPr>
        <w:t>Rivaroxabano</w:t>
      </w:r>
      <w:r w:rsidR="001D6BDF" w:rsidRPr="0063119B">
        <w:rPr>
          <w:noProof/>
          <w:szCs w:val="22"/>
        </w:rPr>
        <w:t xml:space="preserve"> Accord</w:t>
      </w:r>
      <w:r w:rsidRPr="0063119B">
        <w:rPr>
          <w:noProof/>
          <w:szCs w:val="22"/>
        </w:rPr>
        <w:t xml:space="preserve"> 10 mg, 15 mg e 20 mg comprimidos demonstrou uma proporcionalidade com a dose. Em doses superiores, o rivaroxabano revela uma absorção limitada pela dissolução com uma diminuição da biodisponibilidade e uma diminuição da taxa de absorção com o aumento da dose. </w:t>
      </w:r>
    </w:p>
    <w:p w14:paraId="70FF9FAF" w14:textId="77777777" w:rsidR="00337111" w:rsidRPr="0063119B" w:rsidRDefault="00337111" w:rsidP="00337111">
      <w:pPr>
        <w:rPr>
          <w:noProof/>
          <w:szCs w:val="22"/>
        </w:rPr>
      </w:pPr>
      <w:r w:rsidRPr="0063119B">
        <w:rPr>
          <w:noProof/>
          <w:szCs w:val="22"/>
        </w:rPr>
        <w:t>A variabilidade na farmacocinética do rivaroxabano é moderada com variabilidade interindividual (CV%) variando entre os 30% e os 40%.</w:t>
      </w:r>
    </w:p>
    <w:p w14:paraId="199DE5DA" w14:textId="77777777" w:rsidR="00FA5331" w:rsidRPr="0063119B" w:rsidRDefault="00FA5331" w:rsidP="00FA5331">
      <w:pPr>
        <w:rPr>
          <w:noProof/>
          <w:szCs w:val="22"/>
        </w:rPr>
      </w:pPr>
      <w:r w:rsidRPr="0063119B">
        <w:rPr>
          <w:noProof/>
          <w:szCs w:val="22"/>
        </w:rPr>
        <w:t>A absorção de rivaroxabano depende do local da sua libertação no trato gastrointestinal. Foi notificada uma diminuição de 29% e 56% na AUC e na C</w:t>
      </w:r>
      <w:r w:rsidRPr="0063119B">
        <w:rPr>
          <w:noProof/>
          <w:szCs w:val="22"/>
          <w:vertAlign w:val="subscript"/>
        </w:rPr>
        <w:t>max</w:t>
      </w:r>
      <w:r w:rsidRPr="0063119B">
        <w:rPr>
          <w:noProof/>
          <w:szCs w:val="22"/>
        </w:rPr>
        <w:t xml:space="preserve"> comparativamente com o comprimido quando</w:t>
      </w:r>
      <w:r w:rsidR="00B50D7F" w:rsidRPr="0063119B">
        <w:rPr>
          <w:noProof/>
          <w:szCs w:val="22"/>
        </w:rPr>
        <w:t xml:space="preserve"> o</w:t>
      </w:r>
      <w:r w:rsidRPr="0063119B">
        <w:rPr>
          <w:noProof/>
          <w:szCs w:val="22"/>
        </w:rPr>
        <w:t xml:space="preserve"> rivaroxabano granulado é libertado no intestino delgado proximal. A exposição é ainda mais reduzida quando rivaroxabano é libertado no intestino delgado distal, ou no cólon ascendente. Por isso, a administração de rivaroxabano distal ao estômago deve ser evitada uma vez que pode resultar na absorção reduzida e na relacionada exposição ao rivaroxabano.</w:t>
      </w:r>
    </w:p>
    <w:p w14:paraId="5987979D" w14:textId="77777777" w:rsidR="00FA5331" w:rsidRPr="0063119B" w:rsidRDefault="00FA5331" w:rsidP="00FA5331">
      <w:pPr>
        <w:rPr>
          <w:noProof/>
          <w:szCs w:val="22"/>
        </w:rPr>
      </w:pPr>
      <w:r w:rsidRPr="0063119B">
        <w:rPr>
          <w:noProof/>
          <w:szCs w:val="22"/>
        </w:rPr>
        <w:t>A biodisponibilidade (AUC e C</w:t>
      </w:r>
      <w:r w:rsidRPr="0063119B">
        <w:rPr>
          <w:noProof/>
          <w:szCs w:val="22"/>
          <w:vertAlign w:val="subscript"/>
        </w:rPr>
        <w:t>max</w:t>
      </w:r>
      <w:r w:rsidRPr="0063119B">
        <w:rPr>
          <w:noProof/>
          <w:szCs w:val="22"/>
        </w:rPr>
        <w:t xml:space="preserve">) foi comparável para 20 mg de rivaroxabano administrado por via oral na forma de comprimido esmagado misturado com puré de maçã ou suspenso em água e administrado por meio de sonda gástrica seguido por uma refeição líquida, comparativamente com o </w:t>
      </w:r>
      <w:r w:rsidRPr="0063119B">
        <w:rPr>
          <w:noProof/>
          <w:szCs w:val="22"/>
        </w:rPr>
        <w:lastRenderedPageBreak/>
        <w:t>comprimido inteiro. Dado o perfil farmacocinético previsível e proporcional à dose de rivaroxabano, os resultados de biodisponibilidade deste estudo são provavelmente aplicáveis a doses mais baixas de rivaroxabano.</w:t>
      </w:r>
    </w:p>
    <w:p w14:paraId="41D03D73" w14:textId="77777777" w:rsidR="00337111" w:rsidRDefault="00337111" w:rsidP="00337111">
      <w:pPr>
        <w:rPr>
          <w:i/>
          <w:noProof/>
          <w:szCs w:val="22"/>
          <w:u w:val="single"/>
        </w:rPr>
      </w:pPr>
    </w:p>
    <w:p w14:paraId="6CD22F54" w14:textId="77777777" w:rsidR="002F17B1" w:rsidRDefault="002F17B1" w:rsidP="002F17B1">
      <w:pPr>
        <w:autoSpaceDE w:val="0"/>
        <w:autoSpaceDN w:val="0"/>
        <w:adjustRightInd w:val="0"/>
        <w:rPr>
          <w:i/>
          <w:iCs/>
          <w:color w:val="000000"/>
          <w:szCs w:val="22"/>
          <w:lang w:eastAsia="pt-PT"/>
        </w:rPr>
      </w:pPr>
      <w:r w:rsidRPr="002F17B1">
        <w:rPr>
          <w:i/>
          <w:iCs/>
          <w:color w:val="000000"/>
          <w:szCs w:val="22"/>
          <w:lang w:eastAsia="pt-PT"/>
        </w:rPr>
        <w:t xml:space="preserve">População pediátrica </w:t>
      </w:r>
    </w:p>
    <w:p w14:paraId="566E9F74" w14:textId="77777777" w:rsidR="002F17B1" w:rsidRPr="002F17B1" w:rsidRDefault="009C6E3F" w:rsidP="007E1ED7">
      <w:pPr>
        <w:autoSpaceDE w:val="0"/>
        <w:autoSpaceDN w:val="0"/>
        <w:adjustRightInd w:val="0"/>
        <w:rPr>
          <w:color w:val="000000"/>
          <w:szCs w:val="22"/>
          <w:lang w:eastAsia="pt-PT"/>
        </w:rPr>
      </w:pPr>
      <w:r>
        <w:t>Administrou-se rivaroxabano em comprimido ou em suspensão oral a crianças durante ou pouco tempo após a amamentação ou ingestão de alimentos e com uma toma normal de líquidos para assegurar uma administração fiável da dose em crianças. Tal como nos adultos, o rivaroxabano é prontamente absorvido após a administração oral na formulação de comprimido ou granulado para suspensão oral em crianças. Não se observou qualquer diferença na taxa de absorção nem na extensão de absorção entre a formulação de comprimido e de granulado para suspensão oral.</w:t>
      </w:r>
      <w:r w:rsidR="002F17B1" w:rsidRPr="002F17B1">
        <w:rPr>
          <w:color w:val="000000"/>
          <w:szCs w:val="22"/>
          <w:lang w:eastAsia="pt-PT"/>
        </w:rPr>
        <w:t>Não estão disponíveis dados de farmacocinética após a administração intravenosa em crianças e, como tal, desconhece-se a biodisponibilidade absoluta do rivaroxabano nas crianças. Verificou-se uma diminuição na biodisponibilidade relativa com doses</w:t>
      </w:r>
      <w:r w:rsidR="002F17B1">
        <w:rPr>
          <w:color w:val="000000"/>
          <w:szCs w:val="22"/>
          <w:lang w:eastAsia="pt-PT"/>
        </w:rPr>
        <w:t xml:space="preserve"> </w:t>
      </w:r>
      <w:r w:rsidR="002F17B1" w:rsidRPr="002F17B1">
        <w:rPr>
          <w:color w:val="000000"/>
          <w:szCs w:val="22"/>
          <w:lang w:eastAsia="pt-PT"/>
        </w:rPr>
        <w:t>crescentes (em mg/kg de peso corporal), o que sugere haver limitações da absorção com doses mais elevadas, mesmo quando tomadas com alimentos.</w:t>
      </w:r>
    </w:p>
    <w:p w14:paraId="6CE7FB61" w14:textId="77777777" w:rsidR="002F17B1" w:rsidRDefault="002F17B1" w:rsidP="002F17B1">
      <w:pPr>
        <w:rPr>
          <w:color w:val="000000"/>
          <w:szCs w:val="22"/>
          <w:lang w:eastAsia="pt-PT"/>
        </w:rPr>
      </w:pPr>
      <w:r w:rsidRPr="002F17B1">
        <w:rPr>
          <w:color w:val="000000"/>
          <w:szCs w:val="22"/>
          <w:lang w:eastAsia="pt-PT"/>
        </w:rPr>
        <w:t>Rivaroxabano 20 mg comprimidos deve ser tomado durante a amamentação ou com alimentos (ver secção 4.2).</w:t>
      </w:r>
    </w:p>
    <w:p w14:paraId="1AA3BB11" w14:textId="77777777" w:rsidR="002F17B1" w:rsidRPr="0063119B" w:rsidRDefault="002F17B1" w:rsidP="002F17B1">
      <w:pPr>
        <w:rPr>
          <w:i/>
          <w:noProof/>
          <w:szCs w:val="22"/>
          <w:u w:val="single"/>
        </w:rPr>
      </w:pPr>
    </w:p>
    <w:p w14:paraId="164C3459" w14:textId="77777777" w:rsidR="00337111" w:rsidRPr="0063119B" w:rsidRDefault="00337111" w:rsidP="00337111">
      <w:pPr>
        <w:rPr>
          <w:noProof/>
          <w:szCs w:val="22"/>
          <w:u w:val="single"/>
        </w:rPr>
      </w:pPr>
      <w:r w:rsidRPr="0063119B">
        <w:rPr>
          <w:noProof/>
          <w:szCs w:val="22"/>
          <w:u w:val="single"/>
        </w:rPr>
        <w:t>Distribuição</w:t>
      </w:r>
    </w:p>
    <w:p w14:paraId="04810484" w14:textId="77777777" w:rsidR="00FE3820" w:rsidRPr="0063119B" w:rsidRDefault="00FE3820" w:rsidP="00337111">
      <w:pPr>
        <w:rPr>
          <w:noProof/>
          <w:szCs w:val="22"/>
        </w:rPr>
      </w:pPr>
    </w:p>
    <w:p w14:paraId="6496E8AF" w14:textId="77777777" w:rsidR="00337111" w:rsidRPr="0063119B" w:rsidRDefault="00337111" w:rsidP="00337111">
      <w:pPr>
        <w:rPr>
          <w:noProof/>
          <w:szCs w:val="22"/>
        </w:rPr>
      </w:pPr>
      <w:r w:rsidRPr="0063119B">
        <w:rPr>
          <w:noProof/>
          <w:szCs w:val="22"/>
        </w:rPr>
        <w:t>A ligação às proteínas plasmáticas no</w:t>
      </w:r>
      <w:r w:rsidR="002F17B1">
        <w:rPr>
          <w:noProof/>
          <w:szCs w:val="22"/>
        </w:rPr>
        <w:t>s</w:t>
      </w:r>
      <w:r w:rsidRPr="0063119B">
        <w:rPr>
          <w:noProof/>
          <w:szCs w:val="22"/>
        </w:rPr>
        <w:t xml:space="preserve"> </w:t>
      </w:r>
      <w:r w:rsidR="002F17B1">
        <w:rPr>
          <w:noProof/>
          <w:szCs w:val="22"/>
        </w:rPr>
        <w:t>adultos</w:t>
      </w:r>
      <w:r w:rsidRPr="0063119B">
        <w:rPr>
          <w:noProof/>
          <w:szCs w:val="22"/>
        </w:rPr>
        <w:t xml:space="preserve"> é elevada, de aproximadamente 92% a 95%, sendo a albumina sérica o principal componente de ligação. O volume de distribuição é moderado sendo o V</w:t>
      </w:r>
      <w:r w:rsidRPr="0063119B">
        <w:rPr>
          <w:noProof/>
          <w:szCs w:val="22"/>
          <w:vertAlign w:val="subscript"/>
        </w:rPr>
        <w:t xml:space="preserve">d </w:t>
      </w:r>
      <w:r w:rsidRPr="0063119B">
        <w:rPr>
          <w:noProof/>
          <w:szCs w:val="22"/>
        </w:rPr>
        <w:t>de aproximadamente 50 litros.</w:t>
      </w:r>
    </w:p>
    <w:p w14:paraId="0C696C47" w14:textId="77777777" w:rsidR="00337111" w:rsidRDefault="00337111" w:rsidP="00337111">
      <w:pPr>
        <w:rPr>
          <w:noProof/>
          <w:szCs w:val="22"/>
        </w:rPr>
      </w:pPr>
    </w:p>
    <w:p w14:paraId="436B8615" w14:textId="77777777" w:rsidR="00E6413C" w:rsidRDefault="00E6413C" w:rsidP="00337111">
      <w:pPr>
        <w:rPr>
          <w:noProof/>
          <w:szCs w:val="22"/>
        </w:rPr>
      </w:pPr>
      <w:r>
        <w:rPr>
          <w:i/>
          <w:iCs/>
          <w:szCs w:val="22"/>
        </w:rPr>
        <w:t>População pediátrica</w:t>
      </w:r>
    </w:p>
    <w:p w14:paraId="0F03A681" w14:textId="77777777" w:rsidR="002F17B1" w:rsidRDefault="002F17B1" w:rsidP="00337111">
      <w:pPr>
        <w:rPr>
          <w:szCs w:val="22"/>
        </w:rPr>
      </w:pPr>
      <w:r>
        <w:rPr>
          <w:szCs w:val="22"/>
        </w:rPr>
        <w:t>Não existem dados sobre a ligação do rivaroxabano às proteínas plasmáticas específicos para as crianças. Não estão disponíveis dados de farmacocinética após a administração intravenosa de rivaroxabano em crianças. O V</w:t>
      </w:r>
      <w:r>
        <w:rPr>
          <w:sz w:val="14"/>
          <w:szCs w:val="14"/>
        </w:rPr>
        <w:t xml:space="preserve">ss </w:t>
      </w:r>
      <w:r>
        <w:rPr>
          <w:szCs w:val="22"/>
        </w:rPr>
        <w:t>estimado através de modelos de farmacocinética populacional em crianças (intervalo etário de 0 a &lt; 18 anos de idade) após a administração oral de rivaroxabano depende do peso corporal e pode ser descrito com uma função alométrica com uma média de 113 l para um indivíduo com um peso corporal de 82,8 kg.</w:t>
      </w:r>
    </w:p>
    <w:p w14:paraId="1A17524C" w14:textId="77777777" w:rsidR="002F17B1" w:rsidRPr="0063119B" w:rsidRDefault="002F17B1" w:rsidP="00337111">
      <w:pPr>
        <w:rPr>
          <w:noProof/>
          <w:szCs w:val="22"/>
        </w:rPr>
      </w:pPr>
    </w:p>
    <w:p w14:paraId="0BBCE044" w14:textId="77777777" w:rsidR="00337111" w:rsidRPr="0063119B" w:rsidRDefault="00337111" w:rsidP="00337111">
      <w:pPr>
        <w:rPr>
          <w:noProof/>
          <w:szCs w:val="22"/>
        </w:rPr>
      </w:pPr>
      <w:r w:rsidRPr="0063119B">
        <w:rPr>
          <w:noProof/>
          <w:szCs w:val="22"/>
          <w:u w:val="single"/>
        </w:rPr>
        <w:t>Biotransformação e Eliminação</w:t>
      </w:r>
    </w:p>
    <w:p w14:paraId="67F43C16" w14:textId="77777777" w:rsidR="00FE3820" w:rsidRPr="0063119B" w:rsidRDefault="00FE3820" w:rsidP="00337111">
      <w:pPr>
        <w:rPr>
          <w:noProof/>
          <w:szCs w:val="22"/>
        </w:rPr>
      </w:pPr>
    </w:p>
    <w:p w14:paraId="1FB1F85A" w14:textId="77777777" w:rsidR="00337111" w:rsidRPr="0063119B" w:rsidRDefault="00337111" w:rsidP="00337111">
      <w:pPr>
        <w:rPr>
          <w:noProof/>
          <w:szCs w:val="22"/>
        </w:rPr>
      </w:pPr>
      <w:r w:rsidRPr="0063119B">
        <w:rPr>
          <w:noProof/>
          <w:szCs w:val="22"/>
        </w:rPr>
        <w:t>Da dose de rivaroxabano administrada</w:t>
      </w:r>
      <w:r w:rsidR="00E6413C">
        <w:rPr>
          <w:noProof/>
          <w:szCs w:val="22"/>
        </w:rPr>
        <w:t xml:space="preserve"> </w:t>
      </w:r>
      <w:r w:rsidR="00E6413C">
        <w:rPr>
          <w:szCs w:val="22"/>
        </w:rPr>
        <w:t>em adultos</w:t>
      </w:r>
      <w:r w:rsidRPr="0063119B">
        <w:rPr>
          <w:noProof/>
          <w:szCs w:val="22"/>
        </w:rPr>
        <w:t>, aproximadamente 2/3 sofre degradação metabólica, da qual metade é eliminada por via renal e a outra metade eliminada por via fecal. O 1/3 final da dose administrada sofre excreção renal direta como substância ativa inalterada na urina, principalmente por secreção renal ativa.</w:t>
      </w:r>
    </w:p>
    <w:p w14:paraId="09915ECE" w14:textId="77777777" w:rsidR="00337111" w:rsidRPr="0063119B" w:rsidRDefault="00337111" w:rsidP="00337111">
      <w:pPr>
        <w:rPr>
          <w:noProof/>
          <w:szCs w:val="22"/>
        </w:rPr>
      </w:pPr>
      <w:r w:rsidRPr="0063119B">
        <w:rPr>
          <w:noProof/>
          <w:szCs w:val="22"/>
        </w:rPr>
        <w:t xml:space="preserve">O rivaroxabano é metabolizado através do CYP3A4, CYP2J2 e por mecanismos independentes do CYP. Os principais locais de biotransformação são a degradação oxidativa da porção da morfolinona e hidrólise das ligações de amida. Com base em investigações </w:t>
      </w:r>
      <w:r w:rsidRPr="0063119B">
        <w:rPr>
          <w:i/>
          <w:noProof/>
          <w:szCs w:val="22"/>
        </w:rPr>
        <w:t>in vitro,</w:t>
      </w:r>
      <w:r w:rsidRPr="0063119B">
        <w:rPr>
          <w:noProof/>
          <w:szCs w:val="22"/>
        </w:rPr>
        <w:t xml:space="preserve"> o rivaroxabano é um substracto das proteínas transportadoras gp</w:t>
      </w:r>
      <w:r w:rsidRPr="0063119B">
        <w:rPr>
          <w:noProof/>
          <w:szCs w:val="22"/>
        </w:rPr>
        <w:noBreakHyphen/>
        <w:t>P (glicoproteína P) e Bcrp (proteína de resistência do cancro da mama).</w:t>
      </w:r>
    </w:p>
    <w:p w14:paraId="28EEAA9A" w14:textId="77777777" w:rsidR="00337111" w:rsidRPr="0063119B" w:rsidRDefault="00337111" w:rsidP="00337111">
      <w:pPr>
        <w:rPr>
          <w:noProof/>
          <w:szCs w:val="22"/>
        </w:rPr>
      </w:pPr>
      <w:r w:rsidRPr="0063119B">
        <w:rPr>
          <w:noProof/>
          <w:szCs w:val="22"/>
        </w:rPr>
        <w:t>O rivaroxabano inalterado é o composto mais importante no plasma humano, sem que estejam presentes outros metabolitos circulantes ativos ou de relevo. Com uma taxa de depuração sistémica de aproximadamente 10</w:t>
      </w:r>
      <w:r w:rsidR="00FE3820" w:rsidRPr="0063119B">
        <w:rPr>
          <w:noProof/>
          <w:szCs w:val="22"/>
        </w:rPr>
        <w:t> </w:t>
      </w:r>
      <w:r w:rsidRPr="0063119B">
        <w:rPr>
          <w:noProof/>
          <w:szCs w:val="22"/>
        </w:rPr>
        <w:t>l/h, o rivaroxabano pode ser classificado como uma substância com baixa taxa de depuração. Após a administração intravenosa de uma dose de 1 mg a semivida de eliminação é de cerca de 4,5</w:t>
      </w:r>
      <w:r w:rsidR="00FE3820" w:rsidRPr="0063119B">
        <w:rPr>
          <w:noProof/>
          <w:szCs w:val="22"/>
        </w:rPr>
        <w:t> </w:t>
      </w:r>
      <w:r w:rsidRPr="0063119B">
        <w:rPr>
          <w:noProof/>
          <w:szCs w:val="22"/>
        </w:rPr>
        <w:t>horas. Após a administração oral, a eliminação torna</w:t>
      </w:r>
      <w:r w:rsidRPr="0063119B">
        <w:rPr>
          <w:noProof/>
          <w:szCs w:val="22"/>
        </w:rPr>
        <w:noBreakHyphen/>
        <w:t>se limitada pela taxa de absorção. A eliminação de rivaroxabano do plasma ocorre com semividas terminais de 5 a 9 horas em indivíduos jovens, e com semividas terminais de 11 a 13 horas nos idosos.</w:t>
      </w:r>
    </w:p>
    <w:p w14:paraId="67139E66" w14:textId="77777777" w:rsidR="00337111" w:rsidRDefault="00337111" w:rsidP="00337111">
      <w:pPr>
        <w:rPr>
          <w:i/>
          <w:noProof/>
          <w:szCs w:val="22"/>
          <w:u w:val="single"/>
        </w:rPr>
      </w:pPr>
    </w:p>
    <w:p w14:paraId="76B0A1B1" w14:textId="77777777" w:rsidR="00E6413C" w:rsidRPr="00E6413C" w:rsidRDefault="00E6413C" w:rsidP="00E6413C">
      <w:pPr>
        <w:autoSpaceDE w:val="0"/>
        <w:autoSpaceDN w:val="0"/>
        <w:adjustRightInd w:val="0"/>
        <w:rPr>
          <w:color w:val="000000"/>
          <w:szCs w:val="22"/>
          <w:lang w:eastAsia="pt-PT"/>
        </w:rPr>
      </w:pPr>
      <w:r w:rsidRPr="00E6413C">
        <w:rPr>
          <w:i/>
          <w:iCs/>
          <w:color w:val="000000"/>
          <w:szCs w:val="22"/>
          <w:lang w:eastAsia="pt-PT"/>
        </w:rPr>
        <w:t xml:space="preserve">População pediátrica </w:t>
      </w:r>
    </w:p>
    <w:p w14:paraId="7138000E" w14:textId="77777777" w:rsidR="00E6413C" w:rsidRDefault="00E6413C" w:rsidP="00E6413C">
      <w:pPr>
        <w:rPr>
          <w:color w:val="000000"/>
          <w:szCs w:val="22"/>
          <w:lang w:eastAsia="pt-PT"/>
        </w:rPr>
      </w:pPr>
      <w:r w:rsidRPr="00E6413C">
        <w:rPr>
          <w:color w:val="000000"/>
          <w:szCs w:val="22"/>
          <w:lang w:eastAsia="pt-PT"/>
        </w:rPr>
        <w:t xml:space="preserve">Não estão disponíveis dados específicos sobre o metabolismo em crianças. Não estão disponíveis dados de farmacocinética após a administração intravenosa de rivaroxabano em crianças. A depuração estimada através de modelos de farmacocinética populacional em crianças (intervalo etário de 0 a &lt; 18 anos de idade) após a administração oral de rivaroxabano depende do peso corporal e pode ser descrita </w:t>
      </w:r>
      <w:r w:rsidRPr="00E6413C">
        <w:rPr>
          <w:color w:val="000000"/>
          <w:szCs w:val="22"/>
          <w:lang w:eastAsia="pt-PT"/>
        </w:rPr>
        <w:lastRenderedPageBreak/>
        <w:t>com uma função alométrica, com uma média de 8 l/h para um indivíduo com um peso corporal de 82,8 kg. Os valores da média geométrica para as semividas de eliminação (t</w:t>
      </w:r>
      <w:r w:rsidRPr="00E6413C">
        <w:rPr>
          <w:color w:val="000000"/>
          <w:sz w:val="14"/>
          <w:szCs w:val="14"/>
          <w:lang w:eastAsia="pt-PT"/>
        </w:rPr>
        <w:t>1/2</w:t>
      </w:r>
      <w:r w:rsidRPr="00E6413C">
        <w:rPr>
          <w:color w:val="000000"/>
          <w:szCs w:val="22"/>
          <w:lang w:eastAsia="pt-PT"/>
        </w:rPr>
        <w:t>) estimadas através de modelos de farmacocinética da população diminuem com a idade decrescente e variaram entre 4,2 h em adolescentes e, aproximadamente, 3 h em crianças com 2-12 anos de idade até 1,9 e 1,6 h em crianças com 0,5-&lt; 2 anos de idade e com menos de 0,5 anos, respetivamente.</w:t>
      </w:r>
    </w:p>
    <w:p w14:paraId="0C670390" w14:textId="77777777" w:rsidR="00E6413C" w:rsidRPr="0063119B" w:rsidRDefault="00E6413C" w:rsidP="00E6413C">
      <w:pPr>
        <w:rPr>
          <w:i/>
          <w:noProof/>
          <w:szCs w:val="22"/>
          <w:u w:val="single"/>
        </w:rPr>
      </w:pPr>
    </w:p>
    <w:p w14:paraId="67006322" w14:textId="77777777" w:rsidR="00337111" w:rsidRPr="0063119B" w:rsidRDefault="00337111" w:rsidP="00337111">
      <w:pPr>
        <w:rPr>
          <w:noProof/>
          <w:szCs w:val="22"/>
          <w:u w:val="single"/>
        </w:rPr>
      </w:pPr>
      <w:r w:rsidRPr="0063119B">
        <w:rPr>
          <w:noProof/>
          <w:szCs w:val="22"/>
          <w:u w:val="single"/>
        </w:rPr>
        <w:t>Populações especiais</w:t>
      </w:r>
    </w:p>
    <w:p w14:paraId="14E7F58F" w14:textId="77777777" w:rsidR="00FE3820" w:rsidRPr="0063119B" w:rsidRDefault="00FE3820" w:rsidP="00337111">
      <w:pPr>
        <w:rPr>
          <w:i/>
          <w:noProof/>
          <w:szCs w:val="22"/>
        </w:rPr>
      </w:pPr>
    </w:p>
    <w:p w14:paraId="21C41923" w14:textId="77777777" w:rsidR="00337111" w:rsidRPr="0063119B" w:rsidRDefault="00337111" w:rsidP="00337111">
      <w:pPr>
        <w:rPr>
          <w:i/>
          <w:noProof/>
          <w:szCs w:val="22"/>
        </w:rPr>
      </w:pPr>
      <w:r w:rsidRPr="0063119B">
        <w:rPr>
          <w:i/>
          <w:noProof/>
          <w:szCs w:val="22"/>
        </w:rPr>
        <w:t>Sexo</w:t>
      </w:r>
    </w:p>
    <w:p w14:paraId="7B05114D" w14:textId="77777777" w:rsidR="00337111" w:rsidRPr="0063119B" w:rsidRDefault="00337111" w:rsidP="00337111">
      <w:pPr>
        <w:rPr>
          <w:noProof/>
          <w:szCs w:val="22"/>
        </w:rPr>
      </w:pPr>
      <w:r w:rsidRPr="0063119B">
        <w:rPr>
          <w:noProof/>
          <w:szCs w:val="22"/>
        </w:rPr>
        <w:t xml:space="preserve">Não se verificaram diferenças clinicamente relevantes na farmacocinética e farmacodinâmica </w:t>
      </w:r>
      <w:r w:rsidR="00E6413C">
        <w:rPr>
          <w:noProof/>
          <w:szCs w:val="22"/>
        </w:rPr>
        <w:t xml:space="preserve">em adultos, </w:t>
      </w:r>
      <w:r w:rsidRPr="0063119B">
        <w:rPr>
          <w:noProof/>
          <w:szCs w:val="22"/>
        </w:rPr>
        <w:t>entre doentes do sexo masculino e feminino.</w:t>
      </w:r>
      <w:r w:rsidR="00E6413C">
        <w:rPr>
          <w:noProof/>
          <w:szCs w:val="22"/>
        </w:rPr>
        <w:t xml:space="preserve"> </w:t>
      </w:r>
      <w:r w:rsidR="00E6413C">
        <w:rPr>
          <w:szCs w:val="22"/>
        </w:rPr>
        <w:t>Uma análise exploratória não revelou quaisquer diferenças relevantes na exposição ao rivaroxabano entre crianças do sexo masculino e feminino.</w:t>
      </w:r>
    </w:p>
    <w:p w14:paraId="0C75C304" w14:textId="77777777" w:rsidR="00337111" w:rsidRPr="0063119B" w:rsidRDefault="00337111" w:rsidP="00337111">
      <w:pPr>
        <w:rPr>
          <w:noProof/>
          <w:szCs w:val="22"/>
        </w:rPr>
      </w:pPr>
    </w:p>
    <w:p w14:paraId="1CC736AA" w14:textId="77777777" w:rsidR="00337111" w:rsidRPr="0063119B" w:rsidRDefault="00337111" w:rsidP="00337111">
      <w:pPr>
        <w:rPr>
          <w:i/>
          <w:noProof/>
          <w:szCs w:val="22"/>
        </w:rPr>
      </w:pPr>
      <w:r w:rsidRPr="0063119B">
        <w:rPr>
          <w:i/>
          <w:noProof/>
          <w:szCs w:val="22"/>
        </w:rPr>
        <w:t>População idosa</w:t>
      </w:r>
    </w:p>
    <w:p w14:paraId="2188D2CE" w14:textId="77777777" w:rsidR="00337111" w:rsidRPr="0063119B" w:rsidRDefault="00337111" w:rsidP="00337111">
      <w:pPr>
        <w:rPr>
          <w:noProof/>
          <w:szCs w:val="22"/>
        </w:rPr>
      </w:pPr>
      <w:r w:rsidRPr="0063119B">
        <w:rPr>
          <w:noProof/>
          <w:szCs w:val="22"/>
        </w:rPr>
        <w:t>Os doentes idosos apresentaram concentrações plasmáticas mais elevadas do que doentes mais jovens, com valores médios de AUC de aproximadamente 1,5 vezes superiores, devido principalmente a uma redução (aparente) na taxa de depuração total e renal. Não são necessários ajustes posológicos.</w:t>
      </w:r>
    </w:p>
    <w:p w14:paraId="190BE169" w14:textId="77777777" w:rsidR="00337111" w:rsidRPr="0063119B" w:rsidRDefault="00337111" w:rsidP="00337111">
      <w:pPr>
        <w:rPr>
          <w:i/>
          <w:noProof/>
          <w:szCs w:val="22"/>
          <w:u w:val="single"/>
        </w:rPr>
      </w:pPr>
    </w:p>
    <w:p w14:paraId="77D331F0" w14:textId="77777777" w:rsidR="00337111" w:rsidRPr="0063119B" w:rsidRDefault="00337111" w:rsidP="00337111">
      <w:pPr>
        <w:keepNext/>
        <w:rPr>
          <w:i/>
          <w:noProof/>
          <w:szCs w:val="22"/>
        </w:rPr>
      </w:pPr>
      <w:r w:rsidRPr="0063119B">
        <w:rPr>
          <w:i/>
          <w:noProof/>
          <w:szCs w:val="22"/>
        </w:rPr>
        <w:t>Diferentes categorias de peso</w:t>
      </w:r>
    </w:p>
    <w:p w14:paraId="7C2FB840" w14:textId="77777777" w:rsidR="00337111" w:rsidRPr="0063119B" w:rsidRDefault="00337111" w:rsidP="00337111">
      <w:pPr>
        <w:keepNext/>
        <w:rPr>
          <w:noProof/>
          <w:szCs w:val="22"/>
        </w:rPr>
      </w:pPr>
      <w:r w:rsidRPr="0063119B">
        <w:rPr>
          <w:noProof/>
          <w:szCs w:val="22"/>
        </w:rPr>
        <w:t>Os extremos no peso corporal (&lt; 50 kg ou &gt; 120 kg) tiveram apenas uma pequena influência sobre as concentrações plasmáticas do rivaroxabano (menos de 25%)</w:t>
      </w:r>
      <w:r w:rsidR="00E6413C">
        <w:rPr>
          <w:noProof/>
          <w:szCs w:val="22"/>
        </w:rPr>
        <w:t xml:space="preserve"> em adultos</w:t>
      </w:r>
      <w:r w:rsidRPr="0063119B">
        <w:rPr>
          <w:noProof/>
          <w:szCs w:val="22"/>
        </w:rPr>
        <w:t>. Não são necessários ajustes posológicos.</w:t>
      </w:r>
    </w:p>
    <w:p w14:paraId="4DBC5706" w14:textId="77777777" w:rsidR="00337111" w:rsidRDefault="00E6413C" w:rsidP="00337111">
      <w:pPr>
        <w:rPr>
          <w:szCs w:val="22"/>
        </w:rPr>
      </w:pPr>
      <w:r>
        <w:rPr>
          <w:szCs w:val="22"/>
        </w:rPr>
        <w:t>Nas crianças, a dose de rivaroxabano baseia-se no peso corporal. Uma análise exploratória não revelou haver um impacto relevante do peso inferior ao normal ou da obesidade na exposição ao rivaroxabano em crianças.</w:t>
      </w:r>
    </w:p>
    <w:p w14:paraId="4D63710C" w14:textId="77777777" w:rsidR="00E6413C" w:rsidRPr="00E6413C" w:rsidRDefault="00E6413C" w:rsidP="00337111">
      <w:pPr>
        <w:rPr>
          <w:i/>
          <w:noProof/>
          <w:szCs w:val="22"/>
          <w:u w:val="single"/>
        </w:rPr>
      </w:pPr>
    </w:p>
    <w:p w14:paraId="7AF4BA77" w14:textId="77777777" w:rsidR="00337111" w:rsidRPr="0063119B" w:rsidRDefault="00337111" w:rsidP="003345A8">
      <w:pPr>
        <w:keepNext/>
        <w:rPr>
          <w:i/>
          <w:noProof/>
          <w:szCs w:val="22"/>
        </w:rPr>
      </w:pPr>
      <w:r w:rsidRPr="0063119B">
        <w:rPr>
          <w:i/>
          <w:noProof/>
          <w:szCs w:val="22"/>
        </w:rPr>
        <w:t>Diferenças interétnicas</w:t>
      </w:r>
    </w:p>
    <w:p w14:paraId="19A250A8" w14:textId="77777777" w:rsidR="00337111" w:rsidRPr="0063119B" w:rsidRDefault="00337111" w:rsidP="00337111">
      <w:pPr>
        <w:rPr>
          <w:noProof/>
          <w:szCs w:val="22"/>
        </w:rPr>
      </w:pPr>
      <w:r w:rsidRPr="0063119B">
        <w:rPr>
          <w:noProof/>
          <w:szCs w:val="22"/>
        </w:rPr>
        <w:t xml:space="preserve">Não foram observadas diferenças interétnicas clinicamente relevantes </w:t>
      </w:r>
      <w:r w:rsidR="00E6413C">
        <w:rPr>
          <w:noProof/>
          <w:szCs w:val="22"/>
        </w:rPr>
        <w:t xml:space="preserve">em adultos, </w:t>
      </w:r>
      <w:r w:rsidRPr="0063119B">
        <w:rPr>
          <w:noProof/>
          <w:szCs w:val="22"/>
        </w:rPr>
        <w:t>em relação à farmacocinética e farmacodinâmica</w:t>
      </w:r>
      <w:r w:rsidR="005B6F0D" w:rsidRPr="0063119B">
        <w:rPr>
          <w:noProof/>
          <w:szCs w:val="22"/>
        </w:rPr>
        <w:t xml:space="preserve"> do rivaroxabano</w:t>
      </w:r>
      <w:r w:rsidRPr="0063119B">
        <w:rPr>
          <w:noProof/>
          <w:szCs w:val="22"/>
        </w:rPr>
        <w:t>, entre os doentes Caucasianos, Afro</w:t>
      </w:r>
      <w:r w:rsidRPr="0063119B">
        <w:rPr>
          <w:noProof/>
          <w:szCs w:val="22"/>
        </w:rPr>
        <w:noBreakHyphen/>
        <w:t>Americanos, Hispânicos, Japoneses ou Chineses.</w:t>
      </w:r>
    </w:p>
    <w:p w14:paraId="02FD0664" w14:textId="77777777" w:rsidR="00337111" w:rsidRDefault="00337111" w:rsidP="00337111">
      <w:pPr>
        <w:rPr>
          <w:noProof/>
          <w:szCs w:val="22"/>
        </w:rPr>
      </w:pPr>
    </w:p>
    <w:p w14:paraId="3FEAD723" w14:textId="77777777" w:rsidR="00E6413C" w:rsidRDefault="00E6413C" w:rsidP="00337111">
      <w:pPr>
        <w:rPr>
          <w:szCs w:val="22"/>
        </w:rPr>
      </w:pPr>
      <w:r>
        <w:rPr>
          <w:szCs w:val="22"/>
        </w:rPr>
        <w:t>Uma análise exploratória não revelou haver diferenças interétnicas relevantes na exposição ao rivaroxabano entre crianças japonesas, chinesas ou asiáticas fora do Japão e China em comparação com a respetiva população pediátrica global.</w:t>
      </w:r>
    </w:p>
    <w:p w14:paraId="2F4C2505" w14:textId="77777777" w:rsidR="00E6413C" w:rsidRPr="0063119B" w:rsidRDefault="00E6413C" w:rsidP="00337111">
      <w:pPr>
        <w:rPr>
          <w:noProof/>
          <w:szCs w:val="22"/>
        </w:rPr>
      </w:pPr>
    </w:p>
    <w:p w14:paraId="1735105A" w14:textId="77777777" w:rsidR="00337111" w:rsidRPr="0063119B" w:rsidRDefault="0054678E" w:rsidP="00A9161F">
      <w:pPr>
        <w:keepNext/>
        <w:rPr>
          <w:noProof/>
          <w:szCs w:val="22"/>
        </w:rPr>
      </w:pPr>
      <w:r w:rsidRPr="0063119B">
        <w:rPr>
          <w:i/>
          <w:noProof/>
          <w:szCs w:val="22"/>
        </w:rPr>
        <w:t>Compromisso</w:t>
      </w:r>
      <w:r w:rsidR="00337111" w:rsidRPr="0063119B">
        <w:rPr>
          <w:i/>
          <w:noProof/>
          <w:szCs w:val="22"/>
        </w:rPr>
        <w:t xml:space="preserve"> hepátic</w:t>
      </w:r>
      <w:r w:rsidRPr="0063119B">
        <w:rPr>
          <w:i/>
          <w:noProof/>
          <w:szCs w:val="22"/>
        </w:rPr>
        <w:t>o</w:t>
      </w:r>
    </w:p>
    <w:p w14:paraId="69C116DF" w14:textId="77777777" w:rsidR="00337111" w:rsidRPr="0063119B" w:rsidRDefault="00337111" w:rsidP="00337111">
      <w:pPr>
        <w:rPr>
          <w:noProof/>
          <w:szCs w:val="22"/>
        </w:rPr>
      </w:pPr>
      <w:r w:rsidRPr="0063119B">
        <w:rPr>
          <w:noProof/>
          <w:szCs w:val="22"/>
        </w:rPr>
        <w:t>Os doentes</w:t>
      </w:r>
      <w:r w:rsidR="00E6413C">
        <w:rPr>
          <w:noProof/>
          <w:szCs w:val="22"/>
        </w:rPr>
        <w:t xml:space="preserve"> adultos</w:t>
      </w:r>
      <w:r w:rsidRPr="0063119B">
        <w:rPr>
          <w:noProof/>
          <w:szCs w:val="22"/>
        </w:rPr>
        <w:t xml:space="preserve"> com cirrose e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ligeir</w:t>
      </w:r>
      <w:r w:rsidR="0054678E" w:rsidRPr="0063119B">
        <w:rPr>
          <w:noProof/>
          <w:szCs w:val="22"/>
        </w:rPr>
        <w:t>o</w:t>
      </w:r>
      <w:r w:rsidRPr="0063119B">
        <w:rPr>
          <w:noProof/>
          <w:szCs w:val="22"/>
        </w:rPr>
        <w:t xml:space="preserve"> (classificados como Child Pugh A) apresentaram, apenas, pequenas alterações na farmacocinética do rivaroxabano (aumento de 1,2 vezes da AUC do rivaroxabano, em média), quase comparável ao grupo controlo saudável correspondente. Em doentes com cirrose e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moderad</w:t>
      </w:r>
      <w:r w:rsidR="0054678E" w:rsidRPr="0063119B">
        <w:rPr>
          <w:noProof/>
          <w:szCs w:val="22"/>
        </w:rPr>
        <w:t>o</w:t>
      </w:r>
      <w:r w:rsidRPr="0063119B">
        <w:rPr>
          <w:noProof/>
          <w:szCs w:val="22"/>
        </w:rPr>
        <w:t xml:space="preserve"> (classificados como Child Pugh B), a média da AUC do rivaroxabano foi significativamente aumentada em 2,3 vezes, em comparação com voluntários saudáveis. A AUC não ligada aumentou 2,6 vezes. Estes doentes tiveram também diminuição da eliminação renal do rivaroxabano, semelhante aos doentes com compromisso renal moderado. Não existem dados em doentes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grave.</w:t>
      </w:r>
    </w:p>
    <w:p w14:paraId="2F976279" w14:textId="77777777" w:rsidR="00337111" w:rsidRPr="0063119B" w:rsidRDefault="00337111" w:rsidP="00337111">
      <w:pPr>
        <w:rPr>
          <w:noProof/>
          <w:szCs w:val="22"/>
        </w:rPr>
      </w:pPr>
      <w:r w:rsidRPr="0063119B">
        <w:rPr>
          <w:noProof/>
          <w:szCs w:val="22"/>
        </w:rPr>
        <w:t xml:space="preserve">A inibição da atividade do </w:t>
      </w:r>
      <w:r w:rsidR="00D03218" w:rsidRPr="0063119B">
        <w:rPr>
          <w:noProof/>
          <w:szCs w:val="22"/>
        </w:rPr>
        <w:t>fator </w:t>
      </w:r>
      <w:r w:rsidRPr="0063119B">
        <w:rPr>
          <w:noProof/>
          <w:szCs w:val="22"/>
        </w:rPr>
        <w:t xml:space="preserve">Xa aumentou de um fator de 2,6 em doentes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moderad</w:t>
      </w:r>
      <w:r w:rsidR="0054678E" w:rsidRPr="0063119B">
        <w:rPr>
          <w:noProof/>
          <w:szCs w:val="22"/>
        </w:rPr>
        <w:t>o</w:t>
      </w:r>
      <w:r w:rsidRPr="0063119B">
        <w:rPr>
          <w:noProof/>
          <w:szCs w:val="22"/>
        </w:rPr>
        <w:t xml:space="preserve"> em comparação com voluntários saudáveis; de forma semelhante, o prolongamento do TP aumentou de um fator de 2,1. Doentes com </w:t>
      </w:r>
      <w:r w:rsidR="0054678E" w:rsidRPr="0063119B">
        <w:rPr>
          <w:noProof/>
          <w:szCs w:val="22"/>
        </w:rPr>
        <w:t>compromisso</w:t>
      </w:r>
      <w:r w:rsidRPr="0063119B">
        <w:rPr>
          <w:noProof/>
          <w:szCs w:val="22"/>
        </w:rPr>
        <w:t xml:space="preserve"> hepátic</w:t>
      </w:r>
      <w:r w:rsidR="0054678E" w:rsidRPr="0063119B">
        <w:rPr>
          <w:noProof/>
          <w:szCs w:val="22"/>
        </w:rPr>
        <w:t>o</w:t>
      </w:r>
      <w:r w:rsidRPr="0063119B">
        <w:rPr>
          <w:noProof/>
          <w:szCs w:val="22"/>
        </w:rPr>
        <w:t xml:space="preserve"> moderad</w:t>
      </w:r>
      <w:r w:rsidR="0054678E" w:rsidRPr="0063119B">
        <w:rPr>
          <w:noProof/>
          <w:szCs w:val="22"/>
        </w:rPr>
        <w:t>o</w:t>
      </w:r>
      <w:r w:rsidRPr="0063119B">
        <w:rPr>
          <w:noProof/>
          <w:szCs w:val="22"/>
        </w:rPr>
        <w:t xml:space="preserve"> foram mais sensíveis ao rivaroxabano resultando numa relação farmacocinética/farmacodinâmica mais acentuada entre a concentração e o TP.</w:t>
      </w:r>
    </w:p>
    <w:p w14:paraId="5DA9804A" w14:textId="77777777" w:rsidR="00337111" w:rsidRPr="0063119B" w:rsidRDefault="00154026" w:rsidP="00337111">
      <w:pPr>
        <w:rPr>
          <w:noProof/>
          <w:szCs w:val="22"/>
        </w:rPr>
      </w:pPr>
      <w:r w:rsidRPr="0063119B">
        <w:rPr>
          <w:noProof/>
          <w:szCs w:val="22"/>
        </w:rPr>
        <w:t xml:space="preserve">O </w:t>
      </w:r>
      <w:r w:rsidRPr="0063119B">
        <w:rPr>
          <w:szCs w:val="22"/>
        </w:rPr>
        <w:t>rivaroxabano é</w:t>
      </w:r>
      <w:r w:rsidR="00337111" w:rsidRPr="0063119B">
        <w:rPr>
          <w:noProof/>
          <w:szCs w:val="22"/>
        </w:rPr>
        <w:t xml:space="preserve"> contraindicado em doentes com doença hepática associada a coagulopatia e risco de hemorragia clinicamente relevante, incluindo doentes com cirrose com Child Pugh B e C (ver secção 4.3).</w:t>
      </w:r>
    </w:p>
    <w:p w14:paraId="4AAB89E6" w14:textId="77777777" w:rsidR="00337111" w:rsidRDefault="00E6413C" w:rsidP="00337111">
      <w:pPr>
        <w:rPr>
          <w:szCs w:val="22"/>
        </w:rPr>
      </w:pPr>
      <w:r>
        <w:rPr>
          <w:szCs w:val="22"/>
        </w:rPr>
        <w:t>Não estão disponíveis dados clínicos em crianças com compromisso hepático.</w:t>
      </w:r>
    </w:p>
    <w:p w14:paraId="31D60F6D" w14:textId="77777777" w:rsidR="00E6413C" w:rsidRPr="0063119B" w:rsidRDefault="00E6413C" w:rsidP="00337111">
      <w:pPr>
        <w:rPr>
          <w:i/>
          <w:noProof/>
          <w:szCs w:val="22"/>
          <w:u w:val="single"/>
        </w:rPr>
      </w:pPr>
    </w:p>
    <w:p w14:paraId="7C1A9E63" w14:textId="77777777" w:rsidR="00337111" w:rsidRPr="0063119B" w:rsidRDefault="00337111" w:rsidP="00337111">
      <w:pPr>
        <w:rPr>
          <w:i/>
          <w:noProof/>
          <w:szCs w:val="22"/>
        </w:rPr>
      </w:pPr>
      <w:r w:rsidRPr="0063119B">
        <w:rPr>
          <w:i/>
          <w:noProof/>
          <w:szCs w:val="22"/>
        </w:rPr>
        <w:t>Compromisso renal</w:t>
      </w:r>
    </w:p>
    <w:p w14:paraId="243B3B58" w14:textId="77777777" w:rsidR="00337111" w:rsidRPr="0063119B" w:rsidRDefault="00337111" w:rsidP="00337111">
      <w:pPr>
        <w:rPr>
          <w:noProof/>
          <w:szCs w:val="22"/>
        </w:rPr>
      </w:pPr>
      <w:r w:rsidRPr="0063119B">
        <w:rPr>
          <w:noProof/>
          <w:szCs w:val="22"/>
        </w:rPr>
        <w:t>Verificou</w:t>
      </w:r>
      <w:r w:rsidRPr="0063119B">
        <w:rPr>
          <w:noProof/>
          <w:szCs w:val="22"/>
        </w:rPr>
        <w:noBreakHyphen/>
        <w:t xml:space="preserve">se um aumento da exposição a rivaroxabano </w:t>
      </w:r>
      <w:r w:rsidR="00E6413C">
        <w:rPr>
          <w:noProof/>
          <w:szCs w:val="22"/>
        </w:rPr>
        <w:t xml:space="preserve">em adultos, </w:t>
      </w:r>
      <w:r w:rsidRPr="0063119B">
        <w:rPr>
          <w:noProof/>
          <w:szCs w:val="22"/>
        </w:rPr>
        <w:t xml:space="preserve">correlacionado com a diminuição da função renal, avaliada através das determinações da taxa de depuração da creatinina. Nos </w:t>
      </w:r>
      <w:r w:rsidRPr="0063119B">
        <w:rPr>
          <w:noProof/>
          <w:szCs w:val="22"/>
        </w:rPr>
        <w:lastRenderedPageBreak/>
        <w:t>indivíduos com compromisso renal ligeiro (taxa de depuração da creatinina de 50 </w:t>
      </w:r>
      <w:r w:rsidRPr="0063119B">
        <w:rPr>
          <w:noProof/>
          <w:szCs w:val="22"/>
        </w:rPr>
        <w:noBreakHyphen/>
        <w:t> 80 ml/min), moderado (taxa de depuração da creatinina 30 </w:t>
      </w:r>
      <w:r w:rsidRPr="0063119B">
        <w:rPr>
          <w:noProof/>
          <w:szCs w:val="22"/>
        </w:rPr>
        <w:noBreakHyphen/>
        <w:t> 49 ml/min) e grave (taxa de depuração da creatinina 15 </w:t>
      </w:r>
      <w:r w:rsidRPr="0063119B">
        <w:rPr>
          <w:noProof/>
          <w:szCs w:val="22"/>
        </w:rPr>
        <w:noBreakHyphen/>
        <w:t> 29 ml/min), as concentrações plasmáticas (AUC) de rivaroxabano aumentaram 1,4, 1,5 e 1,6 vezes, respetivamente. Os aumentos correspondentes nos efeitos farmacodinâmicos foram mais acentuados. Em indivíduos com compromisso renal ligeiro, moderado e grave a inibição total da atividade do fator Xa aumentou por um fator de 1,5, 1,9 e 2,0, respetivamente, em comparação com voluntários saudáveis; o prolongamento do TP aumentou, de forma semelhante, por um fator de 1,3, 2,2 e 2,4 respetivamente. Não existem dados em doentes com uma taxa de depuração de creatinina &lt; 15 ml/min.</w:t>
      </w:r>
    </w:p>
    <w:p w14:paraId="0F6070B8" w14:textId="77777777" w:rsidR="00337111" w:rsidRPr="0063119B" w:rsidRDefault="00337111" w:rsidP="00337111">
      <w:pPr>
        <w:rPr>
          <w:noProof/>
          <w:szCs w:val="22"/>
        </w:rPr>
      </w:pPr>
      <w:r w:rsidRPr="0063119B">
        <w:rPr>
          <w:noProof/>
          <w:szCs w:val="22"/>
        </w:rPr>
        <w:t>Devido à elevada ligação às proteínas plasmáticas, não se espera que o rivaroxabano seja dialisável.</w:t>
      </w:r>
    </w:p>
    <w:p w14:paraId="01D0FCD8" w14:textId="77777777" w:rsidR="00337111" w:rsidRDefault="00337111" w:rsidP="00337111">
      <w:pPr>
        <w:rPr>
          <w:noProof/>
          <w:szCs w:val="22"/>
        </w:rPr>
      </w:pPr>
      <w:r w:rsidRPr="0063119B">
        <w:rPr>
          <w:noProof/>
          <w:szCs w:val="22"/>
        </w:rPr>
        <w:t xml:space="preserve">A utilização não é recomendada em doentes com uma taxa de depuração de creatinina &lt; 15 ml/min. </w:t>
      </w:r>
      <w:r w:rsidR="00154026" w:rsidRPr="0063119B">
        <w:rPr>
          <w:noProof/>
          <w:szCs w:val="22"/>
        </w:rPr>
        <w:t xml:space="preserve">O </w:t>
      </w:r>
      <w:r w:rsidR="00154026" w:rsidRPr="0063119B">
        <w:rPr>
          <w:szCs w:val="22"/>
        </w:rPr>
        <w:t>rivaroxabano</w:t>
      </w:r>
      <w:r w:rsidR="00154026" w:rsidRPr="0063119B">
        <w:rPr>
          <w:noProof/>
          <w:szCs w:val="22"/>
        </w:rPr>
        <w:t xml:space="preserve"> </w:t>
      </w:r>
      <w:r w:rsidRPr="0063119B">
        <w:rPr>
          <w:noProof/>
          <w:szCs w:val="22"/>
        </w:rPr>
        <w:t>deve ser u</w:t>
      </w:r>
      <w:r w:rsidR="00154026" w:rsidRPr="0063119B">
        <w:rPr>
          <w:noProof/>
          <w:szCs w:val="22"/>
        </w:rPr>
        <w:t>tiliz</w:t>
      </w:r>
      <w:r w:rsidRPr="0063119B">
        <w:rPr>
          <w:noProof/>
          <w:szCs w:val="22"/>
        </w:rPr>
        <w:t>ado com precaução em doentes com uma taxa de depuração de creatinina entre 15 </w:t>
      </w:r>
      <w:r w:rsidRPr="0063119B">
        <w:rPr>
          <w:noProof/>
          <w:szCs w:val="22"/>
        </w:rPr>
        <w:noBreakHyphen/>
        <w:t> 29 ml/min (ver secção 4.4).</w:t>
      </w:r>
    </w:p>
    <w:p w14:paraId="49808E36" w14:textId="77777777" w:rsidR="00E6413C" w:rsidRPr="0063119B" w:rsidRDefault="00E6413C" w:rsidP="00337111">
      <w:pPr>
        <w:rPr>
          <w:noProof/>
          <w:szCs w:val="22"/>
        </w:rPr>
      </w:pPr>
      <w:r>
        <w:rPr>
          <w:szCs w:val="22"/>
        </w:rPr>
        <w:t>Não estão disponíveis dados clínicos em crianças com idade igual ou superior a 1 ano com compromisso renal moderado ou grave (taxa de filtração glomerular &lt; 50 ml/min/1,73 m</w:t>
      </w:r>
      <w:r w:rsidRPr="00EF3721">
        <w:rPr>
          <w:sz w:val="14"/>
          <w:szCs w:val="14"/>
          <w:vertAlign w:val="superscript"/>
        </w:rPr>
        <w:t>2</w:t>
      </w:r>
      <w:r>
        <w:rPr>
          <w:szCs w:val="22"/>
        </w:rPr>
        <w:t>).</w:t>
      </w:r>
    </w:p>
    <w:p w14:paraId="63DC79BF" w14:textId="77777777" w:rsidR="00337111" w:rsidRPr="0063119B" w:rsidRDefault="00337111" w:rsidP="00337111">
      <w:pPr>
        <w:rPr>
          <w:noProof/>
          <w:szCs w:val="22"/>
        </w:rPr>
      </w:pPr>
    </w:p>
    <w:p w14:paraId="1C3773D9" w14:textId="77777777" w:rsidR="00337111" w:rsidRPr="0063119B" w:rsidRDefault="00337111" w:rsidP="00337111">
      <w:pPr>
        <w:rPr>
          <w:szCs w:val="22"/>
        </w:rPr>
      </w:pPr>
      <w:r w:rsidRPr="0063119B">
        <w:rPr>
          <w:szCs w:val="22"/>
          <w:u w:val="single"/>
        </w:rPr>
        <w:t>Dados farmacocinéticos em doentes</w:t>
      </w:r>
    </w:p>
    <w:p w14:paraId="16640F0C" w14:textId="77777777" w:rsidR="00FE3820" w:rsidRPr="0063119B" w:rsidRDefault="00FE3820" w:rsidP="00337111">
      <w:pPr>
        <w:rPr>
          <w:szCs w:val="22"/>
        </w:rPr>
      </w:pPr>
    </w:p>
    <w:p w14:paraId="17A1F037" w14:textId="77777777" w:rsidR="00337111" w:rsidRPr="0063119B" w:rsidRDefault="00337111" w:rsidP="00337111">
      <w:pPr>
        <w:rPr>
          <w:szCs w:val="22"/>
        </w:rPr>
      </w:pPr>
      <w:r w:rsidRPr="0063119B">
        <w:rPr>
          <w:szCs w:val="22"/>
        </w:rPr>
        <w:t>Nos doentes tratados com 20</w:t>
      </w:r>
      <w:r w:rsidR="00FE3820" w:rsidRPr="0063119B">
        <w:rPr>
          <w:szCs w:val="22"/>
        </w:rPr>
        <w:t> </w:t>
      </w:r>
      <w:r w:rsidRPr="0063119B">
        <w:rPr>
          <w:szCs w:val="22"/>
        </w:rPr>
        <w:t xml:space="preserve">mg, de rivaroxabano, uma vez ao dia, para o tratamento da TVP aguda, a concentração média geométrica (intervalo de previsão de 90%), 2 </w:t>
      </w:r>
      <w:r w:rsidR="002F4A3F" w:rsidRPr="0063119B">
        <w:rPr>
          <w:szCs w:val="22"/>
        </w:rPr>
        <w:t xml:space="preserve">- </w:t>
      </w:r>
      <w:r w:rsidRPr="0063119B">
        <w:rPr>
          <w:szCs w:val="22"/>
        </w:rPr>
        <w:t>4</w:t>
      </w:r>
      <w:r w:rsidR="00FE3820" w:rsidRPr="0063119B">
        <w:rPr>
          <w:szCs w:val="22"/>
        </w:rPr>
        <w:t> </w:t>
      </w:r>
      <w:r w:rsidRPr="0063119B">
        <w:rPr>
          <w:szCs w:val="22"/>
        </w:rPr>
        <w:t>h e cerca de 24</w:t>
      </w:r>
      <w:r w:rsidR="00FE3820" w:rsidRPr="0063119B">
        <w:rPr>
          <w:szCs w:val="22"/>
        </w:rPr>
        <w:t> </w:t>
      </w:r>
      <w:r w:rsidRPr="0063119B">
        <w:rPr>
          <w:szCs w:val="22"/>
        </w:rPr>
        <w:t xml:space="preserve">h após a dose (representando, aproximadamente, concentrações máximas e mínimas durante o intervalo de doses) foi de 215 (22 </w:t>
      </w:r>
      <w:r w:rsidR="00377739" w:rsidRPr="0063119B">
        <w:rPr>
          <w:szCs w:val="22"/>
        </w:rPr>
        <w:t>-</w:t>
      </w:r>
      <w:r w:rsidRPr="0063119B">
        <w:rPr>
          <w:szCs w:val="22"/>
        </w:rPr>
        <w:t xml:space="preserve"> 535) e 32 (6 - 239)</w:t>
      </w:r>
      <w:r w:rsidR="00FE3820" w:rsidRPr="0063119B">
        <w:rPr>
          <w:szCs w:val="22"/>
        </w:rPr>
        <w:t> </w:t>
      </w:r>
      <w:r w:rsidR="002F4A3F" w:rsidRPr="0063119B">
        <w:rPr>
          <w:szCs w:val="22"/>
        </w:rPr>
        <w:t>mcg</w:t>
      </w:r>
      <w:r w:rsidRPr="0063119B">
        <w:rPr>
          <w:szCs w:val="22"/>
        </w:rPr>
        <w:t>/l, respetivamente.</w:t>
      </w:r>
      <w:r w:rsidRPr="0063119B" w:rsidDel="0067395A">
        <w:rPr>
          <w:szCs w:val="22"/>
        </w:rPr>
        <w:t xml:space="preserve"> </w:t>
      </w:r>
    </w:p>
    <w:p w14:paraId="3A8931F1" w14:textId="77777777" w:rsidR="00337111" w:rsidRDefault="00337111" w:rsidP="00337111">
      <w:pPr>
        <w:suppressAutoHyphens/>
        <w:ind w:left="567" w:hanging="567"/>
        <w:rPr>
          <w:noProof/>
          <w:szCs w:val="22"/>
        </w:rPr>
      </w:pPr>
    </w:p>
    <w:p w14:paraId="3C4DBAB9" w14:textId="77777777" w:rsidR="00E6413C" w:rsidRDefault="00E6413C" w:rsidP="00E6413C">
      <w:pPr>
        <w:autoSpaceDE w:val="0"/>
        <w:autoSpaceDN w:val="0"/>
        <w:adjustRightInd w:val="0"/>
        <w:rPr>
          <w:color w:val="000000"/>
          <w:szCs w:val="22"/>
          <w:lang w:eastAsia="pt-PT"/>
        </w:rPr>
      </w:pPr>
      <w:r w:rsidRPr="00E6413C">
        <w:rPr>
          <w:color w:val="000000"/>
          <w:szCs w:val="22"/>
          <w:lang w:eastAsia="pt-PT"/>
        </w:rPr>
        <w:t xml:space="preserve">No quadro 13 estão resumidas as médias geométricas das concentrações (intervalo de 90%) em intervalos de tempo de colheita de amostras representando, aproximadamente, as concentrações máximas e mínimas durante o intervalo posológico em doentes pediátricos com TEV agudo, a receber rivaroxabano ajustado ao peso corporal, levando a uma exposição semelhante à observada em doentes adultos com TVP a receberem uma dose diária de 20 mg por dia. </w:t>
      </w:r>
    </w:p>
    <w:p w14:paraId="0D0132B0" w14:textId="77777777" w:rsidR="00E6413C" w:rsidRPr="00E6413C" w:rsidRDefault="00E6413C" w:rsidP="00E6413C">
      <w:pPr>
        <w:autoSpaceDE w:val="0"/>
        <w:autoSpaceDN w:val="0"/>
        <w:adjustRightInd w:val="0"/>
        <w:rPr>
          <w:color w:val="000000"/>
          <w:szCs w:val="22"/>
          <w:lang w:eastAsia="pt-PT"/>
        </w:rPr>
      </w:pPr>
    </w:p>
    <w:p w14:paraId="0202377F" w14:textId="77777777" w:rsidR="00E6413C" w:rsidRPr="00E6413C" w:rsidRDefault="00E6413C" w:rsidP="00EF3721">
      <w:pPr>
        <w:autoSpaceDE w:val="0"/>
        <w:autoSpaceDN w:val="0"/>
        <w:adjustRightInd w:val="0"/>
        <w:rPr>
          <w:b/>
          <w:bCs/>
          <w:color w:val="000000"/>
          <w:szCs w:val="22"/>
          <w:lang w:eastAsia="pt-PT"/>
        </w:rPr>
      </w:pPr>
      <w:r w:rsidRPr="00E6413C">
        <w:rPr>
          <w:b/>
          <w:bCs/>
          <w:color w:val="000000"/>
          <w:szCs w:val="22"/>
          <w:lang w:eastAsia="pt-PT"/>
        </w:rPr>
        <w:t>Quadro 13: Resumo das estatísticas (média geométrica [intervalo de 90%]) das concentrações plasmáticas do rivaroxabano no estado estacionário (mcg/l) por regime posológico e idade</w:t>
      </w:r>
    </w:p>
    <w:p w14:paraId="2A17C766" w14:textId="77777777" w:rsidR="00E6413C" w:rsidRDefault="00E6413C" w:rsidP="00E6413C">
      <w:pPr>
        <w:suppressAutoHyphens/>
        <w:ind w:left="567" w:hanging="567"/>
        <w:rPr>
          <w:noProof/>
          <w:szCs w:val="22"/>
        </w:rPr>
      </w:pPr>
    </w:p>
    <w:tbl>
      <w:tblPr>
        <w:tblW w:w="9495" w:type="dxa"/>
        <w:tblInd w:w="117" w:type="dxa"/>
        <w:tblLayout w:type="fixed"/>
        <w:tblCellMar>
          <w:left w:w="0" w:type="dxa"/>
          <w:right w:w="0" w:type="dxa"/>
        </w:tblCellMar>
        <w:tblLook w:val="01E0" w:firstRow="1" w:lastRow="1" w:firstColumn="1" w:lastColumn="1" w:noHBand="0" w:noVBand="0"/>
      </w:tblPr>
      <w:tblGrid>
        <w:gridCol w:w="1338"/>
        <w:gridCol w:w="565"/>
        <w:gridCol w:w="1488"/>
        <w:gridCol w:w="563"/>
        <w:gridCol w:w="1459"/>
        <w:gridCol w:w="443"/>
        <w:gridCol w:w="1494"/>
        <w:gridCol w:w="437"/>
        <w:gridCol w:w="1708"/>
      </w:tblGrid>
      <w:tr w:rsidR="00E6413C" w14:paraId="66B1EA97" w14:textId="77777777" w:rsidTr="00E6413C">
        <w:trPr>
          <w:tblHeader/>
        </w:trPr>
        <w:tc>
          <w:tcPr>
            <w:tcW w:w="1338" w:type="dxa"/>
            <w:tcBorders>
              <w:top w:val="single" w:sz="6" w:space="0" w:color="000000"/>
              <w:left w:val="single" w:sz="6" w:space="0" w:color="000000"/>
              <w:bottom w:val="single" w:sz="6" w:space="0" w:color="000000"/>
              <w:right w:val="single" w:sz="6" w:space="0" w:color="000000"/>
            </w:tcBorders>
            <w:hideMark/>
          </w:tcPr>
          <w:p w14:paraId="6D4959BD" w14:textId="77777777" w:rsidR="00E6413C" w:rsidRPr="00E6413C" w:rsidRDefault="00E6413C" w:rsidP="00EF3721">
            <w:pPr>
              <w:pStyle w:val="Default"/>
              <w:rPr>
                <w:szCs w:val="22"/>
              </w:rPr>
            </w:pPr>
            <w:proofErr w:type="spellStart"/>
            <w:r>
              <w:rPr>
                <w:b/>
                <w:bCs/>
                <w:sz w:val="22"/>
                <w:szCs w:val="22"/>
              </w:rPr>
              <w:t>Intervalos</w:t>
            </w:r>
            <w:proofErr w:type="spellEnd"/>
            <w:r>
              <w:rPr>
                <w:b/>
                <w:bCs/>
                <w:sz w:val="22"/>
                <w:szCs w:val="22"/>
              </w:rPr>
              <w:t xml:space="preserve"> de tempo </w:t>
            </w:r>
          </w:p>
        </w:tc>
        <w:tc>
          <w:tcPr>
            <w:tcW w:w="565" w:type="dxa"/>
            <w:tcBorders>
              <w:top w:val="single" w:sz="6" w:space="0" w:color="000000"/>
              <w:left w:val="single" w:sz="6" w:space="0" w:color="000000"/>
              <w:bottom w:val="single" w:sz="6" w:space="0" w:color="000000"/>
              <w:right w:val="single" w:sz="6" w:space="0" w:color="000000"/>
            </w:tcBorders>
          </w:tcPr>
          <w:p w14:paraId="320495A8" w14:textId="77777777" w:rsidR="00E6413C" w:rsidRDefault="00E6413C">
            <w:pPr>
              <w:tabs>
                <w:tab w:val="left" w:pos="708"/>
              </w:tabs>
              <w:rPr>
                <w:szCs w:val="22"/>
                <w:lang w:val="en-US" w:bidi="gu-IN"/>
              </w:rPr>
            </w:pPr>
          </w:p>
        </w:tc>
        <w:tc>
          <w:tcPr>
            <w:tcW w:w="1488" w:type="dxa"/>
            <w:tcBorders>
              <w:top w:val="single" w:sz="6" w:space="0" w:color="000000"/>
              <w:left w:val="single" w:sz="6" w:space="0" w:color="000000"/>
              <w:bottom w:val="single" w:sz="6" w:space="0" w:color="000000"/>
              <w:right w:val="single" w:sz="6" w:space="0" w:color="000000"/>
            </w:tcBorders>
          </w:tcPr>
          <w:p w14:paraId="74EE1A61" w14:textId="77777777" w:rsidR="00E6413C" w:rsidRDefault="00E6413C">
            <w:pPr>
              <w:tabs>
                <w:tab w:val="left" w:pos="708"/>
              </w:tabs>
              <w:rPr>
                <w:szCs w:val="22"/>
                <w:lang w:val="en-US" w:bidi="gu-IN"/>
              </w:rPr>
            </w:pPr>
          </w:p>
        </w:tc>
        <w:tc>
          <w:tcPr>
            <w:tcW w:w="563" w:type="dxa"/>
            <w:tcBorders>
              <w:top w:val="single" w:sz="6" w:space="0" w:color="000000"/>
              <w:left w:val="single" w:sz="6" w:space="0" w:color="000000"/>
              <w:bottom w:val="single" w:sz="6" w:space="0" w:color="000000"/>
              <w:right w:val="single" w:sz="6" w:space="0" w:color="000000"/>
            </w:tcBorders>
          </w:tcPr>
          <w:p w14:paraId="6D76FEF6" w14:textId="77777777" w:rsidR="00E6413C" w:rsidRDefault="00E6413C">
            <w:pPr>
              <w:tabs>
                <w:tab w:val="left" w:pos="708"/>
              </w:tabs>
              <w:rPr>
                <w:szCs w:val="22"/>
                <w:lang w:val="en-US" w:bidi="gu-IN"/>
              </w:rPr>
            </w:pPr>
          </w:p>
        </w:tc>
        <w:tc>
          <w:tcPr>
            <w:tcW w:w="1459" w:type="dxa"/>
            <w:tcBorders>
              <w:top w:val="single" w:sz="6" w:space="0" w:color="000000"/>
              <w:left w:val="single" w:sz="6" w:space="0" w:color="000000"/>
              <w:bottom w:val="single" w:sz="6" w:space="0" w:color="000000"/>
              <w:right w:val="single" w:sz="6" w:space="0" w:color="000000"/>
            </w:tcBorders>
          </w:tcPr>
          <w:p w14:paraId="092009CC" w14:textId="77777777" w:rsidR="00E6413C" w:rsidRDefault="00E6413C">
            <w:pPr>
              <w:tabs>
                <w:tab w:val="left" w:pos="708"/>
              </w:tabs>
              <w:rPr>
                <w:szCs w:val="22"/>
                <w:lang w:val="en-US" w:bidi="gu-IN"/>
              </w:rPr>
            </w:pPr>
          </w:p>
        </w:tc>
        <w:tc>
          <w:tcPr>
            <w:tcW w:w="443" w:type="dxa"/>
            <w:tcBorders>
              <w:top w:val="single" w:sz="6" w:space="0" w:color="000000"/>
              <w:left w:val="single" w:sz="6" w:space="0" w:color="000000"/>
              <w:bottom w:val="single" w:sz="6" w:space="0" w:color="000000"/>
              <w:right w:val="single" w:sz="6" w:space="0" w:color="000000"/>
            </w:tcBorders>
          </w:tcPr>
          <w:p w14:paraId="2D249647" w14:textId="77777777" w:rsidR="00E6413C" w:rsidRDefault="00E6413C">
            <w:pPr>
              <w:tabs>
                <w:tab w:val="left" w:pos="708"/>
              </w:tabs>
              <w:rPr>
                <w:szCs w:val="22"/>
                <w:lang w:val="en-US" w:bidi="gu-IN"/>
              </w:rPr>
            </w:pPr>
          </w:p>
        </w:tc>
        <w:tc>
          <w:tcPr>
            <w:tcW w:w="1494" w:type="dxa"/>
            <w:tcBorders>
              <w:top w:val="single" w:sz="6" w:space="0" w:color="000000"/>
              <w:left w:val="single" w:sz="6" w:space="0" w:color="000000"/>
              <w:bottom w:val="single" w:sz="6" w:space="0" w:color="000000"/>
              <w:right w:val="single" w:sz="6" w:space="0" w:color="000000"/>
            </w:tcBorders>
          </w:tcPr>
          <w:p w14:paraId="6FA5D9FD" w14:textId="77777777" w:rsidR="00E6413C" w:rsidRDefault="00E6413C">
            <w:pPr>
              <w:tabs>
                <w:tab w:val="left" w:pos="708"/>
              </w:tabs>
              <w:rPr>
                <w:szCs w:val="22"/>
                <w:lang w:val="en-US" w:bidi="gu-IN"/>
              </w:rPr>
            </w:pPr>
          </w:p>
        </w:tc>
        <w:tc>
          <w:tcPr>
            <w:tcW w:w="437" w:type="dxa"/>
            <w:tcBorders>
              <w:top w:val="single" w:sz="6" w:space="0" w:color="000000"/>
              <w:left w:val="single" w:sz="6" w:space="0" w:color="000000"/>
              <w:bottom w:val="single" w:sz="6" w:space="0" w:color="000000"/>
              <w:right w:val="single" w:sz="6" w:space="0" w:color="000000"/>
            </w:tcBorders>
          </w:tcPr>
          <w:p w14:paraId="48A8A197" w14:textId="77777777" w:rsidR="00E6413C" w:rsidRDefault="00E6413C">
            <w:pPr>
              <w:tabs>
                <w:tab w:val="left" w:pos="708"/>
              </w:tabs>
              <w:rPr>
                <w:szCs w:val="22"/>
                <w:lang w:val="en-US" w:bidi="gu-IN"/>
              </w:rPr>
            </w:pPr>
          </w:p>
        </w:tc>
        <w:tc>
          <w:tcPr>
            <w:tcW w:w="1708" w:type="dxa"/>
            <w:tcBorders>
              <w:top w:val="single" w:sz="6" w:space="0" w:color="000000"/>
              <w:left w:val="single" w:sz="6" w:space="0" w:color="000000"/>
              <w:bottom w:val="single" w:sz="6" w:space="0" w:color="000000"/>
              <w:right w:val="single" w:sz="6" w:space="0" w:color="000000"/>
            </w:tcBorders>
          </w:tcPr>
          <w:p w14:paraId="084C003D" w14:textId="77777777" w:rsidR="00E6413C" w:rsidRDefault="00E6413C">
            <w:pPr>
              <w:tabs>
                <w:tab w:val="left" w:pos="708"/>
              </w:tabs>
              <w:rPr>
                <w:szCs w:val="22"/>
                <w:lang w:val="en-US" w:bidi="gu-IN"/>
              </w:rPr>
            </w:pPr>
          </w:p>
        </w:tc>
      </w:tr>
      <w:tr w:rsidR="00E6413C" w14:paraId="1504842E" w14:textId="77777777" w:rsidTr="00E6413C">
        <w:trPr>
          <w:tblHeader/>
        </w:trPr>
        <w:tc>
          <w:tcPr>
            <w:tcW w:w="1338" w:type="dxa"/>
            <w:tcBorders>
              <w:top w:val="single" w:sz="6" w:space="0" w:color="000000"/>
              <w:left w:val="single" w:sz="6" w:space="0" w:color="000000"/>
              <w:bottom w:val="single" w:sz="6" w:space="0" w:color="000000"/>
              <w:right w:val="single" w:sz="6" w:space="0" w:color="000000"/>
            </w:tcBorders>
            <w:hideMark/>
          </w:tcPr>
          <w:p w14:paraId="5281992B" w14:textId="77777777" w:rsidR="00E6413C" w:rsidRDefault="00E6413C">
            <w:pPr>
              <w:tabs>
                <w:tab w:val="left" w:pos="708"/>
              </w:tabs>
              <w:rPr>
                <w:szCs w:val="22"/>
                <w:lang w:val="en-US" w:bidi="gu-IN"/>
              </w:rPr>
            </w:pPr>
            <w:r>
              <w:rPr>
                <w:b/>
                <w:szCs w:val="22"/>
                <w:lang w:val="en-US" w:bidi="gu-IN"/>
              </w:rPr>
              <w:t>o.d.</w:t>
            </w:r>
          </w:p>
        </w:tc>
        <w:tc>
          <w:tcPr>
            <w:tcW w:w="565" w:type="dxa"/>
            <w:tcBorders>
              <w:top w:val="single" w:sz="6" w:space="0" w:color="000000"/>
              <w:left w:val="single" w:sz="6" w:space="0" w:color="000000"/>
              <w:bottom w:val="single" w:sz="6" w:space="0" w:color="000000"/>
              <w:right w:val="single" w:sz="6" w:space="0" w:color="000000"/>
            </w:tcBorders>
            <w:hideMark/>
          </w:tcPr>
          <w:p w14:paraId="50DDD931" w14:textId="77777777" w:rsidR="00E6413C" w:rsidRDefault="00E6413C">
            <w:pPr>
              <w:tabs>
                <w:tab w:val="left" w:pos="708"/>
              </w:tabs>
              <w:rPr>
                <w:szCs w:val="22"/>
                <w:lang w:val="en-US" w:bidi="gu-IN"/>
              </w:rPr>
            </w:pPr>
            <w:r>
              <w:rPr>
                <w:b/>
                <w:szCs w:val="22"/>
                <w:lang w:val="en-US" w:bidi="gu-IN"/>
              </w:rPr>
              <w:t>N</w:t>
            </w:r>
          </w:p>
        </w:tc>
        <w:tc>
          <w:tcPr>
            <w:tcW w:w="1488" w:type="dxa"/>
            <w:tcBorders>
              <w:top w:val="single" w:sz="6" w:space="0" w:color="000000"/>
              <w:left w:val="single" w:sz="6" w:space="0" w:color="000000"/>
              <w:bottom w:val="single" w:sz="6" w:space="0" w:color="000000"/>
              <w:right w:val="single" w:sz="6" w:space="0" w:color="000000"/>
            </w:tcBorders>
            <w:hideMark/>
          </w:tcPr>
          <w:p w14:paraId="69E20D15" w14:textId="77777777" w:rsidR="00E6413C" w:rsidRDefault="00E6413C">
            <w:pPr>
              <w:tabs>
                <w:tab w:val="left" w:pos="708"/>
              </w:tabs>
              <w:rPr>
                <w:szCs w:val="22"/>
                <w:lang w:val="en-US" w:bidi="gu-IN"/>
              </w:rPr>
            </w:pPr>
            <w:r>
              <w:rPr>
                <w:b/>
                <w:szCs w:val="22"/>
                <w:lang w:val="en-US" w:bidi="gu-IN"/>
              </w:rPr>
              <w:t>12 -</w:t>
            </w:r>
          </w:p>
          <w:p w14:paraId="201CC821" w14:textId="77777777" w:rsidR="00E6413C" w:rsidRDefault="00E6413C">
            <w:pPr>
              <w:tabs>
                <w:tab w:val="left" w:pos="708"/>
              </w:tabs>
              <w:rPr>
                <w:szCs w:val="22"/>
                <w:lang w:val="en-US" w:bidi="gu-IN"/>
              </w:rPr>
            </w:pPr>
            <w:r>
              <w:rPr>
                <w:b/>
                <w:szCs w:val="22"/>
                <w:lang w:val="en-US" w:bidi="gu-IN"/>
              </w:rPr>
              <w:t xml:space="preserve">&lt; 18 </w:t>
            </w:r>
            <w:proofErr w:type="spellStart"/>
            <w:r>
              <w:rPr>
                <w:b/>
                <w:szCs w:val="22"/>
                <w:lang w:val="en-US" w:bidi="gu-IN"/>
              </w:rPr>
              <w:t>anos</w:t>
            </w:r>
            <w:proofErr w:type="spellEnd"/>
          </w:p>
        </w:tc>
        <w:tc>
          <w:tcPr>
            <w:tcW w:w="563" w:type="dxa"/>
            <w:tcBorders>
              <w:top w:val="single" w:sz="6" w:space="0" w:color="000000"/>
              <w:left w:val="single" w:sz="6" w:space="0" w:color="000000"/>
              <w:bottom w:val="single" w:sz="6" w:space="0" w:color="000000"/>
              <w:right w:val="single" w:sz="6" w:space="0" w:color="000000"/>
            </w:tcBorders>
            <w:hideMark/>
          </w:tcPr>
          <w:p w14:paraId="0B366A3D" w14:textId="77777777" w:rsidR="00E6413C" w:rsidRDefault="00E6413C">
            <w:pPr>
              <w:tabs>
                <w:tab w:val="left" w:pos="708"/>
              </w:tabs>
              <w:rPr>
                <w:szCs w:val="22"/>
                <w:lang w:val="en-US" w:bidi="gu-IN"/>
              </w:rPr>
            </w:pPr>
            <w:r>
              <w:rPr>
                <w:b/>
                <w:szCs w:val="22"/>
                <w:lang w:val="en-US" w:bidi="gu-IN"/>
              </w:rPr>
              <w:t>N</w:t>
            </w:r>
          </w:p>
        </w:tc>
        <w:tc>
          <w:tcPr>
            <w:tcW w:w="1459" w:type="dxa"/>
            <w:tcBorders>
              <w:top w:val="single" w:sz="6" w:space="0" w:color="000000"/>
              <w:left w:val="single" w:sz="6" w:space="0" w:color="000000"/>
              <w:bottom w:val="single" w:sz="6" w:space="0" w:color="000000"/>
              <w:right w:val="single" w:sz="6" w:space="0" w:color="000000"/>
            </w:tcBorders>
            <w:hideMark/>
          </w:tcPr>
          <w:p w14:paraId="41966E3E" w14:textId="77777777" w:rsidR="00E6413C" w:rsidRDefault="00E6413C">
            <w:pPr>
              <w:tabs>
                <w:tab w:val="left" w:pos="708"/>
              </w:tabs>
              <w:rPr>
                <w:szCs w:val="22"/>
                <w:lang w:val="en-US" w:bidi="gu-IN"/>
              </w:rPr>
            </w:pPr>
            <w:r>
              <w:rPr>
                <w:b/>
                <w:szCs w:val="22"/>
                <w:lang w:val="en-US" w:bidi="gu-IN"/>
              </w:rPr>
              <w:t xml:space="preserve">6 -&lt; 12 </w:t>
            </w:r>
            <w:proofErr w:type="spellStart"/>
            <w:r>
              <w:rPr>
                <w:b/>
                <w:szCs w:val="22"/>
                <w:lang w:val="en-US" w:bidi="gu-IN"/>
              </w:rPr>
              <w:t>anos</w:t>
            </w:r>
            <w:proofErr w:type="spellEnd"/>
          </w:p>
        </w:tc>
        <w:tc>
          <w:tcPr>
            <w:tcW w:w="443" w:type="dxa"/>
            <w:tcBorders>
              <w:top w:val="single" w:sz="6" w:space="0" w:color="000000"/>
              <w:left w:val="single" w:sz="6" w:space="0" w:color="000000"/>
              <w:bottom w:val="single" w:sz="6" w:space="0" w:color="000000"/>
              <w:right w:val="single" w:sz="6" w:space="0" w:color="000000"/>
            </w:tcBorders>
          </w:tcPr>
          <w:p w14:paraId="43101052" w14:textId="77777777" w:rsidR="00E6413C" w:rsidRDefault="00E6413C">
            <w:pPr>
              <w:tabs>
                <w:tab w:val="left" w:pos="708"/>
              </w:tabs>
              <w:rPr>
                <w:szCs w:val="22"/>
                <w:lang w:val="en-US" w:bidi="gu-IN"/>
              </w:rPr>
            </w:pPr>
          </w:p>
        </w:tc>
        <w:tc>
          <w:tcPr>
            <w:tcW w:w="1494" w:type="dxa"/>
            <w:tcBorders>
              <w:top w:val="single" w:sz="6" w:space="0" w:color="000000"/>
              <w:left w:val="single" w:sz="6" w:space="0" w:color="000000"/>
              <w:bottom w:val="single" w:sz="6" w:space="0" w:color="000000"/>
              <w:right w:val="single" w:sz="6" w:space="0" w:color="000000"/>
            </w:tcBorders>
          </w:tcPr>
          <w:p w14:paraId="5A4F04C9" w14:textId="77777777" w:rsidR="00E6413C" w:rsidRDefault="00E6413C">
            <w:pPr>
              <w:tabs>
                <w:tab w:val="left" w:pos="708"/>
              </w:tabs>
              <w:rPr>
                <w:szCs w:val="22"/>
                <w:lang w:val="en-US" w:bidi="gu-IN"/>
              </w:rPr>
            </w:pPr>
          </w:p>
        </w:tc>
        <w:tc>
          <w:tcPr>
            <w:tcW w:w="437" w:type="dxa"/>
            <w:tcBorders>
              <w:top w:val="single" w:sz="6" w:space="0" w:color="000000"/>
              <w:left w:val="single" w:sz="6" w:space="0" w:color="000000"/>
              <w:bottom w:val="single" w:sz="6" w:space="0" w:color="000000"/>
              <w:right w:val="single" w:sz="6" w:space="0" w:color="000000"/>
            </w:tcBorders>
          </w:tcPr>
          <w:p w14:paraId="24777B8C" w14:textId="77777777" w:rsidR="00E6413C" w:rsidRDefault="00E6413C">
            <w:pPr>
              <w:tabs>
                <w:tab w:val="left" w:pos="708"/>
              </w:tabs>
              <w:rPr>
                <w:szCs w:val="22"/>
                <w:lang w:val="en-US" w:bidi="gu-IN"/>
              </w:rPr>
            </w:pPr>
          </w:p>
        </w:tc>
        <w:tc>
          <w:tcPr>
            <w:tcW w:w="1708" w:type="dxa"/>
            <w:tcBorders>
              <w:top w:val="single" w:sz="6" w:space="0" w:color="000000"/>
              <w:left w:val="single" w:sz="6" w:space="0" w:color="000000"/>
              <w:bottom w:val="single" w:sz="6" w:space="0" w:color="000000"/>
              <w:right w:val="single" w:sz="6" w:space="0" w:color="000000"/>
            </w:tcBorders>
          </w:tcPr>
          <w:p w14:paraId="16CB6C40" w14:textId="77777777" w:rsidR="00E6413C" w:rsidRDefault="00E6413C">
            <w:pPr>
              <w:tabs>
                <w:tab w:val="left" w:pos="708"/>
              </w:tabs>
              <w:rPr>
                <w:szCs w:val="22"/>
                <w:lang w:val="en-US" w:bidi="gu-IN"/>
              </w:rPr>
            </w:pPr>
          </w:p>
        </w:tc>
      </w:tr>
      <w:tr w:rsidR="00E6413C" w14:paraId="06FF48EC" w14:textId="77777777" w:rsidTr="00E6413C">
        <w:trPr>
          <w:tblHeader/>
        </w:trPr>
        <w:tc>
          <w:tcPr>
            <w:tcW w:w="1338" w:type="dxa"/>
            <w:vMerge w:val="restart"/>
            <w:tcBorders>
              <w:top w:val="single" w:sz="6" w:space="0" w:color="000000"/>
              <w:left w:val="single" w:sz="6" w:space="0" w:color="000000"/>
              <w:bottom w:val="single" w:sz="6" w:space="0" w:color="000000"/>
              <w:right w:val="single" w:sz="6" w:space="0" w:color="000000"/>
            </w:tcBorders>
            <w:hideMark/>
          </w:tcPr>
          <w:p w14:paraId="694FA3A3" w14:textId="77777777" w:rsidR="00E6413C" w:rsidRDefault="00E6413C">
            <w:pPr>
              <w:tabs>
                <w:tab w:val="left" w:pos="708"/>
              </w:tabs>
              <w:rPr>
                <w:szCs w:val="22"/>
                <w:lang w:val="en-US" w:bidi="gu-IN"/>
              </w:rPr>
            </w:pPr>
            <w:r>
              <w:rPr>
                <w:szCs w:val="22"/>
                <w:lang w:val="en-US" w:bidi="gu-IN"/>
              </w:rPr>
              <w:t xml:space="preserve">2.5-4h </w:t>
            </w:r>
            <w:proofErr w:type="spellStart"/>
            <w:r>
              <w:rPr>
                <w:szCs w:val="22"/>
                <w:lang w:val="en-US" w:bidi="gu-IN"/>
              </w:rPr>
              <w:t>após</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2F4596A2" w14:textId="77777777" w:rsidR="00E6413C" w:rsidRDefault="00E6413C">
            <w:pPr>
              <w:tabs>
                <w:tab w:val="left" w:pos="708"/>
              </w:tabs>
              <w:rPr>
                <w:szCs w:val="22"/>
                <w:lang w:val="en-US" w:bidi="gu-IN"/>
              </w:rPr>
            </w:pPr>
            <w:r>
              <w:rPr>
                <w:szCs w:val="22"/>
                <w:lang w:val="en-US" w:bidi="gu-IN"/>
              </w:rPr>
              <w:t>171</w:t>
            </w:r>
          </w:p>
        </w:tc>
        <w:tc>
          <w:tcPr>
            <w:tcW w:w="1488" w:type="dxa"/>
            <w:tcBorders>
              <w:top w:val="single" w:sz="6" w:space="0" w:color="000000"/>
              <w:left w:val="single" w:sz="6" w:space="0" w:color="000000"/>
              <w:bottom w:val="nil"/>
              <w:right w:val="single" w:sz="6" w:space="0" w:color="000000"/>
            </w:tcBorders>
            <w:hideMark/>
          </w:tcPr>
          <w:p w14:paraId="1BB08657" w14:textId="77777777" w:rsidR="00E6413C" w:rsidRDefault="00E6413C">
            <w:pPr>
              <w:tabs>
                <w:tab w:val="left" w:pos="708"/>
              </w:tabs>
              <w:rPr>
                <w:szCs w:val="22"/>
                <w:lang w:val="en-US" w:bidi="gu-IN"/>
              </w:rPr>
            </w:pPr>
            <w:r>
              <w:rPr>
                <w:szCs w:val="22"/>
                <w:lang w:val="en-US" w:bidi="gu-IN"/>
              </w:rPr>
              <w:t>241.5</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5E1E8801" w14:textId="77777777" w:rsidR="00E6413C" w:rsidRDefault="00E6413C">
            <w:pPr>
              <w:tabs>
                <w:tab w:val="left" w:pos="708"/>
              </w:tabs>
              <w:rPr>
                <w:szCs w:val="22"/>
                <w:lang w:val="en-US" w:bidi="gu-IN"/>
              </w:rPr>
            </w:pPr>
            <w:r>
              <w:rPr>
                <w:szCs w:val="22"/>
                <w:lang w:val="en-US" w:bidi="gu-IN"/>
              </w:rPr>
              <w:t>24</w:t>
            </w:r>
          </w:p>
        </w:tc>
        <w:tc>
          <w:tcPr>
            <w:tcW w:w="1459" w:type="dxa"/>
            <w:tcBorders>
              <w:top w:val="single" w:sz="6" w:space="0" w:color="000000"/>
              <w:left w:val="single" w:sz="6" w:space="0" w:color="000000"/>
              <w:bottom w:val="nil"/>
              <w:right w:val="single" w:sz="6" w:space="0" w:color="000000"/>
            </w:tcBorders>
            <w:hideMark/>
          </w:tcPr>
          <w:p w14:paraId="54546461" w14:textId="77777777" w:rsidR="00E6413C" w:rsidRDefault="00E6413C">
            <w:pPr>
              <w:tabs>
                <w:tab w:val="left" w:pos="708"/>
              </w:tabs>
              <w:rPr>
                <w:szCs w:val="22"/>
                <w:lang w:val="en-US" w:bidi="gu-IN"/>
              </w:rPr>
            </w:pPr>
            <w:r>
              <w:rPr>
                <w:szCs w:val="22"/>
                <w:lang w:val="en-US" w:bidi="gu-IN"/>
              </w:rPr>
              <w:t>229.7</w:t>
            </w:r>
          </w:p>
        </w:tc>
        <w:tc>
          <w:tcPr>
            <w:tcW w:w="443" w:type="dxa"/>
            <w:vMerge w:val="restart"/>
            <w:tcBorders>
              <w:top w:val="single" w:sz="6" w:space="0" w:color="000000"/>
              <w:left w:val="single" w:sz="6" w:space="0" w:color="000000"/>
              <w:bottom w:val="single" w:sz="6" w:space="0" w:color="000000"/>
              <w:right w:val="single" w:sz="6" w:space="0" w:color="000000"/>
            </w:tcBorders>
          </w:tcPr>
          <w:p w14:paraId="449BCB28" w14:textId="77777777" w:rsidR="00E6413C" w:rsidRDefault="00E6413C">
            <w:pPr>
              <w:tabs>
                <w:tab w:val="left" w:pos="708"/>
              </w:tabs>
              <w:rPr>
                <w:szCs w:val="22"/>
                <w:lang w:val="en-US" w:bidi="gu-IN"/>
              </w:rPr>
            </w:pPr>
          </w:p>
        </w:tc>
        <w:tc>
          <w:tcPr>
            <w:tcW w:w="1494" w:type="dxa"/>
            <w:vMerge w:val="restart"/>
            <w:tcBorders>
              <w:top w:val="single" w:sz="6" w:space="0" w:color="000000"/>
              <w:left w:val="single" w:sz="6" w:space="0" w:color="000000"/>
              <w:bottom w:val="single" w:sz="6" w:space="0" w:color="000000"/>
              <w:right w:val="single" w:sz="6" w:space="0" w:color="000000"/>
            </w:tcBorders>
          </w:tcPr>
          <w:p w14:paraId="27CDA948" w14:textId="77777777" w:rsidR="00E6413C" w:rsidRDefault="00E6413C">
            <w:pPr>
              <w:tabs>
                <w:tab w:val="left" w:pos="708"/>
              </w:tabs>
              <w:rPr>
                <w:szCs w:val="22"/>
                <w:lang w:val="en-US" w:bidi="gu-IN"/>
              </w:rPr>
            </w:pPr>
          </w:p>
        </w:tc>
        <w:tc>
          <w:tcPr>
            <w:tcW w:w="437" w:type="dxa"/>
            <w:vMerge w:val="restart"/>
            <w:tcBorders>
              <w:top w:val="single" w:sz="6" w:space="0" w:color="000000"/>
              <w:left w:val="single" w:sz="6" w:space="0" w:color="000000"/>
              <w:bottom w:val="single" w:sz="6" w:space="0" w:color="000000"/>
              <w:right w:val="single" w:sz="6" w:space="0" w:color="000000"/>
            </w:tcBorders>
          </w:tcPr>
          <w:p w14:paraId="17E3EA47" w14:textId="77777777" w:rsidR="00E6413C" w:rsidRDefault="00E6413C">
            <w:pPr>
              <w:tabs>
                <w:tab w:val="left" w:pos="708"/>
              </w:tabs>
              <w:rPr>
                <w:szCs w:val="22"/>
                <w:lang w:val="en-US" w:bidi="gu-IN"/>
              </w:rPr>
            </w:pPr>
          </w:p>
        </w:tc>
        <w:tc>
          <w:tcPr>
            <w:tcW w:w="1708" w:type="dxa"/>
            <w:vMerge w:val="restart"/>
            <w:tcBorders>
              <w:top w:val="single" w:sz="6" w:space="0" w:color="000000"/>
              <w:left w:val="single" w:sz="6" w:space="0" w:color="000000"/>
              <w:bottom w:val="single" w:sz="6" w:space="0" w:color="000000"/>
              <w:right w:val="single" w:sz="6" w:space="0" w:color="000000"/>
            </w:tcBorders>
          </w:tcPr>
          <w:p w14:paraId="1D9F6556" w14:textId="77777777" w:rsidR="00E6413C" w:rsidRDefault="00E6413C">
            <w:pPr>
              <w:tabs>
                <w:tab w:val="left" w:pos="708"/>
              </w:tabs>
              <w:rPr>
                <w:szCs w:val="22"/>
                <w:lang w:val="en-US" w:bidi="gu-IN"/>
              </w:rPr>
            </w:pPr>
          </w:p>
        </w:tc>
      </w:tr>
      <w:tr w:rsidR="00E6413C" w14:paraId="1CE0ED8E" w14:textId="77777777" w:rsidTr="00E6413C">
        <w:trPr>
          <w:tblHeader/>
        </w:trPr>
        <w:tc>
          <w:tcPr>
            <w:tcW w:w="1338" w:type="dxa"/>
            <w:vMerge/>
            <w:tcBorders>
              <w:top w:val="single" w:sz="6" w:space="0" w:color="000000"/>
              <w:left w:val="single" w:sz="6" w:space="0" w:color="000000"/>
              <w:bottom w:val="single" w:sz="6" w:space="0" w:color="000000"/>
              <w:right w:val="single" w:sz="6" w:space="0" w:color="000000"/>
            </w:tcBorders>
            <w:vAlign w:val="center"/>
            <w:hideMark/>
          </w:tcPr>
          <w:p w14:paraId="0A9D2D73" w14:textId="77777777" w:rsidR="00E6413C" w:rsidRDefault="00E6413C">
            <w:pPr>
              <w:rPr>
                <w:szCs w:val="22"/>
                <w:lang w:val="en-US" w:bidi="gu-IN"/>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4AE55298" w14:textId="77777777" w:rsidR="00E6413C" w:rsidRDefault="00E6413C">
            <w:pPr>
              <w:rPr>
                <w:szCs w:val="22"/>
                <w:lang w:val="en-US" w:bidi="gu-IN"/>
              </w:rPr>
            </w:pPr>
          </w:p>
        </w:tc>
        <w:tc>
          <w:tcPr>
            <w:tcW w:w="1488" w:type="dxa"/>
            <w:tcBorders>
              <w:top w:val="nil"/>
              <w:left w:val="single" w:sz="6" w:space="0" w:color="000000"/>
              <w:bottom w:val="single" w:sz="6" w:space="0" w:color="000000"/>
              <w:right w:val="single" w:sz="6" w:space="0" w:color="000000"/>
            </w:tcBorders>
            <w:hideMark/>
          </w:tcPr>
          <w:p w14:paraId="5A9E6570" w14:textId="77777777" w:rsidR="00E6413C" w:rsidRDefault="00E6413C">
            <w:pPr>
              <w:tabs>
                <w:tab w:val="left" w:pos="708"/>
              </w:tabs>
              <w:rPr>
                <w:szCs w:val="22"/>
                <w:lang w:val="en-US" w:bidi="gu-IN"/>
              </w:rPr>
            </w:pPr>
            <w:r>
              <w:rPr>
                <w:szCs w:val="22"/>
                <w:lang w:val="en-US" w:bidi="gu-IN"/>
              </w:rPr>
              <w:t>(105-484)</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09A659D3" w14:textId="77777777" w:rsidR="00E6413C" w:rsidRDefault="00E6413C">
            <w:pPr>
              <w:rPr>
                <w:szCs w:val="22"/>
                <w:lang w:val="en-US" w:bidi="gu-IN"/>
              </w:rPr>
            </w:pPr>
          </w:p>
        </w:tc>
        <w:tc>
          <w:tcPr>
            <w:tcW w:w="1459" w:type="dxa"/>
            <w:tcBorders>
              <w:top w:val="nil"/>
              <w:left w:val="single" w:sz="6" w:space="0" w:color="000000"/>
              <w:bottom w:val="single" w:sz="6" w:space="0" w:color="000000"/>
              <w:right w:val="single" w:sz="6" w:space="0" w:color="000000"/>
            </w:tcBorders>
            <w:hideMark/>
          </w:tcPr>
          <w:p w14:paraId="4DD0A8DA" w14:textId="77777777" w:rsidR="00E6413C" w:rsidRDefault="00E6413C">
            <w:pPr>
              <w:tabs>
                <w:tab w:val="left" w:pos="708"/>
              </w:tabs>
              <w:rPr>
                <w:szCs w:val="22"/>
                <w:lang w:val="en-US" w:bidi="gu-IN"/>
              </w:rPr>
            </w:pPr>
            <w:r>
              <w:rPr>
                <w:szCs w:val="22"/>
                <w:lang w:val="en-US" w:bidi="gu-IN"/>
              </w:rPr>
              <w:t>(91.5-777)</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58EA8BAF" w14:textId="77777777" w:rsidR="00E6413C" w:rsidRDefault="00E6413C">
            <w:pPr>
              <w:rPr>
                <w:szCs w:val="22"/>
                <w:lang w:val="en-US" w:bidi="gu-IN"/>
              </w:rPr>
            </w:pPr>
          </w:p>
        </w:tc>
        <w:tc>
          <w:tcPr>
            <w:tcW w:w="1494" w:type="dxa"/>
            <w:vMerge/>
            <w:tcBorders>
              <w:top w:val="single" w:sz="6" w:space="0" w:color="000000"/>
              <w:left w:val="single" w:sz="6" w:space="0" w:color="000000"/>
              <w:bottom w:val="single" w:sz="6" w:space="0" w:color="000000"/>
              <w:right w:val="single" w:sz="6" w:space="0" w:color="000000"/>
            </w:tcBorders>
            <w:vAlign w:val="center"/>
            <w:hideMark/>
          </w:tcPr>
          <w:p w14:paraId="38FDA645" w14:textId="77777777" w:rsidR="00E6413C" w:rsidRDefault="00E6413C">
            <w:pPr>
              <w:rPr>
                <w:szCs w:val="22"/>
                <w:lang w:val="en-US" w:bidi="gu-IN"/>
              </w:rPr>
            </w:pP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75E07BE8" w14:textId="77777777" w:rsidR="00E6413C" w:rsidRDefault="00E6413C">
            <w:pPr>
              <w:rPr>
                <w:szCs w:val="22"/>
                <w:lang w:val="en-US" w:bidi="gu-IN"/>
              </w:rPr>
            </w:pPr>
          </w:p>
        </w:tc>
        <w:tc>
          <w:tcPr>
            <w:tcW w:w="1708" w:type="dxa"/>
            <w:vMerge/>
            <w:tcBorders>
              <w:top w:val="single" w:sz="6" w:space="0" w:color="000000"/>
              <w:left w:val="single" w:sz="6" w:space="0" w:color="000000"/>
              <w:bottom w:val="single" w:sz="6" w:space="0" w:color="000000"/>
              <w:right w:val="single" w:sz="6" w:space="0" w:color="000000"/>
            </w:tcBorders>
            <w:vAlign w:val="center"/>
            <w:hideMark/>
          </w:tcPr>
          <w:p w14:paraId="3FFE6120" w14:textId="77777777" w:rsidR="00E6413C" w:rsidRDefault="00E6413C">
            <w:pPr>
              <w:rPr>
                <w:szCs w:val="22"/>
                <w:lang w:val="en-US" w:bidi="gu-IN"/>
              </w:rPr>
            </w:pPr>
          </w:p>
        </w:tc>
      </w:tr>
      <w:tr w:rsidR="00E6413C" w14:paraId="283E447B" w14:textId="77777777" w:rsidTr="00E6413C">
        <w:trPr>
          <w:tblHeader/>
        </w:trPr>
        <w:tc>
          <w:tcPr>
            <w:tcW w:w="1338" w:type="dxa"/>
            <w:vMerge w:val="restart"/>
            <w:tcBorders>
              <w:top w:val="single" w:sz="6" w:space="0" w:color="000000"/>
              <w:left w:val="single" w:sz="6" w:space="0" w:color="000000"/>
              <w:bottom w:val="single" w:sz="6" w:space="0" w:color="000000"/>
              <w:right w:val="single" w:sz="6" w:space="0" w:color="000000"/>
            </w:tcBorders>
            <w:hideMark/>
          </w:tcPr>
          <w:p w14:paraId="7C062DC2" w14:textId="77777777" w:rsidR="00E6413C" w:rsidRDefault="00E6413C">
            <w:pPr>
              <w:tabs>
                <w:tab w:val="left" w:pos="708"/>
              </w:tabs>
              <w:rPr>
                <w:szCs w:val="22"/>
                <w:lang w:val="en-US" w:bidi="gu-IN"/>
              </w:rPr>
            </w:pPr>
            <w:r>
              <w:rPr>
                <w:szCs w:val="22"/>
                <w:lang w:val="en-US" w:bidi="gu-IN"/>
              </w:rPr>
              <w:t xml:space="preserve">20-24h </w:t>
            </w:r>
            <w:proofErr w:type="spellStart"/>
            <w:r>
              <w:rPr>
                <w:szCs w:val="22"/>
                <w:lang w:val="en-US" w:bidi="gu-IN"/>
              </w:rPr>
              <w:t>após</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14166F21" w14:textId="77777777" w:rsidR="00E6413C" w:rsidRDefault="00E6413C">
            <w:pPr>
              <w:tabs>
                <w:tab w:val="left" w:pos="708"/>
              </w:tabs>
              <w:rPr>
                <w:szCs w:val="22"/>
                <w:lang w:val="en-US" w:bidi="gu-IN"/>
              </w:rPr>
            </w:pPr>
            <w:r>
              <w:rPr>
                <w:szCs w:val="22"/>
                <w:lang w:val="en-US" w:bidi="gu-IN"/>
              </w:rPr>
              <w:t>151</w:t>
            </w:r>
          </w:p>
        </w:tc>
        <w:tc>
          <w:tcPr>
            <w:tcW w:w="1488" w:type="dxa"/>
            <w:tcBorders>
              <w:top w:val="single" w:sz="6" w:space="0" w:color="000000"/>
              <w:left w:val="single" w:sz="6" w:space="0" w:color="000000"/>
              <w:bottom w:val="nil"/>
              <w:right w:val="single" w:sz="6" w:space="0" w:color="000000"/>
            </w:tcBorders>
            <w:hideMark/>
          </w:tcPr>
          <w:p w14:paraId="3BB1FE02" w14:textId="77777777" w:rsidR="00E6413C" w:rsidRDefault="00E6413C">
            <w:pPr>
              <w:tabs>
                <w:tab w:val="left" w:pos="708"/>
              </w:tabs>
              <w:rPr>
                <w:szCs w:val="22"/>
                <w:lang w:val="en-US" w:bidi="gu-IN"/>
              </w:rPr>
            </w:pPr>
            <w:r>
              <w:rPr>
                <w:szCs w:val="22"/>
                <w:lang w:val="en-US" w:bidi="gu-IN"/>
              </w:rPr>
              <w:t>20.6</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366A7555" w14:textId="77777777" w:rsidR="00E6413C" w:rsidRDefault="00E6413C">
            <w:pPr>
              <w:tabs>
                <w:tab w:val="left" w:pos="708"/>
              </w:tabs>
              <w:rPr>
                <w:szCs w:val="22"/>
                <w:lang w:val="en-US" w:bidi="gu-IN"/>
              </w:rPr>
            </w:pPr>
            <w:r>
              <w:rPr>
                <w:szCs w:val="22"/>
                <w:lang w:val="en-US" w:bidi="gu-IN"/>
              </w:rPr>
              <w:t>24</w:t>
            </w:r>
          </w:p>
        </w:tc>
        <w:tc>
          <w:tcPr>
            <w:tcW w:w="1459" w:type="dxa"/>
            <w:tcBorders>
              <w:top w:val="single" w:sz="6" w:space="0" w:color="000000"/>
              <w:left w:val="single" w:sz="6" w:space="0" w:color="000000"/>
              <w:bottom w:val="nil"/>
              <w:right w:val="single" w:sz="6" w:space="0" w:color="000000"/>
            </w:tcBorders>
            <w:hideMark/>
          </w:tcPr>
          <w:p w14:paraId="2D241938" w14:textId="77777777" w:rsidR="00E6413C" w:rsidRDefault="00E6413C">
            <w:pPr>
              <w:tabs>
                <w:tab w:val="left" w:pos="708"/>
              </w:tabs>
              <w:rPr>
                <w:szCs w:val="22"/>
                <w:lang w:val="en-US" w:bidi="gu-IN"/>
              </w:rPr>
            </w:pPr>
            <w:r>
              <w:rPr>
                <w:szCs w:val="22"/>
                <w:lang w:val="en-US" w:bidi="gu-IN"/>
              </w:rPr>
              <w:t>15.9</w:t>
            </w:r>
          </w:p>
        </w:tc>
        <w:tc>
          <w:tcPr>
            <w:tcW w:w="443" w:type="dxa"/>
            <w:vMerge w:val="restart"/>
            <w:tcBorders>
              <w:top w:val="single" w:sz="6" w:space="0" w:color="000000"/>
              <w:left w:val="single" w:sz="6" w:space="0" w:color="000000"/>
              <w:bottom w:val="single" w:sz="6" w:space="0" w:color="000000"/>
              <w:right w:val="single" w:sz="6" w:space="0" w:color="000000"/>
            </w:tcBorders>
          </w:tcPr>
          <w:p w14:paraId="5CE83CED" w14:textId="77777777" w:rsidR="00E6413C" w:rsidRDefault="00E6413C">
            <w:pPr>
              <w:tabs>
                <w:tab w:val="left" w:pos="708"/>
              </w:tabs>
              <w:rPr>
                <w:szCs w:val="22"/>
                <w:lang w:val="en-US" w:bidi="gu-IN"/>
              </w:rPr>
            </w:pPr>
          </w:p>
        </w:tc>
        <w:tc>
          <w:tcPr>
            <w:tcW w:w="1494" w:type="dxa"/>
            <w:vMerge w:val="restart"/>
            <w:tcBorders>
              <w:top w:val="single" w:sz="6" w:space="0" w:color="000000"/>
              <w:left w:val="single" w:sz="6" w:space="0" w:color="000000"/>
              <w:bottom w:val="single" w:sz="6" w:space="0" w:color="000000"/>
              <w:right w:val="single" w:sz="6" w:space="0" w:color="000000"/>
            </w:tcBorders>
          </w:tcPr>
          <w:p w14:paraId="54764A28" w14:textId="77777777" w:rsidR="00E6413C" w:rsidRDefault="00E6413C">
            <w:pPr>
              <w:tabs>
                <w:tab w:val="left" w:pos="708"/>
              </w:tabs>
              <w:rPr>
                <w:szCs w:val="22"/>
                <w:lang w:val="en-US" w:bidi="gu-IN"/>
              </w:rPr>
            </w:pPr>
          </w:p>
        </w:tc>
        <w:tc>
          <w:tcPr>
            <w:tcW w:w="437" w:type="dxa"/>
            <w:vMerge w:val="restart"/>
            <w:tcBorders>
              <w:top w:val="single" w:sz="6" w:space="0" w:color="000000"/>
              <w:left w:val="single" w:sz="6" w:space="0" w:color="000000"/>
              <w:bottom w:val="single" w:sz="6" w:space="0" w:color="000000"/>
              <w:right w:val="single" w:sz="6" w:space="0" w:color="000000"/>
            </w:tcBorders>
          </w:tcPr>
          <w:p w14:paraId="5907B63F" w14:textId="77777777" w:rsidR="00E6413C" w:rsidRDefault="00E6413C">
            <w:pPr>
              <w:tabs>
                <w:tab w:val="left" w:pos="708"/>
              </w:tabs>
              <w:rPr>
                <w:szCs w:val="22"/>
                <w:lang w:val="en-US" w:bidi="gu-IN"/>
              </w:rPr>
            </w:pPr>
          </w:p>
        </w:tc>
        <w:tc>
          <w:tcPr>
            <w:tcW w:w="1708" w:type="dxa"/>
            <w:vMerge w:val="restart"/>
            <w:tcBorders>
              <w:top w:val="single" w:sz="6" w:space="0" w:color="000000"/>
              <w:left w:val="single" w:sz="6" w:space="0" w:color="000000"/>
              <w:bottom w:val="single" w:sz="6" w:space="0" w:color="000000"/>
              <w:right w:val="single" w:sz="6" w:space="0" w:color="000000"/>
            </w:tcBorders>
          </w:tcPr>
          <w:p w14:paraId="17E7874D" w14:textId="77777777" w:rsidR="00E6413C" w:rsidRDefault="00E6413C">
            <w:pPr>
              <w:tabs>
                <w:tab w:val="left" w:pos="708"/>
              </w:tabs>
              <w:rPr>
                <w:szCs w:val="22"/>
                <w:lang w:val="en-US" w:bidi="gu-IN"/>
              </w:rPr>
            </w:pPr>
          </w:p>
        </w:tc>
      </w:tr>
      <w:tr w:rsidR="00E6413C" w14:paraId="1A5569C4" w14:textId="77777777" w:rsidTr="00E6413C">
        <w:trPr>
          <w:tblHeader/>
        </w:trPr>
        <w:tc>
          <w:tcPr>
            <w:tcW w:w="1338" w:type="dxa"/>
            <w:vMerge/>
            <w:tcBorders>
              <w:top w:val="single" w:sz="6" w:space="0" w:color="000000"/>
              <w:left w:val="single" w:sz="6" w:space="0" w:color="000000"/>
              <w:bottom w:val="single" w:sz="6" w:space="0" w:color="000000"/>
              <w:right w:val="single" w:sz="6" w:space="0" w:color="000000"/>
            </w:tcBorders>
            <w:vAlign w:val="center"/>
            <w:hideMark/>
          </w:tcPr>
          <w:p w14:paraId="77D5DC4D" w14:textId="77777777" w:rsidR="00E6413C" w:rsidRDefault="00E6413C">
            <w:pPr>
              <w:rPr>
                <w:szCs w:val="22"/>
                <w:lang w:val="en-US" w:bidi="gu-IN"/>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627169F6" w14:textId="77777777" w:rsidR="00E6413C" w:rsidRDefault="00E6413C">
            <w:pPr>
              <w:rPr>
                <w:szCs w:val="22"/>
                <w:lang w:val="en-US" w:bidi="gu-IN"/>
              </w:rPr>
            </w:pPr>
          </w:p>
        </w:tc>
        <w:tc>
          <w:tcPr>
            <w:tcW w:w="1488" w:type="dxa"/>
            <w:tcBorders>
              <w:top w:val="nil"/>
              <w:left w:val="single" w:sz="6" w:space="0" w:color="000000"/>
              <w:bottom w:val="single" w:sz="6" w:space="0" w:color="000000"/>
              <w:right w:val="single" w:sz="6" w:space="0" w:color="000000"/>
            </w:tcBorders>
            <w:hideMark/>
          </w:tcPr>
          <w:p w14:paraId="33FAE31A" w14:textId="77777777" w:rsidR="00E6413C" w:rsidRDefault="00E6413C">
            <w:pPr>
              <w:tabs>
                <w:tab w:val="left" w:pos="708"/>
              </w:tabs>
              <w:rPr>
                <w:szCs w:val="22"/>
                <w:lang w:val="en-US" w:bidi="gu-IN"/>
              </w:rPr>
            </w:pPr>
            <w:r>
              <w:rPr>
                <w:szCs w:val="22"/>
                <w:lang w:val="en-US" w:bidi="gu-IN"/>
              </w:rPr>
              <w:t>(5.69-66.5)</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3AE72307" w14:textId="77777777" w:rsidR="00E6413C" w:rsidRDefault="00E6413C">
            <w:pPr>
              <w:rPr>
                <w:szCs w:val="22"/>
                <w:lang w:val="en-US" w:bidi="gu-IN"/>
              </w:rPr>
            </w:pPr>
          </w:p>
        </w:tc>
        <w:tc>
          <w:tcPr>
            <w:tcW w:w="1459" w:type="dxa"/>
            <w:tcBorders>
              <w:top w:val="nil"/>
              <w:left w:val="single" w:sz="6" w:space="0" w:color="000000"/>
              <w:bottom w:val="single" w:sz="6" w:space="0" w:color="000000"/>
              <w:right w:val="single" w:sz="6" w:space="0" w:color="000000"/>
            </w:tcBorders>
            <w:hideMark/>
          </w:tcPr>
          <w:p w14:paraId="5037A16D" w14:textId="77777777" w:rsidR="00E6413C" w:rsidRDefault="00E6413C">
            <w:pPr>
              <w:tabs>
                <w:tab w:val="left" w:pos="708"/>
              </w:tabs>
              <w:rPr>
                <w:szCs w:val="22"/>
                <w:lang w:val="en-US" w:bidi="gu-IN"/>
              </w:rPr>
            </w:pPr>
            <w:r>
              <w:rPr>
                <w:szCs w:val="22"/>
                <w:lang w:val="en-US" w:bidi="gu-IN"/>
              </w:rPr>
              <w:t>(3.42-45.5)</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0138C34B" w14:textId="77777777" w:rsidR="00E6413C" w:rsidRDefault="00E6413C">
            <w:pPr>
              <w:rPr>
                <w:szCs w:val="22"/>
                <w:lang w:val="en-US" w:bidi="gu-IN"/>
              </w:rPr>
            </w:pPr>
          </w:p>
        </w:tc>
        <w:tc>
          <w:tcPr>
            <w:tcW w:w="1494" w:type="dxa"/>
            <w:vMerge/>
            <w:tcBorders>
              <w:top w:val="single" w:sz="6" w:space="0" w:color="000000"/>
              <w:left w:val="single" w:sz="6" w:space="0" w:color="000000"/>
              <w:bottom w:val="single" w:sz="6" w:space="0" w:color="000000"/>
              <w:right w:val="single" w:sz="6" w:space="0" w:color="000000"/>
            </w:tcBorders>
            <w:vAlign w:val="center"/>
            <w:hideMark/>
          </w:tcPr>
          <w:p w14:paraId="79A8CEE9" w14:textId="77777777" w:rsidR="00E6413C" w:rsidRDefault="00E6413C">
            <w:pPr>
              <w:rPr>
                <w:szCs w:val="22"/>
                <w:lang w:val="en-US" w:bidi="gu-IN"/>
              </w:rPr>
            </w:pP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5C16C977" w14:textId="77777777" w:rsidR="00E6413C" w:rsidRDefault="00E6413C">
            <w:pPr>
              <w:rPr>
                <w:szCs w:val="22"/>
                <w:lang w:val="en-US" w:bidi="gu-IN"/>
              </w:rPr>
            </w:pPr>
          </w:p>
        </w:tc>
        <w:tc>
          <w:tcPr>
            <w:tcW w:w="1708" w:type="dxa"/>
            <w:vMerge/>
            <w:tcBorders>
              <w:top w:val="single" w:sz="6" w:space="0" w:color="000000"/>
              <w:left w:val="single" w:sz="6" w:space="0" w:color="000000"/>
              <w:bottom w:val="single" w:sz="6" w:space="0" w:color="000000"/>
              <w:right w:val="single" w:sz="6" w:space="0" w:color="000000"/>
            </w:tcBorders>
            <w:vAlign w:val="center"/>
            <w:hideMark/>
          </w:tcPr>
          <w:p w14:paraId="713BB32B" w14:textId="77777777" w:rsidR="00E6413C" w:rsidRDefault="00E6413C">
            <w:pPr>
              <w:rPr>
                <w:szCs w:val="22"/>
                <w:lang w:val="en-US" w:bidi="gu-IN"/>
              </w:rPr>
            </w:pPr>
          </w:p>
        </w:tc>
      </w:tr>
      <w:tr w:rsidR="00E6413C" w14:paraId="5E10D918" w14:textId="77777777" w:rsidTr="00E6413C">
        <w:trPr>
          <w:tblHeader/>
        </w:trPr>
        <w:tc>
          <w:tcPr>
            <w:tcW w:w="1338" w:type="dxa"/>
            <w:tcBorders>
              <w:top w:val="single" w:sz="6" w:space="0" w:color="000000"/>
              <w:left w:val="single" w:sz="6" w:space="0" w:color="000000"/>
              <w:bottom w:val="single" w:sz="6" w:space="0" w:color="000000"/>
              <w:right w:val="single" w:sz="6" w:space="0" w:color="000000"/>
            </w:tcBorders>
            <w:hideMark/>
          </w:tcPr>
          <w:p w14:paraId="59C74278" w14:textId="77777777" w:rsidR="00E6413C" w:rsidRDefault="00E6413C">
            <w:pPr>
              <w:tabs>
                <w:tab w:val="left" w:pos="708"/>
              </w:tabs>
              <w:rPr>
                <w:szCs w:val="22"/>
                <w:lang w:val="en-US" w:bidi="gu-IN"/>
              </w:rPr>
            </w:pPr>
            <w:r>
              <w:rPr>
                <w:b/>
                <w:szCs w:val="22"/>
                <w:lang w:val="en-US" w:bidi="gu-IN"/>
              </w:rPr>
              <w:t>b.i.d.</w:t>
            </w:r>
          </w:p>
        </w:tc>
        <w:tc>
          <w:tcPr>
            <w:tcW w:w="565" w:type="dxa"/>
            <w:tcBorders>
              <w:top w:val="single" w:sz="6" w:space="0" w:color="000000"/>
              <w:left w:val="single" w:sz="6" w:space="0" w:color="000000"/>
              <w:bottom w:val="single" w:sz="6" w:space="0" w:color="000000"/>
              <w:right w:val="single" w:sz="6" w:space="0" w:color="000000"/>
            </w:tcBorders>
            <w:hideMark/>
          </w:tcPr>
          <w:p w14:paraId="4C4DCD42" w14:textId="77777777" w:rsidR="00E6413C" w:rsidRDefault="00E6413C">
            <w:pPr>
              <w:tabs>
                <w:tab w:val="left" w:pos="708"/>
              </w:tabs>
              <w:rPr>
                <w:szCs w:val="22"/>
                <w:lang w:val="en-US" w:bidi="gu-IN"/>
              </w:rPr>
            </w:pPr>
            <w:r>
              <w:rPr>
                <w:b/>
                <w:szCs w:val="22"/>
                <w:lang w:val="en-US" w:bidi="gu-IN"/>
              </w:rPr>
              <w:t>N</w:t>
            </w:r>
          </w:p>
        </w:tc>
        <w:tc>
          <w:tcPr>
            <w:tcW w:w="1488" w:type="dxa"/>
            <w:tcBorders>
              <w:top w:val="single" w:sz="6" w:space="0" w:color="000000"/>
              <w:left w:val="single" w:sz="6" w:space="0" w:color="000000"/>
              <w:bottom w:val="single" w:sz="6" w:space="0" w:color="000000"/>
              <w:right w:val="single" w:sz="6" w:space="0" w:color="000000"/>
            </w:tcBorders>
            <w:hideMark/>
          </w:tcPr>
          <w:p w14:paraId="5FC84ABF" w14:textId="77777777" w:rsidR="00E6413C" w:rsidRDefault="00E6413C">
            <w:pPr>
              <w:tabs>
                <w:tab w:val="left" w:pos="708"/>
              </w:tabs>
              <w:rPr>
                <w:szCs w:val="22"/>
                <w:lang w:val="en-US" w:bidi="gu-IN"/>
              </w:rPr>
            </w:pPr>
            <w:r>
              <w:rPr>
                <w:b/>
                <w:szCs w:val="22"/>
                <w:lang w:val="en-US" w:bidi="gu-IN"/>
              </w:rPr>
              <w:t xml:space="preserve">6 -&lt; 12 </w:t>
            </w:r>
            <w:proofErr w:type="spellStart"/>
            <w:r>
              <w:rPr>
                <w:b/>
                <w:szCs w:val="22"/>
                <w:lang w:val="en-US" w:bidi="gu-IN"/>
              </w:rPr>
              <w:t>anos</w:t>
            </w:r>
            <w:proofErr w:type="spellEnd"/>
          </w:p>
        </w:tc>
        <w:tc>
          <w:tcPr>
            <w:tcW w:w="563" w:type="dxa"/>
            <w:tcBorders>
              <w:top w:val="single" w:sz="6" w:space="0" w:color="000000"/>
              <w:left w:val="single" w:sz="6" w:space="0" w:color="000000"/>
              <w:bottom w:val="single" w:sz="6" w:space="0" w:color="000000"/>
              <w:right w:val="single" w:sz="6" w:space="0" w:color="000000"/>
            </w:tcBorders>
            <w:hideMark/>
          </w:tcPr>
          <w:p w14:paraId="21E85F33" w14:textId="77777777" w:rsidR="00E6413C" w:rsidRDefault="00E6413C">
            <w:pPr>
              <w:tabs>
                <w:tab w:val="left" w:pos="708"/>
              </w:tabs>
              <w:rPr>
                <w:szCs w:val="22"/>
                <w:lang w:val="en-US" w:bidi="gu-IN"/>
              </w:rPr>
            </w:pPr>
            <w:r>
              <w:rPr>
                <w:b/>
                <w:szCs w:val="22"/>
                <w:lang w:val="en-US" w:bidi="gu-IN"/>
              </w:rPr>
              <w:t>N</w:t>
            </w:r>
          </w:p>
        </w:tc>
        <w:tc>
          <w:tcPr>
            <w:tcW w:w="1459" w:type="dxa"/>
            <w:tcBorders>
              <w:top w:val="single" w:sz="6" w:space="0" w:color="000000"/>
              <w:left w:val="single" w:sz="6" w:space="0" w:color="000000"/>
              <w:bottom w:val="single" w:sz="6" w:space="0" w:color="000000"/>
              <w:right w:val="single" w:sz="6" w:space="0" w:color="000000"/>
            </w:tcBorders>
            <w:hideMark/>
          </w:tcPr>
          <w:p w14:paraId="6A98EAE3" w14:textId="77777777" w:rsidR="00E6413C" w:rsidRDefault="00E6413C">
            <w:pPr>
              <w:tabs>
                <w:tab w:val="left" w:pos="708"/>
              </w:tabs>
              <w:rPr>
                <w:szCs w:val="22"/>
                <w:lang w:val="en-US" w:bidi="gu-IN"/>
              </w:rPr>
            </w:pPr>
            <w:r>
              <w:rPr>
                <w:b/>
                <w:szCs w:val="22"/>
                <w:lang w:val="en-US" w:bidi="gu-IN"/>
              </w:rPr>
              <w:t xml:space="preserve">2 -&lt; 6 </w:t>
            </w:r>
            <w:proofErr w:type="spellStart"/>
            <w:r>
              <w:rPr>
                <w:b/>
                <w:szCs w:val="22"/>
                <w:lang w:val="en-US" w:bidi="gu-IN"/>
              </w:rPr>
              <w:t>anos</w:t>
            </w:r>
            <w:proofErr w:type="spellEnd"/>
          </w:p>
        </w:tc>
        <w:tc>
          <w:tcPr>
            <w:tcW w:w="443" w:type="dxa"/>
            <w:tcBorders>
              <w:top w:val="single" w:sz="6" w:space="0" w:color="000000"/>
              <w:left w:val="single" w:sz="6" w:space="0" w:color="000000"/>
              <w:bottom w:val="single" w:sz="6" w:space="0" w:color="000000"/>
              <w:right w:val="single" w:sz="6" w:space="0" w:color="000000"/>
            </w:tcBorders>
            <w:hideMark/>
          </w:tcPr>
          <w:p w14:paraId="0777EB9F" w14:textId="77777777" w:rsidR="00E6413C" w:rsidRDefault="00E6413C">
            <w:pPr>
              <w:tabs>
                <w:tab w:val="left" w:pos="708"/>
              </w:tabs>
              <w:rPr>
                <w:szCs w:val="22"/>
                <w:lang w:val="en-US" w:bidi="gu-IN"/>
              </w:rPr>
            </w:pPr>
            <w:r>
              <w:rPr>
                <w:b/>
                <w:szCs w:val="22"/>
                <w:lang w:val="en-US" w:bidi="gu-IN"/>
              </w:rPr>
              <w:t>N</w:t>
            </w:r>
          </w:p>
        </w:tc>
        <w:tc>
          <w:tcPr>
            <w:tcW w:w="1494" w:type="dxa"/>
            <w:tcBorders>
              <w:top w:val="single" w:sz="6" w:space="0" w:color="000000"/>
              <w:left w:val="single" w:sz="6" w:space="0" w:color="000000"/>
              <w:bottom w:val="single" w:sz="6" w:space="0" w:color="000000"/>
              <w:right w:val="single" w:sz="6" w:space="0" w:color="000000"/>
            </w:tcBorders>
            <w:hideMark/>
          </w:tcPr>
          <w:p w14:paraId="1E96EE7B" w14:textId="77777777" w:rsidR="00E6413C" w:rsidRDefault="00E6413C">
            <w:pPr>
              <w:tabs>
                <w:tab w:val="left" w:pos="708"/>
              </w:tabs>
              <w:rPr>
                <w:szCs w:val="22"/>
                <w:lang w:val="en-US" w:bidi="gu-IN"/>
              </w:rPr>
            </w:pPr>
            <w:r>
              <w:rPr>
                <w:b/>
                <w:szCs w:val="22"/>
                <w:lang w:val="en-US" w:bidi="gu-IN"/>
              </w:rPr>
              <w:t xml:space="preserve">0.5 -&lt; 2 </w:t>
            </w:r>
            <w:proofErr w:type="spellStart"/>
            <w:r>
              <w:rPr>
                <w:b/>
                <w:szCs w:val="22"/>
                <w:lang w:val="en-US" w:bidi="gu-IN"/>
              </w:rPr>
              <w:t>anos</w:t>
            </w:r>
            <w:proofErr w:type="spellEnd"/>
          </w:p>
        </w:tc>
        <w:tc>
          <w:tcPr>
            <w:tcW w:w="437" w:type="dxa"/>
            <w:tcBorders>
              <w:top w:val="single" w:sz="6" w:space="0" w:color="000000"/>
              <w:left w:val="single" w:sz="6" w:space="0" w:color="000000"/>
              <w:bottom w:val="single" w:sz="6" w:space="0" w:color="000000"/>
              <w:right w:val="single" w:sz="6" w:space="0" w:color="000000"/>
            </w:tcBorders>
          </w:tcPr>
          <w:p w14:paraId="1F47B59C" w14:textId="77777777" w:rsidR="00E6413C" w:rsidRDefault="00E6413C">
            <w:pPr>
              <w:tabs>
                <w:tab w:val="left" w:pos="708"/>
              </w:tabs>
              <w:rPr>
                <w:szCs w:val="22"/>
                <w:lang w:val="en-US" w:bidi="gu-IN"/>
              </w:rPr>
            </w:pPr>
          </w:p>
        </w:tc>
        <w:tc>
          <w:tcPr>
            <w:tcW w:w="1708" w:type="dxa"/>
            <w:tcBorders>
              <w:top w:val="single" w:sz="6" w:space="0" w:color="000000"/>
              <w:left w:val="single" w:sz="6" w:space="0" w:color="000000"/>
              <w:bottom w:val="single" w:sz="6" w:space="0" w:color="000000"/>
              <w:right w:val="single" w:sz="6" w:space="0" w:color="000000"/>
            </w:tcBorders>
          </w:tcPr>
          <w:p w14:paraId="1D0EDBBE" w14:textId="77777777" w:rsidR="00E6413C" w:rsidRDefault="00E6413C">
            <w:pPr>
              <w:tabs>
                <w:tab w:val="left" w:pos="708"/>
              </w:tabs>
              <w:rPr>
                <w:szCs w:val="22"/>
                <w:lang w:val="en-US" w:bidi="gu-IN"/>
              </w:rPr>
            </w:pPr>
          </w:p>
        </w:tc>
      </w:tr>
      <w:tr w:rsidR="00E6413C" w14:paraId="23B507D7" w14:textId="77777777" w:rsidTr="00E6413C">
        <w:trPr>
          <w:tblHeader/>
        </w:trPr>
        <w:tc>
          <w:tcPr>
            <w:tcW w:w="1338" w:type="dxa"/>
            <w:vMerge w:val="restart"/>
            <w:tcBorders>
              <w:top w:val="single" w:sz="6" w:space="0" w:color="000000"/>
              <w:left w:val="single" w:sz="6" w:space="0" w:color="000000"/>
              <w:bottom w:val="single" w:sz="6" w:space="0" w:color="000000"/>
              <w:right w:val="single" w:sz="6" w:space="0" w:color="000000"/>
            </w:tcBorders>
            <w:hideMark/>
          </w:tcPr>
          <w:p w14:paraId="47655C17" w14:textId="77777777" w:rsidR="00E6413C" w:rsidRDefault="00E6413C">
            <w:pPr>
              <w:tabs>
                <w:tab w:val="left" w:pos="708"/>
              </w:tabs>
              <w:rPr>
                <w:szCs w:val="22"/>
                <w:lang w:val="en-US" w:bidi="gu-IN"/>
              </w:rPr>
            </w:pPr>
            <w:r>
              <w:rPr>
                <w:szCs w:val="22"/>
                <w:lang w:val="en-US" w:bidi="gu-IN"/>
              </w:rPr>
              <w:t xml:space="preserve">2.5-4h </w:t>
            </w:r>
            <w:proofErr w:type="spellStart"/>
            <w:r>
              <w:rPr>
                <w:szCs w:val="22"/>
                <w:lang w:val="en-US" w:bidi="gu-IN"/>
              </w:rPr>
              <w:t>após</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168AA730" w14:textId="77777777" w:rsidR="00E6413C" w:rsidRDefault="00E6413C">
            <w:pPr>
              <w:tabs>
                <w:tab w:val="left" w:pos="708"/>
              </w:tabs>
              <w:rPr>
                <w:szCs w:val="22"/>
                <w:lang w:val="en-US" w:bidi="gu-IN"/>
              </w:rPr>
            </w:pPr>
            <w:r>
              <w:rPr>
                <w:szCs w:val="22"/>
                <w:lang w:val="en-US" w:bidi="gu-IN"/>
              </w:rPr>
              <w:t>36</w:t>
            </w:r>
          </w:p>
        </w:tc>
        <w:tc>
          <w:tcPr>
            <w:tcW w:w="1488" w:type="dxa"/>
            <w:tcBorders>
              <w:top w:val="single" w:sz="6" w:space="0" w:color="000000"/>
              <w:left w:val="single" w:sz="6" w:space="0" w:color="000000"/>
              <w:bottom w:val="nil"/>
              <w:right w:val="single" w:sz="6" w:space="0" w:color="000000"/>
            </w:tcBorders>
            <w:hideMark/>
          </w:tcPr>
          <w:p w14:paraId="603CA531" w14:textId="77777777" w:rsidR="00E6413C" w:rsidRDefault="00E6413C">
            <w:pPr>
              <w:tabs>
                <w:tab w:val="left" w:pos="708"/>
              </w:tabs>
              <w:rPr>
                <w:szCs w:val="22"/>
                <w:lang w:val="en-US" w:bidi="gu-IN"/>
              </w:rPr>
            </w:pPr>
            <w:r>
              <w:rPr>
                <w:szCs w:val="22"/>
                <w:lang w:val="en-US" w:bidi="gu-IN"/>
              </w:rPr>
              <w:t>145.4</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119A30F4" w14:textId="77777777" w:rsidR="00E6413C" w:rsidRDefault="00E6413C">
            <w:pPr>
              <w:tabs>
                <w:tab w:val="left" w:pos="708"/>
              </w:tabs>
              <w:rPr>
                <w:szCs w:val="22"/>
                <w:lang w:val="en-US" w:bidi="gu-IN"/>
              </w:rPr>
            </w:pPr>
            <w:r>
              <w:rPr>
                <w:szCs w:val="22"/>
                <w:lang w:val="en-US" w:bidi="gu-IN"/>
              </w:rPr>
              <w:t>38</w:t>
            </w:r>
          </w:p>
        </w:tc>
        <w:tc>
          <w:tcPr>
            <w:tcW w:w="1459" w:type="dxa"/>
            <w:tcBorders>
              <w:top w:val="single" w:sz="6" w:space="0" w:color="000000"/>
              <w:left w:val="single" w:sz="6" w:space="0" w:color="000000"/>
              <w:bottom w:val="nil"/>
              <w:right w:val="single" w:sz="6" w:space="0" w:color="000000"/>
            </w:tcBorders>
            <w:hideMark/>
          </w:tcPr>
          <w:p w14:paraId="6354C68C" w14:textId="77777777" w:rsidR="00E6413C" w:rsidRDefault="00E6413C">
            <w:pPr>
              <w:tabs>
                <w:tab w:val="left" w:pos="708"/>
              </w:tabs>
              <w:rPr>
                <w:szCs w:val="22"/>
                <w:lang w:val="en-US" w:bidi="gu-IN"/>
              </w:rPr>
            </w:pPr>
            <w:r>
              <w:rPr>
                <w:szCs w:val="22"/>
                <w:lang w:val="en-US" w:bidi="gu-IN"/>
              </w:rPr>
              <w:t>171.8</w:t>
            </w:r>
          </w:p>
        </w:tc>
        <w:tc>
          <w:tcPr>
            <w:tcW w:w="443" w:type="dxa"/>
            <w:vMerge w:val="restart"/>
            <w:tcBorders>
              <w:top w:val="single" w:sz="6" w:space="0" w:color="000000"/>
              <w:left w:val="single" w:sz="6" w:space="0" w:color="000000"/>
              <w:bottom w:val="single" w:sz="6" w:space="0" w:color="000000"/>
              <w:right w:val="single" w:sz="6" w:space="0" w:color="000000"/>
            </w:tcBorders>
            <w:hideMark/>
          </w:tcPr>
          <w:p w14:paraId="4651D4C2" w14:textId="77777777" w:rsidR="00E6413C" w:rsidRDefault="00E6413C">
            <w:pPr>
              <w:tabs>
                <w:tab w:val="left" w:pos="708"/>
              </w:tabs>
              <w:rPr>
                <w:szCs w:val="22"/>
                <w:lang w:val="en-US" w:bidi="gu-IN"/>
              </w:rPr>
            </w:pPr>
            <w:r>
              <w:rPr>
                <w:szCs w:val="22"/>
                <w:lang w:val="en-US" w:bidi="gu-IN"/>
              </w:rPr>
              <w:t>2</w:t>
            </w:r>
          </w:p>
        </w:tc>
        <w:tc>
          <w:tcPr>
            <w:tcW w:w="1494" w:type="dxa"/>
            <w:vMerge w:val="restart"/>
            <w:tcBorders>
              <w:top w:val="single" w:sz="6" w:space="0" w:color="000000"/>
              <w:left w:val="single" w:sz="6" w:space="0" w:color="000000"/>
              <w:bottom w:val="single" w:sz="6" w:space="0" w:color="000000"/>
              <w:right w:val="single" w:sz="6" w:space="0" w:color="000000"/>
            </w:tcBorders>
            <w:hideMark/>
          </w:tcPr>
          <w:p w14:paraId="4C5BDF88" w14:textId="77777777" w:rsidR="00E6413C" w:rsidRDefault="00E6413C">
            <w:pPr>
              <w:tabs>
                <w:tab w:val="left" w:pos="708"/>
              </w:tabs>
              <w:rPr>
                <w:szCs w:val="22"/>
                <w:lang w:val="en-US" w:bidi="gu-IN"/>
              </w:rPr>
            </w:pPr>
            <w:proofErr w:type="spellStart"/>
            <w:r>
              <w:rPr>
                <w:szCs w:val="22"/>
                <w:lang w:val="en-US" w:bidi="gu-IN"/>
              </w:rPr>
              <w:t>n.c.</w:t>
            </w:r>
            <w:proofErr w:type="spellEnd"/>
          </w:p>
        </w:tc>
        <w:tc>
          <w:tcPr>
            <w:tcW w:w="437" w:type="dxa"/>
            <w:vMerge w:val="restart"/>
            <w:tcBorders>
              <w:top w:val="single" w:sz="6" w:space="0" w:color="000000"/>
              <w:left w:val="single" w:sz="6" w:space="0" w:color="000000"/>
              <w:bottom w:val="single" w:sz="6" w:space="0" w:color="000000"/>
              <w:right w:val="single" w:sz="6" w:space="0" w:color="000000"/>
            </w:tcBorders>
          </w:tcPr>
          <w:p w14:paraId="7B9B4210" w14:textId="77777777" w:rsidR="00E6413C" w:rsidRDefault="00E6413C">
            <w:pPr>
              <w:tabs>
                <w:tab w:val="left" w:pos="708"/>
              </w:tabs>
              <w:rPr>
                <w:szCs w:val="22"/>
                <w:lang w:val="en-US" w:bidi="gu-IN"/>
              </w:rPr>
            </w:pPr>
          </w:p>
        </w:tc>
        <w:tc>
          <w:tcPr>
            <w:tcW w:w="1708" w:type="dxa"/>
            <w:vMerge w:val="restart"/>
            <w:tcBorders>
              <w:top w:val="single" w:sz="6" w:space="0" w:color="000000"/>
              <w:left w:val="single" w:sz="6" w:space="0" w:color="000000"/>
              <w:bottom w:val="single" w:sz="6" w:space="0" w:color="000000"/>
              <w:right w:val="single" w:sz="6" w:space="0" w:color="000000"/>
            </w:tcBorders>
          </w:tcPr>
          <w:p w14:paraId="0E4261F7" w14:textId="77777777" w:rsidR="00E6413C" w:rsidRDefault="00E6413C">
            <w:pPr>
              <w:tabs>
                <w:tab w:val="left" w:pos="708"/>
              </w:tabs>
              <w:rPr>
                <w:szCs w:val="22"/>
                <w:lang w:val="en-US" w:bidi="gu-IN"/>
              </w:rPr>
            </w:pPr>
          </w:p>
        </w:tc>
      </w:tr>
      <w:tr w:rsidR="00E6413C" w14:paraId="185F5F7B" w14:textId="77777777" w:rsidTr="00E6413C">
        <w:trPr>
          <w:tblHeader/>
        </w:trPr>
        <w:tc>
          <w:tcPr>
            <w:tcW w:w="1338" w:type="dxa"/>
            <w:vMerge/>
            <w:tcBorders>
              <w:top w:val="single" w:sz="6" w:space="0" w:color="000000"/>
              <w:left w:val="single" w:sz="6" w:space="0" w:color="000000"/>
              <w:bottom w:val="single" w:sz="6" w:space="0" w:color="000000"/>
              <w:right w:val="single" w:sz="6" w:space="0" w:color="000000"/>
            </w:tcBorders>
            <w:vAlign w:val="center"/>
            <w:hideMark/>
          </w:tcPr>
          <w:p w14:paraId="72FA850A" w14:textId="77777777" w:rsidR="00E6413C" w:rsidRDefault="00E6413C">
            <w:pPr>
              <w:rPr>
                <w:szCs w:val="22"/>
                <w:lang w:val="en-US" w:bidi="gu-IN"/>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0FCECAD8" w14:textId="77777777" w:rsidR="00E6413C" w:rsidRDefault="00E6413C">
            <w:pPr>
              <w:rPr>
                <w:szCs w:val="22"/>
                <w:lang w:val="en-US" w:bidi="gu-IN"/>
              </w:rPr>
            </w:pPr>
          </w:p>
        </w:tc>
        <w:tc>
          <w:tcPr>
            <w:tcW w:w="1488" w:type="dxa"/>
            <w:tcBorders>
              <w:top w:val="nil"/>
              <w:left w:val="single" w:sz="6" w:space="0" w:color="000000"/>
              <w:bottom w:val="single" w:sz="6" w:space="0" w:color="000000"/>
              <w:right w:val="single" w:sz="6" w:space="0" w:color="000000"/>
            </w:tcBorders>
            <w:hideMark/>
          </w:tcPr>
          <w:p w14:paraId="0B487DD7" w14:textId="77777777" w:rsidR="00E6413C" w:rsidRDefault="00E6413C">
            <w:pPr>
              <w:tabs>
                <w:tab w:val="left" w:pos="708"/>
              </w:tabs>
              <w:rPr>
                <w:szCs w:val="22"/>
                <w:lang w:val="en-US" w:bidi="gu-IN"/>
              </w:rPr>
            </w:pPr>
            <w:r>
              <w:rPr>
                <w:szCs w:val="22"/>
                <w:lang w:val="en-US" w:bidi="gu-IN"/>
              </w:rPr>
              <w:t>(46.0-343)</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77104B83" w14:textId="77777777" w:rsidR="00E6413C" w:rsidRDefault="00E6413C">
            <w:pPr>
              <w:rPr>
                <w:szCs w:val="22"/>
                <w:lang w:val="en-US" w:bidi="gu-IN"/>
              </w:rPr>
            </w:pPr>
          </w:p>
        </w:tc>
        <w:tc>
          <w:tcPr>
            <w:tcW w:w="1459" w:type="dxa"/>
            <w:tcBorders>
              <w:top w:val="nil"/>
              <w:left w:val="single" w:sz="6" w:space="0" w:color="000000"/>
              <w:bottom w:val="single" w:sz="6" w:space="0" w:color="000000"/>
              <w:right w:val="single" w:sz="6" w:space="0" w:color="000000"/>
            </w:tcBorders>
            <w:hideMark/>
          </w:tcPr>
          <w:p w14:paraId="472DD973" w14:textId="77777777" w:rsidR="00E6413C" w:rsidRDefault="00E6413C">
            <w:pPr>
              <w:tabs>
                <w:tab w:val="left" w:pos="708"/>
              </w:tabs>
              <w:rPr>
                <w:szCs w:val="22"/>
                <w:lang w:val="en-US" w:bidi="gu-IN"/>
              </w:rPr>
            </w:pPr>
            <w:r>
              <w:rPr>
                <w:szCs w:val="22"/>
                <w:lang w:val="en-US" w:bidi="gu-IN"/>
              </w:rPr>
              <w:t>(70.7-438)</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44FBEA2B" w14:textId="77777777" w:rsidR="00E6413C" w:rsidRDefault="00E6413C">
            <w:pPr>
              <w:rPr>
                <w:szCs w:val="22"/>
                <w:lang w:val="en-US" w:bidi="gu-IN"/>
              </w:rPr>
            </w:pPr>
          </w:p>
        </w:tc>
        <w:tc>
          <w:tcPr>
            <w:tcW w:w="1494" w:type="dxa"/>
            <w:vMerge/>
            <w:tcBorders>
              <w:top w:val="single" w:sz="6" w:space="0" w:color="000000"/>
              <w:left w:val="single" w:sz="6" w:space="0" w:color="000000"/>
              <w:bottom w:val="single" w:sz="6" w:space="0" w:color="000000"/>
              <w:right w:val="single" w:sz="6" w:space="0" w:color="000000"/>
            </w:tcBorders>
            <w:vAlign w:val="center"/>
            <w:hideMark/>
          </w:tcPr>
          <w:p w14:paraId="0F5341D9" w14:textId="77777777" w:rsidR="00E6413C" w:rsidRDefault="00E6413C">
            <w:pPr>
              <w:rPr>
                <w:szCs w:val="22"/>
                <w:lang w:val="en-US" w:bidi="gu-IN"/>
              </w:rPr>
            </w:pP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0811ED97" w14:textId="77777777" w:rsidR="00E6413C" w:rsidRDefault="00E6413C">
            <w:pPr>
              <w:rPr>
                <w:szCs w:val="22"/>
                <w:lang w:val="en-US" w:bidi="gu-IN"/>
              </w:rPr>
            </w:pPr>
          </w:p>
        </w:tc>
        <w:tc>
          <w:tcPr>
            <w:tcW w:w="1708" w:type="dxa"/>
            <w:vMerge/>
            <w:tcBorders>
              <w:top w:val="single" w:sz="6" w:space="0" w:color="000000"/>
              <w:left w:val="single" w:sz="6" w:space="0" w:color="000000"/>
              <w:bottom w:val="single" w:sz="6" w:space="0" w:color="000000"/>
              <w:right w:val="single" w:sz="6" w:space="0" w:color="000000"/>
            </w:tcBorders>
            <w:vAlign w:val="center"/>
            <w:hideMark/>
          </w:tcPr>
          <w:p w14:paraId="32D45F78" w14:textId="77777777" w:rsidR="00E6413C" w:rsidRDefault="00E6413C">
            <w:pPr>
              <w:rPr>
                <w:szCs w:val="22"/>
                <w:lang w:val="en-US" w:bidi="gu-IN"/>
              </w:rPr>
            </w:pPr>
          </w:p>
        </w:tc>
      </w:tr>
      <w:tr w:rsidR="00E6413C" w14:paraId="091705A4" w14:textId="77777777" w:rsidTr="00E6413C">
        <w:trPr>
          <w:tblHeader/>
        </w:trPr>
        <w:tc>
          <w:tcPr>
            <w:tcW w:w="1338" w:type="dxa"/>
            <w:vMerge w:val="restart"/>
            <w:tcBorders>
              <w:top w:val="single" w:sz="6" w:space="0" w:color="000000"/>
              <w:left w:val="single" w:sz="6" w:space="0" w:color="000000"/>
              <w:bottom w:val="single" w:sz="6" w:space="0" w:color="000000"/>
              <w:right w:val="single" w:sz="6" w:space="0" w:color="000000"/>
            </w:tcBorders>
            <w:hideMark/>
          </w:tcPr>
          <w:p w14:paraId="1DDE9FD8" w14:textId="77777777" w:rsidR="00E6413C" w:rsidRDefault="00E6413C">
            <w:pPr>
              <w:tabs>
                <w:tab w:val="left" w:pos="708"/>
              </w:tabs>
              <w:rPr>
                <w:szCs w:val="22"/>
                <w:lang w:val="en-US" w:bidi="gu-IN"/>
              </w:rPr>
            </w:pPr>
            <w:r>
              <w:rPr>
                <w:szCs w:val="22"/>
                <w:lang w:val="en-US" w:bidi="gu-IN"/>
              </w:rPr>
              <w:t xml:space="preserve">10-16h </w:t>
            </w:r>
            <w:proofErr w:type="spellStart"/>
            <w:r>
              <w:rPr>
                <w:szCs w:val="22"/>
                <w:lang w:val="en-US" w:bidi="gu-IN"/>
              </w:rPr>
              <w:t>após</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00A6D0C1" w14:textId="77777777" w:rsidR="00E6413C" w:rsidRDefault="00E6413C">
            <w:pPr>
              <w:tabs>
                <w:tab w:val="left" w:pos="708"/>
              </w:tabs>
              <w:rPr>
                <w:szCs w:val="22"/>
                <w:lang w:val="en-US" w:bidi="gu-IN"/>
              </w:rPr>
            </w:pPr>
            <w:r>
              <w:rPr>
                <w:szCs w:val="22"/>
                <w:lang w:val="en-US" w:bidi="gu-IN"/>
              </w:rPr>
              <w:t>33</w:t>
            </w:r>
          </w:p>
        </w:tc>
        <w:tc>
          <w:tcPr>
            <w:tcW w:w="1488" w:type="dxa"/>
            <w:tcBorders>
              <w:top w:val="single" w:sz="6" w:space="0" w:color="000000"/>
              <w:left w:val="single" w:sz="6" w:space="0" w:color="000000"/>
              <w:bottom w:val="nil"/>
              <w:right w:val="single" w:sz="6" w:space="0" w:color="000000"/>
            </w:tcBorders>
            <w:hideMark/>
          </w:tcPr>
          <w:p w14:paraId="1AA320D5" w14:textId="77777777" w:rsidR="00E6413C" w:rsidRDefault="00E6413C">
            <w:pPr>
              <w:tabs>
                <w:tab w:val="left" w:pos="708"/>
              </w:tabs>
              <w:rPr>
                <w:szCs w:val="22"/>
                <w:lang w:val="en-US" w:bidi="gu-IN"/>
              </w:rPr>
            </w:pPr>
            <w:r>
              <w:rPr>
                <w:szCs w:val="22"/>
                <w:lang w:val="en-US" w:bidi="gu-IN"/>
              </w:rPr>
              <w:t>26.0</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7F2F3F01" w14:textId="77777777" w:rsidR="00E6413C" w:rsidRDefault="00E6413C">
            <w:pPr>
              <w:tabs>
                <w:tab w:val="left" w:pos="708"/>
              </w:tabs>
              <w:rPr>
                <w:szCs w:val="22"/>
                <w:lang w:val="en-US" w:bidi="gu-IN"/>
              </w:rPr>
            </w:pPr>
            <w:r>
              <w:rPr>
                <w:szCs w:val="22"/>
                <w:lang w:val="en-US" w:bidi="gu-IN"/>
              </w:rPr>
              <w:t>37</w:t>
            </w:r>
          </w:p>
        </w:tc>
        <w:tc>
          <w:tcPr>
            <w:tcW w:w="1459" w:type="dxa"/>
            <w:tcBorders>
              <w:top w:val="single" w:sz="6" w:space="0" w:color="000000"/>
              <w:left w:val="single" w:sz="6" w:space="0" w:color="000000"/>
              <w:bottom w:val="nil"/>
              <w:right w:val="single" w:sz="6" w:space="0" w:color="000000"/>
            </w:tcBorders>
            <w:hideMark/>
          </w:tcPr>
          <w:p w14:paraId="5290F479" w14:textId="77777777" w:rsidR="00E6413C" w:rsidRDefault="00E6413C">
            <w:pPr>
              <w:tabs>
                <w:tab w:val="left" w:pos="708"/>
              </w:tabs>
              <w:rPr>
                <w:szCs w:val="22"/>
                <w:lang w:val="en-US" w:bidi="gu-IN"/>
              </w:rPr>
            </w:pPr>
            <w:r>
              <w:rPr>
                <w:szCs w:val="22"/>
                <w:lang w:val="en-US" w:bidi="gu-IN"/>
              </w:rPr>
              <w:t>22.2</w:t>
            </w:r>
          </w:p>
        </w:tc>
        <w:tc>
          <w:tcPr>
            <w:tcW w:w="443" w:type="dxa"/>
            <w:vMerge w:val="restart"/>
            <w:tcBorders>
              <w:top w:val="single" w:sz="6" w:space="0" w:color="000000"/>
              <w:left w:val="single" w:sz="6" w:space="0" w:color="000000"/>
              <w:bottom w:val="single" w:sz="6" w:space="0" w:color="000000"/>
              <w:right w:val="single" w:sz="6" w:space="0" w:color="000000"/>
            </w:tcBorders>
            <w:hideMark/>
          </w:tcPr>
          <w:p w14:paraId="1DFFA5CB" w14:textId="77777777" w:rsidR="00E6413C" w:rsidRDefault="00E6413C">
            <w:pPr>
              <w:tabs>
                <w:tab w:val="left" w:pos="708"/>
              </w:tabs>
              <w:rPr>
                <w:szCs w:val="22"/>
                <w:lang w:val="en-US" w:bidi="gu-IN"/>
              </w:rPr>
            </w:pPr>
            <w:r>
              <w:rPr>
                <w:szCs w:val="22"/>
                <w:lang w:val="en-US" w:bidi="gu-IN"/>
              </w:rPr>
              <w:t>3</w:t>
            </w:r>
          </w:p>
        </w:tc>
        <w:tc>
          <w:tcPr>
            <w:tcW w:w="1494" w:type="dxa"/>
            <w:tcBorders>
              <w:top w:val="single" w:sz="6" w:space="0" w:color="000000"/>
              <w:left w:val="single" w:sz="6" w:space="0" w:color="000000"/>
              <w:bottom w:val="nil"/>
              <w:right w:val="single" w:sz="6" w:space="0" w:color="000000"/>
            </w:tcBorders>
            <w:hideMark/>
          </w:tcPr>
          <w:p w14:paraId="73881C6F" w14:textId="77777777" w:rsidR="00E6413C" w:rsidRDefault="00E6413C">
            <w:pPr>
              <w:tabs>
                <w:tab w:val="left" w:pos="708"/>
              </w:tabs>
              <w:rPr>
                <w:szCs w:val="22"/>
                <w:lang w:val="en-US" w:bidi="gu-IN"/>
              </w:rPr>
            </w:pPr>
            <w:r>
              <w:rPr>
                <w:szCs w:val="22"/>
                <w:lang w:val="en-US" w:bidi="gu-IN"/>
              </w:rPr>
              <w:t>10.7</w:t>
            </w:r>
          </w:p>
        </w:tc>
        <w:tc>
          <w:tcPr>
            <w:tcW w:w="437" w:type="dxa"/>
            <w:vMerge w:val="restart"/>
            <w:tcBorders>
              <w:top w:val="single" w:sz="6" w:space="0" w:color="000000"/>
              <w:left w:val="single" w:sz="6" w:space="0" w:color="000000"/>
              <w:bottom w:val="single" w:sz="6" w:space="0" w:color="000000"/>
              <w:right w:val="single" w:sz="6" w:space="0" w:color="000000"/>
            </w:tcBorders>
          </w:tcPr>
          <w:p w14:paraId="47B7B74C" w14:textId="77777777" w:rsidR="00E6413C" w:rsidRDefault="00E6413C">
            <w:pPr>
              <w:tabs>
                <w:tab w:val="left" w:pos="708"/>
              </w:tabs>
              <w:rPr>
                <w:szCs w:val="22"/>
                <w:lang w:val="en-US" w:bidi="gu-IN"/>
              </w:rPr>
            </w:pPr>
          </w:p>
        </w:tc>
        <w:tc>
          <w:tcPr>
            <w:tcW w:w="1708" w:type="dxa"/>
            <w:vMerge w:val="restart"/>
            <w:tcBorders>
              <w:top w:val="single" w:sz="6" w:space="0" w:color="000000"/>
              <w:left w:val="single" w:sz="6" w:space="0" w:color="000000"/>
              <w:bottom w:val="single" w:sz="6" w:space="0" w:color="000000"/>
              <w:right w:val="single" w:sz="6" w:space="0" w:color="000000"/>
            </w:tcBorders>
          </w:tcPr>
          <w:p w14:paraId="6DFFCAE1" w14:textId="77777777" w:rsidR="00E6413C" w:rsidRDefault="00E6413C">
            <w:pPr>
              <w:tabs>
                <w:tab w:val="left" w:pos="708"/>
              </w:tabs>
              <w:rPr>
                <w:szCs w:val="22"/>
                <w:lang w:val="en-US" w:bidi="gu-IN"/>
              </w:rPr>
            </w:pPr>
          </w:p>
        </w:tc>
      </w:tr>
      <w:tr w:rsidR="00E6413C" w14:paraId="3A12196D" w14:textId="77777777" w:rsidTr="00E6413C">
        <w:trPr>
          <w:tblHeader/>
        </w:trPr>
        <w:tc>
          <w:tcPr>
            <w:tcW w:w="1338" w:type="dxa"/>
            <w:vMerge/>
            <w:tcBorders>
              <w:top w:val="single" w:sz="6" w:space="0" w:color="000000"/>
              <w:left w:val="single" w:sz="6" w:space="0" w:color="000000"/>
              <w:bottom w:val="single" w:sz="6" w:space="0" w:color="000000"/>
              <w:right w:val="single" w:sz="6" w:space="0" w:color="000000"/>
            </w:tcBorders>
            <w:vAlign w:val="center"/>
            <w:hideMark/>
          </w:tcPr>
          <w:p w14:paraId="53400745" w14:textId="77777777" w:rsidR="00E6413C" w:rsidRDefault="00E6413C">
            <w:pPr>
              <w:rPr>
                <w:szCs w:val="22"/>
                <w:lang w:val="en-US" w:bidi="gu-IN"/>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5A63BFBA" w14:textId="77777777" w:rsidR="00E6413C" w:rsidRDefault="00E6413C">
            <w:pPr>
              <w:rPr>
                <w:szCs w:val="22"/>
                <w:lang w:val="en-US" w:bidi="gu-IN"/>
              </w:rPr>
            </w:pPr>
          </w:p>
        </w:tc>
        <w:tc>
          <w:tcPr>
            <w:tcW w:w="1488" w:type="dxa"/>
            <w:tcBorders>
              <w:top w:val="nil"/>
              <w:left w:val="single" w:sz="6" w:space="0" w:color="000000"/>
              <w:bottom w:val="single" w:sz="6" w:space="0" w:color="000000"/>
              <w:right w:val="single" w:sz="6" w:space="0" w:color="000000"/>
            </w:tcBorders>
            <w:hideMark/>
          </w:tcPr>
          <w:p w14:paraId="3FBF1E5C" w14:textId="77777777" w:rsidR="00E6413C" w:rsidRDefault="00E6413C">
            <w:pPr>
              <w:tabs>
                <w:tab w:val="left" w:pos="708"/>
              </w:tabs>
              <w:rPr>
                <w:szCs w:val="22"/>
                <w:lang w:val="en-US" w:bidi="gu-IN"/>
              </w:rPr>
            </w:pPr>
            <w:r>
              <w:rPr>
                <w:szCs w:val="22"/>
                <w:lang w:val="en-US" w:bidi="gu-IN"/>
              </w:rPr>
              <w:t>(7.99-94.9)</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21FC7675" w14:textId="77777777" w:rsidR="00E6413C" w:rsidRDefault="00E6413C">
            <w:pPr>
              <w:rPr>
                <w:szCs w:val="22"/>
                <w:lang w:val="en-US" w:bidi="gu-IN"/>
              </w:rPr>
            </w:pPr>
          </w:p>
        </w:tc>
        <w:tc>
          <w:tcPr>
            <w:tcW w:w="1459" w:type="dxa"/>
            <w:tcBorders>
              <w:top w:val="nil"/>
              <w:left w:val="single" w:sz="6" w:space="0" w:color="000000"/>
              <w:bottom w:val="single" w:sz="6" w:space="0" w:color="000000"/>
              <w:right w:val="single" w:sz="6" w:space="0" w:color="000000"/>
            </w:tcBorders>
            <w:hideMark/>
          </w:tcPr>
          <w:p w14:paraId="6D592178" w14:textId="77777777" w:rsidR="00E6413C" w:rsidRDefault="00E6413C">
            <w:pPr>
              <w:tabs>
                <w:tab w:val="left" w:pos="708"/>
              </w:tabs>
              <w:rPr>
                <w:szCs w:val="22"/>
                <w:lang w:val="en-US" w:bidi="gu-IN"/>
              </w:rPr>
            </w:pPr>
            <w:r>
              <w:rPr>
                <w:szCs w:val="22"/>
                <w:lang w:val="en-US" w:bidi="gu-IN"/>
              </w:rPr>
              <w:t>(0.25-127)</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0F65F6ED" w14:textId="77777777" w:rsidR="00E6413C" w:rsidRDefault="00E6413C">
            <w:pPr>
              <w:rPr>
                <w:szCs w:val="22"/>
                <w:lang w:val="en-US" w:bidi="gu-IN"/>
              </w:rPr>
            </w:pPr>
          </w:p>
        </w:tc>
        <w:tc>
          <w:tcPr>
            <w:tcW w:w="1494" w:type="dxa"/>
            <w:tcBorders>
              <w:top w:val="nil"/>
              <w:left w:val="single" w:sz="6" w:space="0" w:color="000000"/>
              <w:bottom w:val="single" w:sz="6" w:space="0" w:color="000000"/>
              <w:right w:val="single" w:sz="6" w:space="0" w:color="000000"/>
            </w:tcBorders>
            <w:hideMark/>
          </w:tcPr>
          <w:p w14:paraId="55BE9F2A" w14:textId="77777777" w:rsidR="00E6413C" w:rsidRDefault="00E6413C">
            <w:pPr>
              <w:tabs>
                <w:tab w:val="left" w:pos="708"/>
              </w:tabs>
              <w:rPr>
                <w:szCs w:val="22"/>
                <w:lang w:val="en-US" w:bidi="gu-IN"/>
              </w:rPr>
            </w:pPr>
            <w:r>
              <w:rPr>
                <w:szCs w:val="22"/>
                <w:lang w:val="en-US" w:bidi="gu-IN"/>
              </w:rPr>
              <w:t>(n.c.-</w:t>
            </w:r>
            <w:proofErr w:type="spellStart"/>
            <w:r>
              <w:rPr>
                <w:szCs w:val="22"/>
                <w:lang w:val="en-US" w:bidi="gu-IN"/>
              </w:rPr>
              <w:t>n.c</w:t>
            </w:r>
            <w:proofErr w:type="spellEnd"/>
            <w:r>
              <w:rPr>
                <w:szCs w:val="22"/>
                <w:lang w:val="en-US" w:bidi="gu-IN"/>
              </w:rPr>
              <w:t>.)</w:t>
            </w: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0CECE986" w14:textId="77777777" w:rsidR="00E6413C" w:rsidRDefault="00E6413C">
            <w:pPr>
              <w:rPr>
                <w:szCs w:val="22"/>
                <w:lang w:val="en-US" w:bidi="gu-IN"/>
              </w:rPr>
            </w:pPr>
          </w:p>
        </w:tc>
        <w:tc>
          <w:tcPr>
            <w:tcW w:w="1708" w:type="dxa"/>
            <w:vMerge/>
            <w:tcBorders>
              <w:top w:val="single" w:sz="6" w:space="0" w:color="000000"/>
              <w:left w:val="single" w:sz="6" w:space="0" w:color="000000"/>
              <w:bottom w:val="single" w:sz="6" w:space="0" w:color="000000"/>
              <w:right w:val="single" w:sz="6" w:space="0" w:color="000000"/>
            </w:tcBorders>
            <w:vAlign w:val="center"/>
            <w:hideMark/>
          </w:tcPr>
          <w:p w14:paraId="77C7764B" w14:textId="77777777" w:rsidR="00E6413C" w:rsidRDefault="00E6413C">
            <w:pPr>
              <w:rPr>
                <w:szCs w:val="22"/>
                <w:lang w:val="en-US" w:bidi="gu-IN"/>
              </w:rPr>
            </w:pPr>
          </w:p>
        </w:tc>
      </w:tr>
      <w:tr w:rsidR="00E6413C" w14:paraId="0BEF2014" w14:textId="77777777" w:rsidTr="00E6413C">
        <w:trPr>
          <w:tblHeader/>
        </w:trPr>
        <w:tc>
          <w:tcPr>
            <w:tcW w:w="1338" w:type="dxa"/>
            <w:tcBorders>
              <w:top w:val="single" w:sz="6" w:space="0" w:color="000000"/>
              <w:left w:val="single" w:sz="6" w:space="0" w:color="000000"/>
              <w:bottom w:val="single" w:sz="6" w:space="0" w:color="000000"/>
              <w:right w:val="single" w:sz="6" w:space="0" w:color="000000"/>
            </w:tcBorders>
            <w:hideMark/>
          </w:tcPr>
          <w:p w14:paraId="63663FF0" w14:textId="77777777" w:rsidR="00E6413C" w:rsidRDefault="00E6413C">
            <w:pPr>
              <w:tabs>
                <w:tab w:val="left" w:pos="708"/>
              </w:tabs>
              <w:rPr>
                <w:szCs w:val="22"/>
                <w:lang w:val="en-US" w:bidi="gu-IN"/>
              </w:rPr>
            </w:pPr>
            <w:r>
              <w:rPr>
                <w:b/>
                <w:szCs w:val="22"/>
                <w:lang w:val="en-US" w:bidi="gu-IN"/>
              </w:rPr>
              <w:t>t.i.d.</w:t>
            </w:r>
          </w:p>
        </w:tc>
        <w:tc>
          <w:tcPr>
            <w:tcW w:w="565" w:type="dxa"/>
            <w:tcBorders>
              <w:top w:val="single" w:sz="6" w:space="0" w:color="000000"/>
              <w:left w:val="single" w:sz="6" w:space="0" w:color="000000"/>
              <w:bottom w:val="single" w:sz="6" w:space="0" w:color="000000"/>
              <w:right w:val="single" w:sz="6" w:space="0" w:color="000000"/>
            </w:tcBorders>
            <w:hideMark/>
          </w:tcPr>
          <w:p w14:paraId="64AFD61E" w14:textId="77777777" w:rsidR="00E6413C" w:rsidRDefault="00E6413C">
            <w:pPr>
              <w:tabs>
                <w:tab w:val="left" w:pos="708"/>
              </w:tabs>
              <w:rPr>
                <w:szCs w:val="22"/>
                <w:lang w:val="en-US" w:bidi="gu-IN"/>
              </w:rPr>
            </w:pPr>
            <w:r>
              <w:rPr>
                <w:b/>
                <w:szCs w:val="22"/>
                <w:lang w:val="en-US" w:bidi="gu-IN"/>
              </w:rPr>
              <w:t>N</w:t>
            </w:r>
          </w:p>
        </w:tc>
        <w:tc>
          <w:tcPr>
            <w:tcW w:w="1488" w:type="dxa"/>
            <w:tcBorders>
              <w:top w:val="single" w:sz="6" w:space="0" w:color="000000"/>
              <w:left w:val="single" w:sz="6" w:space="0" w:color="000000"/>
              <w:bottom w:val="single" w:sz="6" w:space="0" w:color="000000"/>
              <w:right w:val="single" w:sz="6" w:space="0" w:color="000000"/>
            </w:tcBorders>
            <w:hideMark/>
          </w:tcPr>
          <w:p w14:paraId="48B6275F" w14:textId="77777777" w:rsidR="00E6413C" w:rsidRDefault="00E6413C">
            <w:pPr>
              <w:tabs>
                <w:tab w:val="left" w:pos="708"/>
              </w:tabs>
              <w:rPr>
                <w:szCs w:val="22"/>
                <w:lang w:val="en-US" w:bidi="gu-IN"/>
              </w:rPr>
            </w:pPr>
            <w:r>
              <w:rPr>
                <w:b/>
                <w:szCs w:val="22"/>
                <w:lang w:val="en-US" w:bidi="gu-IN"/>
              </w:rPr>
              <w:t xml:space="preserve">2 -&lt; 6 </w:t>
            </w:r>
            <w:proofErr w:type="spellStart"/>
            <w:r>
              <w:rPr>
                <w:b/>
                <w:szCs w:val="22"/>
                <w:lang w:val="en-US" w:bidi="gu-IN"/>
              </w:rPr>
              <w:t>anos</w:t>
            </w:r>
            <w:proofErr w:type="spellEnd"/>
          </w:p>
        </w:tc>
        <w:tc>
          <w:tcPr>
            <w:tcW w:w="563" w:type="dxa"/>
            <w:tcBorders>
              <w:top w:val="single" w:sz="6" w:space="0" w:color="000000"/>
              <w:left w:val="single" w:sz="6" w:space="0" w:color="000000"/>
              <w:bottom w:val="single" w:sz="6" w:space="0" w:color="000000"/>
              <w:right w:val="single" w:sz="6" w:space="0" w:color="000000"/>
            </w:tcBorders>
            <w:hideMark/>
          </w:tcPr>
          <w:p w14:paraId="0F1145A0" w14:textId="77777777" w:rsidR="00E6413C" w:rsidRDefault="00E6413C">
            <w:pPr>
              <w:tabs>
                <w:tab w:val="left" w:pos="708"/>
              </w:tabs>
              <w:rPr>
                <w:szCs w:val="22"/>
                <w:lang w:val="en-US" w:bidi="gu-IN"/>
              </w:rPr>
            </w:pPr>
            <w:r>
              <w:rPr>
                <w:b/>
                <w:szCs w:val="22"/>
                <w:lang w:val="en-US" w:bidi="gu-IN"/>
              </w:rPr>
              <w:t>N</w:t>
            </w:r>
          </w:p>
        </w:tc>
        <w:tc>
          <w:tcPr>
            <w:tcW w:w="1459" w:type="dxa"/>
            <w:tcBorders>
              <w:top w:val="single" w:sz="6" w:space="0" w:color="000000"/>
              <w:left w:val="single" w:sz="6" w:space="0" w:color="000000"/>
              <w:bottom w:val="single" w:sz="6" w:space="0" w:color="000000"/>
              <w:right w:val="single" w:sz="6" w:space="0" w:color="000000"/>
            </w:tcBorders>
            <w:hideMark/>
          </w:tcPr>
          <w:p w14:paraId="24A8C3FF" w14:textId="77777777" w:rsidR="00E6413C" w:rsidRDefault="00E6413C" w:rsidP="00EF3721">
            <w:pPr>
              <w:pStyle w:val="Default"/>
              <w:rPr>
                <w:szCs w:val="22"/>
              </w:rPr>
            </w:pPr>
            <w:r>
              <w:rPr>
                <w:b/>
                <w:bCs/>
                <w:sz w:val="22"/>
                <w:szCs w:val="22"/>
              </w:rPr>
              <w:t xml:space="preserve">Nascimento </w:t>
            </w:r>
            <w:r>
              <w:rPr>
                <w:b/>
                <w:szCs w:val="22"/>
                <w:lang w:bidi="gu-IN"/>
              </w:rPr>
              <w:t>-</w:t>
            </w:r>
          </w:p>
          <w:p w14:paraId="7973E24D" w14:textId="77777777" w:rsidR="00E6413C" w:rsidRDefault="00E6413C">
            <w:pPr>
              <w:tabs>
                <w:tab w:val="left" w:pos="708"/>
              </w:tabs>
              <w:rPr>
                <w:szCs w:val="22"/>
                <w:lang w:val="en-US" w:bidi="gu-IN"/>
              </w:rPr>
            </w:pPr>
            <w:r>
              <w:rPr>
                <w:b/>
                <w:szCs w:val="22"/>
                <w:lang w:val="en-US" w:bidi="gu-IN"/>
              </w:rPr>
              <w:t xml:space="preserve">&lt; 2 </w:t>
            </w:r>
            <w:proofErr w:type="spellStart"/>
            <w:r>
              <w:rPr>
                <w:b/>
                <w:szCs w:val="22"/>
                <w:lang w:val="en-US" w:bidi="gu-IN"/>
              </w:rPr>
              <w:t>anos</w:t>
            </w:r>
            <w:proofErr w:type="spellEnd"/>
          </w:p>
        </w:tc>
        <w:tc>
          <w:tcPr>
            <w:tcW w:w="443" w:type="dxa"/>
            <w:tcBorders>
              <w:top w:val="single" w:sz="6" w:space="0" w:color="000000"/>
              <w:left w:val="single" w:sz="6" w:space="0" w:color="000000"/>
              <w:bottom w:val="single" w:sz="6" w:space="0" w:color="000000"/>
              <w:right w:val="single" w:sz="6" w:space="0" w:color="000000"/>
            </w:tcBorders>
            <w:hideMark/>
          </w:tcPr>
          <w:p w14:paraId="6DBDADEA" w14:textId="77777777" w:rsidR="00E6413C" w:rsidRDefault="00E6413C">
            <w:pPr>
              <w:tabs>
                <w:tab w:val="left" w:pos="708"/>
              </w:tabs>
              <w:rPr>
                <w:szCs w:val="22"/>
                <w:lang w:val="en-US" w:bidi="gu-IN"/>
              </w:rPr>
            </w:pPr>
            <w:r>
              <w:rPr>
                <w:b/>
                <w:szCs w:val="22"/>
                <w:lang w:val="en-US" w:bidi="gu-IN"/>
              </w:rPr>
              <w:t>N</w:t>
            </w:r>
          </w:p>
        </w:tc>
        <w:tc>
          <w:tcPr>
            <w:tcW w:w="1494" w:type="dxa"/>
            <w:tcBorders>
              <w:top w:val="single" w:sz="6" w:space="0" w:color="000000"/>
              <w:left w:val="single" w:sz="6" w:space="0" w:color="000000"/>
              <w:bottom w:val="single" w:sz="6" w:space="0" w:color="000000"/>
              <w:right w:val="single" w:sz="6" w:space="0" w:color="000000"/>
            </w:tcBorders>
            <w:hideMark/>
          </w:tcPr>
          <w:p w14:paraId="20C5D349" w14:textId="77777777" w:rsidR="00E6413C" w:rsidRDefault="00E6413C">
            <w:pPr>
              <w:tabs>
                <w:tab w:val="left" w:pos="708"/>
              </w:tabs>
              <w:rPr>
                <w:szCs w:val="22"/>
                <w:lang w:val="en-US" w:bidi="gu-IN"/>
              </w:rPr>
            </w:pPr>
            <w:r>
              <w:rPr>
                <w:b/>
                <w:szCs w:val="22"/>
                <w:lang w:val="en-US" w:bidi="gu-IN"/>
              </w:rPr>
              <w:t xml:space="preserve">0.5 -&lt; 2 </w:t>
            </w:r>
            <w:proofErr w:type="spellStart"/>
            <w:r>
              <w:rPr>
                <w:b/>
                <w:szCs w:val="22"/>
                <w:lang w:val="en-US" w:bidi="gu-IN"/>
              </w:rPr>
              <w:t>anos</w:t>
            </w:r>
            <w:proofErr w:type="spellEnd"/>
          </w:p>
        </w:tc>
        <w:tc>
          <w:tcPr>
            <w:tcW w:w="437" w:type="dxa"/>
            <w:tcBorders>
              <w:top w:val="single" w:sz="6" w:space="0" w:color="000000"/>
              <w:left w:val="single" w:sz="6" w:space="0" w:color="000000"/>
              <w:bottom w:val="single" w:sz="6" w:space="0" w:color="000000"/>
              <w:right w:val="single" w:sz="6" w:space="0" w:color="000000"/>
            </w:tcBorders>
            <w:hideMark/>
          </w:tcPr>
          <w:p w14:paraId="604752F0" w14:textId="77777777" w:rsidR="00E6413C" w:rsidRDefault="00E6413C">
            <w:pPr>
              <w:tabs>
                <w:tab w:val="left" w:pos="708"/>
              </w:tabs>
              <w:rPr>
                <w:szCs w:val="22"/>
                <w:lang w:val="en-US" w:bidi="gu-IN"/>
              </w:rPr>
            </w:pPr>
            <w:r>
              <w:rPr>
                <w:b/>
                <w:szCs w:val="22"/>
                <w:lang w:val="en-US" w:bidi="gu-IN"/>
              </w:rPr>
              <w:t>N</w:t>
            </w:r>
          </w:p>
        </w:tc>
        <w:tc>
          <w:tcPr>
            <w:tcW w:w="1708" w:type="dxa"/>
            <w:tcBorders>
              <w:top w:val="single" w:sz="6" w:space="0" w:color="000000"/>
              <w:left w:val="single" w:sz="6" w:space="0" w:color="000000"/>
              <w:bottom w:val="single" w:sz="6" w:space="0" w:color="000000"/>
              <w:right w:val="single" w:sz="6" w:space="0" w:color="000000"/>
            </w:tcBorders>
            <w:hideMark/>
          </w:tcPr>
          <w:p w14:paraId="2B459C9A" w14:textId="77777777" w:rsidR="00E6413C" w:rsidRDefault="00E6413C" w:rsidP="00EF3721">
            <w:pPr>
              <w:pStyle w:val="Default"/>
              <w:rPr>
                <w:szCs w:val="22"/>
              </w:rPr>
            </w:pPr>
            <w:r>
              <w:rPr>
                <w:b/>
                <w:bCs/>
                <w:sz w:val="22"/>
                <w:szCs w:val="22"/>
              </w:rPr>
              <w:t xml:space="preserve">Nascimento </w:t>
            </w:r>
            <w:r>
              <w:rPr>
                <w:b/>
                <w:szCs w:val="22"/>
                <w:lang w:bidi="gu-IN"/>
              </w:rPr>
              <w:t>-</w:t>
            </w:r>
          </w:p>
          <w:p w14:paraId="28958A80" w14:textId="77777777" w:rsidR="00E6413C" w:rsidRDefault="00E6413C">
            <w:pPr>
              <w:tabs>
                <w:tab w:val="left" w:pos="708"/>
              </w:tabs>
              <w:rPr>
                <w:szCs w:val="22"/>
                <w:lang w:val="en-US" w:bidi="gu-IN"/>
              </w:rPr>
            </w:pPr>
            <w:r>
              <w:rPr>
                <w:b/>
                <w:szCs w:val="22"/>
                <w:lang w:val="en-US" w:bidi="gu-IN"/>
              </w:rPr>
              <w:t xml:space="preserve">&lt; 0.5 </w:t>
            </w:r>
            <w:proofErr w:type="spellStart"/>
            <w:r>
              <w:rPr>
                <w:b/>
                <w:szCs w:val="22"/>
                <w:lang w:val="en-US" w:bidi="gu-IN"/>
              </w:rPr>
              <w:t>anos</w:t>
            </w:r>
            <w:proofErr w:type="spellEnd"/>
          </w:p>
        </w:tc>
      </w:tr>
      <w:tr w:rsidR="00E6413C" w14:paraId="21199BC2" w14:textId="77777777" w:rsidTr="00E6413C">
        <w:trPr>
          <w:tblHeader/>
        </w:trPr>
        <w:tc>
          <w:tcPr>
            <w:tcW w:w="1338" w:type="dxa"/>
            <w:vMerge w:val="restart"/>
            <w:tcBorders>
              <w:top w:val="single" w:sz="6" w:space="0" w:color="000000"/>
              <w:left w:val="single" w:sz="6" w:space="0" w:color="000000"/>
              <w:bottom w:val="single" w:sz="6" w:space="0" w:color="000000"/>
              <w:right w:val="single" w:sz="6" w:space="0" w:color="000000"/>
            </w:tcBorders>
            <w:hideMark/>
          </w:tcPr>
          <w:p w14:paraId="6FAE4EFE" w14:textId="77777777" w:rsidR="00E6413C" w:rsidRDefault="00E6413C">
            <w:pPr>
              <w:tabs>
                <w:tab w:val="left" w:pos="708"/>
              </w:tabs>
              <w:rPr>
                <w:szCs w:val="22"/>
                <w:lang w:val="en-US" w:bidi="gu-IN"/>
              </w:rPr>
            </w:pPr>
            <w:r>
              <w:rPr>
                <w:szCs w:val="22"/>
                <w:lang w:val="en-US" w:bidi="gu-IN"/>
              </w:rPr>
              <w:t xml:space="preserve">0.5-3h </w:t>
            </w:r>
            <w:proofErr w:type="spellStart"/>
            <w:r>
              <w:rPr>
                <w:szCs w:val="22"/>
                <w:lang w:val="en-US" w:bidi="gu-IN"/>
              </w:rPr>
              <w:t>após</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0D195B2A" w14:textId="77777777" w:rsidR="00E6413C" w:rsidRDefault="00E6413C">
            <w:pPr>
              <w:tabs>
                <w:tab w:val="left" w:pos="708"/>
              </w:tabs>
              <w:rPr>
                <w:szCs w:val="22"/>
                <w:lang w:val="en-US" w:bidi="gu-IN"/>
              </w:rPr>
            </w:pPr>
            <w:r>
              <w:rPr>
                <w:szCs w:val="22"/>
                <w:lang w:val="en-US" w:bidi="gu-IN"/>
              </w:rPr>
              <w:t>5</w:t>
            </w:r>
          </w:p>
        </w:tc>
        <w:tc>
          <w:tcPr>
            <w:tcW w:w="1488" w:type="dxa"/>
            <w:tcBorders>
              <w:top w:val="single" w:sz="6" w:space="0" w:color="000000"/>
              <w:left w:val="single" w:sz="6" w:space="0" w:color="000000"/>
              <w:bottom w:val="nil"/>
              <w:right w:val="single" w:sz="6" w:space="0" w:color="000000"/>
            </w:tcBorders>
            <w:hideMark/>
          </w:tcPr>
          <w:p w14:paraId="20CB1B86" w14:textId="77777777" w:rsidR="00E6413C" w:rsidRDefault="00E6413C">
            <w:pPr>
              <w:tabs>
                <w:tab w:val="left" w:pos="708"/>
              </w:tabs>
              <w:rPr>
                <w:szCs w:val="22"/>
                <w:lang w:val="en-US" w:bidi="gu-IN"/>
              </w:rPr>
            </w:pPr>
            <w:r>
              <w:rPr>
                <w:szCs w:val="22"/>
                <w:lang w:val="en-US" w:bidi="gu-IN"/>
              </w:rPr>
              <w:t>164.7</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2AEB9F2D" w14:textId="77777777" w:rsidR="00E6413C" w:rsidRDefault="00E6413C">
            <w:pPr>
              <w:tabs>
                <w:tab w:val="left" w:pos="708"/>
              </w:tabs>
              <w:rPr>
                <w:szCs w:val="22"/>
                <w:lang w:val="en-US" w:bidi="gu-IN"/>
              </w:rPr>
            </w:pPr>
            <w:r>
              <w:rPr>
                <w:szCs w:val="22"/>
                <w:lang w:val="en-US" w:bidi="gu-IN"/>
              </w:rPr>
              <w:t>25</w:t>
            </w:r>
          </w:p>
        </w:tc>
        <w:tc>
          <w:tcPr>
            <w:tcW w:w="1459" w:type="dxa"/>
            <w:tcBorders>
              <w:top w:val="single" w:sz="6" w:space="0" w:color="000000"/>
              <w:left w:val="single" w:sz="6" w:space="0" w:color="000000"/>
              <w:bottom w:val="nil"/>
              <w:right w:val="single" w:sz="6" w:space="0" w:color="000000"/>
            </w:tcBorders>
            <w:hideMark/>
          </w:tcPr>
          <w:p w14:paraId="2C463D5E" w14:textId="77777777" w:rsidR="00E6413C" w:rsidRDefault="00E6413C">
            <w:pPr>
              <w:tabs>
                <w:tab w:val="left" w:pos="708"/>
              </w:tabs>
              <w:rPr>
                <w:szCs w:val="22"/>
                <w:lang w:val="en-US" w:bidi="gu-IN"/>
              </w:rPr>
            </w:pPr>
            <w:r>
              <w:rPr>
                <w:szCs w:val="22"/>
                <w:lang w:val="en-US" w:bidi="gu-IN"/>
              </w:rPr>
              <w:t>111.2</w:t>
            </w:r>
          </w:p>
        </w:tc>
        <w:tc>
          <w:tcPr>
            <w:tcW w:w="443" w:type="dxa"/>
            <w:vMerge w:val="restart"/>
            <w:tcBorders>
              <w:top w:val="single" w:sz="6" w:space="0" w:color="000000"/>
              <w:left w:val="single" w:sz="6" w:space="0" w:color="000000"/>
              <w:bottom w:val="single" w:sz="6" w:space="0" w:color="000000"/>
              <w:right w:val="single" w:sz="6" w:space="0" w:color="000000"/>
            </w:tcBorders>
            <w:hideMark/>
          </w:tcPr>
          <w:p w14:paraId="1DAD0595" w14:textId="77777777" w:rsidR="00E6413C" w:rsidRDefault="00E6413C">
            <w:pPr>
              <w:tabs>
                <w:tab w:val="left" w:pos="708"/>
              </w:tabs>
              <w:rPr>
                <w:szCs w:val="22"/>
                <w:lang w:val="en-US" w:bidi="gu-IN"/>
              </w:rPr>
            </w:pPr>
            <w:r>
              <w:rPr>
                <w:szCs w:val="22"/>
                <w:lang w:val="en-US" w:bidi="gu-IN"/>
              </w:rPr>
              <w:t>13</w:t>
            </w:r>
          </w:p>
        </w:tc>
        <w:tc>
          <w:tcPr>
            <w:tcW w:w="1494" w:type="dxa"/>
            <w:tcBorders>
              <w:top w:val="single" w:sz="6" w:space="0" w:color="000000"/>
              <w:left w:val="single" w:sz="6" w:space="0" w:color="000000"/>
              <w:bottom w:val="nil"/>
              <w:right w:val="single" w:sz="6" w:space="0" w:color="000000"/>
            </w:tcBorders>
            <w:hideMark/>
          </w:tcPr>
          <w:p w14:paraId="11BBF515" w14:textId="77777777" w:rsidR="00E6413C" w:rsidRDefault="00E6413C">
            <w:pPr>
              <w:tabs>
                <w:tab w:val="left" w:pos="708"/>
              </w:tabs>
              <w:rPr>
                <w:szCs w:val="22"/>
                <w:lang w:val="en-US" w:bidi="gu-IN"/>
              </w:rPr>
            </w:pPr>
            <w:r>
              <w:rPr>
                <w:szCs w:val="22"/>
                <w:lang w:val="en-US" w:bidi="gu-IN"/>
              </w:rPr>
              <w:t>114.3</w:t>
            </w:r>
          </w:p>
        </w:tc>
        <w:tc>
          <w:tcPr>
            <w:tcW w:w="437" w:type="dxa"/>
            <w:vMerge w:val="restart"/>
            <w:tcBorders>
              <w:top w:val="single" w:sz="6" w:space="0" w:color="000000"/>
              <w:left w:val="single" w:sz="6" w:space="0" w:color="000000"/>
              <w:bottom w:val="single" w:sz="6" w:space="0" w:color="000000"/>
              <w:right w:val="single" w:sz="6" w:space="0" w:color="000000"/>
            </w:tcBorders>
            <w:hideMark/>
          </w:tcPr>
          <w:p w14:paraId="72B5D2D5" w14:textId="77777777" w:rsidR="00E6413C" w:rsidRDefault="00E6413C">
            <w:pPr>
              <w:tabs>
                <w:tab w:val="left" w:pos="708"/>
              </w:tabs>
              <w:rPr>
                <w:szCs w:val="22"/>
                <w:lang w:val="en-US" w:bidi="gu-IN"/>
              </w:rPr>
            </w:pPr>
            <w:r>
              <w:rPr>
                <w:szCs w:val="22"/>
                <w:lang w:val="en-US" w:bidi="gu-IN"/>
              </w:rPr>
              <w:t>12</w:t>
            </w:r>
          </w:p>
        </w:tc>
        <w:tc>
          <w:tcPr>
            <w:tcW w:w="1708" w:type="dxa"/>
            <w:tcBorders>
              <w:top w:val="single" w:sz="6" w:space="0" w:color="000000"/>
              <w:left w:val="single" w:sz="6" w:space="0" w:color="000000"/>
              <w:bottom w:val="nil"/>
              <w:right w:val="single" w:sz="6" w:space="0" w:color="000000"/>
            </w:tcBorders>
            <w:hideMark/>
          </w:tcPr>
          <w:p w14:paraId="44663C06" w14:textId="77777777" w:rsidR="00E6413C" w:rsidRDefault="00E6413C">
            <w:pPr>
              <w:tabs>
                <w:tab w:val="left" w:pos="708"/>
              </w:tabs>
              <w:rPr>
                <w:szCs w:val="22"/>
                <w:lang w:val="en-US" w:bidi="gu-IN"/>
              </w:rPr>
            </w:pPr>
            <w:r>
              <w:rPr>
                <w:szCs w:val="22"/>
                <w:lang w:val="en-US" w:bidi="gu-IN"/>
              </w:rPr>
              <w:t>108.0</w:t>
            </w:r>
          </w:p>
        </w:tc>
      </w:tr>
      <w:tr w:rsidR="00E6413C" w14:paraId="592D2819" w14:textId="77777777" w:rsidTr="00E6413C">
        <w:trPr>
          <w:tblHeader/>
        </w:trPr>
        <w:tc>
          <w:tcPr>
            <w:tcW w:w="1338" w:type="dxa"/>
            <w:vMerge/>
            <w:tcBorders>
              <w:top w:val="single" w:sz="6" w:space="0" w:color="000000"/>
              <w:left w:val="single" w:sz="6" w:space="0" w:color="000000"/>
              <w:bottom w:val="single" w:sz="6" w:space="0" w:color="000000"/>
              <w:right w:val="single" w:sz="6" w:space="0" w:color="000000"/>
            </w:tcBorders>
            <w:vAlign w:val="center"/>
            <w:hideMark/>
          </w:tcPr>
          <w:p w14:paraId="6E791254" w14:textId="77777777" w:rsidR="00E6413C" w:rsidRDefault="00E6413C">
            <w:pPr>
              <w:rPr>
                <w:szCs w:val="22"/>
                <w:lang w:val="en-US" w:bidi="gu-IN"/>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35C10AD7" w14:textId="77777777" w:rsidR="00E6413C" w:rsidRDefault="00E6413C">
            <w:pPr>
              <w:rPr>
                <w:szCs w:val="22"/>
                <w:lang w:val="en-US" w:bidi="gu-IN"/>
              </w:rPr>
            </w:pPr>
          </w:p>
        </w:tc>
        <w:tc>
          <w:tcPr>
            <w:tcW w:w="1488" w:type="dxa"/>
            <w:tcBorders>
              <w:top w:val="nil"/>
              <w:left w:val="single" w:sz="6" w:space="0" w:color="000000"/>
              <w:bottom w:val="single" w:sz="6" w:space="0" w:color="000000"/>
              <w:right w:val="single" w:sz="6" w:space="0" w:color="000000"/>
            </w:tcBorders>
            <w:hideMark/>
          </w:tcPr>
          <w:p w14:paraId="49C9AA5A" w14:textId="77777777" w:rsidR="00E6413C" w:rsidRDefault="00E6413C">
            <w:pPr>
              <w:tabs>
                <w:tab w:val="left" w:pos="708"/>
              </w:tabs>
              <w:rPr>
                <w:szCs w:val="22"/>
                <w:lang w:val="en-US" w:bidi="gu-IN"/>
              </w:rPr>
            </w:pPr>
            <w:r>
              <w:rPr>
                <w:szCs w:val="22"/>
                <w:lang w:val="en-US" w:bidi="gu-IN"/>
              </w:rPr>
              <w:t>(108-283)</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58992D23" w14:textId="77777777" w:rsidR="00E6413C" w:rsidRDefault="00E6413C">
            <w:pPr>
              <w:rPr>
                <w:szCs w:val="22"/>
                <w:lang w:val="en-US" w:bidi="gu-IN"/>
              </w:rPr>
            </w:pPr>
          </w:p>
        </w:tc>
        <w:tc>
          <w:tcPr>
            <w:tcW w:w="1459" w:type="dxa"/>
            <w:tcBorders>
              <w:top w:val="nil"/>
              <w:left w:val="single" w:sz="6" w:space="0" w:color="000000"/>
              <w:bottom w:val="single" w:sz="6" w:space="0" w:color="000000"/>
              <w:right w:val="single" w:sz="6" w:space="0" w:color="000000"/>
            </w:tcBorders>
            <w:hideMark/>
          </w:tcPr>
          <w:p w14:paraId="07658DE1" w14:textId="77777777" w:rsidR="00E6413C" w:rsidRDefault="00E6413C">
            <w:pPr>
              <w:tabs>
                <w:tab w:val="left" w:pos="708"/>
              </w:tabs>
              <w:rPr>
                <w:szCs w:val="22"/>
                <w:lang w:val="en-US" w:bidi="gu-IN"/>
              </w:rPr>
            </w:pPr>
            <w:r>
              <w:rPr>
                <w:szCs w:val="22"/>
                <w:lang w:val="en-US" w:bidi="gu-IN"/>
              </w:rPr>
              <w:t>(22.9-320)</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5E00B55F" w14:textId="77777777" w:rsidR="00E6413C" w:rsidRDefault="00E6413C">
            <w:pPr>
              <w:rPr>
                <w:szCs w:val="22"/>
                <w:lang w:val="en-US" w:bidi="gu-IN"/>
              </w:rPr>
            </w:pPr>
          </w:p>
        </w:tc>
        <w:tc>
          <w:tcPr>
            <w:tcW w:w="1494" w:type="dxa"/>
            <w:tcBorders>
              <w:top w:val="nil"/>
              <w:left w:val="single" w:sz="6" w:space="0" w:color="000000"/>
              <w:bottom w:val="single" w:sz="6" w:space="0" w:color="000000"/>
              <w:right w:val="single" w:sz="6" w:space="0" w:color="000000"/>
            </w:tcBorders>
            <w:hideMark/>
          </w:tcPr>
          <w:p w14:paraId="5C3AE609" w14:textId="77777777" w:rsidR="00E6413C" w:rsidRDefault="00E6413C">
            <w:pPr>
              <w:tabs>
                <w:tab w:val="left" w:pos="708"/>
              </w:tabs>
              <w:rPr>
                <w:szCs w:val="22"/>
                <w:lang w:val="en-US" w:bidi="gu-IN"/>
              </w:rPr>
            </w:pPr>
            <w:r>
              <w:rPr>
                <w:szCs w:val="22"/>
                <w:lang w:val="en-US" w:bidi="gu-IN"/>
              </w:rPr>
              <w:t>(22.9-346)</w:t>
            </w: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5A97D005" w14:textId="77777777" w:rsidR="00E6413C" w:rsidRDefault="00E6413C">
            <w:pPr>
              <w:rPr>
                <w:szCs w:val="22"/>
                <w:lang w:val="en-US" w:bidi="gu-IN"/>
              </w:rPr>
            </w:pPr>
          </w:p>
        </w:tc>
        <w:tc>
          <w:tcPr>
            <w:tcW w:w="1708" w:type="dxa"/>
            <w:tcBorders>
              <w:top w:val="nil"/>
              <w:left w:val="single" w:sz="6" w:space="0" w:color="000000"/>
              <w:bottom w:val="single" w:sz="6" w:space="0" w:color="000000"/>
              <w:right w:val="single" w:sz="6" w:space="0" w:color="000000"/>
            </w:tcBorders>
            <w:hideMark/>
          </w:tcPr>
          <w:p w14:paraId="0D14271C" w14:textId="77777777" w:rsidR="00E6413C" w:rsidRDefault="00E6413C">
            <w:pPr>
              <w:tabs>
                <w:tab w:val="left" w:pos="708"/>
              </w:tabs>
              <w:rPr>
                <w:szCs w:val="22"/>
                <w:lang w:val="en-US" w:bidi="gu-IN"/>
              </w:rPr>
            </w:pPr>
            <w:r>
              <w:rPr>
                <w:szCs w:val="22"/>
                <w:lang w:val="en-US" w:bidi="gu-IN"/>
              </w:rPr>
              <w:t>(19.2-320)</w:t>
            </w:r>
          </w:p>
        </w:tc>
      </w:tr>
      <w:tr w:rsidR="00E6413C" w14:paraId="6613EEDA" w14:textId="77777777" w:rsidTr="00E6413C">
        <w:trPr>
          <w:tblHeader/>
        </w:trPr>
        <w:tc>
          <w:tcPr>
            <w:tcW w:w="1338" w:type="dxa"/>
            <w:vMerge w:val="restart"/>
            <w:tcBorders>
              <w:top w:val="single" w:sz="6" w:space="0" w:color="000000"/>
              <w:left w:val="single" w:sz="6" w:space="0" w:color="000000"/>
              <w:bottom w:val="single" w:sz="6" w:space="0" w:color="000000"/>
              <w:right w:val="single" w:sz="6" w:space="0" w:color="000000"/>
            </w:tcBorders>
            <w:hideMark/>
          </w:tcPr>
          <w:p w14:paraId="34683980" w14:textId="77777777" w:rsidR="00E6413C" w:rsidRDefault="00E6413C">
            <w:pPr>
              <w:tabs>
                <w:tab w:val="left" w:pos="708"/>
              </w:tabs>
              <w:rPr>
                <w:szCs w:val="22"/>
                <w:lang w:val="en-US" w:bidi="gu-IN"/>
              </w:rPr>
            </w:pPr>
            <w:r>
              <w:rPr>
                <w:szCs w:val="22"/>
                <w:lang w:val="en-US" w:bidi="gu-IN"/>
              </w:rPr>
              <w:t xml:space="preserve">7-8h </w:t>
            </w:r>
            <w:proofErr w:type="spellStart"/>
            <w:r>
              <w:rPr>
                <w:szCs w:val="22"/>
                <w:lang w:val="en-US" w:bidi="gu-IN"/>
              </w:rPr>
              <w:t>após</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hideMark/>
          </w:tcPr>
          <w:p w14:paraId="1D72A4FD" w14:textId="562AC61F" w:rsidR="00E6413C" w:rsidRDefault="002B5FBC">
            <w:pPr>
              <w:tabs>
                <w:tab w:val="left" w:pos="708"/>
              </w:tabs>
              <w:rPr>
                <w:szCs w:val="22"/>
                <w:lang w:val="en-US" w:bidi="gu-IN"/>
              </w:rPr>
            </w:pPr>
            <w:r>
              <w:rPr>
                <w:szCs w:val="22"/>
                <w:lang w:val="en-US" w:bidi="gu-IN"/>
              </w:rPr>
              <w:t>5</w:t>
            </w:r>
          </w:p>
        </w:tc>
        <w:tc>
          <w:tcPr>
            <w:tcW w:w="1488" w:type="dxa"/>
            <w:tcBorders>
              <w:top w:val="single" w:sz="6" w:space="0" w:color="000000"/>
              <w:left w:val="single" w:sz="6" w:space="0" w:color="000000"/>
              <w:bottom w:val="nil"/>
              <w:right w:val="single" w:sz="6" w:space="0" w:color="000000"/>
            </w:tcBorders>
            <w:hideMark/>
          </w:tcPr>
          <w:p w14:paraId="52304E4F" w14:textId="77777777" w:rsidR="00E6413C" w:rsidRDefault="00E6413C">
            <w:pPr>
              <w:tabs>
                <w:tab w:val="left" w:pos="708"/>
              </w:tabs>
              <w:rPr>
                <w:szCs w:val="22"/>
                <w:lang w:val="en-US" w:bidi="gu-IN"/>
              </w:rPr>
            </w:pPr>
            <w:r>
              <w:rPr>
                <w:szCs w:val="22"/>
                <w:lang w:val="en-US" w:bidi="gu-IN"/>
              </w:rPr>
              <w:t>33.2</w:t>
            </w:r>
          </w:p>
        </w:tc>
        <w:tc>
          <w:tcPr>
            <w:tcW w:w="563" w:type="dxa"/>
            <w:vMerge w:val="restart"/>
            <w:tcBorders>
              <w:top w:val="single" w:sz="6" w:space="0" w:color="000000"/>
              <w:left w:val="single" w:sz="6" w:space="0" w:color="000000"/>
              <w:bottom w:val="single" w:sz="6" w:space="0" w:color="000000"/>
              <w:right w:val="single" w:sz="6" w:space="0" w:color="000000"/>
            </w:tcBorders>
            <w:hideMark/>
          </w:tcPr>
          <w:p w14:paraId="223902B8" w14:textId="77777777" w:rsidR="00E6413C" w:rsidRDefault="00E6413C">
            <w:pPr>
              <w:tabs>
                <w:tab w:val="left" w:pos="708"/>
              </w:tabs>
              <w:rPr>
                <w:szCs w:val="22"/>
                <w:lang w:val="en-US" w:bidi="gu-IN"/>
              </w:rPr>
            </w:pPr>
            <w:r>
              <w:rPr>
                <w:szCs w:val="22"/>
                <w:lang w:val="en-US" w:bidi="gu-IN"/>
              </w:rPr>
              <w:t>23</w:t>
            </w:r>
          </w:p>
        </w:tc>
        <w:tc>
          <w:tcPr>
            <w:tcW w:w="1459" w:type="dxa"/>
            <w:tcBorders>
              <w:top w:val="single" w:sz="6" w:space="0" w:color="000000"/>
              <w:left w:val="single" w:sz="6" w:space="0" w:color="000000"/>
              <w:bottom w:val="nil"/>
              <w:right w:val="single" w:sz="6" w:space="0" w:color="000000"/>
            </w:tcBorders>
            <w:hideMark/>
          </w:tcPr>
          <w:p w14:paraId="002A1468" w14:textId="77777777" w:rsidR="00E6413C" w:rsidRDefault="00E6413C">
            <w:pPr>
              <w:tabs>
                <w:tab w:val="left" w:pos="708"/>
              </w:tabs>
              <w:rPr>
                <w:szCs w:val="22"/>
                <w:lang w:val="en-US" w:bidi="gu-IN"/>
              </w:rPr>
            </w:pPr>
            <w:r>
              <w:rPr>
                <w:szCs w:val="22"/>
                <w:lang w:val="en-US" w:bidi="gu-IN"/>
              </w:rPr>
              <w:t>18.7</w:t>
            </w:r>
          </w:p>
        </w:tc>
        <w:tc>
          <w:tcPr>
            <w:tcW w:w="443" w:type="dxa"/>
            <w:vMerge w:val="restart"/>
            <w:tcBorders>
              <w:top w:val="single" w:sz="6" w:space="0" w:color="000000"/>
              <w:left w:val="single" w:sz="6" w:space="0" w:color="000000"/>
              <w:bottom w:val="single" w:sz="6" w:space="0" w:color="000000"/>
              <w:right w:val="single" w:sz="6" w:space="0" w:color="000000"/>
            </w:tcBorders>
            <w:hideMark/>
          </w:tcPr>
          <w:p w14:paraId="695D78CD" w14:textId="77777777" w:rsidR="00E6413C" w:rsidRDefault="00E6413C">
            <w:pPr>
              <w:tabs>
                <w:tab w:val="left" w:pos="708"/>
              </w:tabs>
              <w:rPr>
                <w:szCs w:val="22"/>
                <w:lang w:val="en-US" w:bidi="gu-IN"/>
              </w:rPr>
            </w:pPr>
            <w:r>
              <w:rPr>
                <w:szCs w:val="22"/>
                <w:lang w:val="en-US" w:bidi="gu-IN"/>
              </w:rPr>
              <w:t>12</w:t>
            </w:r>
          </w:p>
        </w:tc>
        <w:tc>
          <w:tcPr>
            <w:tcW w:w="1494" w:type="dxa"/>
            <w:tcBorders>
              <w:top w:val="single" w:sz="6" w:space="0" w:color="000000"/>
              <w:left w:val="single" w:sz="6" w:space="0" w:color="000000"/>
              <w:bottom w:val="nil"/>
              <w:right w:val="single" w:sz="6" w:space="0" w:color="000000"/>
            </w:tcBorders>
            <w:hideMark/>
          </w:tcPr>
          <w:p w14:paraId="41F031F5" w14:textId="77777777" w:rsidR="00E6413C" w:rsidRDefault="00E6413C">
            <w:pPr>
              <w:tabs>
                <w:tab w:val="left" w:pos="708"/>
              </w:tabs>
              <w:rPr>
                <w:szCs w:val="22"/>
                <w:lang w:val="en-US" w:bidi="gu-IN"/>
              </w:rPr>
            </w:pPr>
            <w:r>
              <w:rPr>
                <w:szCs w:val="22"/>
                <w:lang w:val="en-US" w:bidi="gu-IN"/>
              </w:rPr>
              <w:t>21.4</w:t>
            </w:r>
          </w:p>
        </w:tc>
        <w:tc>
          <w:tcPr>
            <w:tcW w:w="437" w:type="dxa"/>
            <w:vMerge w:val="restart"/>
            <w:tcBorders>
              <w:top w:val="single" w:sz="6" w:space="0" w:color="000000"/>
              <w:left w:val="single" w:sz="6" w:space="0" w:color="000000"/>
              <w:bottom w:val="single" w:sz="6" w:space="0" w:color="000000"/>
              <w:right w:val="single" w:sz="6" w:space="0" w:color="000000"/>
            </w:tcBorders>
            <w:hideMark/>
          </w:tcPr>
          <w:p w14:paraId="36B951EE" w14:textId="77777777" w:rsidR="00E6413C" w:rsidRDefault="00E6413C">
            <w:pPr>
              <w:tabs>
                <w:tab w:val="left" w:pos="708"/>
              </w:tabs>
              <w:rPr>
                <w:szCs w:val="22"/>
                <w:lang w:val="en-US" w:bidi="gu-IN"/>
              </w:rPr>
            </w:pPr>
            <w:r>
              <w:rPr>
                <w:szCs w:val="22"/>
                <w:lang w:val="en-US" w:bidi="gu-IN"/>
              </w:rPr>
              <w:t>11</w:t>
            </w:r>
          </w:p>
        </w:tc>
        <w:tc>
          <w:tcPr>
            <w:tcW w:w="1708" w:type="dxa"/>
            <w:tcBorders>
              <w:top w:val="single" w:sz="6" w:space="0" w:color="000000"/>
              <w:left w:val="single" w:sz="6" w:space="0" w:color="000000"/>
              <w:bottom w:val="nil"/>
              <w:right w:val="single" w:sz="6" w:space="0" w:color="000000"/>
            </w:tcBorders>
            <w:hideMark/>
          </w:tcPr>
          <w:p w14:paraId="7E88EDB3" w14:textId="77777777" w:rsidR="00E6413C" w:rsidRDefault="00E6413C">
            <w:pPr>
              <w:tabs>
                <w:tab w:val="left" w:pos="708"/>
              </w:tabs>
              <w:rPr>
                <w:szCs w:val="22"/>
                <w:lang w:val="en-US" w:bidi="gu-IN"/>
              </w:rPr>
            </w:pPr>
            <w:r>
              <w:rPr>
                <w:szCs w:val="22"/>
                <w:lang w:val="en-US" w:bidi="gu-IN"/>
              </w:rPr>
              <w:t>16.1</w:t>
            </w:r>
          </w:p>
        </w:tc>
      </w:tr>
      <w:tr w:rsidR="00E6413C" w14:paraId="2CAEFE80" w14:textId="77777777" w:rsidTr="00E6413C">
        <w:trPr>
          <w:tblHeader/>
        </w:trPr>
        <w:tc>
          <w:tcPr>
            <w:tcW w:w="1338" w:type="dxa"/>
            <w:vMerge/>
            <w:tcBorders>
              <w:top w:val="single" w:sz="6" w:space="0" w:color="000000"/>
              <w:left w:val="single" w:sz="6" w:space="0" w:color="000000"/>
              <w:bottom w:val="single" w:sz="6" w:space="0" w:color="000000"/>
              <w:right w:val="single" w:sz="6" w:space="0" w:color="000000"/>
            </w:tcBorders>
            <w:vAlign w:val="center"/>
            <w:hideMark/>
          </w:tcPr>
          <w:p w14:paraId="25BF00BB" w14:textId="77777777" w:rsidR="00E6413C" w:rsidRDefault="00E6413C">
            <w:pPr>
              <w:rPr>
                <w:szCs w:val="22"/>
                <w:lang w:val="en-US" w:bidi="gu-IN"/>
              </w:rPr>
            </w:pPr>
          </w:p>
        </w:tc>
        <w:tc>
          <w:tcPr>
            <w:tcW w:w="565" w:type="dxa"/>
            <w:vMerge/>
            <w:tcBorders>
              <w:top w:val="single" w:sz="6" w:space="0" w:color="000000"/>
              <w:left w:val="single" w:sz="6" w:space="0" w:color="000000"/>
              <w:bottom w:val="single" w:sz="6" w:space="0" w:color="000000"/>
              <w:right w:val="single" w:sz="6" w:space="0" w:color="000000"/>
            </w:tcBorders>
            <w:vAlign w:val="center"/>
            <w:hideMark/>
          </w:tcPr>
          <w:p w14:paraId="2B8BD01D" w14:textId="77777777" w:rsidR="00E6413C" w:rsidRDefault="00E6413C">
            <w:pPr>
              <w:rPr>
                <w:szCs w:val="22"/>
                <w:lang w:val="en-US" w:bidi="gu-IN"/>
              </w:rPr>
            </w:pPr>
          </w:p>
        </w:tc>
        <w:tc>
          <w:tcPr>
            <w:tcW w:w="1488" w:type="dxa"/>
            <w:tcBorders>
              <w:top w:val="nil"/>
              <w:left w:val="single" w:sz="6" w:space="0" w:color="000000"/>
              <w:bottom w:val="single" w:sz="6" w:space="0" w:color="000000"/>
              <w:right w:val="single" w:sz="6" w:space="0" w:color="000000"/>
            </w:tcBorders>
            <w:hideMark/>
          </w:tcPr>
          <w:p w14:paraId="2DBBBBA2" w14:textId="77777777" w:rsidR="00E6413C" w:rsidRDefault="00E6413C">
            <w:pPr>
              <w:tabs>
                <w:tab w:val="left" w:pos="708"/>
              </w:tabs>
              <w:rPr>
                <w:szCs w:val="22"/>
                <w:lang w:val="en-US" w:bidi="gu-IN"/>
              </w:rPr>
            </w:pPr>
            <w:r>
              <w:rPr>
                <w:szCs w:val="22"/>
                <w:lang w:val="en-US" w:bidi="gu-IN"/>
              </w:rPr>
              <w:t>(18.7-99.7)</w:t>
            </w:r>
          </w:p>
        </w:tc>
        <w:tc>
          <w:tcPr>
            <w:tcW w:w="563" w:type="dxa"/>
            <w:vMerge/>
            <w:tcBorders>
              <w:top w:val="single" w:sz="6" w:space="0" w:color="000000"/>
              <w:left w:val="single" w:sz="6" w:space="0" w:color="000000"/>
              <w:bottom w:val="single" w:sz="6" w:space="0" w:color="000000"/>
              <w:right w:val="single" w:sz="6" w:space="0" w:color="000000"/>
            </w:tcBorders>
            <w:vAlign w:val="center"/>
            <w:hideMark/>
          </w:tcPr>
          <w:p w14:paraId="1619FA30" w14:textId="77777777" w:rsidR="00E6413C" w:rsidRDefault="00E6413C">
            <w:pPr>
              <w:rPr>
                <w:szCs w:val="22"/>
                <w:lang w:val="en-US" w:bidi="gu-IN"/>
              </w:rPr>
            </w:pPr>
          </w:p>
        </w:tc>
        <w:tc>
          <w:tcPr>
            <w:tcW w:w="1459" w:type="dxa"/>
            <w:tcBorders>
              <w:top w:val="nil"/>
              <w:left w:val="single" w:sz="6" w:space="0" w:color="000000"/>
              <w:bottom w:val="single" w:sz="6" w:space="0" w:color="000000"/>
              <w:right w:val="single" w:sz="6" w:space="0" w:color="000000"/>
            </w:tcBorders>
            <w:hideMark/>
          </w:tcPr>
          <w:p w14:paraId="7D9FD016" w14:textId="77777777" w:rsidR="00E6413C" w:rsidRDefault="00E6413C">
            <w:pPr>
              <w:tabs>
                <w:tab w:val="left" w:pos="708"/>
              </w:tabs>
              <w:rPr>
                <w:szCs w:val="22"/>
                <w:lang w:val="en-US" w:bidi="gu-IN"/>
              </w:rPr>
            </w:pPr>
            <w:r>
              <w:rPr>
                <w:szCs w:val="22"/>
                <w:lang w:val="en-US" w:bidi="gu-IN"/>
              </w:rPr>
              <w:t>(10.1-36.5)</w:t>
            </w:r>
          </w:p>
        </w:tc>
        <w:tc>
          <w:tcPr>
            <w:tcW w:w="443" w:type="dxa"/>
            <w:vMerge/>
            <w:tcBorders>
              <w:top w:val="single" w:sz="6" w:space="0" w:color="000000"/>
              <w:left w:val="single" w:sz="6" w:space="0" w:color="000000"/>
              <w:bottom w:val="single" w:sz="6" w:space="0" w:color="000000"/>
              <w:right w:val="single" w:sz="6" w:space="0" w:color="000000"/>
            </w:tcBorders>
            <w:vAlign w:val="center"/>
            <w:hideMark/>
          </w:tcPr>
          <w:p w14:paraId="76FED539" w14:textId="77777777" w:rsidR="00E6413C" w:rsidRDefault="00E6413C">
            <w:pPr>
              <w:rPr>
                <w:szCs w:val="22"/>
                <w:lang w:val="en-US" w:bidi="gu-IN"/>
              </w:rPr>
            </w:pPr>
          </w:p>
        </w:tc>
        <w:tc>
          <w:tcPr>
            <w:tcW w:w="1494" w:type="dxa"/>
            <w:tcBorders>
              <w:top w:val="nil"/>
              <w:left w:val="single" w:sz="6" w:space="0" w:color="000000"/>
              <w:bottom w:val="single" w:sz="6" w:space="0" w:color="000000"/>
              <w:right w:val="single" w:sz="6" w:space="0" w:color="000000"/>
            </w:tcBorders>
            <w:hideMark/>
          </w:tcPr>
          <w:p w14:paraId="2946E804" w14:textId="77777777" w:rsidR="00E6413C" w:rsidRDefault="00E6413C">
            <w:pPr>
              <w:tabs>
                <w:tab w:val="left" w:pos="708"/>
              </w:tabs>
              <w:rPr>
                <w:szCs w:val="22"/>
                <w:lang w:val="en-US" w:bidi="gu-IN"/>
              </w:rPr>
            </w:pPr>
            <w:r>
              <w:rPr>
                <w:szCs w:val="22"/>
                <w:lang w:val="en-US" w:bidi="gu-IN"/>
              </w:rPr>
              <w:t>(10.5-65.6)</w:t>
            </w:r>
          </w:p>
        </w:tc>
        <w:tc>
          <w:tcPr>
            <w:tcW w:w="437" w:type="dxa"/>
            <w:vMerge/>
            <w:tcBorders>
              <w:top w:val="single" w:sz="6" w:space="0" w:color="000000"/>
              <w:left w:val="single" w:sz="6" w:space="0" w:color="000000"/>
              <w:bottom w:val="single" w:sz="6" w:space="0" w:color="000000"/>
              <w:right w:val="single" w:sz="6" w:space="0" w:color="000000"/>
            </w:tcBorders>
            <w:vAlign w:val="center"/>
            <w:hideMark/>
          </w:tcPr>
          <w:p w14:paraId="203FA21E" w14:textId="77777777" w:rsidR="00E6413C" w:rsidRDefault="00E6413C">
            <w:pPr>
              <w:rPr>
                <w:szCs w:val="22"/>
                <w:lang w:val="en-US" w:bidi="gu-IN"/>
              </w:rPr>
            </w:pPr>
          </w:p>
        </w:tc>
        <w:tc>
          <w:tcPr>
            <w:tcW w:w="1708" w:type="dxa"/>
            <w:tcBorders>
              <w:top w:val="nil"/>
              <w:left w:val="single" w:sz="6" w:space="0" w:color="000000"/>
              <w:bottom w:val="single" w:sz="6" w:space="0" w:color="000000"/>
              <w:right w:val="single" w:sz="6" w:space="0" w:color="000000"/>
            </w:tcBorders>
            <w:hideMark/>
          </w:tcPr>
          <w:p w14:paraId="443B295F" w14:textId="77777777" w:rsidR="00E6413C" w:rsidRDefault="00E6413C">
            <w:pPr>
              <w:tabs>
                <w:tab w:val="left" w:pos="708"/>
              </w:tabs>
              <w:rPr>
                <w:szCs w:val="22"/>
                <w:lang w:val="en-US" w:bidi="gu-IN"/>
              </w:rPr>
            </w:pPr>
            <w:r>
              <w:rPr>
                <w:szCs w:val="22"/>
                <w:lang w:val="en-US" w:bidi="gu-IN"/>
              </w:rPr>
              <w:t>(1.03-33.6)</w:t>
            </w:r>
          </w:p>
        </w:tc>
      </w:tr>
    </w:tbl>
    <w:p w14:paraId="506637EF" w14:textId="77777777" w:rsidR="00E6413C" w:rsidRPr="00EF3721" w:rsidRDefault="00E6413C" w:rsidP="00EF3721">
      <w:pPr>
        <w:suppressAutoHyphens/>
        <w:rPr>
          <w:noProof/>
          <w:szCs w:val="22"/>
        </w:rPr>
      </w:pPr>
      <w:r w:rsidRPr="00EF3721">
        <w:rPr>
          <w:noProof/>
          <w:szCs w:val="22"/>
        </w:rPr>
        <w:t xml:space="preserve">o.d. = um vez por dia, b.i.d. = duas vezes por dia, t.i.d. = três vezes por dia, n.c. = não calculado </w:t>
      </w:r>
    </w:p>
    <w:p w14:paraId="7C7CB7F1" w14:textId="77777777" w:rsidR="00E6413C" w:rsidRDefault="00E6413C" w:rsidP="00EF3721">
      <w:pPr>
        <w:suppressAutoHyphens/>
        <w:rPr>
          <w:noProof/>
          <w:szCs w:val="22"/>
        </w:rPr>
      </w:pPr>
      <w:r w:rsidRPr="00EF3721">
        <w:rPr>
          <w:noProof/>
          <w:szCs w:val="22"/>
        </w:rPr>
        <w:t>Os valores abaixo do limite inferior de quantificação (LIQ) foram substituídos por 1/2 LIQ para o cálculo das estatísticas (LIQ = 0,5 mcg/l).</w:t>
      </w:r>
    </w:p>
    <w:p w14:paraId="57A99CDF" w14:textId="77777777" w:rsidR="00E6413C" w:rsidRPr="0063119B" w:rsidRDefault="00E6413C" w:rsidP="00E6413C">
      <w:pPr>
        <w:suppressAutoHyphens/>
        <w:ind w:left="567" w:hanging="567"/>
        <w:rPr>
          <w:noProof/>
          <w:szCs w:val="22"/>
        </w:rPr>
      </w:pPr>
    </w:p>
    <w:p w14:paraId="20F40ED3" w14:textId="77777777" w:rsidR="00337111" w:rsidRPr="0063119B" w:rsidRDefault="00337111" w:rsidP="00337111">
      <w:pPr>
        <w:suppressAutoHyphens/>
        <w:ind w:left="567" w:hanging="567"/>
        <w:rPr>
          <w:noProof/>
          <w:szCs w:val="22"/>
          <w:u w:val="single"/>
        </w:rPr>
      </w:pPr>
      <w:r w:rsidRPr="0063119B">
        <w:rPr>
          <w:noProof/>
          <w:szCs w:val="22"/>
          <w:u w:val="single"/>
        </w:rPr>
        <w:t>Relação farmacocinética/farmacodinâmica</w:t>
      </w:r>
    </w:p>
    <w:p w14:paraId="4DE97923" w14:textId="77777777" w:rsidR="00FE3820" w:rsidRPr="0063119B" w:rsidRDefault="00FE3820" w:rsidP="00337111">
      <w:pPr>
        <w:suppressAutoHyphens/>
        <w:rPr>
          <w:noProof/>
          <w:szCs w:val="22"/>
        </w:rPr>
      </w:pPr>
    </w:p>
    <w:p w14:paraId="10D90E4E" w14:textId="77777777" w:rsidR="00337111" w:rsidRPr="0063119B" w:rsidRDefault="00337111" w:rsidP="00337111">
      <w:pPr>
        <w:suppressAutoHyphens/>
        <w:rPr>
          <w:noProof/>
          <w:szCs w:val="22"/>
        </w:rPr>
      </w:pPr>
      <w:r w:rsidRPr="0063119B">
        <w:rPr>
          <w:noProof/>
          <w:szCs w:val="22"/>
        </w:rPr>
        <w:t xml:space="preserve">A relação farmacocinética/farmacodinâmica (PK/PD) entre a concentração plasmática de rivaroxabano e os diversos </w:t>
      </w:r>
      <w:r w:rsidRPr="0063119B">
        <w:rPr>
          <w:i/>
          <w:noProof/>
          <w:szCs w:val="22"/>
        </w:rPr>
        <w:t>endpoints</w:t>
      </w:r>
      <w:r w:rsidRPr="0063119B">
        <w:rPr>
          <w:noProof/>
          <w:szCs w:val="22"/>
        </w:rPr>
        <w:t xml:space="preserve"> farmacodinâmicos (inibição do </w:t>
      </w:r>
      <w:r w:rsidR="00405C14" w:rsidRPr="0063119B">
        <w:rPr>
          <w:noProof/>
          <w:szCs w:val="22"/>
        </w:rPr>
        <w:t>fator </w:t>
      </w:r>
      <w:r w:rsidRPr="0063119B">
        <w:rPr>
          <w:noProof/>
          <w:szCs w:val="22"/>
        </w:rPr>
        <w:t>Xa, TP, aPTT, Heptest) têm sido avaliados após a administração de um amplo intervalo de doses (5 </w:t>
      </w:r>
      <w:r w:rsidRPr="0063119B">
        <w:rPr>
          <w:noProof/>
          <w:szCs w:val="22"/>
        </w:rPr>
        <w:noBreakHyphen/>
        <w:t xml:space="preserve"> 30 mg duas vezes ao dia). A relação entre a concentração de rivaroxabano e a atividade do </w:t>
      </w:r>
      <w:r w:rsidR="00405C14" w:rsidRPr="0063119B">
        <w:rPr>
          <w:noProof/>
          <w:szCs w:val="22"/>
        </w:rPr>
        <w:t>fator </w:t>
      </w:r>
      <w:r w:rsidRPr="0063119B">
        <w:rPr>
          <w:noProof/>
          <w:szCs w:val="22"/>
        </w:rPr>
        <w:t>Xa foi melhor descrita por um modelo E</w:t>
      </w:r>
      <w:r w:rsidRPr="0063119B">
        <w:rPr>
          <w:noProof/>
          <w:szCs w:val="22"/>
          <w:vertAlign w:val="subscript"/>
        </w:rPr>
        <w:t>max</w:t>
      </w:r>
      <w:r w:rsidRPr="0063119B">
        <w:rPr>
          <w:noProof/>
          <w:szCs w:val="22"/>
        </w:rPr>
        <w:t>. Para TP, os dados são, geralmente, melhor descritos pelo modelo de interseção linear. Dependendo dos diferentes reagentes TP utilizados, o declive diferiu consideravelmente. Quando foi utilizad</w:t>
      </w:r>
      <w:r w:rsidR="002E5E0A" w:rsidRPr="0063119B">
        <w:rPr>
          <w:noProof/>
          <w:szCs w:val="22"/>
        </w:rPr>
        <w:t>o</w:t>
      </w:r>
      <w:r w:rsidRPr="0063119B">
        <w:rPr>
          <w:noProof/>
          <w:szCs w:val="22"/>
        </w:rPr>
        <w:t xml:space="preserve"> </w:t>
      </w:r>
      <w:r w:rsidR="002E5E0A" w:rsidRPr="0063119B">
        <w:rPr>
          <w:noProof/>
          <w:szCs w:val="22"/>
        </w:rPr>
        <w:t xml:space="preserve">o </w:t>
      </w:r>
      <w:r w:rsidRPr="0063119B">
        <w:rPr>
          <w:noProof/>
          <w:szCs w:val="22"/>
        </w:rPr>
        <w:t xml:space="preserve">TP </w:t>
      </w:r>
      <w:r w:rsidR="002E5E0A" w:rsidRPr="0063119B">
        <w:rPr>
          <w:noProof/>
          <w:szCs w:val="22"/>
        </w:rPr>
        <w:t xml:space="preserve">da </w:t>
      </w:r>
      <w:r w:rsidRPr="0063119B">
        <w:rPr>
          <w:noProof/>
          <w:szCs w:val="22"/>
        </w:rPr>
        <w:t>Neoplastin, o TP no estado basal foi de cerca de 13</w:t>
      </w:r>
      <w:r w:rsidR="00FE3820" w:rsidRPr="0063119B">
        <w:rPr>
          <w:noProof/>
          <w:szCs w:val="22"/>
        </w:rPr>
        <w:t> </w:t>
      </w:r>
      <w:r w:rsidRPr="0063119B">
        <w:rPr>
          <w:noProof/>
          <w:szCs w:val="22"/>
        </w:rPr>
        <w:t>seg. e o declive foi de 3 a 4 seg. (100 </w:t>
      </w:r>
      <w:r w:rsidR="002F4A3F" w:rsidRPr="0063119B">
        <w:rPr>
          <w:noProof/>
          <w:szCs w:val="22"/>
        </w:rPr>
        <w:t>mcg</w:t>
      </w:r>
      <w:r w:rsidRPr="0063119B">
        <w:rPr>
          <w:noProof/>
          <w:szCs w:val="22"/>
        </w:rPr>
        <w:t>/l). Os resultados das análises PK/PD na Fase II e III foram consistentes com os dados estabelecidos nos indivíduos saudáveis.</w:t>
      </w:r>
    </w:p>
    <w:p w14:paraId="720690F6" w14:textId="77777777" w:rsidR="00337111" w:rsidRPr="0063119B" w:rsidRDefault="00337111" w:rsidP="00337111">
      <w:pPr>
        <w:suppressAutoHyphens/>
        <w:rPr>
          <w:noProof/>
          <w:szCs w:val="22"/>
        </w:rPr>
      </w:pPr>
    </w:p>
    <w:p w14:paraId="00F42A47" w14:textId="77777777" w:rsidR="00337111" w:rsidRPr="0063119B" w:rsidRDefault="00337111" w:rsidP="001F10F8">
      <w:pPr>
        <w:keepNext/>
        <w:keepLines/>
        <w:suppressAutoHyphens/>
        <w:rPr>
          <w:noProof/>
          <w:szCs w:val="22"/>
        </w:rPr>
      </w:pPr>
      <w:r w:rsidRPr="0063119B">
        <w:rPr>
          <w:noProof/>
          <w:szCs w:val="22"/>
          <w:u w:val="single"/>
        </w:rPr>
        <w:t>População pediátrica</w:t>
      </w:r>
    </w:p>
    <w:p w14:paraId="3206917A" w14:textId="77777777" w:rsidR="00FE3820" w:rsidRPr="0063119B" w:rsidRDefault="00FE3820" w:rsidP="00337111">
      <w:pPr>
        <w:suppressAutoHyphens/>
        <w:rPr>
          <w:noProof/>
          <w:szCs w:val="22"/>
        </w:rPr>
      </w:pPr>
    </w:p>
    <w:p w14:paraId="4107CB31" w14:textId="77777777" w:rsidR="00337111" w:rsidRPr="0063119B" w:rsidRDefault="00337111" w:rsidP="00337111">
      <w:pPr>
        <w:suppressAutoHyphens/>
        <w:rPr>
          <w:szCs w:val="22"/>
        </w:rPr>
      </w:pPr>
      <w:r w:rsidRPr="0063119B">
        <w:rPr>
          <w:noProof/>
          <w:szCs w:val="22"/>
        </w:rPr>
        <w:t>A segurança e eficácia em crianças e adolescentes até aos 18 </w:t>
      </w:r>
      <w:r w:rsidRPr="0063119B">
        <w:rPr>
          <w:szCs w:val="22"/>
        </w:rPr>
        <w:t>anos de idade não foramestabelecidas</w:t>
      </w:r>
      <w:r w:rsidR="00E6413C">
        <w:rPr>
          <w:szCs w:val="22"/>
        </w:rPr>
        <w:t xml:space="preserve"> na indicação prevenção do acidente vascular cerebral e do embolismo sistémico em doentes com fibrilhação auricular não valvular</w:t>
      </w:r>
      <w:r w:rsidRPr="0063119B">
        <w:rPr>
          <w:szCs w:val="22"/>
        </w:rPr>
        <w:t>.</w:t>
      </w:r>
    </w:p>
    <w:p w14:paraId="630ADBEC" w14:textId="77777777" w:rsidR="00337111" w:rsidRPr="0063119B" w:rsidRDefault="00337111" w:rsidP="00337111">
      <w:pPr>
        <w:suppressAutoHyphens/>
        <w:rPr>
          <w:szCs w:val="22"/>
        </w:rPr>
      </w:pPr>
    </w:p>
    <w:p w14:paraId="32A3C90C" w14:textId="77777777" w:rsidR="00337111" w:rsidRPr="0063119B" w:rsidRDefault="00337111" w:rsidP="00337111">
      <w:pPr>
        <w:keepNext/>
        <w:suppressAutoHyphens/>
        <w:ind w:left="567" w:hanging="567"/>
        <w:rPr>
          <w:b/>
          <w:noProof/>
          <w:szCs w:val="22"/>
        </w:rPr>
      </w:pPr>
      <w:r w:rsidRPr="0063119B">
        <w:rPr>
          <w:b/>
          <w:noProof/>
          <w:szCs w:val="22"/>
        </w:rPr>
        <w:t>5.3</w:t>
      </w:r>
      <w:r w:rsidRPr="0063119B">
        <w:rPr>
          <w:b/>
          <w:noProof/>
          <w:szCs w:val="22"/>
        </w:rPr>
        <w:tab/>
        <w:t>Dados de segurança pré</w:t>
      </w:r>
      <w:r w:rsidRPr="0063119B">
        <w:rPr>
          <w:b/>
          <w:noProof/>
          <w:szCs w:val="22"/>
        </w:rPr>
        <w:noBreakHyphen/>
        <w:t>clínica</w:t>
      </w:r>
    </w:p>
    <w:p w14:paraId="5064A2CE" w14:textId="77777777" w:rsidR="00337111" w:rsidRPr="0063119B" w:rsidRDefault="00337111" w:rsidP="00337111">
      <w:pPr>
        <w:keepNext/>
        <w:rPr>
          <w:noProof/>
          <w:szCs w:val="22"/>
        </w:rPr>
      </w:pPr>
    </w:p>
    <w:p w14:paraId="3FC6A3AF" w14:textId="77777777" w:rsidR="00337111" w:rsidRPr="0063119B" w:rsidRDefault="00337111" w:rsidP="00337111">
      <w:pPr>
        <w:keepNext/>
        <w:rPr>
          <w:noProof/>
          <w:szCs w:val="22"/>
        </w:rPr>
      </w:pPr>
      <w:r w:rsidRPr="0063119B">
        <w:rPr>
          <w:noProof/>
          <w:szCs w:val="22"/>
        </w:rPr>
        <w:t xml:space="preserve">Os dados não clínicos não revelam riscos especiais para o ser humano, segundo estudos convencionais de farmacologia de segurança, toxicidade de dose única, fototoxicidade, genotoxicidade, potencial carcinogénico e toxicidade </w:t>
      </w:r>
      <w:r w:rsidR="00405C14" w:rsidRPr="0063119B">
        <w:rPr>
          <w:noProof/>
          <w:szCs w:val="22"/>
        </w:rPr>
        <w:t>juvenil</w:t>
      </w:r>
      <w:r w:rsidRPr="0063119B">
        <w:rPr>
          <w:noProof/>
          <w:szCs w:val="22"/>
        </w:rPr>
        <w:t>.</w:t>
      </w:r>
    </w:p>
    <w:p w14:paraId="42824B2A" w14:textId="77777777" w:rsidR="00337111" w:rsidRPr="0063119B" w:rsidRDefault="00337111" w:rsidP="00337111">
      <w:pPr>
        <w:rPr>
          <w:noProof/>
          <w:szCs w:val="22"/>
        </w:rPr>
      </w:pPr>
      <w:r w:rsidRPr="0063119B">
        <w:rPr>
          <w:noProof/>
          <w:szCs w:val="22"/>
        </w:rPr>
        <w:t>Os efeitos observados em estudos de toxicidade de dose repetida foram devidos principalmente à atividade farmacodinâmica exagerada do rivaroxabano. Nos ratos, o aumento dos níveis plasmáticos de IgG e IgA foram observados em níveis de exposição clinicamente relevantes.</w:t>
      </w:r>
    </w:p>
    <w:p w14:paraId="1B8A54E4" w14:textId="77777777" w:rsidR="00337111" w:rsidRPr="0063119B" w:rsidRDefault="00337111" w:rsidP="00337111">
      <w:pPr>
        <w:rPr>
          <w:noProof/>
          <w:szCs w:val="22"/>
        </w:rPr>
      </w:pPr>
      <w:r w:rsidRPr="0063119B">
        <w:rPr>
          <w:noProof/>
          <w:szCs w:val="22"/>
        </w:rPr>
        <w:t>Não foi observado nenhum efeito sobre a fertilidade masculina ou feminina em ratos. Os estudos em animais demonstraram toxicidade reprodutiva relacionada com o modo de ação farmacológico de rivaroxabano (ex.: complicações hemorrágicas). Em concentrações plasmáticas clinicamente relevantes foram observados toxicidade embrio</w:t>
      </w:r>
      <w:r w:rsidRPr="0063119B">
        <w:rPr>
          <w:noProof/>
          <w:szCs w:val="22"/>
        </w:rPr>
        <w:noBreakHyphen/>
        <w:t>fetal (perda pós</w:t>
      </w:r>
      <w:r w:rsidRPr="0063119B">
        <w:rPr>
          <w:noProof/>
          <w:szCs w:val="22"/>
        </w:rPr>
        <w:noBreakHyphen/>
        <w:t>implantação, ossificação retardada/desenvolvida, múltiplas manchas hepáticas de cor clara) e um aumento da incidência de malformações frequentes, bem como alterações placentárias. No estudo pré</w:t>
      </w:r>
      <w:r w:rsidRPr="0063119B">
        <w:rPr>
          <w:noProof/>
          <w:szCs w:val="22"/>
        </w:rPr>
        <w:noBreakHyphen/>
        <w:t xml:space="preserve"> e pós</w:t>
      </w:r>
      <w:r w:rsidRPr="0063119B">
        <w:rPr>
          <w:noProof/>
          <w:szCs w:val="22"/>
        </w:rPr>
        <w:noBreakHyphen/>
        <w:t>natal em ratos, observou</w:t>
      </w:r>
      <w:r w:rsidRPr="0063119B">
        <w:rPr>
          <w:noProof/>
          <w:szCs w:val="22"/>
        </w:rPr>
        <w:noBreakHyphen/>
        <w:t>se redução da viabilidade da descendência em doses que foram tóxicas para as mães.</w:t>
      </w:r>
    </w:p>
    <w:p w14:paraId="24E75F02" w14:textId="77777777" w:rsidR="00337111" w:rsidRPr="00EF3721" w:rsidRDefault="00E6413C" w:rsidP="00EF3721">
      <w:pPr>
        <w:rPr>
          <w:noProof/>
          <w:szCs w:val="22"/>
        </w:rPr>
      </w:pPr>
      <w:r>
        <w:rPr>
          <w:noProof/>
          <w:szCs w:val="22"/>
        </w:rPr>
        <w:t>O rivaroxabano foi testado em ratos juvenis com uma duração de tratamento até 3 meses, com início no dia 4 pós-natal demonstrando um aumento não relacionado com a dose na hemorragia peri-insular. Não se observaram evidências de toxicidade específica para órgãos alvo.</w:t>
      </w:r>
    </w:p>
    <w:p w14:paraId="5B34A1B2" w14:textId="77777777" w:rsidR="00337111" w:rsidRPr="0063119B" w:rsidRDefault="00337111" w:rsidP="00337111">
      <w:pPr>
        <w:suppressAutoHyphens/>
        <w:ind w:left="567" w:hanging="567"/>
        <w:rPr>
          <w:b/>
          <w:noProof/>
          <w:szCs w:val="22"/>
        </w:rPr>
      </w:pPr>
    </w:p>
    <w:p w14:paraId="0D2C1EEE" w14:textId="77777777" w:rsidR="00337111" w:rsidRPr="0063119B" w:rsidRDefault="00337111" w:rsidP="00337111">
      <w:pPr>
        <w:suppressAutoHyphens/>
        <w:ind w:left="567" w:hanging="567"/>
        <w:rPr>
          <w:noProof/>
          <w:szCs w:val="22"/>
        </w:rPr>
      </w:pPr>
      <w:r w:rsidRPr="0063119B">
        <w:rPr>
          <w:b/>
          <w:noProof/>
          <w:szCs w:val="22"/>
        </w:rPr>
        <w:t>6.</w:t>
      </w:r>
      <w:r w:rsidRPr="0063119B">
        <w:rPr>
          <w:b/>
          <w:noProof/>
          <w:szCs w:val="22"/>
        </w:rPr>
        <w:tab/>
        <w:t>INFORMAÇÕES FARMACÊUTICAS</w:t>
      </w:r>
    </w:p>
    <w:p w14:paraId="70AB4E33" w14:textId="77777777" w:rsidR="00337111" w:rsidRPr="0063119B" w:rsidRDefault="00337111" w:rsidP="00337111">
      <w:pPr>
        <w:suppressAutoHyphens/>
        <w:rPr>
          <w:noProof/>
          <w:szCs w:val="22"/>
        </w:rPr>
      </w:pPr>
    </w:p>
    <w:p w14:paraId="76E3EE24" w14:textId="77777777" w:rsidR="00337111" w:rsidRPr="0063119B" w:rsidRDefault="00337111" w:rsidP="00337111">
      <w:pPr>
        <w:suppressAutoHyphens/>
        <w:ind w:left="567" w:hanging="567"/>
        <w:rPr>
          <w:noProof/>
          <w:szCs w:val="22"/>
        </w:rPr>
      </w:pPr>
      <w:r w:rsidRPr="0063119B">
        <w:rPr>
          <w:b/>
          <w:noProof/>
          <w:szCs w:val="22"/>
        </w:rPr>
        <w:t>6.1.</w:t>
      </w:r>
      <w:r w:rsidRPr="0063119B">
        <w:rPr>
          <w:b/>
          <w:noProof/>
          <w:szCs w:val="22"/>
        </w:rPr>
        <w:tab/>
        <w:t>Lista dos excipientes</w:t>
      </w:r>
    </w:p>
    <w:p w14:paraId="2133BF69" w14:textId="77777777" w:rsidR="00337111" w:rsidRPr="0063119B" w:rsidRDefault="00337111" w:rsidP="00337111">
      <w:pPr>
        <w:suppressAutoHyphens/>
        <w:rPr>
          <w:noProof/>
          <w:szCs w:val="22"/>
        </w:rPr>
      </w:pPr>
    </w:p>
    <w:p w14:paraId="5942DB03" w14:textId="77777777" w:rsidR="00337111" w:rsidRPr="0063119B" w:rsidRDefault="00337111" w:rsidP="00337111">
      <w:pPr>
        <w:suppressAutoHyphens/>
        <w:rPr>
          <w:noProof/>
          <w:szCs w:val="22"/>
          <w:u w:val="single"/>
        </w:rPr>
      </w:pPr>
      <w:r w:rsidRPr="0063119B">
        <w:rPr>
          <w:noProof/>
          <w:szCs w:val="22"/>
          <w:u w:val="single"/>
        </w:rPr>
        <w:t>Núcleo do comprimido</w:t>
      </w:r>
    </w:p>
    <w:p w14:paraId="74D8E0F2" w14:textId="77777777" w:rsidR="00154026" w:rsidRPr="0063119B" w:rsidRDefault="00154026" w:rsidP="00337111">
      <w:pPr>
        <w:suppressAutoHyphens/>
        <w:rPr>
          <w:noProof/>
          <w:szCs w:val="22"/>
        </w:rPr>
      </w:pPr>
    </w:p>
    <w:p w14:paraId="3F3AA278" w14:textId="77777777" w:rsidR="00337111" w:rsidRPr="0063119B" w:rsidRDefault="00337111" w:rsidP="00337111">
      <w:pPr>
        <w:suppressAutoHyphens/>
        <w:rPr>
          <w:noProof/>
          <w:szCs w:val="22"/>
        </w:rPr>
      </w:pPr>
      <w:r w:rsidRPr="0063119B">
        <w:rPr>
          <w:noProof/>
          <w:szCs w:val="22"/>
        </w:rPr>
        <w:t>Lactose mono</w:t>
      </w:r>
      <w:r w:rsidR="00154026" w:rsidRPr="0063119B">
        <w:rPr>
          <w:noProof/>
          <w:szCs w:val="22"/>
        </w:rPr>
        <w:t>-</w:t>
      </w:r>
      <w:r w:rsidRPr="0063119B">
        <w:rPr>
          <w:noProof/>
          <w:szCs w:val="22"/>
        </w:rPr>
        <w:t>hidratada</w:t>
      </w:r>
    </w:p>
    <w:p w14:paraId="4777A77E" w14:textId="77777777" w:rsidR="00154026" w:rsidRPr="0063119B" w:rsidRDefault="00154026" w:rsidP="00154026">
      <w:pPr>
        <w:keepNext/>
        <w:suppressAutoHyphens/>
        <w:rPr>
          <w:noProof/>
          <w:szCs w:val="22"/>
        </w:rPr>
      </w:pPr>
      <w:r w:rsidRPr="0063119B">
        <w:rPr>
          <w:noProof/>
          <w:szCs w:val="22"/>
        </w:rPr>
        <w:t>Croscarmelose sódica (E468)</w:t>
      </w:r>
    </w:p>
    <w:p w14:paraId="546154B4" w14:textId="77777777" w:rsidR="00154026" w:rsidRPr="0063119B" w:rsidRDefault="00154026" w:rsidP="00154026">
      <w:pPr>
        <w:keepNext/>
        <w:suppressAutoHyphens/>
        <w:rPr>
          <w:noProof/>
          <w:szCs w:val="22"/>
        </w:rPr>
      </w:pPr>
      <w:r w:rsidRPr="0063119B">
        <w:rPr>
          <w:noProof/>
          <w:szCs w:val="22"/>
        </w:rPr>
        <w:t>Laurilsulfato de sódio (E487)</w:t>
      </w:r>
    </w:p>
    <w:p w14:paraId="34FB659E" w14:textId="77777777" w:rsidR="00337111" w:rsidRPr="0063119B" w:rsidRDefault="00337111" w:rsidP="00337111">
      <w:pPr>
        <w:suppressAutoHyphens/>
        <w:rPr>
          <w:noProof/>
          <w:szCs w:val="22"/>
        </w:rPr>
      </w:pPr>
      <w:r w:rsidRPr="0063119B">
        <w:rPr>
          <w:noProof/>
          <w:szCs w:val="22"/>
        </w:rPr>
        <w:t>Hipromelose</w:t>
      </w:r>
      <w:r w:rsidR="0033059D" w:rsidRPr="0063119B">
        <w:rPr>
          <w:noProof/>
          <w:szCs w:val="22"/>
        </w:rPr>
        <w:t xml:space="preserve"> </w:t>
      </w:r>
      <w:r w:rsidR="000C03A0" w:rsidRPr="0063119B">
        <w:rPr>
          <w:noProof/>
          <w:szCs w:val="22"/>
        </w:rPr>
        <w:t xml:space="preserve">2910 </w:t>
      </w:r>
      <w:r w:rsidR="0033059D" w:rsidRPr="0063119B">
        <w:rPr>
          <w:noProof/>
          <w:szCs w:val="22"/>
        </w:rPr>
        <w:t>(viscosidade nominal 5,1 mPa</w:t>
      </w:r>
      <w:r w:rsidR="00E37B71" w:rsidRPr="0063119B">
        <w:rPr>
          <w:noProof/>
          <w:szCs w:val="22"/>
        </w:rPr>
        <w:t>.</w:t>
      </w:r>
      <w:r w:rsidR="0033059D" w:rsidRPr="0063119B">
        <w:rPr>
          <w:noProof/>
          <w:szCs w:val="22"/>
        </w:rPr>
        <w:t>S)</w:t>
      </w:r>
      <w:r w:rsidR="00154026" w:rsidRPr="0063119B">
        <w:rPr>
          <w:noProof/>
          <w:szCs w:val="22"/>
        </w:rPr>
        <w:t xml:space="preserve"> (E464)</w:t>
      </w:r>
    </w:p>
    <w:p w14:paraId="2B762B47" w14:textId="77777777" w:rsidR="00154026" w:rsidRPr="0063119B" w:rsidRDefault="00154026" w:rsidP="00154026">
      <w:pPr>
        <w:keepNext/>
        <w:suppressAutoHyphens/>
        <w:rPr>
          <w:noProof/>
          <w:szCs w:val="22"/>
        </w:rPr>
      </w:pPr>
      <w:r w:rsidRPr="0063119B">
        <w:rPr>
          <w:noProof/>
          <w:szCs w:val="22"/>
        </w:rPr>
        <w:t>Celulose microcristalina (E460)</w:t>
      </w:r>
    </w:p>
    <w:p w14:paraId="6F670434" w14:textId="77777777" w:rsidR="00154026" w:rsidRPr="0063119B" w:rsidRDefault="00154026" w:rsidP="00154026">
      <w:pPr>
        <w:keepNext/>
        <w:suppressAutoHyphens/>
        <w:rPr>
          <w:noProof/>
          <w:szCs w:val="22"/>
        </w:rPr>
      </w:pPr>
      <w:r w:rsidRPr="0063119B">
        <w:rPr>
          <w:noProof/>
          <w:szCs w:val="22"/>
        </w:rPr>
        <w:t>Sílica coloidal anidra (E551)</w:t>
      </w:r>
    </w:p>
    <w:p w14:paraId="5E192EAF" w14:textId="77777777" w:rsidR="00337111" w:rsidRPr="0063119B" w:rsidRDefault="00337111" w:rsidP="00337111">
      <w:pPr>
        <w:suppressAutoHyphens/>
        <w:rPr>
          <w:noProof/>
          <w:szCs w:val="22"/>
        </w:rPr>
      </w:pPr>
      <w:r w:rsidRPr="0063119B">
        <w:rPr>
          <w:noProof/>
          <w:szCs w:val="22"/>
        </w:rPr>
        <w:t>Estearato de magnésio</w:t>
      </w:r>
      <w:r w:rsidR="00154026" w:rsidRPr="0063119B">
        <w:rPr>
          <w:noProof/>
          <w:szCs w:val="22"/>
        </w:rPr>
        <w:t xml:space="preserve"> (E572)</w:t>
      </w:r>
    </w:p>
    <w:p w14:paraId="0720C9B7" w14:textId="77777777" w:rsidR="00337111" w:rsidRPr="0063119B" w:rsidRDefault="00337111" w:rsidP="00337111">
      <w:pPr>
        <w:suppressAutoHyphens/>
        <w:rPr>
          <w:i/>
          <w:noProof/>
          <w:szCs w:val="22"/>
          <w:u w:val="single"/>
        </w:rPr>
      </w:pPr>
    </w:p>
    <w:p w14:paraId="0FE738AA" w14:textId="77777777" w:rsidR="00337111" w:rsidRPr="0063119B" w:rsidRDefault="00337111" w:rsidP="00337111">
      <w:pPr>
        <w:suppressAutoHyphens/>
        <w:rPr>
          <w:noProof/>
          <w:szCs w:val="22"/>
          <w:u w:val="single"/>
        </w:rPr>
      </w:pPr>
      <w:r w:rsidRPr="0063119B">
        <w:rPr>
          <w:noProof/>
          <w:szCs w:val="22"/>
          <w:u w:val="single"/>
        </w:rPr>
        <w:t>Revestimento do comprimido</w:t>
      </w:r>
    </w:p>
    <w:p w14:paraId="34759AAA" w14:textId="77777777" w:rsidR="00154026" w:rsidRPr="0063119B" w:rsidRDefault="00154026" w:rsidP="00337111">
      <w:pPr>
        <w:suppressAutoHyphens/>
        <w:rPr>
          <w:noProof/>
          <w:szCs w:val="22"/>
        </w:rPr>
      </w:pPr>
    </w:p>
    <w:p w14:paraId="1EBB3B7C" w14:textId="77777777" w:rsidR="00337111" w:rsidRPr="0063119B" w:rsidRDefault="000C03A0" w:rsidP="00337111">
      <w:pPr>
        <w:suppressAutoHyphens/>
        <w:rPr>
          <w:noProof/>
          <w:szCs w:val="22"/>
        </w:rPr>
      </w:pPr>
      <w:r w:rsidRPr="0063119B">
        <w:rPr>
          <w:noProof/>
          <w:szCs w:val="22"/>
        </w:rPr>
        <w:t>Macrog</w:t>
      </w:r>
      <w:r w:rsidR="0033059D" w:rsidRPr="0063119B">
        <w:rPr>
          <w:noProof/>
          <w:szCs w:val="22"/>
        </w:rPr>
        <w:t>ol</w:t>
      </w:r>
      <w:r w:rsidR="00154026" w:rsidRPr="0063119B">
        <w:rPr>
          <w:noProof/>
          <w:szCs w:val="22"/>
        </w:rPr>
        <w:t xml:space="preserve"> 4000 (E1521)</w:t>
      </w:r>
    </w:p>
    <w:p w14:paraId="0FE5C1B7" w14:textId="77777777" w:rsidR="00337111" w:rsidRPr="0063119B" w:rsidRDefault="00337111" w:rsidP="00337111">
      <w:pPr>
        <w:suppressAutoHyphens/>
        <w:rPr>
          <w:noProof/>
          <w:szCs w:val="22"/>
        </w:rPr>
      </w:pPr>
      <w:r w:rsidRPr="0063119B">
        <w:rPr>
          <w:noProof/>
          <w:szCs w:val="22"/>
        </w:rPr>
        <w:t>Hipromelose</w:t>
      </w:r>
      <w:r w:rsidR="000C03A0" w:rsidRPr="0063119B">
        <w:rPr>
          <w:noProof/>
          <w:szCs w:val="22"/>
        </w:rPr>
        <w:t xml:space="preserve"> 2910</w:t>
      </w:r>
      <w:r w:rsidR="0033059D" w:rsidRPr="0063119B">
        <w:rPr>
          <w:noProof/>
          <w:szCs w:val="22"/>
        </w:rPr>
        <w:t xml:space="preserve"> (viscosidade nominal 5,1 mPa</w:t>
      </w:r>
      <w:r w:rsidR="00E37B71" w:rsidRPr="0063119B">
        <w:rPr>
          <w:noProof/>
          <w:szCs w:val="22"/>
        </w:rPr>
        <w:t>.</w:t>
      </w:r>
      <w:r w:rsidR="0033059D" w:rsidRPr="0063119B">
        <w:rPr>
          <w:noProof/>
          <w:szCs w:val="22"/>
        </w:rPr>
        <w:t>S)</w:t>
      </w:r>
      <w:r w:rsidR="00154026" w:rsidRPr="0063119B">
        <w:rPr>
          <w:noProof/>
          <w:szCs w:val="22"/>
        </w:rPr>
        <w:t xml:space="preserve"> (E464)</w:t>
      </w:r>
    </w:p>
    <w:p w14:paraId="7C454FC3" w14:textId="77777777" w:rsidR="00337111" w:rsidRPr="0063119B" w:rsidRDefault="00337111" w:rsidP="00337111">
      <w:pPr>
        <w:suppressAutoHyphens/>
        <w:rPr>
          <w:noProof/>
          <w:szCs w:val="22"/>
        </w:rPr>
      </w:pPr>
      <w:r w:rsidRPr="0063119B">
        <w:rPr>
          <w:noProof/>
          <w:szCs w:val="22"/>
        </w:rPr>
        <w:t>Dióxido de titânio (E171)</w:t>
      </w:r>
    </w:p>
    <w:p w14:paraId="0A11D438" w14:textId="77777777" w:rsidR="00337111" w:rsidRPr="0063119B" w:rsidRDefault="00337111" w:rsidP="00337111">
      <w:pPr>
        <w:suppressAutoHyphens/>
        <w:rPr>
          <w:noProof/>
          <w:szCs w:val="22"/>
        </w:rPr>
      </w:pPr>
      <w:r w:rsidRPr="0063119B">
        <w:rPr>
          <w:noProof/>
          <w:szCs w:val="22"/>
        </w:rPr>
        <w:t>Óxido de ferro vermelho (E172)</w:t>
      </w:r>
    </w:p>
    <w:p w14:paraId="69071CDE" w14:textId="77777777" w:rsidR="00337111" w:rsidRPr="0063119B" w:rsidRDefault="00337111" w:rsidP="00337111">
      <w:pPr>
        <w:suppressAutoHyphens/>
        <w:rPr>
          <w:noProof/>
          <w:szCs w:val="22"/>
        </w:rPr>
      </w:pPr>
    </w:p>
    <w:p w14:paraId="50EB5726" w14:textId="77777777" w:rsidR="00337111" w:rsidRPr="0063119B" w:rsidRDefault="00337111" w:rsidP="00337111">
      <w:pPr>
        <w:keepNext/>
        <w:suppressAutoHyphens/>
        <w:ind w:left="567" w:hanging="567"/>
        <w:rPr>
          <w:b/>
          <w:noProof/>
          <w:szCs w:val="22"/>
        </w:rPr>
      </w:pPr>
      <w:r w:rsidRPr="0063119B">
        <w:rPr>
          <w:b/>
          <w:noProof/>
          <w:szCs w:val="22"/>
        </w:rPr>
        <w:lastRenderedPageBreak/>
        <w:t>6.2</w:t>
      </w:r>
      <w:r w:rsidRPr="0063119B">
        <w:rPr>
          <w:b/>
          <w:noProof/>
          <w:szCs w:val="22"/>
        </w:rPr>
        <w:tab/>
        <w:t>Incompatibilidades</w:t>
      </w:r>
    </w:p>
    <w:p w14:paraId="6F7B3939" w14:textId="77777777" w:rsidR="00337111" w:rsidRPr="0063119B" w:rsidRDefault="00337111" w:rsidP="00337111">
      <w:pPr>
        <w:keepNext/>
        <w:rPr>
          <w:noProof/>
          <w:szCs w:val="22"/>
        </w:rPr>
      </w:pPr>
    </w:p>
    <w:p w14:paraId="654F398A" w14:textId="77777777" w:rsidR="00337111" w:rsidRPr="0063119B" w:rsidRDefault="00337111" w:rsidP="00337111">
      <w:pPr>
        <w:keepNext/>
        <w:rPr>
          <w:noProof/>
          <w:szCs w:val="22"/>
        </w:rPr>
      </w:pPr>
      <w:r w:rsidRPr="0063119B">
        <w:rPr>
          <w:noProof/>
          <w:szCs w:val="22"/>
        </w:rPr>
        <w:t>Não aplicável.</w:t>
      </w:r>
    </w:p>
    <w:p w14:paraId="2B5F4A76" w14:textId="77777777" w:rsidR="00337111" w:rsidRPr="0063119B" w:rsidRDefault="00337111" w:rsidP="00337111">
      <w:pPr>
        <w:suppressAutoHyphens/>
        <w:rPr>
          <w:noProof/>
          <w:szCs w:val="22"/>
        </w:rPr>
      </w:pPr>
    </w:p>
    <w:p w14:paraId="01B856DB" w14:textId="77777777" w:rsidR="00337111" w:rsidRPr="0063119B" w:rsidRDefault="00337111" w:rsidP="00337111">
      <w:pPr>
        <w:suppressAutoHyphens/>
        <w:ind w:left="567" w:hanging="567"/>
        <w:rPr>
          <w:noProof/>
          <w:szCs w:val="22"/>
        </w:rPr>
      </w:pPr>
      <w:r w:rsidRPr="0063119B">
        <w:rPr>
          <w:b/>
          <w:noProof/>
          <w:szCs w:val="22"/>
        </w:rPr>
        <w:t>6.3</w:t>
      </w:r>
      <w:r w:rsidRPr="0063119B">
        <w:rPr>
          <w:b/>
          <w:noProof/>
          <w:szCs w:val="22"/>
        </w:rPr>
        <w:tab/>
        <w:t>Prazo de validade</w:t>
      </w:r>
    </w:p>
    <w:p w14:paraId="17E8B5B3" w14:textId="77777777" w:rsidR="00337111" w:rsidRPr="0063119B" w:rsidRDefault="00337111" w:rsidP="00337111">
      <w:pPr>
        <w:suppressAutoHyphens/>
        <w:rPr>
          <w:noProof/>
          <w:szCs w:val="22"/>
        </w:rPr>
      </w:pPr>
    </w:p>
    <w:p w14:paraId="558F58F6" w14:textId="77777777" w:rsidR="00337111" w:rsidRPr="0063119B" w:rsidRDefault="00154026" w:rsidP="00337111">
      <w:pPr>
        <w:suppressAutoHyphens/>
        <w:rPr>
          <w:noProof/>
          <w:szCs w:val="22"/>
        </w:rPr>
      </w:pPr>
      <w:r w:rsidRPr="0063119B">
        <w:rPr>
          <w:noProof/>
          <w:szCs w:val="22"/>
        </w:rPr>
        <w:t>2 </w:t>
      </w:r>
      <w:r w:rsidR="00337111" w:rsidRPr="0063119B">
        <w:rPr>
          <w:noProof/>
          <w:szCs w:val="22"/>
        </w:rPr>
        <w:t>anos</w:t>
      </w:r>
      <w:r w:rsidR="00932EC8" w:rsidRPr="0063119B">
        <w:rPr>
          <w:noProof/>
          <w:szCs w:val="22"/>
        </w:rPr>
        <w:t>.</w:t>
      </w:r>
    </w:p>
    <w:p w14:paraId="7754CA67" w14:textId="77777777" w:rsidR="00337111" w:rsidRDefault="00337111" w:rsidP="00337111">
      <w:pPr>
        <w:suppressAutoHyphens/>
        <w:rPr>
          <w:noProof/>
          <w:szCs w:val="22"/>
        </w:rPr>
      </w:pPr>
    </w:p>
    <w:p w14:paraId="0AE5C6FC" w14:textId="77777777" w:rsidR="00E6413C" w:rsidRPr="00E6413C" w:rsidRDefault="00E6413C" w:rsidP="00E6413C">
      <w:pPr>
        <w:autoSpaceDE w:val="0"/>
        <w:autoSpaceDN w:val="0"/>
        <w:adjustRightInd w:val="0"/>
        <w:rPr>
          <w:color w:val="000000"/>
          <w:szCs w:val="22"/>
          <w:lang w:eastAsia="pt-PT"/>
        </w:rPr>
      </w:pPr>
      <w:r w:rsidRPr="00E6413C">
        <w:rPr>
          <w:color w:val="000000"/>
          <w:szCs w:val="22"/>
          <w:lang w:eastAsia="pt-PT"/>
        </w:rPr>
        <w:t xml:space="preserve">Comprimidos triturados </w:t>
      </w:r>
    </w:p>
    <w:p w14:paraId="2C0F64E0" w14:textId="77777777" w:rsidR="00E6413C" w:rsidRDefault="00E6413C" w:rsidP="00E6413C">
      <w:pPr>
        <w:suppressAutoHyphens/>
        <w:rPr>
          <w:color w:val="000000"/>
          <w:szCs w:val="22"/>
          <w:lang w:eastAsia="pt-PT"/>
        </w:rPr>
      </w:pPr>
      <w:r w:rsidRPr="00E6413C">
        <w:rPr>
          <w:color w:val="000000"/>
          <w:szCs w:val="22"/>
          <w:lang w:eastAsia="pt-PT"/>
        </w:rPr>
        <w:t>Os comprimidos triturados de rivaroxabano são estáveis na água e no puré de maçã até 4 horas.</w:t>
      </w:r>
    </w:p>
    <w:p w14:paraId="659DA91C" w14:textId="77777777" w:rsidR="00E6413C" w:rsidRPr="0063119B" w:rsidRDefault="00E6413C" w:rsidP="00E6413C">
      <w:pPr>
        <w:suppressAutoHyphens/>
        <w:rPr>
          <w:noProof/>
          <w:szCs w:val="22"/>
        </w:rPr>
      </w:pPr>
    </w:p>
    <w:p w14:paraId="6C6D78CD" w14:textId="77777777" w:rsidR="00337111" w:rsidRPr="0063119B" w:rsidRDefault="00337111" w:rsidP="00337111">
      <w:pPr>
        <w:suppressAutoHyphens/>
        <w:ind w:left="567" w:hanging="567"/>
        <w:rPr>
          <w:noProof/>
          <w:szCs w:val="22"/>
        </w:rPr>
      </w:pPr>
      <w:r w:rsidRPr="0063119B">
        <w:rPr>
          <w:b/>
          <w:noProof/>
          <w:szCs w:val="22"/>
        </w:rPr>
        <w:t>6.4</w:t>
      </w:r>
      <w:r w:rsidRPr="0063119B">
        <w:rPr>
          <w:b/>
          <w:noProof/>
          <w:szCs w:val="22"/>
        </w:rPr>
        <w:tab/>
        <w:t>Precauções especiais de conservação</w:t>
      </w:r>
    </w:p>
    <w:p w14:paraId="3EC04450" w14:textId="77777777" w:rsidR="00337111" w:rsidRPr="0063119B" w:rsidRDefault="00337111" w:rsidP="00337111">
      <w:pPr>
        <w:suppressAutoHyphens/>
        <w:rPr>
          <w:noProof/>
          <w:szCs w:val="22"/>
        </w:rPr>
      </w:pPr>
    </w:p>
    <w:p w14:paraId="71098401" w14:textId="77777777" w:rsidR="00337111" w:rsidRPr="0063119B" w:rsidRDefault="00337111" w:rsidP="00337111">
      <w:pPr>
        <w:suppressAutoHyphens/>
        <w:rPr>
          <w:noProof/>
          <w:szCs w:val="22"/>
        </w:rPr>
      </w:pPr>
      <w:r w:rsidRPr="0063119B">
        <w:rPr>
          <w:noProof/>
          <w:szCs w:val="22"/>
        </w:rPr>
        <w:t>Este medicamento não necessita de condições especiais de conservação.</w:t>
      </w:r>
    </w:p>
    <w:p w14:paraId="151A1D7E" w14:textId="77777777" w:rsidR="00337111" w:rsidRPr="0063119B" w:rsidRDefault="00337111" w:rsidP="00337111">
      <w:pPr>
        <w:suppressAutoHyphens/>
        <w:ind w:left="567" w:hanging="567"/>
        <w:rPr>
          <w:b/>
          <w:noProof/>
          <w:szCs w:val="22"/>
        </w:rPr>
      </w:pPr>
    </w:p>
    <w:p w14:paraId="25EA1975" w14:textId="77777777" w:rsidR="00337111" w:rsidRPr="0063119B" w:rsidRDefault="00337111" w:rsidP="00337111">
      <w:pPr>
        <w:suppressAutoHyphens/>
        <w:ind w:left="567" w:hanging="567"/>
        <w:rPr>
          <w:noProof/>
          <w:szCs w:val="22"/>
        </w:rPr>
      </w:pPr>
      <w:r w:rsidRPr="0063119B">
        <w:rPr>
          <w:b/>
          <w:noProof/>
          <w:szCs w:val="22"/>
        </w:rPr>
        <w:t>6.5</w:t>
      </w:r>
      <w:r w:rsidRPr="0063119B">
        <w:rPr>
          <w:b/>
          <w:noProof/>
          <w:szCs w:val="22"/>
        </w:rPr>
        <w:tab/>
        <w:t>Natureza e conteúdo do recipiente</w:t>
      </w:r>
    </w:p>
    <w:p w14:paraId="20DF5733" w14:textId="77777777" w:rsidR="00337111" w:rsidRPr="0063119B" w:rsidRDefault="00337111" w:rsidP="00337111">
      <w:pPr>
        <w:suppressAutoHyphens/>
        <w:rPr>
          <w:noProof/>
          <w:szCs w:val="22"/>
        </w:rPr>
      </w:pPr>
    </w:p>
    <w:p w14:paraId="3321141F" w14:textId="77777777" w:rsidR="00337111" w:rsidRPr="0063119B" w:rsidRDefault="00337111" w:rsidP="00337111">
      <w:pPr>
        <w:suppressAutoHyphens/>
        <w:rPr>
          <w:noProof/>
          <w:szCs w:val="22"/>
        </w:rPr>
      </w:pPr>
      <w:r w:rsidRPr="0063119B">
        <w:rPr>
          <w:noProof/>
          <w:szCs w:val="22"/>
        </w:rPr>
        <w:t xml:space="preserve">Blisters de </w:t>
      </w:r>
      <w:r w:rsidR="00154026" w:rsidRPr="0063119B">
        <w:rPr>
          <w:noProof/>
          <w:szCs w:val="22"/>
        </w:rPr>
        <w:t>PVC transparente</w:t>
      </w:r>
      <w:r w:rsidRPr="0063119B">
        <w:rPr>
          <w:noProof/>
          <w:szCs w:val="22"/>
        </w:rPr>
        <w:t xml:space="preserve">/alumínio em embalagens de </w:t>
      </w:r>
      <w:r w:rsidR="00943737" w:rsidRPr="0063119B">
        <w:rPr>
          <w:noProof/>
          <w:szCs w:val="22"/>
        </w:rPr>
        <w:t xml:space="preserve">10, </w:t>
      </w:r>
      <w:r w:rsidRPr="0063119B">
        <w:rPr>
          <w:noProof/>
          <w:szCs w:val="22"/>
        </w:rPr>
        <w:t>14, 28</w:t>
      </w:r>
      <w:r w:rsidR="00154026" w:rsidRPr="0063119B">
        <w:rPr>
          <w:noProof/>
          <w:szCs w:val="22"/>
        </w:rPr>
        <w:t>, 30, 42, 56, 90, 98</w:t>
      </w:r>
      <w:r w:rsidRPr="0063119B">
        <w:rPr>
          <w:noProof/>
          <w:szCs w:val="22"/>
        </w:rPr>
        <w:t xml:space="preserve"> ou </w:t>
      </w:r>
      <w:r w:rsidR="00154026" w:rsidRPr="0063119B">
        <w:rPr>
          <w:noProof/>
          <w:szCs w:val="22"/>
        </w:rPr>
        <w:t>100</w:t>
      </w:r>
      <w:r w:rsidRPr="0063119B">
        <w:rPr>
          <w:noProof/>
          <w:szCs w:val="22"/>
        </w:rPr>
        <w:t xml:space="preserve"> comprimidos revestidos por película ou blisters </w:t>
      </w:r>
      <w:r w:rsidR="00154026" w:rsidRPr="0063119B">
        <w:rPr>
          <w:noProof/>
          <w:szCs w:val="22"/>
        </w:rPr>
        <w:t xml:space="preserve">perfurados </w:t>
      </w:r>
      <w:r w:rsidRPr="0063119B">
        <w:rPr>
          <w:noProof/>
          <w:szCs w:val="22"/>
        </w:rPr>
        <w:t>para dose unitária em embalagens de 10 x 1</w:t>
      </w:r>
      <w:r w:rsidR="00154026" w:rsidRPr="0063119B">
        <w:rPr>
          <w:noProof/>
          <w:szCs w:val="22"/>
        </w:rPr>
        <w:t xml:space="preserve"> ou</w:t>
      </w:r>
      <w:r w:rsidRPr="0063119B">
        <w:rPr>
          <w:noProof/>
          <w:szCs w:val="22"/>
        </w:rPr>
        <w:t xml:space="preserve"> 100 x 1  comprimidos revestidos por película.</w:t>
      </w:r>
    </w:p>
    <w:p w14:paraId="170DC5E0" w14:textId="77777777" w:rsidR="00154026" w:rsidRPr="0063119B" w:rsidRDefault="00154026" w:rsidP="00154026">
      <w:pPr>
        <w:suppressAutoHyphens/>
        <w:rPr>
          <w:szCs w:val="22"/>
        </w:rPr>
      </w:pPr>
      <w:r w:rsidRPr="0063119B">
        <w:rPr>
          <w:noProof/>
          <w:szCs w:val="22"/>
        </w:rPr>
        <w:t>Frascos de PEAD com um fecho</w:t>
      </w:r>
      <w:r w:rsidRPr="0063119B">
        <w:rPr>
          <w:szCs w:val="22"/>
        </w:rPr>
        <w:t xml:space="preserve"> de polipropileno branco opaco, resistente à abertura por crianças, revestido com um selo de indução. Apresentação de 30 ou 90 comprimidos revestidos por película.</w:t>
      </w:r>
    </w:p>
    <w:p w14:paraId="066CE956" w14:textId="77777777" w:rsidR="00154026" w:rsidRPr="0063119B" w:rsidRDefault="00154026" w:rsidP="00154026">
      <w:pPr>
        <w:suppressAutoHyphens/>
        <w:rPr>
          <w:szCs w:val="22"/>
        </w:rPr>
      </w:pPr>
      <w:r w:rsidRPr="0063119B">
        <w:rPr>
          <w:noProof/>
          <w:szCs w:val="22"/>
        </w:rPr>
        <w:t>Frascos de PEAD com um fecho</w:t>
      </w:r>
      <w:r w:rsidRPr="0063119B">
        <w:rPr>
          <w:szCs w:val="22"/>
        </w:rPr>
        <w:t xml:space="preserve"> de rosca contínua de polipropileno branco opaco, resistente à abertura por crianças, revestido com um selo de indução. Apresentação de 500 comprimidos revestidos por película.</w:t>
      </w:r>
    </w:p>
    <w:p w14:paraId="1B403C3F" w14:textId="77777777" w:rsidR="00337111" w:rsidRPr="0063119B" w:rsidRDefault="00337111" w:rsidP="00337111">
      <w:pPr>
        <w:suppressAutoHyphens/>
        <w:rPr>
          <w:noProof/>
          <w:szCs w:val="22"/>
        </w:rPr>
      </w:pPr>
    </w:p>
    <w:p w14:paraId="0A53F29D" w14:textId="77777777" w:rsidR="00A9161F" w:rsidRPr="0063119B" w:rsidRDefault="00337111" w:rsidP="006D55A6">
      <w:pPr>
        <w:suppressAutoHyphens/>
        <w:rPr>
          <w:noProof/>
          <w:szCs w:val="22"/>
        </w:rPr>
      </w:pPr>
      <w:r w:rsidRPr="0063119B">
        <w:rPr>
          <w:noProof/>
          <w:szCs w:val="22"/>
        </w:rPr>
        <w:t>É possível que não sejam comercializadas todas as apresentações.</w:t>
      </w:r>
    </w:p>
    <w:p w14:paraId="518F2D94" w14:textId="77777777" w:rsidR="00A9161F" w:rsidRPr="0063119B" w:rsidRDefault="00A9161F" w:rsidP="006D55A6">
      <w:pPr>
        <w:suppressAutoHyphens/>
        <w:rPr>
          <w:noProof/>
          <w:szCs w:val="22"/>
        </w:rPr>
      </w:pPr>
    </w:p>
    <w:p w14:paraId="7CD4579C" w14:textId="77777777" w:rsidR="00337111" w:rsidRPr="0063119B" w:rsidRDefault="00337111" w:rsidP="006D55A6">
      <w:pPr>
        <w:suppressAutoHyphens/>
        <w:rPr>
          <w:noProof/>
          <w:szCs w:val="22"/>
        </w:rPr>
      </w:pPr>
      <w:r w:rsidRPr="0063119B">
        <w:rPr>
          <w:b/>
          <w:noProof/>
          <w:szCs w:val="22"/>
        </w:rPr>
        <w:t>6.6</w:t>
      </w:r>
      <w:r w:rsidRPr="0063119B">
        <w:rPr>
          <w:b/>
          <w:noProof/>
          <w:szCs w:val="22"/>
        </w:rPr>
        <w:tab/>
        <w:t>Precauções especiais de eliminação</w:t>
      </w:r>
      <w:r w:rsidR="00154026" w:rsidRPr="0063119B">
        <w:rPr>
          <w:b/>
          <w:noProof/>
          <w:szCs w:val="22"/>
        </w:rPr>
        <w:t xml:space="preserve"> e manuseamento</w:t>
      </w:r>
    </w:p>
    <w:p w14:paraId="7931FB7F" w14:textId="77777777" w:rsidR="00337111" w:rsidRPr="0063119B" w:rsidRDefault="00337111" w:rsidP="00337111">
      <w:pPr>
        <w:suppressAutoHyphens/>
        <w:rPr>
          <w:noProof/>
          <w:szCs w:val="22"/>
        </w:rPr>
      </w:pPr>
    </w:p>
    <w:p w14:paraId="0D8A32D9" w14:textId="77777777" w:rsidR="00337111" w:rsidRPr="0063119B" w:rsidRDefault="00BB08D0" w:rsidP="00337111">
      <w:pPr>
        <w:suppressAutoHyphens/>
        <w:rPr>
          <w:noProof/>
          <w:szCs w:val="22"/>
        </w:rPr>
      </w:pPr>
      <w:r w:rsidRPr="0063119B">
        <w:rPr>
          <w:noProof/>
          <w:szCs w:val="22"/>
        </w:rPr>
        <w:t>Qualquer medicamento não utilizado ou resíduos devem ser eliminados de acordo com as exigências locais.</w:t>
      </w:r>
    </w:p>
    <w:p w14:paraId="09CD5E1E" w14:textId="77777777" w:rsidR="00337111" w:rsidRDefault="00337111" w:rsidP="00337111">
      <w:pPr>
        <w:suppressAutoHyphens/>
        <w:rPr>
          <w:noProof/>
          <w:szCs w:val="22"/>
        </w:rPr>
      </w:pPr>
    </w:p>
    <w:p w14:paraId="26A0499D" w14:textId="77777777" w:rsidR="00E6413C" w:rsidRPr="00E6413C" w:rsidRDefault="00E6413C" w:rsidP="00E6413C">
      <w:pPr>
        <w:autoSpaceDE w:val="0"/>
        <w:autoSpaceDN w:val="0"/>
        <w:adjustRightInd w:val="0"/>
        <w:rPr>
          <w:color w:val="000000"/>
          <w:szCs w:val="22"/>
          <w:lang w:eastAsia="pt-PT"/>
        </w:rPr>
      </w:pPr>
      <w:r w:rsidRPr="00E6413C">
        <w:rPr>
          <w:color w:val="000000"/>
          <w:szCs w:val="22"/>
          <w:lang w:eastAsia="pt-PT"/>
        </w:rPr>
        <w:t xml:space="preserve">Trituração dos comprimidos </w:t>
      </w:r>
    </w:p>
    <w:p w14:paraId="6E34E606" w14:textId="77777777" w:rsidR="00E6413C" w:rsidRPr="0063119B" w:rsidRDefault="00E6413C" w:rsidP="00E6413C">
      <w:pPr>
        <w:suppressAutoHyphens/>
        <w:rPr>
          <w:noProof/>
          <w:szCs w:val="22"/>
        </w:rPr>
      </w:pPr>
      <w:r w:rsidRPr="00E6413C">
        <w:rPr>
          <w:color w:val="000000"/>
          <w:szCs w:val="22"/>
          <w:lang w:eastAsia="pt-PT"/>
        </w:rPr>
        <w:t>Os comprimidos de rivaroxabano podem ser esmagados e suspensos em 50 ml de água e administrados através de uma sonda nasogástrica ou uma sonda de alimentação gástrica após confirmação da colocação gástrica da sonda. Em seguida, a sonda deve ser irrigada com água. Uma vez que a absorção do rivaroxabano depende do local de libertação da substância ativa, deverá evitar-se a administração do rivaroxabano em posição distal em relação ao estômago, o que pode resultar numa absorção reduzida e, por conseguinte, numa exposição reduzida à substância ativa. Após a administração de um comprimido esmagado de 15 mg ou 20 mg de rivaroxabano, a dose deve ser imediatamente seguida de nutrição entérica.</w:t>
      </w:r>
    </w:p>
    <w:p w14:paraId="7E6953C9" w14:textId="77777777" w:rsidR="00337111" w:rsidRPr="0063119B" w:rsidRDefault="00337111" w:rsidP="00337111">
      <w:pPr>
        <w:suppressAutoHyphens/>
        <w:rPr>
          <w:noProof/>
          <w:szCs w:val="22"/>
        </w:rPr>
      </w:pPr>
    </w:p>
    <w:p w14:paraId="29C03D88" w14:textId="77777777" w:rsidR="00337111" w:rsidRPr="0063119B" w:rsidRDefault="00337111" w:rsidP="00337111">
      <w:pPr>
        <w:suppressAutoHyphens/>
        <w:ind w:left="567" w:hanging="567"/>
        <w:rPr>
          <w:noProof/>
          <w:szCs w:val="22"/>
        </w:rPr>
      </w:pPr>
      <w:r w:rsidRPr="0063119B">
        <w:rPr>
          <w:b/>
          <w:noProof/>
          <w:szCs w:val="22"/>
        </w:rPr>
        <w:t>7.</w:t>
      </w:r>
      <w:r w:rsidRPr="0063119B">
        <w:rPr>
          <w:b/>
          <w:noProof/>
          <w:szCs w:val="22"/>
        </w:rPr>
        <w:tab/>
        <w:t>TITULAR DA AUTORIZAÇÃO DE INTRODUÇÃO NO MERCADO</w:t>
      </w:r>
    </w:p>
    <w:p w14:paraId="4F055974" w14:textId="77777777" w:rsidR="00337111" w:rsidRPr="0063119B" w:rsidRDefault="00337111" w:rsidP="00337111">
      <w:pPr>
        <w:suppressAutoHyphens/>
        <w:rPr>
          <w:noProof/>
          <w:szCs w:val="22"/>
        </w:rPr>
      </w:pPr>
    </w:p>
    <w:p w14:paraId="1B45A92F" w14:textId="77777777" w:rsidR="00154026" w:rsidRPr="0063119B" w:rsidRDefault="00154026" w:rsidP="00154026">
      <w:pPr>
        <w:rPr>
          <w:szCs w:val="22"/>
          <w:lang w:val="en-GB"/>
        </w:rPr>
      </w:pPr>
      <w:r w:rsidRPr="0063119B">
        <w:rPr>
          <w:szCs w:val="22"/>
          <w:lang w:val="en-GB"/>
        </w:rPr>
        <w:t>Accord Healthcare S.L.U.</w:t>
      </w:r>
    </w:p>
    <w:p w14:paraId="5A783515" w14:textId="77777777" w:rsidR="00154026" w:rsidRPr="0063119B" w:rsidRDefault="00154026" w:rsidP="00154026">
      <w:pPr>
        <w:rPr>
          <w:szCs w:val="22"/>
        </w:rPr>
      </w:pPr>
      <w:r w:rsidRPr="0063119B">
        <w:rPr>
          <w:szCs w:val="22"/>
        </w:rPr>
        <w:t xml:space="preserve">World Trade Center, Moll de Barcelona, s/n, Edifici Est 6ª planta, </w:t>
      </w:r>
    </w:p>
    <w:p w14:paraId="50994BA2" w14:textId="77777777" w:rsidR="00154026" w:rsidRPr="0063119B" w:rsidRDefault="00154026" w:rsidP="00154026">
      <w:pPr>
        <w:rPr>
          <w:szCs w:val="22"/>
        </w:rPr>
      </w:pPr>
      <w:r w:rsidRPr="0063119B">
        <w:rPr>
          <w:szCs w:val="22"/>
        </w:rPr>
        <w:t>Barcelona, 08039</w:t>
      </w:r>
    </w:p>
    <w:p w14:paraId="23F75A00" w14:textId="77777777" w:rsidR="00154026" w:rsidRPr="0063119B" w:rsidRDefault="00154026" w:rsidP="00154026">
      <w:pPr>
        <w:rPr>
          <w:szCs w:val="22"/>
        </w:rPr>
      </w:pPr>
      <w:r w:rsidRPr="0063119B">
        <w:rPr>
          <w:szCs w:val="22"/>
        </w:rPr>
        <w:t>Espanha</w:t>
      </w:r>
    </w:p>
    <w:p w14:paraId="634464CD" w14:textId="77777777" w:rsidR="00337111" w:rsidRPr="0063119B" w:rsidRDefault="00337111" w:rsidP="00337111">
      <w:pPr>
        <w:suppressAutoHyphens/>
        <w:rPr>
          <w:noProof/>
          <w:szCs w:val="22"/>
        </w:rPr>
      </w:pPr>
    </w:p>
    <w:p w14:paraId="51DBEC28" w14:textId="77777777" w:rsidR="00337111" w:rsidRPr="0063119B" w:rsidRDefault="00337111" w:rsidP="00337111">
      <w:pPr>
        <w:suppressAutoHyphens/>
        <w:rPr>
          <w:noProof/>
          <w:szCs w:val="22"/>
        </w:rPr>
      </w:pPr>
    </w:p>
    <w:p w14:paraId="7CFF92A5" w14:textId="77777777" w:rsidR="00337111" w:rsidRPr="0063119B" w:rsidRDefault="00337111" w:rsidP="0067053F">
      <w:pPr>
        <w:keepNext/>
        <w:keepLines/>
        <w:suppressAutoHyphens/>
        <w:ind w:left="567" w:hanging="567"/>
        <w:rPr>
          <w:b/>
          <w:noProof/>
          <w:szCs w:val="22"/>
        </w:rPr>
      </w:pPr>
      <w:r w:rsidRPr="0063119B">
        <w:rPr>
          <w:b/>
          <w:noProof/>
          <w:szCs w:val="22"/>
        </w:rPr>
        <w:t>8.</w:t>
      </w:r>
      <w:r w:rsidRPr="0063119B">
        <w:rPr>
          <w:b/>
          <w:noProof/>
          <w:szCs w:val="22"/>
        </w:rPr>
        <w:tab/>
        <w:t>NÚMERO(S) DA AUTORIZAÇÃO DE INTRODUÇÃO NO MERCADO</w:t>
      </w:r>
    </w:p>
    <w:p w14:paraId="73A9B528" w14:textId="77777777" w:rsidR="00337111" w:rsidRPr="0063119B" w:rsidRDefault="00337111" w:rsidP="0067053F">
      <w:pPr>
        <w:keepNext/>
        <w:keepLines/>
        <w:suppressAutoHyphens/>
        <w:rPr>
          <w:noProof/>
          <w:szCs w:val="22"/>
        </w:rPr>
      </w:pPr>
    </w:p>
    <w:p w14:paraId="5097AB0D" w14:textId="77777777" w:rsidR="00337111" w:rsidRDefault="000C03A0" w:rsidP="00337111">
      <w:pPr>
        <w:suppressAutoHyphens/>
        <w:rPr>
          <w:szCs w:val="22"/>
        </w:rPr>
      </w:pPr>
      <w:r w:rsidRPr="0063119B">
        <w:rPr>
          <w:szCs w:val="22"/>
        </w:rPr>
        <w:t>EU/1/20/1488/040-053</w:t>
      </w:r>
    </w:p>
    <w:p w14:paraId="658A04BC" w14:textId="77777777" w:rsidR="00453DA7" w:rsidRPr="0063119B" w:rsidRDefault="00453DA7" w:rsidP="00337111">
      <w:pPr>
        <w:suppressAutoHyphens/>
        <w:rPr>
          <w:noProof/>
          <w:szCs w:val="22"/>
        </w:rPr>
      </w:pPr>
    </w:p>
    <w:p w14:paraId="7AE49987" w14:textId="77777777" w:rsidR="00337111" w:rsidRPr="0063119B" w:rsidRDefault="00337111" w:rsidP="00337111">
      <w:pPr>
        <w:suppressAutoHyphens/>
        <w:rPr>
          <w:noProof/>
          <w:szCs w:val="22"/>
        </w:rPr>
      </w:pPr>
    </w:p>
    <w:p w14:paraId="2EE2CC33" w14:textId="77777777" w:rsidR="00337111" w:rsidRPr="0063119B" w:rsidRDefault="00337111" w:rsidP="00337111">
      <w:pPr>
        <w:suppressAutoHyphens/>
        <w:ind w:left="567" w:hanging="567"/>
        <w:rPr>
          <w:b/>
          <w:noProof/>
          <w:szCs w:val="22"/>
        </w:rPr>
      </w:pPr>
      <w:r w:rsidRPr="0063119B">
        <w:rPr>
          <w:b/>
          <w:noProof/>
          <w:szCs w:val="22"/>
        </w:rPr>
        <w:lastRenderedPageBreak/>
        <w:t>9.</w:t>
      </w:r>
      <w:r w:rsidRPr="0063119B">
        <w:rPr>
          <w:b/>
          <w:noProof/>
          <w:szCs w:val="22"/>
        </w:rPr>
        <w:tab/>
        <w:t>DATA DA PRIMEIRA AUTORIZAÇÃO/RENOVAÇÃO DA AUTORIZAÇÃO DE INTRODUÇÃO NO MERCADO</w:t>
      </w:r>
    </w:p>
    <w:p w14:paraId="4DC0999E" w14:textId="77777777" w:rsidR="00337111" w:rsidRPr="0063119B" w:rsidRDefault="00337111" w:rsidP="00337111">
      <w:pPr>
        <w:suppressAutoHyphens/>
        <w:rPr>
          <w:noProof/>
          <w:szCs w:val="22"/>
        </w:rPr>
      </w:pPr>
    </w:p>
    <w:p w14:paraId="70D21B1C" w14:textId="77777777" w:rsidR="00337111" w:rsidRDefault="00337111" w:rsidP="00154026">
      <w:pPr>
        <w:suppressAutoHyphens/>
        <w:rPr>
          <w:noProof/>
          <w:szCs w:val="22"/>
        </w:rPr>
      </w:pPr>
      <w:r w:rsidRPr="0063119B">
        <w:rPr>
          <w:noProof/>
          <w:szCs w:val="22"/>
        </w:rPr>
        <w:t xml:space="preserve">Data da primeira autorização: </w:t>
      </w:r>
      <w:r w:rsidR="0052614A" w:rsidRPr="0052614A">
        <w:rPr>
          <w:noProof/>
          <w:szCs w:val="22"/>
        </w:rPr>
        <w:t>16 de novembro de 2020</w:t>
      </w:r>
    </w:p>
    <w:p w14:paraId="05F993BB" w14:textId="233ECED3" w:rsidR="00E01960" w:rsidRPr="0063119B" w:rsidRDefault="00E01960" w:rsidP="00154026">
      <w:pPr>
        <w:suppressAutoHyphens/>
        <w:rPr>
          <w:noProof/>
          <w:szCs w:val="22"/>
        </w:rPr>
      </w:pPr>
      <w:r w:rsidRPr="00E01960">
        <w:rPr>
          <w:noProof/>
          <w:szCs w:val="22"/>
        </w:rPr>
        <w:t>Data da última renovação: 6 de agosto de 2025</w:t>
      </w:r>
    </w:p>
    <w:p w14:paraId="476703C6" w14:textId="77777777" w:rsidR="00337111" w:rsidRPr="0063119B" w:rsidRDefault="00337111" w:rsidP="00337111">
      <w:pPr>
        <w:suppressAutoHyphens/>
        <w:rPr>
          <w:noProof/>
          <w:szCs w:val="22"/>
        </w:rPr>
      </w:pPr>
    </w:p>
    <w:p w14:paraId="56088D7B" w14:textId="77777777" w:rsidR="006358A9" w:rsidRPr="0063119B" w:rsidRDefault="006358A9" w:rsidP="00337111">
      <w:pPr>
        <w:suppressAutoHyphens/>
        <w:rPr>
          <w:noProof/>
          <w:szCs w:val="22"/>
        </w:rPr>
      </w:pPr>
    </w:p>
    <w:p w14:paraId="21289D9F" w14:textId="77777777" w:rsidR="00337111" w:rsidRDefault="00337111" w:rsidP="00337111">
      <w:pPr>
        <w:suppressAutoHyphens/>
        <w:rPr>
          <w:b/>
          <w:noProof/>
          <w:szCs w:val="22"/>
        </w:rPr>
      </w:pPr>
      <w:r w:rsidRPr="0063119B">
        <w:rPr>
          <w:b/>
          <w:noProof/>
          <w:szCs w:val="22"/>
        </w:rPr>
        <w:t>10.</w:t>
      </w:r>
      <w:r w:rsidRPr="0063119B">
        <w:rPr>
          <w:b/>
          <w:noProof/>
          <w:szCs w:val="22"/>
        </w:rPr>
        <w:tab/>
        <w:t>DATA DA REVISÃO DO TEXTO</w:t>
      </w:r>
    </w:p>
    <w:p w14:paraId="2E33B2DB" w14:textId="77777777" w:rsidR="00453DA7" w:rsidRPr="0063119B" w:rsidRDefault="00453DA7" w:rsidP="00337111">
      <w:pPr>
        <w:suppressAutoHyphens/>
        <w:rPr>
          <w:b/>
          <w:noProof/>
          <w:szCs w:val="22"/>
        </w:rPr>
      </w:pPr>
    </w:p>
    <w:p w14:paraId="10614A16" w14:textId="77777777" w:rsidR="00337111" w:rsidRPr="0063119B" w:rsidRDefault="00337111" w:rsidP="00337111">
      <w:pPr>
        <w:suppressAutoHyphens/>
        <w:ind w:right="14"/>
        <w:rPr>
          <w:noProof/>
          <w:szCs w:val="22"/>
        </w:rPr>
      </w:pPr>
    </w:p>
    <w:p w14:paraId="7F63EF40" w14:textId="77777777" w:rsidR="00337111" w:rsidRPr="0063119B" w:rsidRDefault="00337111" w:rsidP="00337111">
      <w:pPr>
        <w:suppressAutoHyphens/>
        <w:ind w:right="14"/>
        <w:rPr>
          <w:b/>
          <w:noProof/>
          <w:szCs w:val="22"/>
        </w:rPr>
      </w:pPr>
      <w:r w:rsidRPr="0063119B">
        <w:rPr>
          <w:noProof/>
          <w:szCs w:val="22"/>
        </w:rPr>
        <w:t xml:space="preserve">Está disponível informação pormenorizada sobre este medicamento no sítio da internet da Agência Europeia de Medicamentos: </w:t>
      </w:r>
      <w:hyperlink r:id="rId21" w:history="1">
        <w:r w:rsidR="00767D16" w:rsidRPr="0063119B">
          <w:rPr>
            <w:rStyle w:val="Hyperlink"/>
            <w:noProof/>
            <w:szCs w:val="22"/>
          </w:rPr>
          <w:t>http://www.ema.europa.eu</w:t>
        </w:r>
      </w:hyperlink>
      <w:r w:rsidRPr="0063119B">
        <w:rPr>
          <w:noProof/>
          <w:szCs w:val="22"/>
        </w:rPr>
        <w:t>.</w:t>
      </w:r>
    </w:p>
    <w:p w14:paraId="37DE7278" w14:textId="77777777" w:rsidR="00337111" w:rsidRPr="0063119B" w:rsidRDefault="00337111" w:rsidP="00337111">
      <w:pPr>
        <w:suppressAutoHyphens/>
        <w:rPr>
          <w:noProof/>
          <w:szCs w:val="22"/>
        </w:rPr>
      </w:pPr>
    </w:p>
    <w:p w14:paraId="6BDA481F" w14:textId="77777777" w:rsidR="005B1C7B" w:rsidRPr="0063119B" w:rsidRDefault="00A9161F" w:rsidP="00453DA7">
      <w:pPr>
        <w:suppressAutoHyphens/>
        <w:ind w:left="284" w:hanging="284"/>
        <w:jc w:val="both"/>
        <w:rPr>
          <w:b/>
          <w:noProof/>
          <w:szCs w:val="22"/>
        </w:rPr>
      </w:pPr>
      <w:r w:rsidRPr="0063119B">
        <w:rPr>
          <w:noProof/>
          <w:szCs w:val="22"/>
        </w:rPr>
        <w:br w:type="page"/>
      </w:r>
      <w:r w:rsidR="005B1C7B" w:rsidRPr="0063119B">
        <w:rPr>
          <w:b/>
          <w:noProof/>
          <w:szCs w:val="22"/>
        </w:rPr>
        <w:lastRenderedPageBreak/>
        <w:t>1.</w:t>
      </w:r>
      <w:r w:rsidR="005B1C7B" w:rsidRPr="0063119B">
        <w:rPr>
          <w:b/>
          <w:noProof/>
          <w:szCs w:val="22"/>
        </w:rPr>
        <w:tab/>
        <w:t>NOME DO MEDICAMENTO</w:t>
      </w:r>
    </w:p>
    <w:p w14:paraId="300DC7FF" w14:textId="77777777" w:rsidR="005B1C7B" w:rsidRPr="0063119B" w:rsidRDefault="005B1C7B" w:rsidP="005B1C7B">
      <w:pPr>
        <w:suppressAutoHyphens/>
        <w:rPr>
          <w:noProof/>
          <w:szCs w:val="22"/>
        </w:rPr>
      </w:pPr>
    </w:p>
    <w:p w14:paraId="1BBE497F" w14:textId="77777777" w:rsidR="005B1C7B" w:rsidRPr="0063119B" w:rsidRDefault="00607DE4" w:rsidP="005B1C7B">
      <w:pPr>
        <w:rPr>
          <w:noProof/>
          <w:szCs w:val="22"/>
        </w:rPr>
      </w:pPr>
      <w:r>
        <w:rPr>
          <w:noProof/>
          <w:szCs w:val="22"/>
        </w:rPr>
        <w:t>Rivaroxabano</w:t>
      </w:r>
      <w:r w:rsidR="00154026" w:rsidRPr="0063119B">
        <w:rPr>
          <w:noProof/>
          <w:szCs w:val="22"/>
        </w:rPr>
        <w:t xml:space="preserve"> Accord</w:t>
      </w:r>
      <w:r w:rsidR="005B1C7B" w:rsidRPr="0063119B">
        <w:rPr>
          <w:noProof/>
          <w:szCs w:val="22"/>
        </w:rPr>
        <w:t xml:space="preserve"> 15 mg comprimidos revestidos por película</w:t>
      </w:r>
    </w:p>
    <w:p w14:paraId="6E164807" w14:textId="77777777" w:rsidR="005B1C7B" w:rsidRPr="0063119B" w:rsidRDefault="00607DE4" w:rsidP="005B1C7B">
      <w:pPr>
        <w:rPr>
          <w:noProof/>
          <w:szCs w:val="22"/>
        </w:rPr>
      </w:pPr>
      <w:r>
        <w:rPr>
          <w:noProof/>
          <w:szCs w:val="22"/>
        </w:rPr>
        <w:t>Rivaroxabano</w:t>
      </w:r>
      <w:r w:rsidR="00154026" w:rsidRPr="0063119B">
        <w:rPr>
          <w:noProof/>
          <w:szCs w:val="22"/>
        </w:rPr>
        <w:t xml:space="preserve"> Accord</w:t>
      </w:r>
      <w:r w:rsidR="005B1C7B" w:rsidRPr="0063119B">
        <w:rPr>
          <w:noProof/>
          <w:szCs w:val="22"/>
        </w:rPr>
        <w:t xml:space="preserve"> 20 mg comprimidos revestidos por película</w:t>
      </w:r>
    </w:p>
    <w:p w14:paraId="67D62BE7" w14:textId="77777777" w:rsidR="005B1C7B" w:rsidRPr="0063119B" w:rsidRDefault="005B1C7B" w:rsidP="005B1C7B">
      <w:pPr>
        <w:suppressAutoHyphens/>
        <w:rPr>
          <w:noProof/>
          <w:szCs w:val="22"/>
        </w:rPr>
      </w:pPr>
    </w:p>
    <w:p w14:paraId="1E5F2465" w14:textId="77777777" w:rsidR="005B1C7B" w:rsidRPr="0063119B" w:rsidRDefault="005B1C7B" w:rsidP="005B1C7B">
      <w:pPr>
        <w:suppressAutoHyphens/>
        <w:rPr>
          <w:noProof/>
          <w:szCs w:val="22"/>
        </w:rPr>
      </w:pPr>
    </w:p>
    <w:p w14:paraId="43040A9C" w14:textId="77777777" w:rsidR="005B1C7B" w:rsidRPr="0063119B" w:rsidRDefault="005B1C7B" w:rsidP="005B1C7B">
      <w:pPr>
        <w:suppressAutoHyphens/>
        <w:ind w:left="567" w:hanging="567"/>
        <w:rPr>
          <w:noProof/>
          <w:szCs w:val="22"/>
        </w:rPr>
      </w:pPr>
      <w:r w:rsidRPr="0063119B">
        <w:rPr>
          <w:b/>
          <w:noProof/>
          <w:szCs w:val="22"/>
        </w:rPr>
        <w:t>2.</w:t>
      </w:r>
      <w:r w:rsidRPr="0063119B">
        <w:rPr>
          <w:b/>
          <w:noProof/>
          <w:szCs w:val="22"/>
        </w:rPr>
        <w:tab/>
        <w:t>COMPOSIÇÃO QUALITATIVA E QUANTITATIVA</w:t>
      </w:r>
    </w:p>
    <w:p w14:paraId="0D17ED4C" w14:textId="77777777" w:rsidR="005B1C7B" w:rsidRPr="0063119B" w:rsidRDefault="005B1C7B" w:rsidP="005B1C7B">
      <w:pPr>
        <w:suppressAutoHyphens/>
        <w:rPr>
          <w:noProof/>
          <w:szCs w:val="22"/>
        </w:rPr>
      </w:pPr>
    </w:p>
    <w:p w14:paraId="69F7424A" w14:textId="77777777" w:rsidR="005B1C7B" w:rsidRPr="0063119B" w:rsidRDefault="005B1C7B" w:rsidP="005B1C7B">
      <w:pPr>
        <w:suppressAutoHyphens/>
        <w:rPr>
          <w:noProof/>
          <w:szCs w:val="22"/>
        </w:rPr>
      </w:pPr>
      <w:r w:rsidRPr="0063119B">
        <w:rPr>
          <w:noProof/>
          <w:szCs w:val="22"/>
        </w:rPr>
        <w:t>Cada comprimido revestido</w:t>
      </w:r>
      <w:r w:rsidR="0097178D" w:rsidRPr="0063119B">
        <w:rPr>
          <w:noProof/>
          <w:szCs w:val="22"/>
        </w:rPr>
        <w:t xml:space="preserve"> </w:t>
      </w:r>
      <w:r w:rsidRPr="0063119B">
        <w:rPr>
          <w:noProof/>
          <w:szCs w:val="22"/>
        </w:rPr>
        <w:t>por película de 15</w:t>
      </w:r>
      <w:r w:rsidR="00154026" w:rsidRPr="0063119B">
        <w:rPr>
          <w:noProof/>
          <w:szCs w:val="22"/>
        </w:rPr>
        <w:t> </w:t>
      </w:r>
      <w:r w:rsidRPr="0063119B">
        <w:rPr>
          <w:noProof/>
          <w:szCs w:val="22"/>
        </w:rPr>
        <w:t>mg contém 15 mg de rivaroxabano.</w:t>
      </w:r>
    </w:p>
    <w:p w14:paraId="4DB70E3D" w14:textId="77777777" w:rsidR="005B1C7B" w:rsidRPr="0063119B" w:rsidRDefault="005B1C7B" w:rsidP="005B1C7B">
      <w:pPr>
        <w:suppressAutoHyphens/>
        <w:rPr>
          <w:noProof/>
          <w:szCs w:val="22"/>
        </w:rPr>
      </w:pPr>
      <w:r w:rsidRPr="0063119B">
        <w:rPr>
          <w:noProof/>
          <w:szCs w:val="22"/>
        </w:rPr>
        <w:t>Cada comprimido revestido por película de 20</w:t>
      </w:r>
      <w:r w:rsidR="00154026" w:rsidRPr="0063119B">
        <w:rPr>
          <w:noProof/>
          <w:szCs w:val="22"/>
        </w:rPr>
        <w:t> </w:t>
      </w:r>
      <w:r w:rsidRPr="0063119B">
        <w:rPr>
          <w:noProof/>
          <w:szCs w:val="22"/>
        </w:rPr>
        <w:t>mg contém 20 mg de rivaroxabano.</w:t>
      </w:r>
    </w:p>
    <w:p w14:paraId="02AA0F95" w14:textId="77777777" w:rsidR="005B1C7B" w:rsidRPr="0063119B" w:rsidRDefault="005B1C7B" w:rsidP="005B1C7B">
      <w:pPr>
        <w:suppressAutoHyphens/>
        <w:rPr>
          <w:noProof/>
          <w:szCs w:val="22"/>
        </w:rPr>
      </w:pPr>
    </w:p>
    <w:p w14:paraId="51247D4D" w14:textId="77777777" w:rsidR="005B1C7B" w:rsidRDefault="005B1C7B" w:rsidP="005B1C7B">
      <w:pPr>
        <w:suppressAutoHyphens/>
        <w:rPr>
          <w:noProof/>
          <w:szCs w:val="22"/>
          <w:u w:val="single"/>
        </w:rPr>
      </w:pPr>
      <w:r w:rsidRPr="0063119B">
        <w:rPr>
          <w:noProof/>
          <w:szCs w:val="22"/>
          <w:u w:val="single"/>
        </w:rPr>
        <w:t>Excipiente com efeito conhecido</w:t>
      </w:r>
    </w:p>
    <w:p w14:paraId="7FE7D953" w14:textId="77777777" w:rsidR="00CB7754" w:rsidRPr="0063119B" w:rsidRDefault="00CB7754" w:rsidP="005B1C7B">
      <w:pPr>
        <w:suppressAutoHyphens/>
        <w:rPr>
          <w:noProof/>
          <w:szCs w:val="22"/>
          <w:u w:val="single"/>
        </w:rPr>
      </w:pPr>
    </w:p>
    <w:p w14:paraId="7C893AA3" w14:textId="77777777" w:rsidR="005B1C7B" w:rsidRPr="0063119B" w:rsidRDefault="005B1C7B" w:rsidP="005B1C7B">
      <w:pPr>
        <w:suppressAutoHyphens/>
        <w:rPr>
          <w:noProof/>
          <w:szCs w:val="22"/>
        </w:rPr>
      </w:pPr>
      <w:r w:rsidRPr="0063119B">
        <w:rPr>
          <w:noProof/>
          <w:szCs w:val="22"/>
        </w:rPr>
        <w:t>Cada comprimido revestido por película de 15</w:t>
      </w:r>
      <w:r w:rsidR="00154026" w:rsidRPr="0063119B">
        <w:rPr>
          <w:noProof/>
          <w:szCs w:val="22"/>
        </w:rPr>
        <w:t> </w:t>
      </w:r>
      <w:r w:rsidRPr="0063119B">
        <w:rPr>
          <w:noProof/>
          <w:szCs w:val="22"/>
        </w:rPr>
        <w:t xml:space="preserve">mg contém </w:t>
      </w:r>
      <w:r w:rsidR="00154026" w:rsidRPr="0063119B">
        <w:rPr>
          <w:noProof/>
          <w:szCs w:val="22"/>
        </w:rPr>
        <w:t>20,92</w:t>
      </w:r>
      <w:r w:rsidRPr="0063119B">
        <w:rPr>
          <w:noProof/>
          <w:szCs w:val="22"/>
        </w:rPr>
        <w:t xml:space="preserve"> mg de lactose </w:t>
      </w:r>
      <w:r w:rsidRPr="0063119B">
        <w:rPr>
          <w:szCs w:val="22"/>
        </w:rPr>
        <w:t xml:space="preserve">(na forma de </w:t>
      </w:r>
      <w:r w:rsidRPr="0063119B">
        <w:rPr>
          <w:noProof/>
          <w:szCs w:val="22"/>
        </w:rPr>
        <w:t>mono-hidrato), ver secção 4.4.</w:t>
      </w:r>
    </w:p>
    <w:p w14:paraId="379B783A" w14:textId="77777777" w:rsidR="005B1C7B" w:rsidRPr="0063119B" w:rsidRDefault="005B1C7B" w:rsidP="005B1C7B">
      <w:pPr>
        <w:suppressAutoHyphens/>
        <w:rPr>
          <w:noProof/>
          <w:szCs w:val="22"/>
        </w:rPr>
      </w:pPr>
      <w:r w:rsidRPr="0063119B">
        <w:rPr>
          <w:noProof/>
          <w:szCs w:val="22"/>
        </w:rPr>
        <w:t>Cada comprimido revestido por película de 20</w:t>
      </w:r>
      <w:r w:rsidR="00154026" w:rsidRPr="0063119B">
        <w:rPr>
          <w:noProof/>
          <w:szCs w:val="22"/>
        </w:rPr>
        <w:t> </w:t>
      </w:r>
      <w:r w:rsidRPr="0063119B">
        <w:rPr>
          <w:noProof/>
          <w:szCs w:val="22"/>
        </w:rPr>
        <w:t xml:space="preserve">mg contém </w:t>
      </w:r>
      <w:r w:rsidR="00154026" w:rsidRPr="0063119B">
        <w:rPr>
          <w:noProof/>
          <w:szCs w:val="22"/>
        </w:rPr>
        <w:t>27,90</w:t>
      </w:r>
      <w:r w:rsidRPr="0063119B">
        <w:rPr>
          <w:noProof/>
          <w:szCs w:val="22"/>
        </w:rPr>
        <w:t xml:space="preserve"> mg de lactose </w:t>
      </w:r>
      <w:r w:rsidRPr="0063119B">
        <w:rPr>
          <w:szCs w:val="22"/>
        </w:rPr>
        <w:t xml:space="preserve">(na forma de </w:t>
      </w:r>
      <w:r w:rsidRPr="0063119B">
        <w:rPr>
          <w:noProof/>
          <w:szCs w:val="22"/>
        </w:rPr>
        <w:t>mono-hidrato), ver secção 4.4.</w:t>
      </w:r>
    </w:p>
    <w:p w14:paraId="62600A08" w14:textId="77777777" w:rsidR="005B1C7B" w:rsidRPr="0063119B" w:rsidRDefault="005B1C7B" w:rsidP="005B1C7B">
      <w:pPr>
        <w:suppressAutoHyphens/>
        <w:rPr>
          <w:noProof/>
          <w:szCs w:val="22"/>
        </w:rPr>
      </w:pPr>
    </w:p>
    <w:p w14:paraId="196DC141" w14:textId="77777777" w:rsidR="005B1C7B" w:rsidRPr="0063119B" w:rsidRDefault="005B1C7B" w:rsidP="005B1C7B">
      <w:pPr>
        <w:suppressAutoHyphens/>
        <w:rPr>
          <w:noProof/>
          <w:szCs w:val="22"/>
        </w:rPr>
      </w:pPr>
      <w:r w:rsidRPr="0063119B">
        <w:rPr>
          <w:noProof/>
          <w:szCs w:val="22"/>
        </w:rPr>
        <w:t>Lista completa de excipientes, ver secção 6.1.</w:t>
      </w:r>
    </w:p>
    <w:p w14:paraId="229BA71E" w14:textId="77777777" w:rsidR="005B1C7B" w:rsidRPr="0063119B" w:rsidRDefault="005B1C7B" w:rsidP="005B1C7B">
      <w:pPr>
        <w:suppressAutoHyphens/>
        <w:rPr>
          <w:noProof/>
          <w:szCs w:val="22"/>
        </w:rPr>
      </w:pPr>
    </w:p>
    <w:p w14:paraId="4866EED5" w14:textId="77777777" w:rsidR="005B1C7B" w:rsidRPr="0063119B" w:rsidRDefault="005B1C7B" w:rsidP="005B1C7B">
      <w:pPr>
        <w:suppressAutoHyphens/>
        <w:rPr>
          <w:noProof/>
          <w:szCs w:val="22"/>
        </w:rPr>
      </w:pPr>
    </w:p>
    <w:p w14:paraId="2FE53F6A" w14:textId="77777777" w:rsidR="005B1C7B" w:rsidRPr="0063119B" w:rsidRDefault="005B1C7B" w:rsidP="005B1C7B">
      <w:pPr>
        <w:suppressAutoHyphens/>
        <w:ind w:left="567" w:hanging="567"/>
        <w:rPr>
          <w:noProof/>
          <w:szCs w:val="22"/>
        </w:rPr>
      </w:pPr>
      <w:r w:rsidRPr="0063119B">
        <w:rPr>
          <w:b/>
          <w:noProof/>
          <w:szCs w:val="22"/>
        </w:rPr>
        <w:t>3.</w:t>
      </w:r>
      <w:r w:rsidRPr="0063119B">
        <w:rPr>
          <w:b/>
          <w:noProof/>
          <w:szCs w:val="22"/>
        </w:rPr>
        <w:tab/>
        <w:t>FORMA FARMACÊUTICA</w:t>
      </w:r>
    </w:p>
    <w:p w14:paraId="08BE9DC7" w14:textId="77777777" w:rsidR="005B1C7B" w:rsidRPr="0063119B" w:rsidRDefault="005B1C7B" w:rsidP="005B1C7B">
      <w:pPr>
        <w:suppressAutoHyphens/>
        <w:rPr>
          <w:noProof/>
          <w:szCs w:val="22"/>
        </w:rPr>
      </w:pPr>
    </w:p>
    <w:p w14:paraId="13B78DB9" w14:textId="77777777" w:rsidR="005B1C7B" w:rsidRPr="0063119B" w:rsidRDefault="005B1C7B" w:rsidP="005B1C7B">
      <w:pPr>
        <w:suppressAutoHyphens/>
        <w:rPr>
          <w:noProof/>
          <w:szCs w:val="22"/>
        </w:rPr>
      </w:pPr>
      <w:r w:rsidRPr="0063119B">
        <w:rPr>
          <w:noProof/>
          <w:szCs w:val="22"/>
        </w:rPr>
        <w:t>Comprimido revestido por película (comprimido)</w:t>
      </w:r>
    </w:p>
    <w:p w14:paraId="03C4AF0E" w14:textId="77777777" w:rsidR="002276FF" w:rsidRPr="0063119B" w:rsidRDefault="002276FF" w:rsidP="005B1C7B">
      <w:pPr>
        <w:suppressAutoHyphens/>
        <w:rPr>
          <w:noProof/>
          <w:szCs w:val="22"/>
        </w:rPr>
      </w:pPr>
    </w:p>
    <w:p w14:paraId="2B7C4C15" w14:textId="77777777" w:rsidR="005B1C7B" w:rsidRPr="0063119B" w:rsidRDefault="00607DE4" w:rsidP="005B1C7B">
      <w:pPr>
        <w:suppressAutoHyphens/>
        <w:rPr>
          <w:noProof/>
          <w:szCs w:val="22"/>
        </w:rPr>
      </w:pPr>
      <w:r>
        <w:rPr>
          <w:noProof/>
          <w:szCs w:val="22"/>
        </w:rPr>
        <w:t>Rivaroxabano</w:t>
      </w:r>
      <w:r w:rsidR="00154026" w:rsidRPr="0063119B">
        <w:rPr>
          <w:noProof/>
          <w:szCs w:val="22"/>
        </w:rPr>
        <w:t xml:space="preserve"> Accord 15 mg</w:t>
      </w:r>
      <w:r w:rsidR="005B1C7B" w:rsidRPr="0063119B">
        <w:rPr>
          <w:noProof/>
          <w:szCs w:val="22"/>
        </w:rPr>
        <w:t>C</w:t>
      </w:r>
      <w:r w:rsidR="00CF49B4" w:rsidRPr="0063119B">
        <w:rPr>
          <w:noProof/>
          <w:szCs w:val="22"/>
        </w:rPr>
        <w:t xml:space="preserve">: </w:t>
      </w:r>
      <w:r w:rsidR="005B1C7B" w:rsidRPr="0063119B">
        <w:rPr>
          <w:noProof/>
          <w:szCs w:val="22"/>
        </w:rPr>
        <w:t xml:space="preserve">comprimidos </w:t>
      </w:r>
      <w:r w:rsidR="00754E0E" w:rsidRPr="0063119B">
        <w:rPr>
          <w:noProof/>
          <w:szCs w:val="22"/>
        </w:rPr>
        <w:t xml:space="preserve">revestidos por película, </w:t>
      </w:r>
      <w:r w:rsidR="005B1C7B" w:rsidRPr="0063119B">
        <w:rPr>
          <w:noProof/>
          <w:szCs w:val="22"/>
        </w:rPr>
        <w:t>biconvexos, redondos</w:t>
      </w:r>
      <w:r w:rsidR="00754E0E" w:rsidRPr="0063119B">
        <w:rPr>
          <w:noProof/>
          <w:szCs w:val="22"/>
        </w:rPr>
        <w:t>,</w:t>
      </w:r>
      <w:r w:rsidR="005B1C7B" w:rsidRPr="0063119B">
        <w:rPr>
          <w:noProof/>
          <w:szCs w:val="22"/>
        </w:rPr>
        <w:t xml:space="preserve"> </w:t>
      </w:r>
      <w:r w:rsidR="00754E0E" w:rsidRPr="0063119B">
        <w:rPr>
          <w:noProof/>
          <w:szCs w:val="22"/>
        </w:rPr>
        <w:t xml:space="preserve">com aproximadamente </w:t>
      </w:r>
      <w:r w:rsidR="000C03A0" w:rsidRPr="0063119B">
        <w:rPr>
          <w:noProof/>
          <w:szCs w:val="22"/>
        </w:rPr>
        <w:t>5</w:t>
      </w:r>
      <w:r w:rsidR="00754E0E" w:rsidRPr="0063119B">
        <w:rPr>
          <w:noProof/>
          <w:szCs w:val="22"/>
        </w:rPr>
        <w:t>,00</w:t>
      </w:r>
      <w:r w:rsidR="005B1C7B" w:rsidRPr="0063119B">
        <w:rPr>
          <w:noProof/>
          <w:szCs w:val="22"/>
        </w:rPr>
        <w:t xml:space="preserve"> mm de diâmetro, de cor vermelha, </w:t>
      </w:r>
      <w:r w:rsidR="00754E0E" w:rsidRPr="0063119B">
        <w:rPr>
          <w:noProof/>
          <w:szCs w:val="22"/>
        </w:rPr>
        <w:t>com a gravação “IL”</w:t>
      </w:r>
      <w:r w:rsidR="005B1C7B" w:rsidRPr="0063119B">
        <w:rPr>
          <w:noProof/>
          <w:szCs w:val="22"/>
        </w:rPr>
        <w:t xml:space="preserve"> numa das faces e “</w:t>
      </w:r>
      <w:r w:rsidR="00754E0E" w:rsidRPr="0063119B">
        <w:rPr>
          <w:noProof/>
          <w:szCs w:val="22"/>
        </w:rPr>
        <w:t>2</w:t>
      </w:r>
      <w:r w:rsidR="005B1C7B" w:rsidRPr="0063119B">
        <w:rPr>
          <w:noProof/>
          <w:szCs w:val="22"/>
        </w:rPr>
        <w:t>” na outra face.</w:t>
      </w:r>
    </w:p>
    <w:p w14:paraId="5A7F8A9C" w14:textId="77777777" w:rsidR="005B1C7B" w:rsidRPr="0063119B" w:rsidRDefault="00607DE4" w:rsidP="005B1C7B">
      <w:pPr>
        <w:suppressAutoHyphens/>
        <w:rPr>
          <w:noProof/>
          <w:szCs w:val="22"/>
        </w:rPr>
      </w:pPr>
      <w:r>
        <w:rPr>
          <w:noProof/>
          <w:szCs w:val="22"/>
        </w:rPr>
        <w:t>Rivaroxabano</w:t>
      </w:r>
      <w:r w:rsidR="00154026" w:rsidRPr="0063119B">
        <w:rPr>
          <w:noProof/>
          <w:szCs w:val="22"/>
        </w:rPr>
        <w:t xml:space="preserve"> Accord 20 mg</w:t>
      </w:r>
      <w:r w:rsidR="00CF49B4" w:rsidRPr="0063119B">
        <w:rPr>
          <w:noProof/>
          <w:szCs w:val="22"/>
        </w:rPr>
        <w:t xml:space="preserve">: </w:t>
      </w:r>
      <w:r w:rsidR="005B1C7B" w:rsidRPr="0063119B">
        <w:rPr>
          <w:noProof/>
          <w:szCs w:val="22"/>
        </w:rPr>
        <w:t xml:space="preserve">comprimidos </w:t>
      </w:r>
      <w:r w:rsidR="00754E0E" w:rsidRPr="0063119B">
        <w:rPr>
          <w:noProof/>
          <w:szCs w:val="22"/>
        </w:rPr>
        <w:t xml:space="preserve">revestidos por película, </w:t>
      </w:r>
      <w:r w:rsidR="005B1C7B" w:rsidRPr="0063119B">
        <w:rPr>
          <w:noProof/>
          <w:szCs w:val="22"/>
        </w:rPr>
        <w:t xml:space="preserve">biconvexos, redondos </w:t>
      </w:r>
      <w:r w:rsidR="00754E0E" w:rsidRPr="0063119B">
        <w:rPr>
          <w:noProof/>
          <w:szCs w:val="22"/>
        </w:rPr>
        <w:t xml:space="preserve">com aproximadamente </w:t>
      </w:r>
      <w:r w:rsidR="000C03A0" w:rsidRPr="0063119B">
        <w:rPr>
          <w:noProof/>
          <w:szCs w:val="22"/>
        </w:rPr>
        <w:t>6</w:t>
      </w:r>
      <w:r w:rsidR="00754E0E" w:rsidRPr="0063119B">
        <w:rPr>
          <w:noProof/>
          <w:szCs w:val="22"/>
        </w:rPr>
        <w:t>,00 </w:t>
      </w:r>
      <w:r w:rsidR="005B1C7B" w:rsidRPr="0063119B">
        <w:rPr>
          <w:noProof/>
          <w:szCs w:val="22"/>
        </w:rPr>
        <w:t>mm de diâmetro, de cor vermelho</w:t>
      </w:r>
      <w:r w:rsidR="00754E0E" w:rsidRPr="0063119B">
        <w:rPr>
          <w:noProof/>
          <w:szCs w:val="22"/>
        </w:rPr>
        <w:t xml:space="preserve"> escuro</w:t>
      </w:r>
      <w:r w:rsidR="005B1C7B" w:rsidRPr="0063119B">
        <w:rPr>
          <w:noProof/>
          <w:szCs w:val="22"/>
        </w:rPr>
        <w:t xml:space="preserve">, </w:t>
      </w:r>
      <w:r w:rsidR="00754E0E" w:rsidRPr="0063119B">
        <w:rPr>
          <w:noProof/>
          <w:szCs w:val="22"/>
        </w:rPr>
        <w:t xml:space="preserve">com a gravação “IL3” </w:t>
      </w:r>
      <w:r w:rsidR="005B1C7B" w:rsidRPr="0063119B">
        <w:rPr>
          <w:noProof/>
          <w:szCs w:val="22"/>
        </w:rPr>
        <w:t xml:space="preserve">numa das faces e </w:t>
      </w:r>
      <w:r w:rsidR="00754E0E" w:rsidRPr="0063119B">
        <w:rPr>
          <w:noProof/>
          <w:szCs w:val="22"/>
        </w:rPr>
        <w:t>lisos</w:t>
      </w:r>
      <w:r w:rsidR="005B1C7B" w:rsidRPr="0063119B">
        <w:rPr>
          <w:noProof/>
          <w:szCs w:val="22"/>
        </w:rPr>
        <w:t xml:space="preserve"> na outra face.</w:t>
      </w:r>
    </w:p>
    <w:p w14:paraId="69F5595D" w14:textId="77777777" w:rsidR="005B1C7B" w:rsidRPr="0063119B" w:rsidRDefault="005B1C7B" w:rsidP="005B1C7B">
      <w:pPr>
        <w:suppressAutoHyphens/>
        <w:rPr>
          <w:noProof/>
          <w:szCs w:val="22"/>
        </w:rPr>
      </w:pPr>
    </w:p>
    <w:p w14:paraId="047224B3" w14:textId="77777777" w:rsidR="005B1C7B" w:rsidRPr="0063119B" w:rsidRDefault="005B1C7B" w:rsidP="005B1C7B">
      <w:pPr>
        <w:suppressAutoHyphens/>
        <w:rPr>
          <w:noProof/>
          <w:szCs w:val="22"/>
        </w:rPr>
      </w:pPr>
    </w:p>
    <w:p w14:paraId="29F68753" w14:textId="77777777" w:rsidR="005B1C7B" w:rsidRPr="0063119B" w:rsidRDefault="005B1C7B" w:rsidP="005B1C7B">
      <w:pPr>
        <w:suppressAutoHyphens/>
        <w:ind w:left="567" w:hanging="567"/>
        <w:rPr>
          <w:noProof/>
          <w:szCs w:val="22"/>
        </w:rPr>
      </w:pPr>
      <w:r w:rsidRPr="0063119B">
        <w:rPr>
          <w:b/>
          <w:noProof/>
          <w:szCs w:val="22"/>
        </w:rPr>
        <w:t>4.</w:t>
      </w:r>
      <w:r w:rsidRPr="0063119B">
        <w:rPr>
          <w:b/>
          <w:noProof/>
          <w:szCs w:val="22"/>
        </w:rPr>
        <w:tab/>
        <w:t>INFORMAÇÕES CLÍNICAS</w:t>
      </w:r>
    </w:p>
    <w:p w14:paraId="71B239A4" w14:textId="77777777" w:rsidR="005B1C7B" w:rsidRPr="0063119B" w:rsidRDefault="005B1C7B" w:rsidP="005B1C7B">
      <w:pPr>
        <w:suppressAutoHyphens/>
        <w:rPr>
          <w:noProof/>
          <w:szCs w:val="22"/>
        </w:rPr>
      </w:pPr>
    </w:p>
    <w:p w14:paraId="5D5A3526" w14:textId="77777777" w:rsidR="005B1C7B" w:rsidRPr="0063119B" w:rsidRDefault="005B1C7B" w:rsidP="005B1C7B">
      <w:pPr>
        <w:suppressAutoHyphens/>
        <w:ind w:left="567" w:hanging="567"/>
        <w:rPr>
          <w:noProof/>
          <w:szCs w:val="22"/>
        </w:rPr>
      </w:pPr>
      <w:r w:rsidRPr="0063119B">
        <w:rPr>
          <w:b/>
          <w:noProof/>
          <w:szCs w:val="22"/>
        </w:rPr>
        <w:t>4.1</w:t>
      </w:r>
      <w:r w:rsidRPr="0063119B">
        <w:rPr>
          <w:b/>
          <w:noProof/>
          <w:szCs w:val="22"/>
        </w:rPr>
        <w:tab/>
        <w:t>Indicações terapêuticas</w:t>
      </w:r>
    </w:p>
    <w:p w14:paraId="68B5D449" w14:textId="77777777" w:rsidR="005B1C7B" w:rsidRPr="0063119B" w:rsidRDefault="005B1C7B" w:rsidP="005B1C7B">
      <w:pPr>
        <w:suppressAutoHyphens/>
        <w:rPr>
          <w:noProof/>
          <w:szCs w:val="22"/>
        </w:rPr>
      </w:pPr>
    </w:p>
    <w:p w14:paraId="229DDA6D" w14:textId="77777777" w:rsidR="005B1C7B" w:rsidRPr="0063119B" w:rsidRDefault="005B1C7B" w:rsidP="005B1C7B">
      <w:pPr>
        <w:suppressAutoHyphens/>
        <w:rPr>
          <w:noProof/>
          <w:szCs w:val="22"/>
        </w:rPr>
      </w:pPr>
      <w:r w:rsidRPr="0063119B">
        <w:rPr>
          <w:noProof/>
          <w:szCs w:val="22"/>
        </w:rPr>
        <w:t>Tratamento da trombose venosa profunda (TVP) e embolismo pulmonar (EP) e prevenção da TVP recorrente e EP em adultos (Ver secção 4.4 para doentes com EP hemodinamicamente instáveis).</w:t>
      </w:r>
    </w:p>
    <w:p w14:paraId="1CD13C46" w14:textId="77777777" w:rsidR="005B1C7B" w:rsidRPr="0063119B" w:rsidRDefault="005B1C7B" w:rsidP="005B1C7B">
      <w:pPr>
        <w:suppressAutoHyphens/>
        <w:rPr>
          <w:noProof/>
          <w:szCs w:val="22"/>
        </w:rPr>
      </w:pPr>
    </w:p>
    <w:p w14:paraId="22021782" w14:textId="77777777" w:rsidR="005B1C7B" w:rsidRPr="0063119B" w:rsidRDefault="005B1C7B" w:rsidP="005B1C7B">
      <w:pPr>
        <w:suppressAutoHyphens/>
        <w:ind w:left="567" w:hanging="567"/>
        <w:rPr>
          <w:noProof/>
          <w:szCs w:val="22"/>
        </w:rPr>
      </w:pPr>
      <w:r w:rsidRPr="0063119B">
        <w:rPr>
          <w:b/>
          <w:noProof/>
          <w:szCs w:val="22"/>
        </w:rPr>
        <w:t>4.2</w:t>
      </w:r>
      <w:r w:rsidRPr="0063119B">
        <w:rPr>
          <w:b/>
          <w:noProof/>
          <w:szCs w:val="22"/>
        </w:rPr>
        <w:tab/>
        <w:t>Posologia e modo de administração</w:t>
      </w:r>
    </w:p>
    <w:p w14:paraId="454C940B" w14:textId="77777777" w:rsidR="005B1C7B" w:rsidRPr="0063119B" w:rsidRDefault="005B1C7B" w:rsidP="005B1C7B">
      <w:pPr>
        <w:suppressAutoHyphens/>
        <w:rPr>
          <w:noProof/>
          <w:szCs w:val="22"/>
        </w:rPr>
      </w:pPr>
    </w:p>
    <w:p w14:paraId="25D83E38" w14:textId="77777777" w:rsidR="005B1C7B" w:rsidRDefault="005B1C7B" w:rsidP="00FA165F">
      <w:pPr>
        <w:suppressAutoHyphens/>
        <w:rPr>
          <w:noProof/>
          <w:szCs w:val="22"/>
          <w:u w:val="single"/>
        </w:rPr>
      </w:pPr>
      <w:r w:rsidRPr="0063119B">
        <w:rPr>
          <w:noProof/>
          <w:szCs w:val="22"/>
          <w:u w:val="single"/>
        </w:rPr>
        <w:t>Posologia</w:t>
      </w:r>
    </w:p>
    <w:p w14:paraId="73D7A41C" w14:textId="77777777" w:rsidR="00CB7754" w:rsidRPr="0063119B" w:rsidRDefault="00CB7754" w:rsidP="00FA165F">
      <w:pPr>
        <w:suppressAutoHyphens/>
        <w:rPr>
          <w:szCs w:val="22"/>
        </w:rPr>
      </w:pPr>
    </w:p>
    <w:p w14:paraId="32BFC819" w14:textId="77777777" w:rsidR="005B1C7B" w:rsidRPr="0063119B" w:rsidRDefault="005B1C7B" w:rsidP="005B1C7B">
      <w:pPr>
        <w:keepNext/>
        <w:rPr>
          <w:i/>
          <w:szCs w:val="22"/>
        </w:rPr>
      </w:pPr>
      <w:r w:rsidRPr="0063119B">
        <w:rPr>
          <w:i/>
          <w:szCs w:val="22"/>
        </w:rPr>
        <w:t>Tratamento da TVP, tratamento do EP e prevenção da TVP recorrente e EP</w:t>
      </w:r>
    </w:p>
    <w:p w14:paraId="026C3FBA" w14:textId="77777777" w:rsidR="005B1C7B" w:rsidRPr="0063119B" w:rsidRDefault="005B1C7B" w:rsidP="005B1C7B">
      <w:pPr>
        <w:keepNext/>
        <w:rPr>
          <w:szCs w:val="22"/>
        </w:rPr>
      </w:pPr>
      <w:r w:rsidRPr="0063119B">
        <w:rPr>
          <w:szCs w:val="22"/>
        </w:rPr>
        <w:t>A dose recomendada para o tratamento inicial da TVP aguda ou EP é de 15 mg duas vezes por dia durante as primeiras três semanas, seguida de 20 mg uma vez por dia para continuação do tratamento e prevenção da TVP recorrente e EP.</w:t>
      </w:r>
    </w:p>
    <w:p w14:paraId="0DD5717B" w14:textId="77777777" w:rsidR="005B1C7B" w:rsidRPr="0063119B" w:rsidRDefault="005B1C7B" w:rsidP="005B1C7B">
      <w:pPr>
        <w:rPr>
          <w:szCs w:val="22"/>
        </w:rPr>
      </w:pPr>
    </w:p>
    <w:p w14:paraId="506F23EC" w14:textId="77777777" w:rsidR="006358A9" w:rsidRPr="0063119B" w:rsidRDefault="006358A9" w:rsidP="006358A9">
      <w:pPr>
        <w:suppressAutoHyphens/>
        <w:rPr>
          <w:szCs w:val="22"/>
        </w:rPr>
      </w:pPr>
      <w:r w:rsidRPr="0063119B">
        <w:rPr>
          <w:szCs w:val="22"/>
        </w:rPr>
        <w:t xml:space="preserve">Deve considerar-se uma terapêutica de curta duração (pelo menos 3 meses) em doentes com TVP ou EP provocados por fatores de riscos </w:t>
      </w:r>
      <w:r w:rsidR="00F009F5" w:rsidRPr="0063119B">
        <w:rPr>
          <w:szCs w:val="22"/>
        </w:rPr>
        <w:t>principais</w:t>
      </w:r>
      <w:r w:rsidRPr="0063119B">
        <w:rPr>
          <w:szCs w:val="22"/>
        </w:rPr>
        <w:t>, transitórios (</w:t>
      </w:r>
      <w:r w:rsidR="001421E2" w:rsidRPr="0063119B">
        <w:rPr>
          <w:szCs w:val="22"/>
        </w:rPr>
        <w:t>ex.:</w:t>
      </w:r>
      <w:r w:rsidRPr="0063119B">
        <w:rPr>
          <w:szCs w:val="22"/>
        </w:rPr>
        <w:t xml:space="preserve">. </w:t>
      </w:r>
      <w:r w:rsidR="001421E2" w:rsidRPr="0063119B">
        <w:rPr>
          <w:szCs w:val="22"/>
        </w:rPr>
        <w:t xml:space="preserve">grande </w:t>
      </w:r>
      <w:r w:rsidRPr="0063119B">
        <w:rPr>
          <w:szCs w:val="22"/>
        </w:rPr>
        <w:t xml:space="preserve">cirurgia ou trauma recentes). Deve considerar-se uma maior duração da terapêutica em doentes com TVP ou EP provocados, não relacionados com fatores de risco </w:t>
      </w:r>
      <w:r w:rsidR="00F009F5" w:rsidRPr="0063119B">
        <w:rPr>
          <w:szCs w:val="22"/>
        </w:rPr>
        <w:t>principais</w:t>
      </w:r>
      <w:r w:rsidRPr="0063119B">
        <w:rPr>
          <w:szCs w:val="22"/>
        </w:rPr>
        <w:t>, transitórios, TVP ou EP não provocados ou antecedentes de TVP ou EP recorrente.</w:t>
      </w:r>
    </w:p>
    <w:p w14:paraId="52C1F3F8" w14:textId="77777777" w:rsidR="006358A9" w:rsidRPr="0063119B" w:rsidRDefault="006358A9" w:rsidP="006358A9">
      <w:pPr>
        <w:rPr>
          <w:szCs w:val="22"/>
        </w:rPr>
      </w:pPr>
    </w:p>
    <w:p w14:paraId="75B945C3" w14:textId="77777777" w:rsidR="006358A9" w:rsidRPr="0063119B" w:rsidRDefault="006358A9" w:rsidP="006358A9">
      <w:pPr>
        <w:rPr>
          <w:szCs w:val="22"/>
        </w:rPr>
      </w:pPr>
      <w:r w:rsidRPr="0063119B">
        <w:rPr>
          <w:szCs w:val="22"/>
        </w:rPr>
        <w:t>Quando há indicação para a extensão da p</w:t>
      </w:r>
      <w:r w:rsidRPr="0063119B">
        <w:rPr>
          <w:rFonts w:eastAsia="Malgun Gothic"/>
          <w:szCs w:val="22"/>
          <w:lang w:eastAsia="de-DE"/>
        </w:rPr>
        <w:t>revenção da TVP e EP recorrentes (depois de se completar, pelo menos, 6 meses de terapêutica para a TVP ou EP</w:t>
      </w:r>
      <w:r w:rsidRPr="0063119B">
        <w:rPr>
          <w:szCs w:val="22"/>
        </w:rPr>
        <w:t xml:space="preserve">), a dose recomendada é de 10 mg uma vez por </w:t>
      </w:r>
      <w:r w:rsidRPr="0063119B">
        <w:rPr>
          <w:szCs w:val="22"/>
        </w:rPr>
        <w:lastRenderedPageBreak/>
        <w:t xml:space="preserve">dia. </w:t>
      </w:r>
      <w:r w:rsidR="00F009F5" w:rsidRPr="0063119B">
        <w:rPr>
          <w:szCs w:val="22"/>
        </w:rPr>
        <w:t>Em</w:t>
      </w:r>
      <w:r w:rsidRPr="0063119B">
        <w:rPr>
          <w:szCs w:val="22"/>
        </w:rPr>
        <w:t xml:space="preserve"> doentes nos quais o</w:t>
      </w:r>
      <w:r w:rsidRPr="0063119B">
        <w:rPr>
          <w:rFonts w:eastAsia="Malgun Gothic"/>
          <w:szCs w:val="22"/>
          <w:lang w:eastAsia="de-DE"/>
        </w:rPr>
        <w:t xml:space="preserve"> risco de TVP ou EP recorrente é considerado elevado, tal como naqueles com comorbilidades </w:t>
      </w:r>
      <w:r w:rsidRPr="0063119B">
        <w:rPr>
          <w:szCs w:val="22"/>
        </w:rPr>
        <w:t>complicadas, ou que desenvolveram TVP ou EP recorrente durante a extensão da prevenção</w:t>
      </w:r>
      <w:r w:rsidR="001421E2" w:rsidRPr="0063119B">
        <w:rPr>
          <w:szCs w:val="22"/>
        </w:rPr>
        <w:t xml:space="preserve"> com </w:t>
      </w:r>
      <w:r w:rsidR="00607DE4">
        <w:rPr>
          <w:szCs w:val="22"/>
        </w:rPr>
        <w:t>Rivaroxabano</w:t>
      </w:r>
      <w:r w:rsidR="00154026" w:rsidRPr="0063119B">
        <w:rPr>
          <w:szCs w:val="22"/>
        </w:rPr>
        <w:t xml:space="preserve"> Accord</w:t>
      </w:r>
      <w:r w:rsidR="001421E2" w:rsidRPr="0063119B">
        <w:rPr>
          <w:szCs w:val="22"/>
        </w:rPr>
        <w:t xml:space="preserve"> 10 mg uma vez por dia</w:t>
      </w:r>
      <w:r w:rsidR="00F009F5" w:rsidRPr="0063119B">
        <w:rPr>
          <w:szCs w:val="22"/>
        </w:rPr>
        <w:t xml:space="preserve">, deve considerar-se uma  dose de </w:t>
      </w:r>
      <w:r w:rsidR="00607DE4">
        <w:rPr>
          <w:szCs w:val="22"/>
        </w:rPr>
        <w:t>Rivaroxabano</w:t>
      </w:r>
      <w:r w:rsidR="00154026" w:rsidRPr="0063119B">
        <w:rPr>
          <w:szCs w:val="22"/>
        </w:rPr>
        <w:t xml:space="preserve"> Accord</w:t>
      </w:r>
      <w:r w:rsidR="00F009F5" w:rsidRPr="0063119B">
        <w:rPr>
          <w:szCs w:val="22"/>
        </w:rPr>
        <w:t xml:space="preserve"> 20 mg, uma vez por dia,</w:t>
      </w:r>
    </w:p>
    <w:p w14:paraId="5FB62D6B" w14:textId="77777777" w:rsidR="006358A9" w:rsidRPr="0063119B" w:rsidRDefault="006358A9" w:rsidP="006358A9">
      <w:pPr>
        <w:rPr>
          <w:szCs w:val="22"/>
        </w:rPr>
      </w:pPr>
    </w:p>
    <w:p w14:paraId="6AF94B25" w14:textId="77777777" w:rsidR="006358A9" w:rsidRPr="0063119B" w:rsidRDefault="006358A9" w:rsidP="006358A9">
      <w:pPr>
        <w:rPr>
          <w:szCs w:val="22"/>
        </w:rPr>
      </w:pPr>
      <w:r w:rsidRPr="0063119B">
        <w:rPr>
          <w:szCs w:val="22"/>
        </w:rPr>
        <w:t>A duração da terapêutica e a seleção da dose devem ser individualizadas após cuidadosa avaliação do benefício do tratamento em relação ao risco de hemorragia (ver secção 4.4)</w:t>
      </w:r>
      <w:r w:rsidR="006D2317" w:rsidRPr="0063119B">
        <w:rPr>
          <w:szCs w:val="22"/>
        </w:rPr>
        <w:t>.</w:t>
      </w:r>
    </w:p>
    <w:p w14:paraId="78C4AC25" w14:textId="77777777" w:rsidR="006358A9" w:rsidRPr="0063119B" w:rsidRDefault="006358A9" w:rsidP="006358A9">
      <w:pPr>
        <w:tabs>
          <w:tab w:val="left" w:pos="708"/>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6358A9" w:rsidRPr="0063119B" w14:paraId="3A3AAD1E" w14:textId="77777777" w:rsidTr="00DE537C">
        <w:trPr>
          <w:trHeight w:val="315"/>
        </w:trPr>
        <w:tc>
          <w:tcPr>
            <w:tcW w:w="2339" w:type="dxa"/>
          </w:tcPr>
          <w:p w14:paraId="2C0D0240" w14:textId="77777777" w:rsidR="006358A9" w:rsidRPr="0063119B" w:rsidRDefault="006358A9" w:rsidP="00DE537C">
            <w:pPr>
              <w:spacing w:line="260" w:lineRule="exact"/>
              <w:rPr>
                <w:szCs w:val="22"/>
              </w:rPr>
            </w:pPr>
          </w:p>
        </w:tc>
        <w:tc>
          <w:tcPr>
            <w:tcW w:w="2371" w:type="dxa"/>
          </w:tcPr>
          <w:p w14:paraId="0A1C2001" w14:textId="77777777" w:rsidR="006358A9" w:rsidRPr="0063119B" w:rsidRDefault="006358A9" w:rsidP="00DE537C">
            <w:pPr>
              <w:spacing w:line="260" w:lineRule="exact"/>
              <w:rPr>
                <w:szCs w:val="22"/>
              </w:rPr>
            </w:pPr>
            <w:r w:rsidRPr="0063119B">
              <w:rPr>
                <w:szCs w:val="22"/>
              </w:rPr>
              <w:t>Período de tempo</w:t>
            </w:r>
          </w:p>
        </w:tc>
        <w:tc>
          <w:tcPr>
            <w:tcW w:w="2371" w:type="dxa"/>
          </w:tcPr>
          <w:p w14:paraId="7404762A" w14:textId="77777777" w:rsidR="006358A9" w:rsidRPr="0063119B" w:rsidRDefault="006358A9" w:rsidP="00DE537C">
            <w:pPr>
              <w:spacing w:line="260" w:lineRule="exact"/>
              <w:rPr>
                <w:szCs w:val="22"/>
              </w:rPr>
            </w:pPr>
            <w:r w:rsidRPr="0063119B">
              <w:rPr>
                <w:szCs w:val="22"/>
              </w:rPr>
              <w:t>Esquema posológico</w:t>
            </w:r>
          </w:p>
        </w:tc>
        <w:tc>
          <w:tcPr>
            <w:tcW w:w="2143" w:type="dxa"/>
          </w:tcPr>
          <w:p w14:paraId="6A36251D" w14:textId="77777777" w:rsidR="006358A9" w:rsidRPr="0063119B" w:rsidRDefault="006358A9" w:rsidP="00DE537C">
            <w:pPr>
              <w:spacing w:line="260" w:lineRule="exact"/>
              <w:rPr>
                <w:szCs w:val="22"/>
              </w:rPr>
            </w:pPr>
            <w:r w:rsidRPr="0063119B">
              <w:rPr>
                <w:szCs w:val="22"/>
              </w:rPr>
              <w:t>Dose diária total</w:t>
            </w:r>
          </w:p>
        </w:tc>
      </w:tr>
      <w:tr w:rsidR="006358A9" w:rsidRPr="0063119B" w14:paraId="7314189B" w14:textId="77777777" w:rsidTr="00DE537C">
        <w:trPr>
          <w:trHeight w:val="575"/>
        </w:trPr>
        <w:tc>
          <w:tcPr>
            <w:tcW w:w="2339" w:type="dxa"/>
            <w:vMerge w:val="restart"/>
          </w:tcPr>
          <w:p w14:paraId="78101ABB" w14:textId="77777777" w:rsidR="006358A9" w:rsidRPr="0063119B" w:rsidRDefault="006358A9" w:rsidP="00DE537C">
            <w:pPr>
              <w:spacing w:line="260" w:lineRule="exact"/>
              <w:rPr>
                <w:szCs w:val="22"/>
              </w:rPr>
            </w:pPr>
            <w:r w:rsidRPr="0063119B">
              <w:rPr>
                <w:szCs w:val="22"/>
              </w:rPr>
              <w:t>Tratamento e prevenção da TVP e EP recorrentes</w:t>
            </w:r>
          </w:p>
        </w:tc>
        <w:tc>
          <w:tcPr>
            <w:tcW w:w="2371" w:type="dxa"/>
          </w:tcPr>
          <w:p w14:paraId="1CDE790A" w14:textId="77777777" w:rsidR="006358A9" w:rsidRPr="0063119B" w:rsidRDefault="006358A9" w:rsidP="00DE537C">
            <w:pPr>
              <w:spacing w:line="260" w:lineRule="exact"/>
              <w:rPr>
                <w:szCs w:val="22"/>
              </w:rPr>
            </w:pPr>
            <w:r w:rsidRPr="0063119B">
              <w:rPr>
                <w:szCs w:val="22"/>
              </w:rPr>
              <w:t>Dia 1-21</w:t>
            </w:r>
          </w:p>
        </w:tc>
        <w:tc>
          <w:tcPr>
            <w:tcW w:w="2371" w:type="dxa"/>
          </w:tcPr>
          <w:p w14:paraId="1DD626EA" w14:textId="77777777" w:rsidR="006358A9" w:rsidRPr="0063119B" w:rsidRDefault="006358A9" w:rsidP="00DE537C">
            <w:pPr>
              <w:spacing w:line="260" w:lineRule="exact"/>
              <w:rPr>
                <w:szCs w:val="22"/>
              </w:rPr>
            </w:pPr>
            <w:r w:rsidRPr="0063119B">
              <w:rPr>
                <w:szCs w:val="22"/>
              </w:rPr>
              <w:t>15 mg duas vezes por dia</w:t>
            </w:r>
          </w:p>
        </w:tc>
        <w:tc>
          <w:tcPr>
            <w:tcW w:w="2143" w:type="dxa"/>
          </w:tcPr>
          <w:p w14:paraId="3B9F8DEA" w14:textId="77777777" w:rsidR="006358A9" w:rsidRPr="0063119B" w:rsidRDefault="006358A9" w:rsidP="00DE537C">
            <w:pPr>
              <w:spacing w:line="260" w:lineRule="exact"/>
              <w:rPr>
                <w:szCs w:val="22"/>
              </w:rPr>
            </w:pPr>
            <w:r w:rsidRPr="0063119B">
              <w:rPr>
                <w:szCs w:val="22"/>
              </w:rPr>
              <w:t>30 mg</w:t>
            </w:r>
          </w:p>
        </w:tc>
      </w:tr>
      <w:tr w:rsidR="006358A9" w:rsidRPr="0063119B" w14:paraId="3BED0CAD" w14:textId="77777777" w:rsidTr="00DE537C">
        <w:trPr>
          <w:trHeight w:val="479"/>
        </w:trPr>
        <w:tc>
          <w:tcPr>
            <w:tcW w:w="2339" w:type="dxa"/>
            <w:vMerge/>
          </w:tcPr>
          <w:p w14:paraId="6500E0E7" w14:textId="77777777" w:rsidR="006358A9" w:rsidRPr="0063119B" w:rsidRDefault="006358A9" w:rsidP="00DE537C">
            <w:pPr>
              <w:spacing w:line="260" w:lineRule="exact"/>
              <w:rPr>
                <w:szCs w:val="22"/>
              </w:rPr>
            </w:pPr>
          </w:p>
        </w:tc>
        <w:tc>
          <w:tcPr>
            <w:tcW w:w="2371" w:type="dxa"/>
          </w:tcPr>
          <w:p w14:paraId="6DC0DBA7" w14:textId="77777777" w:rsidR="006358A9" w:rsidRPr="0063119B" w:rsidRDefault="006358A9" w:rsidP="00DE537C">
            <w:pPr>
              <w:spacing w:line="260" w:lineRule="exact"/>
              <w:rPr>
                <w:szCs w:val="22"/>
              </w:rPr>
            </w:pPr>
            <w:r w:rsidRPr="0063119B">
              <w:rPr>
                <w:szCs w:val="22"/>
              </w:rPr>
              <w:t>Dia 22 e seguintes</w:t>
            </w:r>
          </w:p>
        </w:tc>
        <w:tc>
          <w:tcPr>
            <w:tcW w:w="2371" w:type="dxa"/>
          </w:tcPr>
          <w:p w14:paraId="1AB7786D" w14:textId="77777777" w:rsidR="006358A9" w:rsidRPr="0063119B" w:rsidRDefault="006358A9" w:rsidP="00DE537C">
            <w:pPr>
              <w:spacing w:line="260" w:lineRule="exact"/>
              <w:rPr>
                <w:szCs w:val="22"/>
              </w:rPr>
            </w:pPr>
            <w:r w:rsidRPr="0063119B">
              <w:rPr>
                <w:szCs w:val="22"/>
              </w:rPr>
              <w:t>20 mg uma vez por dia</w:t>
            </w:r>
          </w:p>
        </w:tc>
        <w:tc>
          <w:tcPr>
            <w:tcW w:w="2143" w:type="dxa"/>
          </w:tcPr>
          <w:p w14:paraId="0B93B0A9" w14:textId="77777777" w:rsidR="006358A9" w:rsidRPr="0063119B" w:rsidRDefault="006358A9" w:rsidP="00DE537C">
            <w:pPr>
              <w:spacing w:line="260" w:lineRule="exact"/>
              <w:rPr>
                <w:szCs w:val="22"/>
              </w:rPr>
            </w:pPr>
            <w:r w:rsidRPr="0063119B">
              <w:rPr>
                <w:szCs w:val="22"/>
              </w:rPr>
              <w:t>20 mg</w:t>
            </w:r>
          </w:p>
        </w:tc>
      </w:tr>
      <w:tr w:rsidR="006358A9" w:rsidRPr="0063119B" w14:paraId="5DE0CF52" w14:textId="77777777" w:rsidTr="00DE537C">
        <w:trPr>
          <w:trHeight w:val="814"/>
        </w:trPr>
        <w:tc>
          <w:tcPr>
            <w:tcW w:w="2339" w:type="dxa"/>
          </w:tcPr>
          <w:p w14:paraId="100C150E" w14:textId="77777777" w:rsidR="006358A9" w:rsidRPr="0063119B" w:rsidRDefault="006358A9" w:rsidP="00DE537C">
            <w:pPr>
              <w:spacing w:line="260" w:lineRule="exact"/>
              <w:rPr>
                <w:szCs w:val="22"/>
              </w:rPr>
            </w:pPr>
            <w:r w:rsidRPr="0063119B">
              <w:rPr>
                <w:szCs w:val="22"/>
              </w:rPr>
              <w:t>Prevenção da TVP e EP recorrentes</w:t>
            </w:r>
          </w:p>
        </w:tc>
        <w:tc>
          <w:tcPr>
            <w:tcW w:w="2371" w:type="dxa"/>
          </w:tcPr>
          <w:p w14:paraId="3A906326" w14:textId="77777777" w:rsidR="006358A9" w:rsidRPr="0063119B" w:rsidRDefault="006358A9" w:rsidP="00DE537C">
            <w:pPr>
              <w:spacing w:line="260" w:lineRule="exact"/>
              <w:rPr>
                <w:szCs w:val="22"/>
              </w:rPr>
            </w:pPr>
            <w:r w:rsidRPr="0063119B">
              <w:rPr>
                <w:szCs w:val="22"/>
              </w:rPr>
              <w:t>Depois de se ter completado, pelo menos, 6 meses de terapêutica para a TVP ou EP</w:t>
            </w:r>
          </w:p>
        </w:tc>
        <w:tc>
          <w:tcPr>
            <w:tcW w:w="2371" w:type="dxa"/>
          </w:tcPr>
          <w:p w14:paraId="503870F6" w14:textId="77777777" w:rsidR="006358A9" w:rsidRPr="0063119B" w:rsidRDefault="006358A9" w:rsidP="00DE537C">
            <w:pPr>
              <w:spacing w:line="260" w:lineRule="exact"/>
              <w:rPr>
                <w:szCs w:val="22"/>
              </w:rPr>
            </w:pPr>
            <w:r w:rsidRPr="0063119B">
              <w:rPr>
                <w:szCs w:val="22"/>
              </w:rPr>
              <w:t>10 mg uma vez por dia ou</w:t>
            </w:r>
          </w:p>
          <w:p w14:paraId="20526423" w14:textId="77777777" w:rsidR="006358A9" w:rsidRPr="0063119B" w:rsidRDefault="006358A9" w:rsidP="00DE537C">
            <w:pPr>
              <w:spacing w:line="260" w:lineRule="exact"/>
              <w:rPr>
                <w:szCs w:val="22"/>
              </w:rPr>
            </w:pPr>
            <w:r w:rsidRPr="0063119B">
              <w:rPr>
                <w:szCs w:val="22"/>
              </w:rPr>
              <w:t>20 mg uma vez por dia</w:t>
            </w:r>
          </w:p>
        </w:tc>
        <w:tc>
          <w:tcPr>
            <w:tcW w:w="2143" w:type="dxa"/>
          </w:tcPr>
          <w:p w14:paraId="13D8533B" w14:textId="77777777" w:rsidR="006358A9" w:rsidRPr="0063119B" w:rsidRDefault="006358A9" w:rsidP="00DE537C">
            <w:pPr>
              <w:spacing w:line="260" w:lineRule="exact"/>
              <w:rPr>
                <w:szCs w:val="22"/>
              </w:rPr>
            </w:pPr>
            <w:r w:rsidRPr="0063119B">
              <w:rPr>
                <w:szCs w:val="22"/>
              </w:rPr>
              <w:t>10 </w:t>
            </w:r>
            <w:r w:rsidR="006D2317" w:rsidRPr="0063119B">
              <w:rPr>
                <w:szCs w:val="22"/>
              </w:rPr>
              <w:t>mg</w:t>
            </w:r>
          </w:p>
          <w:p w14:paraId="6CFDC0F8" w14:textId="77777777" w:rsidR="006358A9" w:rsidRPr="0063119B" w:rsidRDefault="006358A9" w:rsidP="00DE537C">
            <w:pPr>
              <w:spacing w:line="260" w:lineRule="exact"/>
              <w:rPr>
                <w:szCs w:val="22"/>
              </w:rPr>
            </w:pPr>
            <w:r w:rsidRPr="0063119B">
              <w:rPr>
                <w:szCs w:val="22"/>
              </w:rPr>
              <w:t>ou 20 mg</w:t>
            </w:r>
          </w:p>
        </w:tc>
      </w:tr>
    </w:tbl>
    <w:p w14:paraId="147E65EB" w14:textId="77777777" w:rsidR="005B1C7B" w:rsidRPr="0063119B" w:rsidRDefault="005B1C7B" w:rsidP="005B1C7B">
      <w:pPr>
        <w:rPr>
          <w:szCs w:val="22"/>
          <w:lang w:val="en-US"/>
        </w:rPr>
      </w:pPr>
    </w:p>
    <w:p w14:paraId="501895C7" w14:textId="77777777" w:rsidR="005B1C7B" w:rsidRPr="0063119B" w:rsidRDefault="00306DEC" w:rsidP="005B1C7B">
      <w:pPr>
        <w:rPr>
          <w:szCs w:val="22"/>
        </w:rPr>
      </w:pPr>
      <w:r w:rsidRPr="0063119B">
        <w:rPr>
          <w:szCs w:val="22"/>
        </w:rPr>
        <w:t xml:space="preserve">A </w:t>
      </w:r>
      <w:r w:rsidR="005B1C7B" w:rsidRPr="0063119B">
        <w:rPr>
          <w:szCs w:val="22"/>
        </w:rPr>
        <w:t xml:space="preserve">embalagem </w:t>
      </w:r>
      <w:r w:rsidRPr="0063119B">
        <w:rPr>
          <w:szCs w:val="22"/>
        </w:rPr>
        <w:t xml:space="preserve">de tratamento inicial </w:t>
      </w:r>
      <w:r w:rsidR="005B1C7B" w:rsidRPr="0063119B">
        <w:rPr>
          <w:szCs w:val="22"/>
        </w:rPr>
        <w:t xml:space="preserve">de </w:t>
      </w:r>
      <w:r w:rsidR="00607DE4">
        <w:rPr>
          <w:szCs w:val="22"/>
        </w:rPr>
        <w:t>Rivaroxabano</w:t>
      </w:r>
      <w:r w:rsidR="00754E0E" w:rsidRPr="0063119B">
        <w:rPr>
          <w:szCs w:val="22"/>
        </w:rPr>
        <w:t xml:space="preserve"> Accord</w:t>
      </w:r>
      <w:r w:rsidR="005B1C7B" w:rsidRPr="0063119B">
        <w:rPr>
          <w:szCs w:val="22"/>
        </w:rPr>
        <w:t xml:space="preserve"> para 4</w:t>
      </w:r>
      <w:r w:rsidR="00051253" w:rsidRPr="0063119B">
        <w:rPr>
          <w:szCs w:val="22"/>
        </w:rPr>
        <w:t> </w:t>
      </w:r>
      <w:r w:rsidR="005B1C7B" w:rsidRPr="0063119B">
        <w:rPr>
          <w:szCs w:val="22"/>
        </w:rPr>
        <w:t xml:space="preserve">semanas </w:t>
      </w:r>
      <w:r w:rsidRPr="0063119B">
        <w:rPr>
          <w:szCs w:val="22"/>
        </w:rPr>
        <w:t>destina-se a doentes que vão fazer a transição de 15</w:t>
      </w:r>
      <w:r w:rsidR="00051253" w:rsidRPr="0063119B">
        <w:rPr>
          <w:szCs w:val="22"/>
        </w:rPr>
        <w:t> </w:t>
      </w:r>
      <w:r w:rsidRPr="0063119B">
        <w:rPr>
          <w:szCs w:val="22"/>
        </w:rPr>
        <w:t>mg duas vezes ao dia para 20</w:t>
      </w:r>
      <w:r w:rsidR="00051253" w:rsidRPr="0063119B">
        <w:rPr>
          <w:szCs w:val="22"/>
        </w:rPr>
        <w:t> </w:t>
      </w:r>
      <w:r w:rsidRPr="0063119B">
        <w:rPr>
          <w:szCs w:val="22"/>
        </w:rPr>
        <w:t xml:space="preserve">mg uma vez </w:t>
      </w:r>
      <w:r w:rsidR="00051253" w:rsidRPr="0063119B">
        <w:rPr>
          <w:szCs w:val="22"/>
        </w:rPr>
        <w:t>por</w:t>
      </w:r>
      <w:r w:rsidRPr="0063119B">
        <w:rPr>
          <w:szCs w:val="22"/>
        </w:rPr>
        <w:t xml:space="preserve"> dia</w:t>
      </w:r>
      <w:r w:rsidR="00051253" w:rsidRPr="0063119B">
        <w:rPr>
          <w:szCs w:val="22"/>
        </w:rPr>
        <w:t>,</w:t>
      </w:r>
      <w:r w:rsidRPr="0063119B">
        <w:rPr>
          <w:szCs w:val="22"/>
        </w:rPr>
        <w:t xml:space="preserve"> do dia 22 </w:t>
      </w:r>
      <w:r w:rsidR="00051253" w:rsidRPr="0063119B">
        <w:rPr>
          <w:szCs w:val="22"/>
        </w:rPr>
        <w:t xml:space="preserve">em </w:t>
      </w:r>
      <w:r w:rsidRPr="0063119B">
        <w:rPr>
          <w:szCs w:val="22"/>
        </w:rPr>
        <w:t xml:space="preserve">diante </w:t>
      </w:r>
      <w:r w:rsidR="005B1C7B" w:rsidRPr="0063119B">
        <w:rPr>
          <w:szCs w:val="22"/>
        </w:rPr>
        <w:t>(ver secção</w:t>
      </w:r>
      <w:r w:rsidR="00051253" w:rsidRPr="0063119B">
        <w:rPr>
          <w:szCs w:val="22"/>
        </w:rPr>
        <w:t> </w:t>
      </w:r>
      <w:r w:rsidR="005B1C7B" w:rsidRPr="0063119B">
        <w:rPr>
          <w:szCs w:val="22"/>
        </w:rPr>
        <w:t>6.5).</w:t>
      </w:r>
    </w:p>
    <w:p w14:paraId="5A36CFFA" w14:textId="77777777" w:rsidR="00306DEC" w:rsidRPr="0063119B" w:rsidRDefault="00306DEC" w:rsidP="005B1C7B">
      <w:pPr>
        <w:rPr>
          <w:szCs w:val="22"/>
        </w:rPr>
      </w:pPr>
      <w:r w:rsidRPr="0063119B">
        <w:rPr>
          <w:szCs w:val="22"/>
        </w:rPr>
        <w:t>Para doentes com compromisso renal moderado ou grave nos quais foi decidido continuar o tratamento com 15</w:t>
      </w:r>
      <w:r w:rsidR="00051253" w:rsidRPr="0063119B">
        <w:rPr>
          <w:szCs w:val="22"/>
        </w:rPr>
        <w:t> </w:t>
      </w:r>
      <w:r w:rsidRPr="0063119B">
        <w:rPr>
          <w:szCs w:val="22"/>
        </w:rPr>
        <w:t>mg uma vez ao dia do dia</w:t>
      </w:r>
      <w:r w:rsidR="00051253" w:rsidRPr="0063119B">
        <w:rPr>
          <w:szCs w:val="22"/>
        </w:rPr>
        <w:t> </w:t>
      </w:r>
      <w:r w:rsidRPr="0063119B">
        <w:rPr>
          <w:szCs w:val="22"/>
        </w:rPr>
        <w:t xml:space="preserve">22 para diante, encontram-se disponíveis outras </w:t>
      </w:r>
      <w:r w:rsidR="002276FF" w:rsidRPr="0063119B">
        <w:rPr>
          <w:szCs w:val="22"/>
        </w:rPr>
        <w:t>embalagens</w:t>
      </w:r>
      <w:r w:rsidRPr="0063119B">
        <w:rPr>
          <w:szCs w:val="22"/>
        </w:rPr>
        <w:t xml:space="preserve"> contendo apenas comprimidos revestidos a 15</w:t>
      </w:r>
      <w:r w:rsidR="00051253" w:rsidRPr="0063119B">
        <w:rPr>
          <w:szCs w:val="22"/>
        </w:rPr>
        <w:t> </w:t>
      </w:r>
      <w:r w:rsidRPr="0063119B">
        <w:rPr>
          <w:szCs w:val="22"/>
        </w:rPr>
        <w:t>mg (ver instruções posológicas na se</w:t>
      </w:r>
      <w:r w:rsidR="002276FF" w:rsidRPr="0063119B">
        <w:rPr>
          <w:szCs w:val="22"/>
        </w:rPr>
        <w:t>c</w:t>
      </w:r>
      <w:r w:rsidRPr="0063119B">
        <w:rPr>
          <w:szCs w:val="22"/>
        </w:rPr>
        <w:t xml:space="preserve">ção </w:t>
      </w:r>
      <w:r w:rsidR="002276FF" w:rsidRPr="0063119B">
        <w:rPr>
          <w:szCs w:val="22"/>
        </w:rPr>
        <w:t>“</w:t>
      </w:r>
      <w:r w:rsidRPr="0063119B">
        <w:rPr>
          <w:szCs w:val="22"/>
        </w:rPr>
        <w:t>Populações especiais</w:t>
      </w:r>
      <w:r w:rsidR="002276FF" w:rsidRPr="0063119B">
        <w:rPr>
          <w:szCs w:val="22"/>
        </w:rPr>
        <w:t>”</w:t>
      </w:r>
      <w:r w:rsidRPr="0063119B">
        <w:rPr>
          <w:szCs w:val="22"/>
        </w:rPr>
        <w:t xml:space="preserve"> abaixo).</w:t>
      </w:r>
    </w:p>
    <w:p w14:paraId="03D59E1D" w14:textId="77777777" w:rsidR="005B1C7B" w:rsidRPr="0063119B" w:rsidRDefault="005B1C7B" w:rsidP="005B1C7B">
      <w:pPr>
        <w:rPr>
          <w:szCs w:val="22"/>
        </w:rPr>
      </w:pPr>
    </w:p>
    <w:p w14:paraId="351F6E6A" w14:textId="77777777" w:rsidR="005B1C7B" w:rsidRPr="0063119B" w:rsidRDefault="005B1C7B" w:rsidP="005B1C7B">
      <w:pPr>
        <w:rPr>
          <w:szCs w:val="22"/>
        </w:rPr>
      </w:pPr>
      <w:r w:rsidRPr="0063119B">
        <w:rPr>
          <w:szCs w:val="22"/>
        </w:rPr>
        <w:t>No caso de esquecimento de uma dose durante a fase de tratamento de 15 mg duas vezes por dia (dia 1 </w:t>
      </w:r>
      <w:r w:rsidRPr="0063119B">
        <w:rPr>
          <w:szCs w:val="22"/>
        </w:rPr>
        <w:noBreakHyphen/>
        <w:t xml:space="preserve"> 21), o doente deve tomar imediatamente </w:t>
      </w:r>
      <w:r w:rsidR="00607DE4">
        <w:rPr>
          <w:szCs w:val="22"/>
        </w:rPr>
        <w:t>Rivaroxabano</w:t>
      </w:r>
      <w:r w:rsidR="00754E0E" w:rsidRPr="0063119B">
        <w:rPr>
          <w:szCs w:val="22"/>
        </w:rPr>
        <w:t xml:space="preserve"> Accord</w:t>
      </w:r>
      <w:r w:rsidRPr="0063119B">
        <w:rPr>
          <w:szCs w:val="22"/>
        </w:rPr>
        <w:t xml:space="preserve"> para assegurar a toma de 30 mg de </w:t>
      </w:r>
      <w:r w:rsidR="00051253" w:rsidRPr="0063119B">
        <w:rPr>
          <w:szCs w:val="22"/>
        </w:rPr>
        <w:t>r</w:t>
      </w:r>
      <w:r w:rsidR="00754E0E" w:rsidRPr="0063119B">
        <w:rPr>
          <w:szCs w:val="22"/>
        </w:rPr>
        <w:t>ivaroxaban</w:t>
      </w:r>
      <w:r w:rsidR="00051253" w:rsidRPr="0063119B">
        <w:rPr>
          <w:szCs w:val="22"/>
        </w:rPr>
        <w:t>o</w:t>
      </w:r>
      <w:r w:rsidRPr="0063119B">
        <w:rPr>
          <w:szCs w:val="22"/>
        </w:rPr>
        <w:t>por dia. Neste caso podem tomar</w:t>
      </w:r>
      <w:r w:rsidRPr="0063119B">
        <w:rPr>
          <w:szCs w:val="22"/>
        </w:rPr>
        <w:noBreakHyphen/>
        <w:t>se dois comprimidos de 15 mg ao mesmo tempo. O doente deve continuar no dia seguinte a toma diária e regular de 15 mg duas vezes por dia, conforme recomendado.</w:t>
      </w:r>
    </w:p>
    <w:p w14:paraId="11DBB4F9" w14:textId="77777777" w:rsidR="005B1C7B" w:rsidRPr="0063119B" w:rsidRDefault="005B1C7B" w:rsidP="005B1C7B">
      <w:pPr>
        <w:rPr>
          <w:szCs w:val="22"/>
        </w:rPr>
      </w:pPr>
    </w:p>
    <w:p w14:paraId="34BA6D7A" w14:textId="77777777" w:rsidR="005B1C7B" w:rsidRPr="0063119B" w:rsidRDefault="005B1C7B" w:rsidP="005B1C7B">
      <w:pPr>
        <w:rPr>
          <w:szCs w:val="22"/>
        </w:rPr>
      </w:pPr>
      <w:r w:rsidRPr="0063119B">
        <w:rPr>
          <w:szCs w:val="22"/>
        </w:rPr>
        <w:t xml:space="preserve">No caso de esquecimento de uma dose durante a fase de tratamento de uma toma diária, o doente deve tomar imediatamente </w:t>
      </w:r>
      <w:r w:rsidR="00607DE4">
        <w:rPr>
          <w:szCs w:val="22"/>
        </w:rPr>
        <w:t>Rivaroxabano</w:t>
      </w:r>
      <w:r w:rsidR="00754E0E" w:rsidRPr="0063119B">
        <w:rPr>
          <w:szCs w:val="22"/>
        </w:rPr>
        <w:t xml:space="preserve"> Accord</w:t>
      </w:r>
      <w:r w:rsidRPr="0063119B">
        <w:rPr>
          <w:szCs w:val="22"/>
        </w:rPr>
        <w:t xml:space="preserve"> e continuar no dia seguinte com a toma diária, conforme recomendado. Não deve ser tomada uma dose a dobrar no mesmo dia para compensar uma dose esquecida.</w:t>
      </w:r>
    </w:p>
    <w:p w14:paraId="6F06C3EC" w14:textId="77777777" w:rsidR="005B1C7B" w:rsidRPr="0063119B" w:rsidRDefault="005B1C7B" w:rsidP="005B1C7B">
      <w:pPr>
        <w:rPr>
          <w:szCs w:val="22"/>
        </w:rPr>
      </w:pPr>
    </w:p>
    <w:p w14:paraId="7197366F" w14:textId="77777777" w:rsidR="005B1C7B" w:rsidRPr="0063119B" w:rsidRDefault="005B1C7B" w:rsidP="005B1C7B">
      <w:pPr>
        <w:rPr>
          <w:i/>
          <w:szCs w:val="22"/>
        </w:rPr>
      </w:pPr>
      <w:r w:rsidRPr="0063119B">
        <w:rPr>
          <w:i/>
          <w:szCs w:val="22"/>
        </w:rPr>
        <w:t xml:space="preserve">Passagem de Antagonistas da Vitamina K (AVK) para </w:t>
      </w:r>
      <w:r w:rsidR="00051253" w:rsidRPr="0063119B">
        <w:rPr>
          <w:i/>
          <w:szCs w:val="22"/>
        </w:rPr>
        <w:t>r</w:t>
      </w:r>
      <w:r w:rsidR="00754E0E" w:rsidRPr="0063119B">
        <w:rPr>
          <w:i/>
          <w:szCs w:val="22"/>
        </w:rPr>
        <w:t>ivaroxaban</w:t>
      </w:r>
      <w:r w:rsidR="00051253" w:rsidRPr="0063119B">
        <w:rPr>
          <w:i/>
          <w:szCs w:val="22"/>
        </w:rPr>
        <w:t>o</w:t>
      </w:r>
    </w:p>
    <w:p w14:paraId="51102A59" w14:textId="77777777" w:rsidR="005B1C7B" w:rsidRPr="0063119B" w:rsidRDefault="005B1C7B" w:rsidP="005B1C7B">
      <w:pPr>
        <w:rPr>
          <w:iCs/>
          <w:szCs w:val="22"/>
        </w:rPr>
      </w:pPr>
      <w:r w:rsidRPr="0063119B">
        <w:rPr>
          <w:iCs/>
          <w:szCs w:val="22"/>
        </w:rPr>
        <w:t xml:space="preserve">Em doentes tratados para TVP, EP e na prevenção da recorrência, o tratamento com AVK deve ser interrompido e a terapêutica com </w:t>
      </w:r>
      <w:r w:rsidR="00607DE4">
        <w:rPr>
          <w:iCs/>
          <w:szCs w:val="22"/>
        </w:rPr>
        <w:t>Rivaroxabano</w:t>
      </w:r>
      <w:r w:rsidR="00754E0E" w:rsidRPr="0063119B">
        <w:rPr>
          <w:iCs/>
          <w:szCs w:val="22"/>
        </w:rPr>
        <w:t xml:space="preserve"> Accord</w:t>
      </w:r>
      <w:r w:rsidRPr="0063119B">
        <w:rPr>
          <w:iCs/>
          <w:szCs w:val="22"/>
        </w:rPr>
        <w:t xml:space="preserve"> deve ser iniciada assim que o</w:t>
      </w:r>
      <w:r w:rsidR="002276FF" w:rsidRPr="0063119B">
        <w:rPr>
          <w:iCs/>
          <w:szCs w:val="22"/>
        </w:rPr>
        <w:t xml:space="preserve"> International Normalised Ratio (</w:t>
      </w:r>
      <w:r w:rsidRPr="0063119B">
        <w:rPr>
          <w:iCs/>
          <w:szCs w:val="22"/>
        </w:rPr>
        <w:t>INR</w:t>
      </w:r>
      <w:r w:rsidR="002276FF" w:rsidRPr="0063119B">
        <w:rPr>
          <w:iCs/>
          <w:szCs w:val="22"/>
        </w:rPr>
        <w:t>)</w:t>
      </w:r>
      <w:r w:rsidRPr="0063119B">
        <w:rPr>
          <w:iCs/>
          <w:szCs w:val="22"/>
        </w:rPr>
        <w:t xml:space="preserve"> for ≤ 2,5.</w:t>
      </w:r>
    </w:p>
    <w:p w14:paraId="74357311" w14:textId="77777777" w:rsidR="005B1C7B" w:rsidRPr="0063119B" w:rsidRDefault="005B1C7B" w:rsidP="005B1C7B">
      <w:pPr>
        <w:rPr>
          <w:iCs/>
          <w:szCs w:val="22"/>
        </w:rPr>
      </w:pPr>
      <w:r w:rsidRPr="0063119B">
        <w:rPr>
          <w:iCs/>
          <w:szCs w:val="22"/>
        </w:rPr>
        <w:t xml:space="preserve">Durante a passagem de doentes de AVK para </w:t>
      </w:r>
      <w:r w:rsidR="00051253" w:rsidRPr="0063119B">
        <w:rPr>
          <w:iCs/>
          <w:szCs w:val="22"/>
        </w:rPr>
        <w:t>r</w:t>
      </w:r>
      <w:r w:rsidR="00754E0E" w:rsidRPr="0063119B">
        <w:rPr>
          <w:iCs/>
          <w:szCs w:val="22"/>
        </w:rPr>
        <w:t>ivaroxaban</w:t>
      </w:r>
      <w:r w:rsidR="00051253" w:rsidRPr="0063119B">
        <w:rPr>
          <w:iCs/>
          <w:szCs w:val="22"/>
        </w:rPr>
        <w:t>o</w:t>
      </w:r>
      <w:r w:rsidRPr="0063119B">
        <w:rPr>
          <w:iCs/>
          <w:szCs w:val="22"/>
        </w:rPr>
        <w:t xml:space="preserve">, os valores do INR estarão falsamente elevados após a toma de </w:t>
      </w:r>
      <w:r w:rsidR="00051253" w:rsidRPr="0063119B">
        <w:rPr>
          <w:iCs/>
          <w:szCs w:val="22"/>
        </w:rPr>
        <w:t>r</w:t>
      </w:r>
      <w:r w:rsidR="00754E0E" w:rsidRPr="0063119B">
        <w:rPr>
          <w:iCs/>
          <w:szCs w:val="22"/>
        </w:rPr>
        <w:t>ivaroxaba</w:t>
      </w:r>
      <w:r w:rsidR="00051253" w:rsidRPr="0063119B">
        <w:rPr>
          <w:iCs/>
          <w:szCs w:val="22"/>
        </w:rPr>
        <w:t>no</w:t>
      </w:r>
      <w:r w:rsidRPr="0063119B">
        <w:rPr>
          <w:iCs/>
          <w:szCs w:val="22"/>
        </w:rPr>
        <w:t xml:space="preserve">. O INR não é uma medida válida para determinar a atividade anticoagulante de </w:t>
      </w:r>
      <w:r w:rsidR="00051253" w:rsidRPr="0063119B">
        <w:rPr>
          <w:iCs/>
          <w:szCs w:val="22"/>
        </w:rPr>
        <w:t>r</w:t>
      </w:r>
      <w:r w:rsidR="00754E0E" w:rsidRPr="0063119B">
        <w:rPr>
          <w:iCs/>
          <w:szCs w:val="22"/>
        </w:rPr>
        <w:t>ivaroxaban</w:t>
      </w:r>
      <w:r w:rsidR="00051253" w:rsidRPr="0063119B">
        <w:rPr>
          <w:iCs/>
          <w:szCs w:val="22"/>
        </w:rPr>
        <w:t>o</w:t>
      </w:r>
      <w:r w:rsidRPr="0063119B">
        <w:rPr>
          <w:iCs/>
          <w:szCs w:val="22"/>
        </w:rPr>
        <w:t>e, portanto, não deve ser utilizado (ver secção 4.5).</w:t>
      </w:r>
    </w:p>
    <w:p w14:paraId="418C521B" w14:textId="77777777" w:rsidR="005B1C7B" w:rsidRPr="0063119B" w:rsidRDefault="005B1C7B" w:rsidP="005B1C7B">
      <w:pPr>
        <w:rPr>
          <w:iCs/>
          <w:szCs w:val="22"/>
        </w:rPr>
      </w:pPr>
    </w:p>
    <w:p w14:paraId="3F36A442" w14:textId="77777777" w:rsidR="005B1C7B" w:rsidRPr="0063119B" w:rsidRDefault="005B1C7B" w:rsidP="003311FD">
      <w:pPr>
        <w:keepNext/>
        <w:rPr>
          <w:i/>
          <w:iCs/>
          <w:szCs w:val="22"/>
        </w:rPr>
      </w:pPr>
      <w:r w:rsidRPr="0063119B">
        <w:rPr>
          <w:i/>
          <w:iCs/>
          <w:szCs w:val="22"/>
        </w:rPr>
        <w:t xml:space="preserve">Passagem de </w:t>
      </w:r>
      <w:r w:rsidR="00051253" w:rsidRPr="0063119B">
        <w:rPr>
          <w:i/>
          <w:iCs/>
          <w:szCs w:val="22"/>
        </w:rPr>
        <w:t>r</w:t>
      </w:r>
      <w:r w:rsidR="00754E0E" w:rsidRPr="0063119B">
        <w:rPr>
          <w:i/>
          <w:iCs/>
          <w:szCs w:val="22"/>
        </w:rPr>
        <w:t>ivaroxaban</w:t>
      </w:r>
      <w:r w:rsidR="00051253" w:rsidRPr="0063119B">
        <w:rPr>
          <w:i/>
          <w:iCs/>
          <w:szCs w:val="22"/>
        </w:rPr>
        <w:t>o</w:t>
      </w:r>
      <w:r w:rsidRPr="0063119B">
        <w:rPr>
          <w:i/>
          <w:iCs/>
          <w:szCs w:val="22"/>
        </w:rPr>
        <w:t xml:space="preserve"> para os Antagonistas da Vitamina K (AVK)</w:t>
      </w:r>
    </w:p>
    <w:p w14:paraId="2E4858A3" w14:textId="77777777" w:rsidR="005B1C7B" w:rsidRPr="0063119B" w:rsidRDefault="005B1C7B" w:rsidP="005B1C7B">
      <w:pPr>
        <w:autoSpaceDE w:val="0"/>
        <w:autoSpaceDN w:val="0"/>
        <w:adjustRightInd w:val="0"/>
        <w:rPr>
          <w:rFonts w:eastAsia="MS Mincho"/>
          <w:szCs w:val="22"/>
          <w:lang w:eastAsia="ja-JP"/>
        </w:rPr>
      </w:pPr>
      <w:r w:rsidRPr="0063119B">
        <w:rPr>
          <w:szCs w:val="22"/>
        </w:rPr>
        <w:t xml:space="preserve">Existe um potencial de anticoagulação inadequado durante a transição de </w:t>
      </w:r>
      <w:r w:rsidR="00051253" w:rsidRPr="0063119B">
        <w:rPr>
          <w:szCs w:val="22"/>
        </w:rPr>
        <w:t>r</w:t>
      </w:r>
      <w:r w:rsidR="00754E0E" w:rsidRPr="0063119B">
        <w:rPr>
          <w:szCs w:val="22"/>
        </w:rPr>
        <w:t>ivaroxaban</w:t>
      </w:r>
      <w:r w:rsidR="00051253" w:rsidRPr="0063119B">
        <w:rPr>
          <w:szCs w:val="22"/>
        </w:rPr>
        <w:t>o</w:t>
      </w:r>
      <w:r w:rsidRPr="0063119B">
        <w:rPr>
          <w:szCs w:val="22"/>
        </w:rPr>
        <w:t xml:space="preserve"> para os AVK. Deve ser assegurada uma anticoagulação contínua adequada durante a transição para um anticoagulante alternativo. Deve salientar</w:t>
      </w:r>
      <w:r w:rsidRPr="0063119B">
        <w:rPr>
          <w:szCs w:val="22"/>
        </w:rPr>
        <w:noBreakHyphen/>
        <w:t xml:space="preserve">se que </w:t>
      </w:r>
      <w:r w:rsidR="00051253" w:rsidRPr="0063119B">
        <w:rPr>
          <w:szCs w:val="22"/>
        </w:rPr>
        <w:t>r</w:t>
      </w:r>
      <w:r w:rsidR="00754E0E" w:rsidRPr="0063119B">
        <w:rPr>
          <w:szCs w:val="22"/>
        </w:rPr>
        <w:t>ivaroxaban</w:t>
      </w:r>
      <w:r w:rsidR="00051253" w:rsidRPr="0063119B">
        <w:rPr>
          <w:szCs w:val="22"/>
        </w:rPr>
        <w:t>o</w:t>
      </w:r>
      <w:r w:rsidRPr="0063119B">
        <w:rPr>
          <w:szCs w:val="22"/>
        </w:rPr>
        <w:t xml:space="preserve"> pode contribuir para um INR elevado.</w:t>
      </w:r>
    </w:p>
    <w:p w14:paraId="287D24D5" w14:textId="77777777" w:rsidR="005B1C7B" w:rsidRPr="0063119B" w:rsidRDefault="005B1C7B" w:rsidP="005B1C7B">
      <w:pPr>
        <w:autoSpaceDE w:val="0"/>
        <w:autoSpaceDN w:val="0"/>
        <w:adjustRightInd w:val="0"/>
        <w:rPr>
          <w:rFonts w:eastAsia="MS Mincho"/>
          <w:szCs w:val="22"/>
          <w:lang w:eastAsia="ja-JP"/>
        </w:rPr>
      </w:pPr>
      <w:r w:rsidRPr="0063119B">
        <w:rPr>
          <w:rFonts w:eastAsia="MS Mincho"/>
          <w:szCs w:val="22"/>
          <w:lang w:eastAsia="ja-JP"/>
        </w:rPr>
        <w:t xml:space="preserve">Em doentes que passam de </w:t>
      </w:r>
      <w:r w:rsidR="00051253" w:rsidRPr="0063119B">
        <w:rPr>
          <w:rFonts w:eastAsia="MS Mincho"/>
          <w:szCs w:val="22"/>
          <w:lang w:eastAsia="ja-JP"/>
        </w:rPr>
        <w:t>r</w:t>
      </w:r>
      <w:r w:rsidR="00754E0E" w:rsidRPr="0063119B">
        <w:rPr>
          <w:rFonts w:eastAsia="MS Mincho"/>
          <w:szCs w:val="22"/>
          <w:lang w:eastAsia="ja-JP"/>
        </w:rPr>
        <w:t>ivaroxaban</w:t>
      </w:r>
      <w:r w:rsidR="00051253" w:rsidRPr="0063119B">
        <w:rPr>
          <w:rFonts w:eastAsia="MS Mincho"/>
          <w:szCs w:val="22"/>
          <w:lang w:eastAsia="ja-JP"/>
        </w:rPr>
        <w:t>o</w:t>
      </w:r>
      <w:r w:rsidRPr="0063119B">
        <w:rPr>
          <w:rFonts w:eastAsia="MS Mincho"/>
          <w:szCs w:val="22"/>
          <w:lang w:eastAsia="ja-JP"/>
        </w:rPr>
        <w:t xml:space="preserve"> para um AVK, o AVK deve ser administrado simultaneamente até o INR ser ≥ 2,0. Durante os dois primeiros dias do período de passagem, deve utilizar</w:t>
      </w:r>
      <w:r w:rsidRPr="0063119B">
        <w:rPr>
          <w:rFonts w:eastAsia="MS Mincho"/>
          <w:szCs w:val="22"/>
          <w:lang w:eastAsia="ja-JP"/>
        </w:rPr>
        <w:noBreakHyphen/>
        <w:t xml:space="preserve">se a dose inicial padrão do AVK, seguida de uma dose do AVK, com base nas determinações do INR. Enquanto os doentes estiverem a tomar simultaneamente </w:t>
      </w:r>
      <w:r w:rsidR="00051253" w:rsidRPr="0063119B">
        <w:rPr>
          <w:rFonts w:eastAsia="MS Mincho"/>
          <w:szCs w:val="22"/>
          <w:lang w:eastAsia="ja-JP"/>
        </w:rPr>
        <w:t>o r</w:t>
      </w:r>
      <w:r w:rsidR="00754E0E" w:rsidRPr="0063119B">
        <w:rPr>
          <w:rFonts w:eastAsia="MS Mincho"/>
          <w:szCs w:val="22"/>
          <w:lang w:eastAsia="ja-JP"/>
        </w:rPr>
        <w:t>ivaroxaban</w:t>
      </w:r>
      <w:r w:rsidR="00051253" w:rsidRPr="0063119B">
        <w:rPr>
          <w:rFonts w:eastAsia="MS Mincho"/>
          <w:szCs w:val="22"/>
          <w:lang w:eastAsia="ja-JP"/>
        </w:rPr>
        <w:t>o</w:t>
      </w:r>
      <w:r w:rsidRPr="0063119B">
        <w:rPr>
          <w:rFonts w:eastAsia="MS Mincho"/>
          <w:szCs w:val="22"/>
          <w:lang w:eastAsia="ja-JP"/>
        </w:rPr>
        <w:t xml:space="preserve"> e o AVK, o INR não deve ser determinado antes das 24 horas após a dose precedente de </w:t>
      </w:r>
      <w:r w:rsidR="00051253" w:rsidRPr="0063119B">
        <w:rPr>
          <w:rFonts w:eastAsia="MS Mincho"/>
          <w:szCs w:val="22"/>
          <w:lang w:eastAsia="ja-JP"/>
        </w:rPr>
        <w:t>r</w:t>
      </w:r>
      <w:r w:rsidR="00754E0E" w:rsidRPr="0063119B">
        <w:rPr>
          <w:rFonts w:eastAsia="MS Mincho"/>
          <w:szCs w:val="22"/>
          <w:lang w:eastAsia="ja-JP"/>
        </w:rPr>
        <w:t>ivaroxaban</w:t>
      </w:r>
      <w:r w:rsidR="00051253" w:rsidRPr="0063119B">
        <w:rPr>
          <w:rFonts w:eastAsia="MS Mincho"/>
          <w:szCs w:val="22"/>
          <w:lang w:eastAsia="ja-JP"/>
        </w:rPr>
        <w:t>o</w:t>
      </w:r>
      <w:r w:rsidRPr="0063119B">
        <w:rPr>
          <w:rFonts w:eastAsia="MS Mincho"/>
          <w:szCs w:val="22"/>
          <w:lang w:eastAsia="ja-JP"/>
        </w:rPr>
        <w:t xml:space="preserve"> e antes da dose </w:t>
      </w:r>
      <w:r w:rsidRPr="0063119B">
        <w:rPr>
          <w:rFonts w:eastAsia="MS Mincho"/>
          <w:szCs w:val="22"/>
          <w:lang w:eastAsia="ja-JP"/>
        </w:rPr>
        <w:lastRenderedPageBreak/>
        <w:t xml:space="preserve">seguinte. Assim que </w:t>
      </w:r>
      <w:r w:rsidR="00607DE4">
        <w:rPr>
          <w:rFonts w:eastAsia="MS Mincho"/>
          <w:szCs w:val="22"/>
          <w:lang w:eastAsia="ja-JP"/>
        </w:rPr>
        <w:t>Rivaroxabano</w:t>
      </w:r>
      <w:r w:rsidR="00754E0E" w:rsidRPr="0063119B">
        <w:rPr>
          <w:rFonts w:eastAsia="MS Mincho"/>
          <w:szCs w:val="22"/>
          <w:lang w:eastAsia="ja-JP"/>
        </w:rPr>
        <w:t xml:space="preserve"> Accord</w:t>
      </w:r>
      <w:r w:rsidRPr="0063119B">
        <w:rPr>
          <w:rFonts w:eastAsia="MS Mincho"/>
          <w:szCs w:val="22"/>
          <w:lang w:eastAsia="ja-JP"/>
        </w:rPr>
        <w:t xml:space="preserve"> for interrompido, a determinação do INR pode ser efetuada com fiabilidade pelo menos 24 horas após a última dose (ver secções 4.5 e 5.2).</w:t>
      </w:r>
    </w:p>
    <w:p w14:paraId="63FABB05" w14:textId="77777777" w:rsidR="005B1C7B" w:rsidRPr="0063119B" w:rsidRDefault="005B1C7B" w:rsidP="005B1C7B">
      <w:pPr>
        <w:rPr>
          <w:iCs/>
          <w:szCs w:val="22"/>
        </w:rPr>
      </w:pPr>
    </w:p>
    <w:p w14:paraId="24E59F23" w14:textId="77777777" w:rsidR="005B1C7B" w:rsidRPr="0063119B" w:rsidRDefault="005B1C7B" w:rsidP="005B1C7B">
      <w:pPr>
        <w:rPr>
          <w:i/>
          <w:iCs/>
          <w:szCs w:val="22"/>
        </w:rPr>
      </w:pPr>
      <w:r w:rsidRPr="0063119B">
        <w:rPr>
          <w:i/>
          <w:iCs/>
          <w:szCs w:val="22"/>
        </w:rPr>
        <w:t xml:space="preserve">Passagem de anticoagulantes parentéricos para </w:t>
      </w:r>
      <w:r w:rsidR="00051253" w:rsidRPr="0063119B">
        <w:rPr>
          <w:i/>
          <w:iCs/>
          <w:szCs w:val="22"/>
        </w:rPr>
        <w:t>r</w:t>
      </w:r>
      <w:r w:rsidR="00754E0E" w:rsidRPr="0063119B">
        <w:rPr>
          <w:i/>
          <w:iCs/>
          <w:szCs w:val="22"/>
        </w:rPr>
        <w:t>ivaroxaban</w:t>
      </w:r>
      <w:r w:rsidR="00051253" w:rsidRPr="0063119B">
        <w:rPr>
          <w:i/>
          <w:iCs/>
          <w:szCs w:val="22"/>
        </w:rPr>
        <w:t>o</w:t>
      </w:r>
    </w:p>
    <w:p w14:paraId="1816BFE8" w14:textId="77777777" w:rsidR="005B1C7B" w:rsidRPr="0063119B" w:rsidRDefault="005B1C7B" w:rsidP="005B1C7B">
      <w:pPr>
        <w:autoSpaceDE w:val="0"/>
        <w:autoSpaceDN w:val="0"/>
        <w:adjustRightInd w:val="0"/>
        <w:rPr>
          <w:rFonts w:eastAsia="MS Mincho"/>
          <w:bCs/>
          <w:szCs w:val="22"/>
          <w:lang w:eastAsia="ja-JP"/>
        </w:rPr>
      </w:pPr>
      <w:r w:rsidRPr="0063119B">
        <w:rPr>
          <w:rFonts w:eastAsia="MS Mincho"/>
          <w:bCs/>
          <w:szCs w:val="22"/>
          <w:lang w:eastAsia="ja-JP"/>
        </w:rPr>
        <w:t xml:space="preserve">Em doentes atualmente a serem tratados com um anticoagulante parentérico, interromper o anticoagulante parentérico e iniciar </w:t>
      </w:r>
      <w:r w:rsidR="00051253" w:rsidRPr="0063119B">
        <w:rPr>
          <w:rFonts w:eastAsia="MS Mincho"/>
          <w:bCs/>
          <w:szCs w:val="22"/>
          <w:lang w:eastAsia="ja-JP"/>
        </w:rPr>
        <w:t>o r</w:t>
      </w:r>
      <w:r w:rsidR="00754E0E" w:rsidRPr="0063119B">
        <w:rPr>
          <w:rFonts w:eastAsia="MS Mincho"/>
          <w:bCs/>
          <w:szCs w:val="22"/>
          <w:lang w:eastAsia="ja-JP"/>
        </w:rPr>
        <w:t>ivaroxaban</w:t>
      </w:r>
      <w:r w:rsidR="00051253" w:rsidRPr="0063119B">
        <w:rPr>
          <w:rFonts w:eastAsia="MS Mincho"/>
          <w:bCs/>
          <w:szCs w:val="22"/>
          <w:lang w:eastAsia="ja-JP"/>
        </w:rPr>
        <w:t>o</w:t>
      </w:r>
      <w:r w:rsidRPr="0063119B">
        <w:rPr>
          <w:rFonts w:eastAsia="MS Mincho"/>
          <w:bCs/>
          <w:szCs w:val="22"/>
          <w:lang w:eastAsia="ja-JP"/>
        </w:rPr>
        <w:t xml:space="preserve"> 0 a 2 horas antes da hora prevista para a administração seguinte do medicamento parentérico (ex.: heparinas de baixo peso molecular) ou na altura da interrupção de um medicamento parentérico em administração contínua (ex.: heparina não fracionada intravenosa).</w:t>
      </w:r>
    </w:p>
    <w:p w14:paraId="3BCCF7FB" w14:textId="77777777" w:rsidR="005B1C7B" w:rsidRPr="0063119B" w:rsidRDefault="005B1C7B" w:rsidP="005B1C7B">
      <w:pPr>
        <w:autoSpaceDE w:val="0"/>
        <w:autoSpaceDN w:val="0"/>
        <w:adjustRightInd w:val="0"/>
        <w:rPr>
          <w:rFonts w:eastAsia="MS Mincho"/>
          <w:bCs/>
          <w:szCs w:val="22"/>
          <w:lang w:eastAsia="ja-JP"/>
        </w:rPr>
      </w:pPr>
    </w:p>
    <w:p w14:paraId="415223B6" w14:textId="77777777" w:rsidR="005B1C7B" w:rsidRPr="0063119B" w:rsidRDefault="005B1C7B" w:rsidP="005B1C7B">
      <w:pPr>
        <w:autoSpaceDE w:val="0"/>
        <w:autoSpaceDN w:val="0"/>
        <w:adjustRightInd w:val="0"/>
        <w:rPr>
          <w:rFonts w:eastAsia="MS Mincho"/>
          <w:bCs/>
          <w:i/>
          <w:szCs w:val="22"/>
          <w:lang w:eastAsia="ja-JP"/>
        </w:rPr>
      </w:pPr>
      <w:r w:rsidRPr="0063119B">
        <w:rPr>
          <w:rFonts w:eastAsia="MS Mincho"/>
          <w:bCs/>
          <w:i/>
          <w:szCs w:val="22"/>
          <w:lang w:eastAsia="ja-JP"/>
        </w:rPr>
        <w:t xml:space="preserve">Passagem de </w:t>
      </w:r>
      <w:r w:rsidR="00051253" w:rsidRPr="0063119B">
        <w:rPr>
          <w:rFonts w:eastAsia="MS Mincho"/>
          <w:bCs/>
          <w:i/>
          <w:szCs w:val="22"/>
          <w:lang w:eastAsia="ja-JP"/>
        </w:rPr>
        <w:t>r</w:t>
      </w:r>
      <w:r w:rsidR="00754E0E" w:rsidRPr="0063119B">
        <w:rPr>
          <w:rFonts w:eastAsia="MS Mincho"/>
          <w:bCs/>
          <w:i/>
          <w:szCs w:val="22"/>
          <w:lang w:eastAsia="ja-JP"/>
        </w:rPr>
        <w:t>ivaroxaban</w:t>
      </w:r>
      <w:r w:rsidR="00051253" w:rsidRPr="0063119B">
        <w:rPr>
          <w:rFonts w:eastAsia="MS Mincho"/>
          <w:bCs/>
          <w:i/>
          <w:szCs w:val="22"/>
          <w:lang w:eastAsia="ja-JP"/>
        </w:rPr>
        <w:t>o</w:t>
      </w:r>
      <w:r w:rsidRPr="0063119B">
        <w:rPr>
          <w:rFonts w:eastAsia="MS Mincho"/>
          <w:bCs/>
          <w:i/>
          <w:szCs w:val="22"/>
          <w:lang w:eastAsia="ja-JP"/>
        </w:rPr>
        <w:t xml:space="preserve"> para anticoagulantes parentéricos</w:t>
      </w:r>
    </w:p>
    <w:p w14:paraId="0730DA8E" w14:textId="77777777" w:rsidR="005B1C7B" w:rsidRPr="0063119B" w:rsidRDefault="005B1C7B" w:rsidP="005B1C7B">
      <w:pPr>
        <w:rPr>
          <w:szCs w:val="22"/>
        </w:rPr>
      </w:pPr>
      <w:r w:rsidRPr="0063119B">
        <w:rPr>
          <w:rFonts w:eastAsia="MS Mincho"/>
          <w:szCs w:val="22"/>
          <w:lang w:eastAsia="ja-JP"/>
        </w:rPr>
        <w:t xml:space="preserve">Administrar a primeira dose do anticoagulante parentérico na altura em que deve ser tomada a dose seguinte de </w:t>
      </w:r>
      <w:r w:rsidR="00051253" w:rsidRPr="0063119B">
        <w:rPr>
          <w:rFonts w:eastAsia="MS Mincho"/>
          <w:szCs w:val="22"/>
          <w:lang w:eastAsia="ja-JP"/>
        </w:rPr>
        <w:t>r</w:t>
      </w:r>
      <w:r w:rsidR="00754E0E" w:rsidRPr="0063119B">
        <w:rPr>
          <w:rFonts w:eastAsia="MS Mincho"/>
          <w:szCs w:val="22"/>
          <w:lang w:eastAsia="ja-JP"/>
        </w:rPr>
        <w:t>ivaroxaban</w:t>
      </w:r>
      <w:r w:rsidR="00051253" w:rsidRPr="0063119B">
        <w:rPr>
          <w:rFonts w:eastAsia="MS Mincho"/>
          <w:szCs w:val="22"/>
          <w:lang w:eastAsia="ja-JP"/>
        </w:rPr>
        <w:t>o</w:t>
      </w:r>
      <w:r w:rsidRPr="0063119B">
        <w:rPr>
          <w:rFonts w:eastAsia="MS Mincho"/>
          <w:szCs w:val="22"/>
          <w:lang w:eastAsia="ja-JP"/>
        </w:rPr>
        <w:t>.</w:t>
      </w:r>
    </w:p>
    <w:p w14:paraId="783D4077" w14:textId="77777777" w:rsidR="005B1C7B" w:rsidRPr="0063119B" w:rsidRDefault="005B1C7B" w:rsidP="005B1C7B">
      <w:pPr>
        <w:suppressAutoHyphens/>
        <w:rPr>
          <w:szCs w:val="22"/>
          <w:u w:val="single"/>
        </w:rPr>
      </w:pPr>
    </w:p>
    <w:p w14:paraId="60DF0EFD" w14:textId="77777777" w:rsidR="005B1C7B" w:rsidRDefault="005B1C7B" w:rsidP="005B1C7B">
      <w:pPr>
        <w:keepNext/>
        <w:suppressAutoHyphens/>
        <w:rPr>
          <w:szCs w:val="22"/>
          <w:u w:val="single"/>
        </w:rPr>
      </w:pPr>
      <w:r w:rsidRPr="0063119B">
        <w:rPr>
          <w:szCs w:val="22"/>
          <w:u w:val="single"/>
        </w:rPr>
        <w:t>Populações especiais</w:t>
      </w:r>
    </w:p>
    <w:p w14:paraId="684EE031" w14:textId="77777777" w:rsidR="00CB7754" w:rsidRPr="0063119B" w:rsidRDefault="00CB7754" w:rsidP="005B1C7B">
      <w:pPr>
        <w:keepNext/>
        <w:suppressAutoHyphens/>
        <w:rPr>
          <w:szCs w:val="22"/>
          <w:u w:val="single"/>
        </w:rPr>
      </w:pPr>
    </w:p>
    <w:p w14:paraId="34FBA14D" w14:textId="77777777" w:rsidR="005B1C7B" w:rsidRPr="0063119B" w:rsidRDefault="005B1C7B" w:rsidP="005B1C7B">
      <w:pPr>
        <w:keepNext/>
        <w:suppressAutoHyphens/>
        <w:rPr>
          <w:i/>
          <w:noProof/>
          <w:szCs w:val="22"/>
        </w:rPr>
      </w:pPr>
      <w:r w:rsidRPr="0063119B">
        <w:rPr>
          <w:i/>
          <w:noProof/>
          <w:szCs w:val="22"/>
        </w:rPr>
        <w:t>Compromisso renal</w:t>
      </w:r>
    </w:p>
    <w:p w14:paraId="3467D739" w14:textId="77777777" w:rsidR="005B1C7B" w:rsidRPr="0063119B" w:rsidRDefault="005B1C7B" w:rsidP="005B1C7B">
      <w:pPr>
        <w:suppressAutoHyphens/>
        <w:rPr>
          <w:noProof/>
          <w:szCs w:val="22"/>
        </w:rPr>
      </w:pPr>
      <w:r w:rsidRPr="0063119B">
        <w:rPr>
          <w:noProof/>
          <w:szCs w:val="22"/>
        </w:rPr>
        <w:t xml:space="preserve">Dados clínicos limitados em doentes com compromisso renal grave (taxa de depuração da creatinina 15 - 29 ml/min) indicam que as concentrações plasmáticas de rivaroxabano estão significativamente aumentadas. Assim, </w:t>
      </w:r>
      <w:r w:rsidR="00607DE4">
        <w:rPr>
          <w:noProof/>
          <w:szCs w:val="22"/>
        </w:rPr>
        <w:t>Rivaroxabano</w:t>
      </w:r>
      <w:r w:rsidR="00754E0E" w:rsidRPr="0063119B">
        <w:rPr>
          <w:noProof/>
          <w:szCs w:val="22"/>
        </w:rPr>
        <w:t xml:space="preserve"> Accord</w:t>
      </w:r>
      <w:r w:rsidRPr="0063119B">
        <w:rPr>
          <w:noProof/>
          <w:szCs w:val="22"/>
        </w:rPr>
        <w:t xml:space="preserve"> deve ser utilizado com precaução nestes doentes. Não é recomendada a utilização em doentes com taxa de depuração da creatinina &lt; 15 ml/min (ver secções 4.4 e 5.2).</w:t>
      </w:r>
    </w:p>
    <w:p w14:paraId="0EB86DCB" w14:textId="77777777" w:rsidR="005B1C7B" w:rsidRPr="0063119B" w:rsidRDefault="005B1C7B" w:rsidP="005B1C7B">
      <w:pPr>
        <w:suppressAutoHyphens/>
        <w:rPr>
          <w:noProof/>
          <w:szCs w:val="22"/>
        </w:rPr>
      </w:pPr>
    </w:p>
    <w:p w14:paraId="5458AE2E" w14:textId="77777777" w:rsidR="005B1C7B" w:rsidRPr="0063119B" w:rsidRDefault="005B1C7B" w:rsidP="005B1C7B">
      <w:pPr>
        <w:rPr>
          <w:szCs w:val="22"/>
        </w:rPr>
      </w:pPr>
      <w:r w:rsidRPr="0063119B">
        <w:rPr>
          <w:szCs w:val="22"/>
        </w:rPr>
        <w:t>Em doentes com compromisso renal moderado (taxa de depuração da creatinina de 30 </w:t>
      </w:r>
      <w:r w:rsidRPr="0063119B">
        <w:rPr>
          <w:szCs w:val="22"/>
        </w:rPr>
        <w:noBreakHyphen/>
        <w:t> 49 ml/min) ou grave (taxa de depuração da creatinina de 15 </w:t>
      </w:r>
      <w:r w:rsidRPr="0063119B">
        <w:rPr>
          <w:szCs w:val="22"/>
        </w:rPr>
        <w:noBreakHyphen/>
        <w:t> 29 ml/min) devem ser seguidas as seguintes recomendações posológicas:</w:t>
      </w:r>
    </w:p>
    <w:p w14:paraId="691F05B5" w14:textId="77777777" w:rsidR="005B1C7B" w:rsidRPr="0063119B" w:rsidRDefault="005B1C7B" w:rsidP="005B1C7B">
      <w:pPr>
        <w:ind w:left="567"/>
        <w:rPr>
          <w:szCs w:val="22"/>
        </w:rPr>
      </w:pPr>
    </w:p>
    <w:p w14:paraId="662AD947" w14:textId="77777777" w:rsidR="005B1C7B" w:rsidRPr="0063119B" w:rsidRDefault="005B1C7B" w:rsidP="005B1C7B">
      <w:pPr>
        <w:suppressAutoHyphens/>
        <w:ind w:left="567" w:hanging="567"/>
        <w:rPr>
          <w:szCs w:val="22"/>
        </w:rPr>
      </w:pPr>
      <w:r w:rsidRPr="0063119B">
        <w:rPr>
          <w:szCs w:val="22"/>
        </w:rPr>
        <w:noBreakHyphen/>
      </w:r>
      <w:r w:rsidRPr="0063119B">
        <w:rPr>
          <w:szCs w:val="22"/>
        </w:rPr>
        <w:tab/>
        <w:t>No tratamento da TVP, tratamento do EP e prevenção da TVP recorrente e EP</w:t>
      </w:r>
      <w:r w:rsidR="006358A9" w:rsidRPr="0063119B">
        <w:rPr>
          <w:szCs w:val="22"/>
        </w:rPr>
        <w:t>,</w:t>
      </w:r>
      <w:r w:rsidRPr="0063119B">
        <w:rPr>
          <w:szCs w:val="22"/>
        </w:rPr>
        <w:t xml:space="preserve"> os doentes devem ser tratados com 15 mg duas vezes por dia durante as primeiras 3 semanas. </w:t>
      </w:r>
    </w:p>
    <w:p w14:paraId="14DE618C" w14:textId="77777777" w:rsidR="005B1C7B" w:rsidRPr="0063119B" w:rsidRDefault="005B1C7B" w:rsidP="005B1C7B">
      <w:pPr>
        <w:suppressAutoHyphens/>
        <w:ind w:left="567"/>
        <w:rPr>
          <w:szCs w:val="22"/>
        </w:rPr>
      </w:pPr>
      <w:r w:rsidRPr="0063119B">
        <w:rPr>
          <w:szCs w:val="22"/>
        </w:rPr>
        <w:t xml:space="preserve">Após isto, </w:t>
      </w:r>
      <w:r w:rsidR="006358A9" w:rsidRPr="0063119B">
        <w:rPr>
          <w:szCs w:val="22"/>
        </w:rPr>
        <w:t xml:space="preserve">quando </w:t>
      </w:r>
      <w:r w:rsidRPr="0063119B">
        <w:rPr>
          <w:szCs w:val="22"/>
        </w:rPr>
        <w:t>a dose recomendada é de 20 mg uma vez por dia</w:t>
      </w:r>
      <w:r w:rsidR="006358A9" w:rsidRPr="0063119B">
        <w:rPr>
          <w:szCs w:val="22"/>
        </w:rPr>
        <w:t>,</w:t>
      </w:r>
      <w:r w:rsidRPr="0063119B">
        <w:rPr>
          <w:szCs w:val="22"/>
        </w:rPr>
        <w:t xml:space="preserve"> </w:t>
      </w:r>
      <w:r w:rsidR="006358A9" w:rsidRPr="0063119B">
        <w:rPr>
          <w:szCs w:val="22"/>
        </w:rPr>
        <w:t xml:space="preserve">deve considerar-se uma </w:t>
      </w:r>
      <w:r w:rsidRPr="0063119B">
        <w:rPr>
          <w:szCs w:val="22"/>
        </w:rPr>
        <w:t>redução da dose de 20 mg uma vez por dia para 15 mg uma vez por dia se o risco avaliado de hemorragia do doente se sobrepõe ao risco de TVP recorrente e EP. A recomendação para utilização de 15 mg tem por base modelos farmacocinéticos, não tendo sido estudada neste contexto clínico (ver secções 4.4, 5.1 e 5.2).</w:t>
      </w:r>
    </w:p>
    <w:p w14:paraId="3250E8CA" w14:textId="77777777" w:rsidR="006358A9" w:rsidRPr="0063119B" w:rsidRDefault="006358A9" w:rsidP="00FB3537">
      <w:pPr>
        <w:suppressAutoHyphens/>
        <w:ind w:left="567"/>
        <w:rPr>
          <w:noProof/>
          <w:szCs w:val="22"/>
        </w:rPr>
      </w:pPr>
      <w:r w:rsidRPr="0063119B">
        <w:rPr>
          <w:szCs w:val="22"/>
        </w:rPr>
        <w:t xml:space="preserve">Quando a dose recomendada é de 10 mg uma vez por dia, </w:t>
      </w:r>
      <w:r w:rsidRPr="0063119B">
        <w:rPr>
          <w:noProof/>
          <w:szCs w:val="22"/>
        </w:rPr>
        <w:t>não é necessário ajuste posológico da dose recomendada.</w:t>
      </w:r>
    </w:p>
    <w:p w14:paraId="64FF584F" w14:textId="77777777" w:rsidR="005B1C7B" w:rsidRPr="0063119B" w:rsidRDefault="005B1C7B" w:rsidP="005B1C7B">
      <w:pPr>
        <w:suppressAutoHyphens/>
        <w:ind w:left="567" w:hanging="567"/>
        <w:rPr>
          <w:szCs w:val="22"/>
        </w:rPr>
      </w:pPr>
    </w:p>
    <w:p w14:paraId="32EBC11E" w14:textId="77777777" w:rsidR="005B1C7B" w:rsidRPr="0063119B" w:rsidRDefault="005B1C7B" w:rsidP="005B1C7B">
      <w:pPr>
        <w:keepNext/>
        <w:suppressAutoHyphens/>
        <w:rPr>
          <w:noProof/>
          <w:szCs w:val="22"/>
        </w:rPr>
      </w:pPr>
      <w:r w:rsidRPr="0063119B">
        <w:rPr>
          <w:noProof/>
          <w:szCs w:val="22"/>
        </w:rPr>
        <w:t>Não é necessário ajuste posológico em doentes com compromisso renal ligeiro (taxa de depuração da creatinina 50 </w:t>
      </w:r>
      <w:r w:rsidRPr="0063119B">
        <w:rPr>
          <w:noProof/>
          <w:szCs w:val="22"/>
        </w:rPr>
        <w:noBreakHyphen/>
        <w:t> 80 ml/min) (ver secção 5.2).</w:t>
      </w:r>
    </w:p>
    <w:p w14:paraId="195C5D63" w14:textId="77777777" w:rsidR="00A43028" w:rsidRPr="0063119B" w:rsidRDefault="00A43028" w:rsidP="005B1C7B">
      <w:pPr>
        <w:suppressAutoHyphens/>
        <w:rPr>
          <w:noProof/>
          <w:szCs w:val="22"/>
        </w:rPr>
      </w:pPr>
    </w:p>
    <w:p w14:paraId="07776F5E" w14:textId="77777777" w:rsidR="005B1C7B" w:rsidRPr="0063119B" w:rsidRDefault="005B1C7B" w:rsidP="005B1C7B">
      <w:pPr>
        <w:suppressAutoHyphens/>
        <w:rPr>
          <w:i/>
          <w:noProof/>
          <w:szCs w:val="22"/>
        </w:rPr>
      </w:pPr>
      <w:r w:rsidRPr="0063119B">
        <w:rPr>
          <w:i/>
          <w:noProof/>
          <w:szCs w:val="22"/>
        </w:rPr>
        <w:t>Compromisso hepático</w:t>
      </w:r>
    </w:p>
    <w:p w14:paraId="0BF818CE" w14:textId="77777777" w:rsidR="005B1C7B" w:rsidRPr="0063119B" w:rsidRDefault="00607DE4" w:rsidP="005B1C7B">
      <w:pPr>
        <w:suppressAutoHyphens/>
        <w:rPr>
          <w:noProof/>
          <w:szCs w:val="22"/>
        </w:rPr>
      </w:pPr>
      <w:r>
        <w:rPr>
          <w:noProof/>
          <w:szCs w:val="22"/>
        </w:rPr>
        <w:t>Rivaroxabano</w:t>
      </w:r>
      <w:r w:rsidR="00754E0E" w:rsidRPr="0063119B">
        <w:rPr>
          <w:noProof/>
          <w:szCs w:val="22"/>
        </w:rPr>
        <w:t xml:space="preserve"> Accord</w:t>
      </w:r>
      <w:r w:rsidR="005B1C7B" w:rsidRPr="0063119B">
        <w:rPr>
          <w:noProof/>
          <w:szCs w:val="22"/>
        </w:rPr>
        <w:t xml:space="preserve"> está contraindicado em doentes com doença hepática associada a coagulopatia e risco de hemorragia clinicamente relevante, incluindo doentes com cirrose com Child Pugh B e C (ver secções 4.3 e 5.2).</w:t>
      </w:r>
    </w:p>
    <w:p w14:paraId="47DC5E64" w14:textId="77777777" w:rsidR="005B1C7B" w:rsidRPr="0063119B" w:rsidRDefault="005B1C7B" w:rsidP="005B1C7B">
      <w:pPr>
        <w:suppressAutoHyphens/>
        <w:rPr>
          <w:noProof/>
          <w:szCs w:val="22"/>
        </w:rPr>
      </w:pPr>
    </w:p>
    <w:p w14:paraId="6C1E0E13" w14:textId="77777777" w:rsidR="005B1C7B" w:rsidRPr="0063119B" w:rsidRDefault="005B1C7B" w:rsidP="005B1C7B">
      <w:pPr>
        <w:suppressAutoHyphens/>
        <w:rPr>
          <w:i/>
          <w:noProof/>
          <w:szCs w:val="22"/>
        </w:rPr>
      </w:pPr>
      <w:r w:rsidRPr="0063119B">
        <w:rPr>
          <w:i/>
          <w:noProof/>
          <w:szCs w:val="22"/>
        </w:rPr>
        <w:t>População idosa</w:t>
      </w:r>
    </w:p>
    <w:p w14:paraId="580ED062" w14:textId="77777777" w:rsidR="005B1C7B" w:rsidRPr="0063119B" w:rsidRDefault="005B1C7B" w:rsidP="005B1C7B">
      <w:pPr>
        <w:suppressAutoHyphens/>
        <w:rPr>
          <w:noProof/>
          <w:szCs w:val="22"/>
        </w:rPr>
      </w:pPr>
      <w:r w:rsidRPr="0063119B">
        <w:rPr>
          <w:noProof/>
          <w:szCs w:val="22"/>
        </w:rPr>
        <w:t>Não é necessário ajuste posológico (ver secção 5.2)</w:t>
      </w:r>
    </w:p>
    <w:p w14:paraId="4B5D2594" w14:textId="77777777" w:rsidR="005B1C7B" w:rsidRPr="0063119B" w:rsidRDefault="005B1C7B" w:rsidP="005B1C7B">
      <w:pPr>
        <w:suppressAutoHyphens/>
        <w:rPr>
          <w:noProof/>
          <w:szCs w:val="22"/>
        </w:rPr>
      </w:pPr>
    </w:p>
    <w:p w14:paraId="4F7780C5" w14:textId="77777777" w:rsidR="005B1C7B" w:rsidRPr="0063119B" w:rsidRDefault="005B1C7B" w:rsidP="005B1C7B">
      <w:pPr>
        <w:suppressAutoHyphens/>
        <w:rPr>
          <w:i/>
          <w:noProof/>
          <w:szCs w:val="22"/>
        </w:rPr>
      </w:pPr>
      <w:r w:rsidRPr="0063119B">
        <w:rPr>
          <w:i/>
          <w:noProof/>
          <w:szCs w:val="22"/>
        </w:rPr>
        <w:t>Peso corporal</w:t>
      </w:r>
    </w:p>
    <w:p w14:paraId="3693F5E3" w14:textId="77777777" w:rsidR="005B1C7B" w:rsidRPr="0063119B" w:rsidRDefault="005B1C7B" w:rsidP="005B1C7B">
      <w:pPr>
        <w:suppressAutoHyphens/>
        <w:rPr>
          <w:noProof/>
          <w:szCs w:val="22"/>
        </w:rPr>
      </w:pPr>
      <w:r w:rsidRPr="0063119B">
        <w:rPr>
          <w:noProof/>
          <w:szCs w:val="22"/>
        </w:rPr>
        <w:t>Não é necessário ajuste posológico (ver secção 5.2)</w:t>
      </w:r>
    </w:p>
    <w:p w14:paraId="654CC3A7" w14:textId="77777777" w:rsidR="005B1C7B" w:rsidRPr="0063119B" w:rsidRDefault="005B1C7B" w:rsidP="005B1C7B">
      <w:pPr>
        <w:suppressAutoHyphens/>
        <w:rPr>
          <w:noProof/>
          <w:szCs w:val="22"/>
        </w:rPr>
      </w:pPr>
    </w:p>
    <w:p w14:paraId="4CFAD4BB" w14:textId="77777777" w:rsidR="005B1C7B" w:rsidRPr="0063119B" w:rsidRDefault="005B1C7B" w:rsidP="005B1C7B">
      <w:pPr>
        <w:suppressAutoHyphens/>
        <w:rPr>
          <w:i/>
          <w:noProof/>
          <w:szCs w:val="22"/>
        </w:rPr>
      </w:pPr>
      <w:r w:rsidRPr="0063119B">
        <w:rPr>
          <w:i/>
          <w:noProof/>
          <w:szCs w:val="22"/>
        </w:rPr>
        <w:t>Sexo</w:t>
      </w:r>
    </w:p>
    <w:p w14:paraId="4DBFD576" w14:textId="77777777" w:rsidR="005B1C7B" w:rsidRPr="0063119B" w:rsidRDefault="005B1C7B" w:rsidP="005B1C7B">
      <w:pPr>
        <w:suppressAutoHyphens/>
        <w:rPr>
          <w:noProof/>
          <w:szCs w:val="22"/>
        </w:rPr>
      </w:pPr>
      <w:r w:rsidRPr="0063119B">
        <w:rPr>
          <w:noProof/>
          <w:szCs w:val="22"/>
        </w:rPr>
        <w:t>Não é necessário ajuste posológico (ver secção 5.2)</w:t>
      </w:r>
    </w:p>
    <w:p w14:paraId="536CED4D" w14:textId="77777777" w:rsidR="005B1C7B" w:rsidRPr="0063119B" w:rsidRDefault="005B1C7B" w:rsidP="005B1C7B">
      <w:pPr>
        <w:suppressAutoHyphens/>
        <w:rPr>
          <w:noProof/>
          <w:szCs w:val="22"/>
        </w:rPr>
      </w:pPr>
    </w:p>
    <w:p w14:paraId="14D89039" w14:textId="77777777" w:rsidR="005B1C7B" w:rsidRPr="0063119B" w:rsidRDefault="005B1C7B" w:rsidP="000374D4">
      <w:pPr>
        <w:keepNext/>
        <w:suppressAutoHyphens/>
        <w:rPr>
          <w:i/>
          <w:noProof/>
          <w:szCs w:val="22"/>
        </w:rPr>
      </w:pPr>
      <w:r w:rsidRPr="0063119B">
        <w:rPr>
          <w:i/>
          <w:szCs w:val="22"/>
        </w:rPr>
        <w:lastRenderedPageBreak/>
        <w:t>Popula</w:t>
      </w:r>
      <w:r w:rsidRPr="0063119B">
        <w:rPr>
          <w:i/>
          <w:noProof/>
          <w:szCs w:val="22"/>
        </w:rPr>
        <w:t>ção pediátrica</w:t>
      </w:r>
    </w:p>
    <w:p w14:paraId="532187BD" w14:textId="77777777" w:rsidR="00F71F07" w:rsidRPr="0063119B" w:rsidRDefault="006C48B0" w:rsidP="005B1C7B">
      <w:pPr>
        <w:suppressAutoHyphens/>
        <w:rPr>
          <w:noProof/>
          <w:szCs w:val="22"/>
          <w:u w:val="single"/>
        </w:rPr>
      </w:pPr>
      <w:r>
        <w:rPr>
          <w:szCs w:val="22"/>
        </w:rPr>
        <w:t xml:space="preserve">A embalagem de tratamento inicial de </w:t>
      </w:r>
      <w:r>
        <w:rPr>
          <w:noProof/>
          <w:szCs w:val="22"/>
        </w:rPr>
        <w:t>Rivaroxabano</w:t>
      </w:r>
      <w:r w:rsidRPr="0063119B">
        <w:rPr>
          <w:noProof/>
          <w:szCs w:val="22"/>
        </w:rPr>
        <w:t xml:space="preserve"> Accord </w:t>
      </w:r>
      <w:r>
        <w:rPr>
          <w:szCs w:val="22"/>
        </w:rPr>
        <w:t xml:space="preserve">não deve ser utilizada em crianças dos 0 aos 18 anos de idade, uma vez que foi concebida especificamente para o tratamento de doentes adultos e não é apropriada para utilização em doentes pediátricos. </w:t>
      </w:r>
    </w:p>
    <w:p w14:paraId="48613DDE" w14:textId="77777777" w:rsidR="005B1C7B" w:rsidRDefault="005B1C7B" w:rsidP="005B1C7B">
      <w:pPr>
        <w:suppressAutoHyphens/>
        <w:rPr>
          <w:noProof/>
          <w:szCs w:val="22"/>
          <w:u w:val="single"/>
        </w:rPr>
      </w:pPr>
      <w:r w:rsidRPr="0063119B">
        <w:rPr>
          <w:noProof/>
          <w:szCs w:val="22"/>
          <w:u w:val="single"/>
        </w:rPr>
        <w:t>Modo de administração</w:t>
      </w:r>
    </w:p>
    <w:p w14:paraId="558F502E" w14:textId="77777777" w:rsidR="00CB7754" w:rsidRPr="0063119B" w:rsidRDefault="00CB7754" w:rsidP="005B1C7B">
      <w:pPr>
        <w:suppressAutoHyphens/>
        <w:rPr>
          <w:noProof/>
          <w:szCs w:val="22"/>
          <w:u w:val="single"/>
        </w:rPr>
      </w:pPr>
    </w:p>
    <w:p w14:paraId="7603C914" w14:textId="77777777" w:rsidR="005B1C7B" w:rsidRPr="0063119B" w:rsidRDefault="00607DE4" w:rsidP="005B1C7B">
      <w:pPr>
        <w:rPr>
          <w:noProof/>
          <w:szCs w:val="22"/>
        </w:rPr>
      </w:pPr>
      <w:r>
        <w:rPr>
          <w:noProof/>
          <w:szCs w:val="22"/>
        </w:rPr>
        <w:t>Rivaroxabano</w:t>
      </w:r>
      <w:r w:rsidR="00754E0E" w:rsidRPr="0063119B">
        <w:rPr>
          <w:noProof/>
          <w:szCs w:val="22"/>
        </w:rPr>
        <w:t xml:space="preserve"> Accord</w:t>
      </w:r>
      <w:r w:rsidR="002276FF" w:rsidRPr="0063119B">
        <w:rPr>
          <w:noProof/>
          <w:szCs w:val="22"/>
        </w:rPr>
        <w:t xml:space="preserve"> é para </w:t>
      </w:r>
      <w:r w:rsidR="00051253" w:rsidRPr="0063119B">
        <w:rPr>
          <w:noProof/>
          <w:szCs w:val="22"/>
        </w:rPr>
        <w:t xml:space="preserve">utilização por via </w:t>
      </w:r>
      <w:r w:rsidR="005B1C7B" w:rsidRPr="0063119B">
        <w:rPr>
          <w:noProof/>
          <w:szCs w:val="22"/>
        </w:rPr>
        <w:t xml:space="preserve">oral. </w:t>
      </w:r>
    </w:p>
    <w:p w14:paraId="0A45F257" w14:textId="77777777" w:rsidR="005B1C7B" w:rsidRPr="0063119B" w:rsidRDefault="002276FF" w:rsidP="005B1C7B">
      <w:pPr>
        <w:rPr>
          <w:szCs w:val="22"/>
        </w:rPr>
      </w:pPr>
      <w:r w:rsidRPr="0063119B">
        <w:rPr>
          <w:noProof/>
          <w:szCs w:val="22"/>
        </w:rPr>
        <w:t xml:space="preserve">Os </w:t>
      </w:r>
      <w:r w:rsidR="006358A9" w:rsidRPr="0063119B">
        <w:rPr>
          <w:noProof/>
          <w:szCs w:val="22"/>
        </w:rPr>
        <w:t xml:space="preserve"> </w:t>
      </w:r>
      <w:r w:rsidR="005B1C7B" w:rsidRPr="0063119B">
        <w:rPr>
          <w:szCs w:val="22"/>
        </w:rPr>
        <w:t>comprimidos devem ser tomados com alimentos (ver secção 5.2).</w:t>
      </w:r>
    </w:p>
    <w:p w14:paraId="386EA0A3" w14:textId="77777777" w:rsidR="005B1C7B" w:rsidRDefault="005B1C7B" w:rsidP="005B1C7B">
      <w:pPr>
        <w:suppressAutoHyphens/>
        <w:rPr>
          <w:noProof/>
          <w:szCs w:val="22"/>
        </w:rPr>
      </w:pPr>
    </w:p>
    <w:p w14:paraId="07156D6D" w14:textId="77777777" w:rsidR="00874F79" w:rsidRPr="0063119B" w:rsidRDefault="00874F79" w:rsidP="005B1C7B">
      <w:pPr>
        <w:suppressAutoHyphens/>
        <w:rPr>
          <w:noProof/>
          <w:szCs w:val="22"/>
        </w:rPr>
      </w:pPr>
      <w:r>
        <w:rPr>
          <w:i/>
          <w:iCs/>
          <w:szCs w:val="22"/>
        </w:rPr>
        <w:t>Trituração dos comprimidos</w:t>
      </w:r>
    </w:p>
    <w:p w14:paraId="5C13AAC4" w14:textId="77777777" w:rsidR="005B1C7B" w:rsidRPr="0063119B" w:rsidRDefault="005B1C7B" w:rsidP="005B1C7B">
      <w:pPr>
        <w:suppressAutoHyphens/>
        <w:rPr>
          <w:noProof/>
          <w:szCs w:val="22"/>
        </w:rPr>
      </w:pPr>
      <w:r w:rsidRPr="0063119B">
        <w:rPr>
          <w:noProof/>
          <w:szCs w:val="22"/>
        </w:rPr>
        <w:t xml:space="preserve">Em doentes incapazes de engolir comprimidos inteiros, o comprimido </w:t>
      </w:r>
      <w:r w:rsidR="00607DE4">
        <w:rPr>
          <w:noProof/>
          <w:szCs w:val="22"/>
        </w:rPr>
        <w:t>Rivaroxabano</w:t>
      </w:r>
      <w:r w:rsidR="00754E0E" w:rsidRPr="0063119B">
        <w:rPr>
          <w:noProof/>
          <w:szCs w:val="22"/>
        </w:rPr>
        <w:t xml:space="preserve"> Accord</w:t>
      </w:r>
      <w:r w:rsidRPr="0063119B">
        <w:rPr>
          <w:noProof/>
          <w:szCs w:val="22"/>
        </w:rPr>
        <w:t xml:space="preserve"> pode ser esmagado e misturado com água ou puré de maçã imediatamente antes da utilização e administrado por via oral. Após a administração de </w:t>
      </w:r>
      <w:r w:rsidR="00607DE4">
        <w:rPr>
          <w:noProof/>
          <w:szCs w:val="22"/>
        </w:rPr>
        <w:t>Rivaroxabano</w:t>
      </w:r>
      <w:r w:rsidR="00754E0E" w:rsidRPr="0063119B">
        <w:rPr>
          <w:noProof/>
          <w:szCs w:val="22"/>
        </w:rPr>
        <w:t xml:space="preserve"> Accord</w:t>
      </w:r>
      <w:r w:rsidRPr="0063119B">
        <w:rPr>
          <w:noProof/>
          <w:szCs w:val="22"/>
        </w:rPr>
        <w:t xml:space="preserve"> 15 mg ou 20 mg comprimidos revestidos por película esmagados, a dose deve ser imediatamente seguida por alimentos.</w:t>
      </w:r>
    </w:p>
    <w:p w14:paraId="798AF592" w14:textId="77777777" w:rsidR="005B1C7B" w:rsidRPr="0063119B" w:rsidRDefault="005B1C7B" w:rsidP="005B1C7B">
      <w:pPr>
        <w:suppressAutoHyphens/>
        <w:rPr>
          <w:noProof/>
          <w:szCs w:val="22"/>
        </w:rPr>
      </w:pPr>
      <w:r w:rsidRPr="0063119B">
        <w:rPr>
          <w:noProof/>
          <w:szCs w:val="22"/>
        </w:rPr>
        <w:t>O comprimido esmagado pode também ser administrado através de sondas gástricas (ver secç</w:t>
      </w:r>
      <w:r w:rsidR="00874F79">
        <w:rPr>
          <w:noProof/>
          <w:szCs w:val="22"/>
        </w:rPr>
        <w:t>ões</w:t>
      </w:r>
      <w:r w:rsidRPr="0063119B">
        <w:rPr>
          <w:noProof/>
          <w:szCs w:val="22"/>
        </w:rPr>
        <w:t> 5.2</w:t>
      </w:r>
      <w:r w:rsidR="00874F79">
        <w:rPr>
          <w:noProof/>
          <w:szCs w:val="22"/>
        </w:rPr>
        <w:t xml:space="preserve"> e 6.6</w:t>
      </w:r>
      <w:r w:rsidRPr="0063119B">
        <w:rPr>
          <w:noProof/>
          <w:szCs w:val="22"/>
        </w:rPr>
        <w:t>).</w:t>
      </w:r>
    </w:p>
    <w:p w14:paraId="62FBD01B" w14:textId="77777777" w:rsidR="005B1C7B" w:rsidRPr="0063119B" w:rsidRDefault="005B1C7B" w:rsidP="005B1C7B">
      <w:pPr>
        <w:suppressAutoHyphens/>
        <w:rPr>
          <w:noProof/>
          <w:szCs w:val="22"/>
        </w:rPr>
      </w:pPr>
    </w:p>
    <w:p w14:paraId="716B9590" w14:textId="77777777" w:rsidR="005B1C7B" w:rsidRPr="0063119B" w:rsidRDefault="005B1C7B" w:rsidP="001F10F8">
      <w:pPr>
        <w:keepNext/>
        <w:suppressAutoHyphens/>
        <w:ind w:left="567" w:hanging="567"/>
        <w:rPr>
          <w:noProof/>
          <w:szCs w:val="22"/>
        </w:rPr>
      </w:pPr>
      <w:r w:rsidRPr="0063119B">
        <w:rPr>
          <w:b/>
          <w:noProof/>
          <w:szCs w:val="22"/>
        </w:rPr>
        <w:t>4.3</w:t>
      </w:r>
      <w:r w:rsidRPr="0063119B">
        <w:rPr>
          <w:b/>
          <w:noProof/>
          <w:szCs w:val="22"/>
        </w:rPr>
        <w:tab/>
        <w:t>Contraindicações</w:t>
      </w:r>
    </w:p>
    <w:p w14:paraId="4755BBE2" w14:textId="77777777" w:rsidR="005B1C7B" w:rsidRPr="0063119B" w:rsidRDefault="005B1C7B" w:rsidP="005B1C7B">
      <w:pPr>
        <w:suppressAutoHyphens/>
        <w:rPr>
          <w:noProof/>
          <w:szCs w:val="22"/>
        </w:rPr>
      </w:pPr>
    </w:p>
    <w:p w14:paraId="3F15AFA2" w14:textId="77777777" w:rsidR="005B1C7B" w:rsidRPr="0063119B" w:rsidRDefault="005B1C7B" w:rsidP="005B1C7B">
      <w:pPr>
        <w:suppressAutoHyphens/>
        <w:rPr>
          <w:noProof/>
          <w:szCs w:val="22"/>
        </w:rPr>
      </w:pPr>
      <w:r w:rsidRPr="0063119B">
        <w:rPr>
          <w:noProof/>
          <w:szCs w:val="22"/>
        </w:rPr>
        <w:t>Hipersensibilidade à substância ativa ou a qualquer um dos excipientes mencionados na secção 6.1.</w:t>
      </w:r>
    </w:p>
    <w:p w14:paraId="3DFFAE39" w14:textId="77777777" w:rsidR="005B1C7B" w:rsidRPr="0063119B" w:rsidRDefault="005B1C7B" w:rsidP="005B1C7B">
      <w:pPr>
        <w:suppressAutoHyphens/>
        <w:rPr>
          <w:noProof/>
          <w:szCs w:val="22"/>
        </w:rPr>
      </w:pPr>
    </w:p>
    <w:p w14:paraId="14CB886B" w14:textId="77777777" w:rsidR="005B1C7B" w:rsidRPr="0063119B" w:rsidRDefault="005B1C7B" w:rsidP="005B1C7B">
      <w:pPr>
        <w:suppressAutoHyphens/>
        <w:rPr>
          <w:noProof/>
          <w:szCs w:val="22"/>
        </w:rPr>
      </w:pPr>
      <w:r w:rsidRPr="0063119B">
        <w:rPr>
          <w:noProof/>
          <w:szCs w:val="22"/>
        </w:rPr>
        <w:t>Hemorragia ativa clinicamente significativa.</w:t>
      </w:r>
    </w:p>
    <w:p w14:paraId="5F3D1DD4" w14:textId="77777777" w:rsidR="005B1C7B" w:rsidRPr="0063119B" w:rsidRDefault="005B1C7B" w:rsidP="005B1C7B">
      <w:pPr>
        <w:suppressAutoHyphens/>
        <w:rPr>
          <w:noProof/>
          <w:szCs w:val="22"/>
        </w:rPr>
      </w:pPr>
    </w:p>
    <w:p w14:paraId="46AE2741" w14:textId="77777777" w:rsidR="005B1C7B" w:rsidRPr="0063119B" w:rsidRDefault="005B1C7B" w:rsidP="005B1C7B">
      <w:pPr>
        <w:autoSpaceDE w:val="0"/>
        <w:autoSpaceDN w:val="0"/>
        <w:adjustRightInd w:val="0"/>
        <w:rPr>
          <w:noProof/>
          <w:szCs w:val="22"/>
        </w:rPr>
      </w:pPr>
      <w:r w:rsidRPr="0063119B">
        <w:rPr>
          <w:noProof/>
          <w:szCs w:val="22"/>
        </w:rPr>
        <w:t>Lesões ou condições, se consideradas como apresentando um risco significativo de grande hemorragia. Estas podem incluir úlceras gastrointestinais atuais ou recentes, presença de neoplasias malignas com elevado risco de hemorragia, lesão recente no cérebro ou na espinal medula, cirurgia cerebral, espinal ou oftálmica recente, hemorragia intracraniana recente, suspeita ou conhecimento de varizes esofágicas, malformações arteriovenosas, aneurismas vasculares ou grandes anomalias vasculares intraespinais ou intracerebrais.</w:t>
      </w:r>
    </w:p>
    <w:p w14:paraId="2224CF44" w14:textId="77777777" w:rsidR="005B1C7B" w:rsidRPr="0063119B" w:rsidRDefault="005B1C7B" w:rsidP="005B1C7B">
      <w:pPr>
        <w:suppressAutoHyphens/>
        <w:rPr>
          <w:noProof/>
          <w:szCs w:val="22"/>
        </w:rPr>
      </w:pPr>
    </w:p>
    <w:p w14:paraId="793037B2" w14:textId="77777777" w:rsidR="005B1C7B" w:rsidRPr="0063119B" w:rsidRDefault="005B1C7B" w:rsidP="005B1C7B">
      <w:pPr>
        <w:autoSpaceDE w:val="0"/>
        <w:autoSpaceDN w:val="0"/>
        <w:adjustRightInd w:val="0"/>
        <w:rPr>
          <w:noProof/>
          <w:szCs w:val="22"/>
        </w:rPr>
      </w:pPr>
      <w:r w:rsidRPr="0063119B">
        <w:rPr>
          <w:noProof/>
          <w:szCs w:val="22"/>
        </w:rPr>
        <w:t>O tratamento concomitante com quaisquer outros anticoagulantes, ex.: heparina não fracionada (HNF), heparinas de baixo peso molecular (enoxaparina, dalteparina, etc.), derivados da heparina</w:t>
      </w:r>
    </w:p>
    <w:p w14:paraId="49D59941" w14:textId="77777777" w:rsidR="005B1C7B" w:rsidRPr="0063119B" w:rsidRDefault="005B1C7B" w:rsidP="005B1C7B">
      <w:pPr>
        <w:autoSpaceDE w:val="0"/>
        <w:autoSpaceDN w:val="0"/>
        <w:adjustRightInd w:val="0"/>
        <w:rPr>
          <w:noProof/>
          <w:szCs w:val="22"/>
        </w:rPr>
      </w:pPr>
      <w:r w:rsidRPr="0063119B">
        <w:rPr>
          <w:noProof/>
          <w:szCs w:val="22"/>
        </w:rPr>
        <w:t>(fondaparinux, etc.), anticoagulantes orais (varfarina, dabigatrano etexilato, apixabano, etc.), exceto nas circunstâncias específicas de mudança de terapêutica anticoagulante (ver secção</w:t>
      </w:r>
      <w:r w:rsidR="00650AF1" w:rsidRPr="0063119B">
        <w:rPr>
          <w:noProof/>
          <w:szCs w:val="22"/>
        </w:rPr>
        <w:t> </w:t>
      </w:r>
      <w:r w:rsidRPr="0063119B">
        <w:rPr>
          <w:noProof/>
          <w:szCs w:val="22"/>
        </w:rPr>
        <w:t>4.2) ou quando são administradas doses de HNF necessárias para manter aberto um acesso venoso central ou um cateter arterial (ver secção 4.5).</w:t>
      </w:r>
    </w:p>
    <w:p w14:paraId="22653A8A" w14:textId="77777777" w:rsidR="005B1C7B" w:rsidRPr="0063119B" w:rsidRDefault="005B1C7B" w:rsidP="005B1C7B">
      <w:pPr>
        <w:suppressAutoHyphens/>
        <w:rPr>
          <w:noProof/>
          <w:szCs w:val="22"/>
        </w:rPr>
      </w:pPr>
    </w:p>
    <w:p w14:paraId="20839780" w14:textId="77777777" w:rsidR="005B1C7B" w:rsidRPr="0063119B" w:rsidRDefault="005B1C7B" w:rsidP="005B1C7B">
      <w:pPr>
        <w:suppressAutoHyphens/>
        <w:rPr>
          <w:noProof/>
          <w:szCs w:val="22"/>
        </w:rPr>
      </w:pPr>
      <w:r w:rsidRPr="0063119B">
        <w:rPr>
          <w:noProof/>
          <w:szCs w:val="22"/>
        </w:rPr>
        <w:t>Doença hepática associada a coagulopatia e risco de hemorragia clinicamente relevante, incluindo doentes com cirrose com Child Pugh B e C (ver secção 5.2).</w:t>
      </w:r>
    </w:p>
    <w:p w14:paraId="7357DB65" w14:textId="77777777" w:rsidR="005B1C7B" w:rsidRPr="0063119B" w:rsidRDefault="005B1C7B" w:rsidP="005B1C7B">
      <w:pPr>
        <w:suppressAutoHyphens/>
        <w:rPr>
          <w:noProof/>
          <w:szCs w:val="22"/>
        </w:rPr>
      </w:pPr>
    </w:p>
    <w:p w14:paraId="0C889FFD" w14:textId="77777777" w:rsidR="005B1C7B" w:rsidRPr="0063119B" w:rsidRDefault="005B1C7B" w:rsidP="005B1C7B">
      <w:pPr>
        <w:suppressAutoHyphens/>
        <w:rPr>
          <w:noProof/>
          <w:szCs w:val="22"/>
        </w:rPr>
      </w:pPr>
      <w:r w:rsidRPr="0063119B">
        <w:rPr>
          <w:noProof/>
          <w:szCs w:val="22"/>
        </w:rPr>
        <w:t>Gravidez e amamentação (ver secção 4.6).</w:t>
      </w:r>
    </w:p>
    <w:p w14:paraId="706E6EC5" w14:textId="77777777" w:rsidR="005B1C7B" w:rsidRPr="0063119B" w:rsidRDefault="005B1C7B" w:rsidP="005B1C7B">
      <w:pPr>
        <w:suppressAutoHyphens/>
        <w:rPr>
          <w:noProof/>
          <w:szCs w:val="22"/>
        </w:rPr>
      </w:pPr>
    </w:p>
    <w:p w14:paraId="579C6ECE" w14:textId="77777777" w:rsidR="005B1C7B" w:rsidRPr="0063119B" w:rsidRDefault="005B1C7B" w:rsidP="005B1C7B">
      <w:pPr>
        <w:keepNext/>
        <w:suppressAutoHyphens/>
        <w:ind w:left="567" w:hanging="567"/>
        <w:rPr>
          <w:noProof/>
          <w:szCs w:val="22"/>
        </w:rPr>
      </w:pPr>
      <w:r w:rsidRPr="0063119B">
        <w:rPr>
          <w:b/>
          <w:noProof/>
          <w:szCs w:val="22"/>
        </w:rPr>
        <w:t>4.4</w:t>
      </w:r>
      <w:r w:rsidRPr="0063119B">
        <w:rPr>
          <w:b/>
          <w:noProof/>
          <w:szCs w:val="22"/>
        </w:rPr>
        <w:tab/>
        <w:t>Advertências e precauções especiais de utilização</w:t>
      </w:r>
    </w:p>
    <w:p w14:paraId="2753BCC3" w14:textId="77777777" w:rsidR="005B1C7B" w:rsidRPr="0063119B" w:rsidRDefault="005B1C7B" w:rsidP="005B1C7B">
      <w:pPr>
        <w:keepNext/>
        <w:suppressAutoHyphens/>
        <w:rPr>
          <w:noProof/>
          <w:szCs w:val="22"/>
        </w:rPr>
      </w:pPr>
    </w:p>
    <w:p w14:paraId="527D5C35" w14:textId="77777777" w:rsidR="005B1C7B" w:rsidRPr="0063119B" w:rsidRDefault="005B1C7B" w:rsidP="005B1C7B">
      <w:pPr>
        <w:keepNext/>
        <w:rPr>
          <w:szCs w:val="22"/>
        </w:rPr>
      </w:pPr>
      <w:r w:rsidRPr="0063119B">
        <w:rPr>
          <w:szCs w:val="22"/>
        </w:rPr>
        <w:t>Recomenda</w:t>
      </w:r>
      <w:r w:rsidRPr="0063119B">
        <w:rPr>
          <w:szCs w:val="22"/>
        </w:rPr>
        <w:noBreakHyphen/>
        <w:t>se vigilância clínica, de acordo com as práticas de anticoagulação, durante todo o período de tratamento.</w:t>
      </w:r>
    </w:p>
    <w:p w14:paraId="2E472F27" w14:textId="77777777" w:rsidR="005B1C7B" w:rsidRPr="0063119B" w:rsidRDefault="005B1C7B" w:rsidP="005B1C7B">
      <w:pPr>
        <w:suppressAutoHyphens/>
        <w:rPr>
          <w:noProof/>
          <w:szCs w:val="22"/>
        </w:rPr>
      </w:pPr>
    </w:p>
    <w:p w14:paraId="7BE8B319" w14:textId="77777777" w:rsidR="005B1C7B" w:rsidRDefault="005B1C7B" w:rsidP="005B1C7B">
      <w:pPr>
        <w:suppressAutoHyphens/>
        <w:rPr>
          <w:noProof/>
          <w:szCs w:val="22"/>
          <w:u w:val="single"/>
        </w:rPr>
      </w:pPr>
      <w:r w:rsidRPr="0063119B">
        <w:rPr>
          <w:noProof/>
          <w:szCs w:val="22"/>
          <w:u w:val="single"/>
        </w:rPr>
        <w:t>Risco hemorrágico</w:t>
      </w:r>
    </w:p>
    <w:p w14:paraId="292BAE4F" w14:textId="77777777" w:rsidR="00CB7754" w:rsidRPr="0063119B" w:rsidRDefault="00CB7754" w:rsidP="005B1C7B">
      <w:pPr>
        <w:suppressAutoHyphens/>
        <w:rPr>
          <w:noProof/>
          <w:szCs w:val="22"/>
          <w:u w:val="single"/>
        </w:rPr>
      </w:pPr>
    </w:p>
    <w:p w14:paraId="0BCAD9A7" w14:textId="77777777" w:rsidR="005B1C7B" w:rsidRPr="0063119B" w:rsidRDefault="005B1C7B" w:rsidP="005B1C7B">
      <w:pPr>
        <w:suppressAutoHyphens/>
        <w:rPr>
          <w:noProof/>
          <w:szCs w:val="22"/>
        </w:rPr>
      </w:pPr>
      <w:r w:rsidRPr="0063119B">
        <w:rPr>
          <w:noProof/>
          <w:szCs w:val="22"/>
        </w:rPr>
        <w:t xml:space="preserve">Tal como com outros anticoagulantes, os doentes que tomam </w:t>
      </w:r>
      <w:r w:rsidR="00607DE4">
        <w:rPr>
          <w:noProof/>
          <w:szCs w:val="22"/>
        </w:rPr>
        <w:t>Rivaroxabano</w:t>
      </w:r>
      <w:r w:rsidR="00754E0E" w:rsidRPr="0063119B">
        <w:rPr>
          <w:noProof/>
          <w:szCs w:val="22"/>
        </w:rPr>
        <w:t xml:space="preserve"> Accord</w:t>
      </w:r>
      <w:r w:rsidRPr="0063119B">
        <w:rPr>
          <w:noProof/>
          <w:szCs w:val="22"/>
        </w:rPr>
        <w:t xml:space="preserve"> devem ser cuidadosamente observados quanto a sinais de hemorragia. Recomenda-se precaução ao ser utilizado em situações com risco aumentado de hemorragia. A administração de </w:t>
      </w:r>
      <w:r w:rsidR="00607DE4">
        <w:rPr>
          <w:noProof/>
          <w:szCs w:val="22"/>
        </w:rPr>
        <w:t>Rivaroxabano</w:t>
      </w:r>
      <w:r w:rsidR="00754E0E" w:rsidRPr="0063119B">
        <w:rPr>
          <w:noProof/>
          <w:szCs w:val="22"/>
        </w:rPr>
        <w:t xml:space="preserve"> Accord</w:t>
      </w:r>
      <w:r w:rsidRPr="0063119B">
        <w:rPr>
          <w:noProof/>
          <w:szCs w:val="22"/>
        </w:rPr>
        <w:t xml:space="preserve"> deve ser interrompida se ocorrer hemorragia grave</w:t>
      </w:r>
      <w:r w:rsidR="005D2334" w:rsidRPr="0063119B">
        <w:rPr>
          <w:noProof/>
          <w:szCs w:val="22"/>
        </w:rPr>
        <w:t xml:space="preserve">  (ver secção 4.9)</w:t>
      </w:r>
      <w:r w:rsidRPr="0063119B">
        <w:rPr>
          <w:noProof/>
          <w:szCs w:val="22"/>
        </w:rPr>
        <w:t>.</w:t>
      </w:r>
    </w:p>
    <w:p w14:paraId="000CA40E" w14:textId="77777777" w:rsidR="005B1C7B" w:rsidRPr="0063119B" w:rsidRDefault="005B1C7B" w:rsidP="005B1C7B">
      <w:pPr>
        <w:suppressAutoHyphens/>
        <w:rPr>
          <w:noProof/>
          <w:szCs w:val="22"/>
        </w:rPr>
      </w:pPr>
    </w:p>
    <w:p w14:paraId="7FFE4C07" w14:textId="77777777" w:rsidR="005B1C7B" w:rsidRPr="0063119B" w:rsidRDefault="005B1C7B" w:rsidP="005B1C7B">
      <w:pPr>
        <w:suppressAutoHyphens/>
        <w:rPr>
          <w:noProof/>
          <w:szCs w:val="22"/>
        </w:rPr>
      </w:pPr>
      <w:r w:rsidRPr="0063119B">
        <w:rPr>
          <w:noProof/>
          <w:szCs w:val="22"/>
        </w:rPr>
        <w:t>Em estudos clínicos, foram observadas com maior frequência hemorragias das mucosas (ex.: epistaxe, gengival, gastrointestinal, genitourinária</w:t>
      </w:r>
      <w:r w:rsidR="006358A9" w:rsidRPr="0063119B">
        <w:rPr>
          <w:noProof/>
          <w:szCs w:val="22"/>
        </w:rPr>
        <w:t xml:space="preserve"> incluindo hemorragia vaginal anormal ou menstrual aumentada</w:t>
      </w:r>
      <w:r w:rsidRPr="0063119B">
        <w:rPr>
          <w:noProof/>
          <w:szCs w:val="22"/>
        </w:rPr>
        <w:t xml:space="preserve">) e anemia durante o tratamento prolongado com rivaroxabano, comparativamente ao </w:t>
      </w:r>
      <w:r w:rsidRPr="0063119B">
        <w:rPr>
          <w:noProof/>
          <w:szCs w:val="22"/>
        </w:rPr>
        <w:lastRenderedPageBreak/>
        <w:t>tratamento com AVK. Assim, para além de uma vigilância clínica adequada, testes laboratoriais de hemoglobina/hematócrito podem ser uma mais-valia para detetar hemorragias ocultas</w:t>
      </w:r>
      <w:r w:rsidR="006358A9" w:rsidRPr="0063119B">
        <w:rPr>
          <w:noProof/>
          <w:szCs w:val="22"/>
        </w:rPr>
        <w:t xml:space="preserve"> e quantificar a relevância clínica de uma hemorragia óbvia</w:t>
      </w:r>
      <w:r w:rsidRPr="0063119B">
        <w:rPr>
          <w:noProof/>
          <w:szCs w:val="22"/>
        </w:rPr>
        <w:t>, quando considerado necessário.</w:t>
      </w:r>
    </w:p>
    <w:p w14:paraId="59B7A96B" w14:textId="77777777" w:rsidR="005B1C7B" w:rsidRPr="0063119B" w:rsidRDefault="005B1C7B" w:rsidP="005B1C7B">
      <w:pPr>
        <w:suppressAutoHyphens/>
        <w:rPr>
          <w:noProof/>
          <w:szCs w:val="22"/>
        </w:rPr>
      </w:pPr>
    </w:p>
    <w:p w14:paraId="75EB65AE" w14:textId="77777777" w:rsidR="005B1C7B" w:rsidRPr="0063119B" w:rsidRDefault="005B1C7B" w:rsidP="005B1C7B">
      <w:pPr>
        <w:suppressAutoHyphens/>
        <w:rPr>
          <w:noProof/>
          <w:szCs w:val="22"/>
        </w:rPr>
      </w:pPr>
      <w:r w:rsidRPr="0063119B">
        <w:rPr>
          <w:noProof/>
          <w:szCs w:val="22"/>
        </w:rPr>
        <w:t>Vários subgrupos de doentes, como abaixo detalhado, apresentam um risco aumentado de hemorragia. Estes doentes devem ser cuidadosamente monitorizados quanto a sinais e sintomas de complicações hemorrágicas e anemia após o início do tratamento (ver secção 4.8).</w:t>
      </w:r>
    </w:p>
    <w:p w14:paraId="62A8AF0F" w14:textId="77777777" w:rsidR="005B1C7B" w:rsidRPr="0063119B" w:rsidRDefault="005B1C7B" w:rsidP="005B1C7B">
      <w:pPr>
        <w:suppressAutoHyphens/>
        <w:rPr>
          <w:noProof/>
          <w:szCs w:val="22"/>
        </w:rPr>
      </w:pPr>
      <w:r w:rsidRPr="0063119B">
        <w:rPr>
          <w:noProof/>
          <w:szCs w:val="22"/>
        </w:rPr>
        <w:t>Qualquer diminuição inexplicável da hemoglobina ou da pressão sanguínea deve conduzir a uma pesquisa de um local hemorrágico.</w:t>
      </w:r>
    </w:p>
    <w:p w14:paraId="7C50AD2F" w14:textId="77777777" w:rsidR="005B1C7B" w:rsidRPr="0063119B" w:rsidRDefault="005B1C7B" w:rsidP="005B1C7B">
      <w:pPr>
        <w:suppressAutoHyphens/>
        <w:rPr>
          <w:noProof/>
          <w:szCs w:val="22"/>
        </w:rPr>
      </w:pPr>
    </w:p>
    <w:p w14:paraId="3E10E301" w14:textId="77777777" w:rsidR="005B1C7B" w:rsidRPr="0063119B" w:rsidRDefault="005B1C7B" w:rsidP="005B1C7B">
      <w:pPr>
        <w:suppressAutoHyphens/>
        <w:rPr>
          <w:noProof/>
          <w:szCs w:val="22"/>
        </w:rPr>
      </w:pPr>
      <w:r w:rsidRPr="0063119B">
        <w:rPr>
          <w:noProof/>
          <w:szCs w:val="22"/>
        </w:rPr>
        <w:t>Embora o tratamento com rivaroxabano não necessite de monitorização de rotina da exposição, a medição dos níveis de rivaroxabano pelo teste quantitativo calibrado antifator Xa pode ser útil em situações excecionais em que o conhecimento da exposição ao rivaroxabano pode ajudar a fundamentar decisões clínicas, ex.: sobredosagem e cirurgia de emergência (ver secções 5.1 e 5.2).</w:t>
      </w:r>
    </w:p>
    <w:p w14:paraId="28E16BD1" w14:textId="77777777" w:rsidR="005B1C7B" w:rsidRPr="0063119B" w:rsidRDefault="005B1C7B" w:rsidP="005B1C7B">
      <w:pPr>
        <w:suppressAutoHyphens/>
        <w:rPr>
          <w:noProof/>
          <w:szCs w:val="22"/>
        </w:rPr>
      </w:pPr>
    </w:p>
    <w:p w14:paraId="6AF1EB38" w14:textId="77777777" w:rsidR="005B1C7B" w:rsidRDefault="005B1C7B" w:rsidP="005B1C7B">
      <w:pPr>
        <w:suppressAutoHyphens/>
        <w:rPr>
          <w:noProof/>
          <w:szCs w:val="22"/>
          <w:u w:val="single"/>
        </w:rPr>
      </w:pPr>
      <w:r w:rsidRPr="0063119B">
        <w:rPr>
          <w:noProof/>
          <w:szCs w:val="22"/>
          <w:u w:val="single"/>
        </w:rPr>
        <w:t>Compromisso renal</w:t>
      </w:r>
    </w:p>
    <w:p w14:paraId="5DD9A952" w14:textId="77777777" w:rsidR="00CB7754" w:rsidRPr="0063119B" w:rsidRDefault="00CB7754" w:rsidP="005B1C7B">
      <w:pPr>
        <w:suppressAutoHyphens/>
        <w:rPr>
          <w:noProof/>
          <w:szCs w:val="22"/>
          <w:u w:val="single"/>
        </w:rPr>
      </w:pPr>
    </w:p>
    <w:p w14:paraId="024190E0" w14:textId="77777777" w:rsidR="005B1C7B" w:rsidRPr="0063119B" w:rsidRDefault="005B1C7B" w:rsidP="005B1C7B">
      <w:pPr>
        <w:suppressAutoHyphens/>
        <w:rPr>
          <w:noProof/>
          <w:szCs w:val="22"/>
        </w:rPr>
      </w:pPr>
      <w:r w:rsidRPr="0063119B">
        <w:rPr>
          <w:noProof/>
          <w:szCs w:val="22"/>
        </w:rPr>
        <w:t xml:space="preserve">Em doentes com compromisso renal grave (taxa de depuração da creatinina &lt; 30 ml/min) os níveis plasmáticos de rivaroxabano podem aumentar significativamente (em média 1,6 vezes), o que pode originar um aumento do risco de hemorragia. </w:t>
      </w:r>
      <w:r w:rsidR="00607DE4">
        <w:rPr>
          <w:noProof/>
          <w:szCs w:val="22"/>
        </w:rPr>
        <w:t>Rivaroxabano</w:t>
      </w:r>
      <w:r w:rsidR="00754E0E" w:rsidRPr="0063119B">
        <w:rPr>
          <w:noProof/>
          <w:szCs w:val="22"/>
        </w:rPr>
        <w:t xml:space="preserve"> Accord</w:t>
      </w:r>
      <w:r w:rsidRPr="0063119B">
        <w:rPr>
          <w:noProof/>
          <w:szCs w:val="22"/>
        </w:rPr>
        <w:t xml:space="preserve"> deve ser utilizado com precaução em doentes com uma taxa de depuração de creatinina de 15 </w:t>
      </w:r>
      <w:r w:rsidRPr="0063119B">
        <w:rPr>
          <w:noProof/>
          <w:szCs w:val="22"/>
        </w:rPr>
        <w:noBreakHyphen/>
        <w:t> 29 ml/min. A utilização não é recomendada em doentes com taxa de depuração de creatinina &lt; 15 ml/min (ver secções 4.2 e 5.2).</w:t>
      </w:r>
    </w:p>
    <w:p w14:paraId="285F8BF0" w14:textId="77777777" w:rsidR="005B1C7B" w:rsidRPr="0063119B" w:rsidDel="00D30309" w:rsidRDefault="00607DE4" w:rsidP="005B1C7B">
      <w:pPr>
        <w:suppressAutoHyphens/>
        <w:rPr>
          <w:noProof/>
          <w:szCs w:val="22"/>
        </w:rPr>
      </w:pPr>
      <w:r>
        <w:rPr>
          <w:noProof/>
          <w:szCs w:val="22"/>
        </w:rPr>
        <w:t>Rivaroxabano</w:t>
      </w:r>
      <w:r w:rsidR="00754E0E" w:rsidRPr="0063119B">
        <w:rPr>
          <w:noProof/>
          <w:szCs w:val="22"/>
        </w:rPr>
        <w:t xml:space="preserve"> Accord</w:t>
      </w:r>
      <w:r w:rsidR="005B1C7B" w:rsidRPr="0063119B">
        <w:rPr>
          <w:noProof/>
          <w:szCs w:val="22"/>
        </w:rPr>
        <w:t xml:space="preserve"> deve ser utilizado com precaução em doentes com compromisso renal tratados concomitantemente com outros medicamentos que aumentam as concentrações plasmáticas do rivaroxabano (ver secção 4.5).</w:t>
      </w:r>
    </w:p>
    <w:p w14:paraId="74883042" w14:textId="77777777" w:rsidR="005B1C7B" w:rsidRPr="0063119B" w:rsidRDefault="005B1C7B" w:rsidP="005B1C7B">
      <w:pPr>
        <w:suppressAutoHyphens/>
        <w:rPr>
          <w:i/>
          <w:noProof/>
          <w:szCs w:val="22"/>
          <w:u w:val="single"/>
        </w:rPr>
      </w:pPr>
    </w:p>
    <w:p w14:paraId="27B03C0E" w14:textId="77777777" w:rsidR="005B1C7B" w:rsidRDefault="005B1C7B" w:rsidP="006733A7">
      <w:pPr>
        <w:keepNext/>
        <w:keepLines/>
        <w:suppressAutoHyphens/>
        <w:rPr>
          <w:noProof/>
          <w:szCs w:val="22"/>
          <w:u w:val="single"/>
        </w:rPr>
      </w:pPr>
      <w:r w:rsidRPr="0063119B">
        <w:rPr>
          <w:noProof/>
          <w:szCs w:val="22"/>
          <w:u w:val="single"/>
        </w:rPr>
        <w:t>Interação com outros medicamentos</w:t>
      </w:r>
    </w:p>
    <w:p w14:paraId="2EFCA41A" w14:textId="77777777" w:rsidR="00CB7754" w:rsidRPr="0063119B" w:rsidRDefault="00CB7754" w:rsidP="006733A7">
      <w:pPr>
        <w:keepNext/>
        <w:keepLines/>
        <w:suppressAutoHyphens/>
        <w:rPr>
          <w:noProof/>
          <w:szCs w:val="22"/>
          <w:u w:val="single"/>
        </w:rPr>
      </w:pPr>
    </w:p>
    <w:p w14:paraId="2D304A12" w14:textId="77777777" w:rsidR="005B1C7B" w:rsidRPr="0063119B" w:rsidRDefault="005B1C7B" w:rsidP="005B1C7B">
      <w:pPr>
        <w:suppressAutoHyphens/>
        <w:rPr>
          <w:noProof/>
          <w:szCs w:val="22"/>
        </w:rPr>
      </w:pPr>
      <w:r w:rsidRPr="0063119B">
        <w:rPr>
          <w:noProof/>
          <w:szCs w:val="22"/>
        </w:rPr>
        <w:t xml:space="preserve">A utilização de </w:t>
      </w:r>
      <w:r w:rsidR="00607DE4">
        <w:rPr>
          <w:noProof/>
          <w:szCs w:val="22"/>
        </w:rPr>
        <w:t>Rivaroxabano</w:t>
      </w:r>
      <w:r w:rsidR="00754E0E" w:rsidRPr="0063119B">
        <w:rPr>
          <w:noProof/>
          <w:szCs w:val="22"/>
        </w:rPr>
        <w:t xml:space="preserve"> Accord</w:t>
      </w:r>
      <w:r w:rsidRPr="0063119B">
        <w:rPr>
          <w:noProof/>
          <w:szCs w:val="22"/>
        </w:rPr>
        <w:t xml:space="preserve"> não é recomendada em doentes a receber tratamento sistémico concomitante com antimicóticos azólicos (tais como cetoconazol, itraconazol, voriconazol e posaconazol) ou inibidores da protease do VIH (ex.: ritonavir). Estas substâncias ativas são potentes inibidores do CYP3A4 e da glicoproteína P (gp</w:t>
      </w:r>
      <w:r w:rsidRPr="0063119B">
        <w:rPr>
          <w:noProof/>
          <w:szCs w:val="22"/>
        </w:rPr>
        <w:noBreakHyphen/>
        <w:t>P) e por este motivo podem aumentar as concentrações plasmáticas de rivaroxabano até um grau clinicamente relevante (em média 2,6 vezes) que pode originar um risco aumentado de hemorragia (ver secção 4.5).</w:t>
      </w:r>
    </w:p>
    <w:p w14:paraId="3096591A" w14:textId="77777777" w:rsidR="005B1C7B" w:rsidRPr="0063119B" w:rsidRDefault="005B1C7B" w:rsidP="005B1C7B">
      <w:pPr>
        <w:suppressAutoHyphens/>
        <w:rPr>
          <w:noProof/>
          <w:szCs w:val="22"/>
        </w:rPr>
      </w:pPr>
    </w:p>
    <w:p w14:paraId="12E4F5A4" w14:textId="77777777" w:rsidR="005B1C7B" w:rsidRPr="0063119B" w:rsidRDefault="005B1C7B" w:rsidP="005B1C7B">
      <w:pPr>
        <w:suppressAutoHyphens/>
        <w:rPr>
          <w:noProof/>
          <w:szCs w:val="22"/>
        </w:rPr>
      </w:pPr>
      <w:r w:rsidRPr="0063119B">
        <w:rPr>
          <w:noProof/>
          <w:szCs w:val="22"/>
        </w:rPr>
        <w:t>Deve ter</w:t>
      </w:r>
      <w:r w:rsidRPr="0063119B">
        <w:rPr>
          <w:noProof/>
          <w:szCs w:val="22"/>
        </w:rPr>
        <w:noBreakHyphen/>
        <w:t>se precaução se os doentes são concomitantemente tratados com medicamentos que afetem a hemostase tais como medicamentos anti</w:t>
      </w:r>
      <w:r w:rsidRPr="0063119B">
        <w:rPr>
          <w:noProof/>
          <w:szCs w:val="22"/>
        </w:rPr>
        <w:noBreakHyphen/>
        <w:t>inflamatórios não esteroides (AINEs), ácido acetilsalicílico e inibidores da agregação plaquetária</w:t>
      </w:r>
      <w:r w:rsidR="00883A30" w:rsidRPr="0063119B">
        <w:rPr>
          <w:noProof/>
          <w:szCs w:val="22"/>
        </w:rPr>
        <w:t xml:space="preserve"> ou inibidores seletivos da recaptação da serotonina (ISRS) e inibidores da recaptação da serotonina e norepinefrina (IRSN)</w:t>
      </w:r>
      <w:r w:rsidRPr="0063119B">
        <w:rPr>
          <w:noProof/>
          <w:szCs w:val="22"/>
        </w:rPr>
        <w:t>. Deve ser considerado um tratamento profilático adequado para doentes com risco de doença ulcerosa gastrointestinal (ver secção 4.5).</w:t>
      </w:r>
    </w:p>
    <w:p w14:paraId="74B05B15" w14:textId="77777777" w:rsidR="005B1C7B" w:rsidRPr="0063119B" w:rsidRDefault="005B1C7B" w:rsidP="005B1C7B">
      <w:pPr>
        <w:suppressAutoHyphens/>
        <w:rPr>
          <w:noProof/>
          <w:szCs w:val="22"/>
        </w:rPr>
      </w:pPr>
    </w:p>
    <w:p w14:paraId="2CA331E9" w14:textId="77777777" w:rsidR="005B1C7B" w:rsidRDefault="005B1C7B" w:rsidP="005B1C7B">
      <w:pPr>
        <w:suppressAutoHyphens/>
        <w:rPr>
          <w:noProof/>
          <w:szCs w:val="22"/>
          <w:u w:val="single"/>
        </w:rPr>
      </w:pPr>
      <w:r w:rsidRPr="0063119B">
        <w:rPr>
          <w:noProof/>
          <w:szCs w:val="22"/>
          <w:u w:val="single"/>
        </w:rPr>
        <w:t>Outros fatores de risco hemorrágico</w:t>
      </w:r>
    </w:p>
    <w:p w14:paraId="0BBE8619" w14:textId="77777777" w:rsidR="00CB7754" w:rsidRPr="0063119B" w:rsidRDefault="00CB7754" w:rsidP="005B1C7B">
      <w:pPr>
        <w:suppressAutoHyphens/>
        <w:rPr>
          <w:noProof/>
          <w:szCs w:val="22"/>
          <w:u w:val="single"/>
        </w:rPr>
      </w:pPr>
    </w:p>
    <w:p w14:paraId="272B2761" w14:textId="77777777" w:rsidR="005B1C7B" w:rsidRPr="0063119B" w:rsidRDefault="005B1C7B" w:rsidP="005B1C7B">
      <w:pPr>
        <w:suppressAutoHyphens/>
        <w:rPr>
          <w:noProof/>
          <w:szCs w:val="22"/>
        </w:rPr>
      </w:pPr>
      <w:r w:rsidRPr="0063119B">
        <w:rPr>
          <w:noProof/>
          <w:szCs w:val="22"/>
        </w:rPr>
        <w:t>Tal como outros agentes antitrombóticos, rivaroxabano, não é recomendado em doentes com risco aumentado de hemorragia, tais como:</w:t>
      </w:r>
    </w:p>
    <w:p w14:paraId="3D9273DA" w14:textId="77777777" w:rsidR="005B1C7B" w:rsidRPr="0063119B" w:rsidRDefault="005B1C7B" w:rsidP="005B1C7B">
      <w:pPr>
        <w:numPr>
          <w:ilvl w:val="0"/>
          <w:numId w:val="4"/>
        </w:numPr>
        <w:tabs>
          <w:tab w:val="clear" w:pos="720"/>
          <w:tab w:val="num" w:pos="0"/>
        </w:tabs>
        <w:suppressAutoHyphens/>
        <w:ind w:left="0" w:firstLine="0"/>
        <w:rPr>
          <w:noProof/>
          <w:szCs w:val="22"/>
        </w:rPr>
      </w:pPr>
      <w:r w:rsidRPr="0063119B">
        <w:rPr>
          <w:noProof/>
          <w:szCs w:val="22"/>
        </w:rPr>
        <w:t>doenças hemorrágicas congénitas ou adquiridas</w:t>
      </w:r>
    </w:p>
    <w:p w14:paraId="36735434" w14:textId="77777777" w:rsidR="005B1C7B" w:rsidRPr="0063119B" w:rsidRDefault="005B1C7B" w:rsidP="005B1C7B">
      <w:pPr>
        <w:numPr>
          <w:ilvl w:val="0"/>
          <w:numId w:val="4"/>
        </w:numPr>
        <w:tabs>
          <w:tab w:val="clear" w:pos="720"/>
          <w:tab w:val="num" w:pos="0"/>
        </w:tabs>
        <w:suppressAutoHyphens/>
        <w:ind w:left="0" w:firstLine="0"/>
        <w:rPr>
          <w:noProof/>
          <w:szCs w:val="22"/>
        </w:rPr>
      </w:pPr>
      <w:r w:rsidRPr="0063119B">
        <w:rPr>
          <w:noProof/>
          <w:szCs w:val="22"/>
        </w:rPr>
        <w:t>hipertensão arterial grave não controlada</w:t>
      </w:r>
    </w:p>
    <w:p w14:paraId="017218D9" w14:textId="77777777" w:rsidR="005B1C7B" w:rsidRPr="0063119B" w:rsidRDefault="005B1C7B" w:rsidP="005B1C7B">
      <w:pPr>
        <w:numPr>
          <w:ilvl w:val="0"/>
          <w:numId w:val="4"/>
        </w:numPr>
        <w:tabs>
          <w:tab w:val="clear" w:pos="720"/>
        </w:tabs>
        <w:suppressAutoHyphens/>
        <w:ind w:left="709" w:hanging="709"/>
        <w:rPr>
          <w:noProof/>
          <w:szCs w:val="22"/>
        </w:rPr>
      </w:pPr>
      <w:r w:rsidRPr="0063119B">
        <w:rPr>
          <w:noProof/>
          <w:szCs w:val="22"/>
        </w:rPr>
        <w:t>outras doenças gastrointestinais sem ulceração ativa que podem potenciar o aparecimento de complicações hemorrágicas (ex.: doença inflamatória do intestino, esofagite, gastrite e doença de refluxo gastroesofágico)</w:t>
      </w:r>
    </w:p>
    <w:p w14:paraId="112FFB07" w14:textId="77777777" w:rsidR="005B1C7B" w:rsidRPr="0063119B" w:rsidRDefault="005B1C7B" w:rsidP="005B1C7B">
      <w:pPr>
        <w:numPr>
          <w:ilvl w:val="0"/>
          <w:numId w:val="4"/>
        </w:numPr>
        <w:tabs>
          <w:tab w:val="clear" w:pos="720"/>
          <w:tab w:val="num" w:pos="0"/>
        </w:tabs>
        <w:suppressAutoHyphens/>
        <w:ind w:left="0" w:firstLine="0"/>
        <w:rPr>
          <w:noProof/>
          <w:szCs w:val="22"/>
        </w:rPr>
      </w:pPr>
      <w:r w:rsidRPr="0063119B">
        <w:rPr>
          <w:noProof/>
          <w:szCs w:val="22"/>
        </w:rPr>
        <w:t>retinopatia vascular</w:t>
      </w:r>
    </w:p>
    <w:p w14:paraId="78BDE5E0" w14:textId="77777777" w:rsidR="005B1C7B" w:rsidRPr="0063119B" w:rsidRDefault="005B1C7B" w:rsidP="005B1C7B">
      <w:pPr>
        <w:numPr>
          <w:ilvl w:val="0"/>
          <w:numId w:val="4"/>
        </w:numPr>
        <w:tabs>
          <w:tab w:val="clear" w:pos="720"/>
          <w:tab w:val="num" w:pos="0"/>
        </w:tabs>
        <w:suppressAutoHyphens/>
        <w:ind w:left="0" w:firstLine="0"/>
        <w:rPr>
          <w:noProof/>
          <w:szCs w:val="22"/>
        </w:rPr>
      </w:pPr>
      <w:r w:rsidRPr="0063119B">
        <w:rPr>
          <w:szCs w:val="22"/>
        </w:rPr>
        <w:t>bronquiectasias ou antecedentes de hemorragia pulmonar</w:t>
      </w:r>
    </w:p>
    <w:p w14:paraId="2828BFC5" w14:textId="77777777" w:rsidR="005B1C7B" w:rsidRDefault="005B1C7B" w:rsidP="005B1C7B">
      <w:pPr>
        <w:autoSpaceDE w:val="0"/>
        <w:autoSpaceDN w:val="0"/>
        <w:adjustRightInd w:val="0"/>
        <w:rPr>
          <w:szCs w:val="22"/>
          <w:u w:val="single"/>
        </w:rPr>
      </w:pPr>
    </w:p>
    <w:p w14:paraId="3E51AE53" w14:textId="77777777" w:rsidR="00A35BCA" w:rsidRPr="0043610E" w:rsidRDefault="00A35BCA" w:rsidP="00A35BCA">
      <w:pPr>
        <w:suppressAutoHyphens/>
        <w:rPr>
          <w:u w:val="single"/>
        </w:rPr>
      </w:pPr>
      <w:r w:rsidRPr="0043610E">
        <w:rPr>
          <w:u w:val="single"/>
        </w:rPr>
        <w:t xml:space="preserve">Doentes com cancro </w:t>
      </w:r>
    </w:p>
    <w:p w14:paraId="5E99841C" w14:textId="77777777" w:rsidR="00A35BCA" w:rsidRPr="0024081D" w:rsidRDefault="00A35BCA" w:rsidP="0024081D">
      <w:pPr>
        <w:suppressAutoHyphens/>
        <w:rPr>
          <w:noProof/>
          <w:szCs w:val="22"/>
        </w:rPr>
      </w:pPr>
      <w:r>
        <w:t xml:space="preserve">Doentes com doença maligna podem, simultaneamente, apresentar maior risco de hemorragia e trombose. O benefício individual do tratamento antitrombótico deve ser ponderado em relação ao risco de hemorragia em doentes com cancro ativo dependendo da localização do tumor, terapêutica </w:t>
      </w:r>
      <w:r>
        <w:lastRenderedPageBreak/>
        <w:t>antineoplásica e estadio da doença. Os tumores localizados no trato gastrointestinal ou geniturinário têm sido associados a um risco aumentado de hemorragia durante a terapêutica com rivaroxabano. A utilização de rivaroxabano está contraindicada em doentes com neoplasias malignas com elevado risco de hemorragia (ver secção 4.3).</w:t>
      </w:r>
    </w:p>
    <w:p w14:paraId="426E1DD5" w14:textId="77777777" w:rsidR="00A35BCA" w:rsidRPr="0063119B" w:rsidRDefault="00A35BCA" w:rsidP="005B1C7B">
      <w:pPr>
        <w:autoSpaceDE w:val="0"/>
        <w:autoSpaceDN w:val="0"/>
        <w:adjustRightInd w:val="0"/>
        <w:rPr>
          <w:szCs w:val="22"/>
          <w:u w:val="single"/>
        </w:rPr>
      </w:pPr>
    </w:p>
    <w:p w14:paraId="157B514B" w14:textId="77777777" w:rsidR="009A48E2" w:rsidRDefault="009A48E2" w:rsidP="009A48E2">
      <w:pPr>
        <w:autoSpaceDE w:val="0"/>
        <w:autoSpaceDN w:val="0"/>
        <w:adjustRightInd w:val="0"/>
        <w:rPr>
          <w:szCs w:val="22"/>
          <w:u w:val="single"/>
        </w:rPr>
      </w:pPr>
      <w:r w:rsidRPr="0063119B">
        <w:rPr>
          <w:szCs w:val="22"/>
          <w:u w:val="single"/>
        </w:rPr>
        <w:t>Doentes com válvulas protésicas</w:t>
      </w:r>
    </w:p>
    <w:p w14:paraId="36EA66B7" w14:textId="77777777" w:rsidR="00CB7754" w:rsidRPr="0063119B" w:rsidRDefault="00CB7754" w:rsidP="009A48E2">
      <w:pPr>
        <w:autoSpaceDE w:val="0"/>
        <w:autoSpaceDN w:val="0"/>
        <w:adjustRightInd w:val="0"/>
        <w:rPr>
          <w:szCs w:val="22"/>
        </w:rPr>
      </w:pPr>
    </w:p>
    <w:p w14:paraId="5973445C" w14:textId="77777777" w:rsidR="009A48E2" w:rsidRPr="0063119B" w:rsidRDefault="00A0499A" w:rsidP="009A48E2">
      <w:pPr>
        <w:autoSpaceDE w:val="0"/>
        <w:autoSpaceDN w:val="0"/>
        <w:adjustRightInd w:val="0"/>
        <w:rPr>
          <w:rFonts w:eastAsia="MS Mincho"/>
          <w:bCs/>
          <w:szCs w:val="22"/>
          <w:lang w:eastAsia="ja-JP"/>
        </w:rPr>
      </w:pPr>
      <w:r w:rsidRPr="0063119B">
        <w:rPr>
          <w:rFonts w:eastAsia="MS Mincho"/>
          <w:bCs/>
          <w:szCs w:val="22"/>
          <w:lang w:eastAsia="ja-JP"/>
        </w:rPr>
        <w:t xml:space="preserve">O rivaroxabano não deve ser utilizado como tromboprofilaxia em doentes submetidos recentemente a uma substituição percutânea da válvula aórtica (TAVR). </w:t>
      </w:r>
      <w:r w:rsidR="009A48E2" w:rsidRPr="0063119B">
        <w:rPr>
          <w:rFonts w:eastAsia="MS Mincho"/>
          <w:bCs/>
          <w:szCs w:val="22"/>
          <w:lang w:eastAsia="ja-JP"/>
        </w:rPr>
        <w:t xml:space="preserve">A segurança e a eficácia de </w:t>
      </w:r>
      <w:r w:rsidR="006501D5" w:rsidRPr="0063119B">
        <w:rPr>
          <w:rFonts w:eastAsia="MS Mincho"/>
          <w:bCs/>
          <w:szCs w:val="22"/>
          <w:lang w:eastAsia="ja-JP"/>
        </w:rPr>
        <w:t>r</w:t>
      </w:r>
      <w:r w:rsidR="00754E0E" w:rsidRPr="0063119B">
        <w:rPr>
          <w:rFonts w:eastAsia="MS Mincho"/>
          <w:bCs/>
          <w:szCs w:val="22"/>
          <w:lang w:eastAsia="ja-JP"/>
        </w:rPr>
        <w:t>ivaroxaban</w:t>
      </w:r>
      <w:r w:rsidR="006501D5" w:rsidRPr="0063119B">
        <w:rPr>
          <w:rFonts w:eastAsia="MS Mincho"/>
          <w:bCs/>
          <w:szCs w:val="22"/>
          <w:lang w:eastAsia="ja-JP"/>
        </w:rPr>
        <w:t>o</w:t>
      </w:r>
      <w:r w:rsidR="009A48E2" w:rsidRPr="0063119B">
        <w:rPr>
          <w:rFonts w:eastAsia="MS Mincho"/>
          <w:bCs/>
          <w:szCs w:val="22"/>
          <w:lang w:eastAsia="ja-JP"/>
        </w:rPr>
        <w:t xml:space="preserve"> não foram estudadas em doentes com válvulas cardíacas protésicas; consequentemente, não existem dados que confirmem que </w:t>
      </w:r>
      <w:r w:rsidR="006501D5" w:rsidRPr="0063119B">
        <w:rPr>
          <w:rFonts w:eastAsia="MS Mincho"/>
          <w:bCs/>
          <w:szCs w:val="22"/>
          <w:lang w:eastAsia="ja-JP"/>
        </w:rPr>
        <w:t>o r</w:t>
      </w:r>
      <w:r w:rsidR="00754E0E" w:rsidRPr="0063119B">
        <w:rPr>
          <w:rFonts w:eastAsia="MS Mincho"/>
          <w:bCs/>
          <w:szCs w:val="22"/>
          <w:lang w:eastAsia="ja-JP"/>
        </w:rPr>
        <w:t>ivaroxaban</w:t>
      </w:r>
      <w:r w:rsidR="006501D5" w:rsidRPr="0063119B">
        <w:rPr>
          <w:rFonts w:eastAsia="MS Mincho"/>
          <w:bCs/>
          <w:szCs w:val="22"/>
          <w:lang w:eastAsia="ja-JP"/>
        </w:rPr>
        <w:t>o</w:t>
      </w:r>
      <w:r w:rsidR="009A48E2" w:rsidRPr="0063119B">
        <w:rPr>
          <w:rFonts w:eastAsia="MS Mincho"/>
          <w:bCs/>
          <w:szCs w:val="22"/>
          <w:lang w:eastAsia="ja-JP"/>
        </w:rPr>
        <w:t xml:space="preserve"> assegura a anticoagulação adequada nesta população de doentes. O tratamento com </w:t>
      </w:r>
      <w:r w:rsidR="00607DE4">
        <w:rPr>
          <w:rFonts w:eastAsia="MS Mincho"/>
          <w:bCs/>
          <w:szCs w:val="22"/>
          <w:lang w:eastAsia="ja-JP"/>
        </w:rPr>
        <w:t>Rivaroxabano</w:t>
      </w:r>
      <w:r w:rsidR="00754E0E" w:rsidRPr="0063119B">
        <w:rPr>
          <w:rFonts w:eastAsia="MS Mincho"/>
          <w:bCs/>
          <w:szCs w:val="22"/>
          <w:lang w:eastAsia="ja-JP"/>
        </w:rPr>
        <w:t xml:space="preserve"> Accord</w:t>
      </w:r>
      <w:r w:rsidR="009A48E2" w:rsidRPr="0063119B">
        <w:rPr>
          <w:rFonts w:eastAsia="MS Mincho"/>
          <w:bCs/>
          <w:szCs w:val="22"/>
          <w:lang w:eastAsia="ja-JP"/>
        </w:rPr>
        <w:t xml:space="preserve"> não é recomendado nestes doentes.</w:t>
      </w:r>
    </w:p>
    <w:p w14:paraId="36125B02" w14:textId="77777777" w:rsidR="005B1C7B" w:rsidRPr="0063119B" w:rsidRDefault="005B1C7B" w:rsidP="005B1C7B">
      <w:pPr>
        <w:autoSpaceDE w:val="0"/>
        <w:autoSpaceDN w:val="0"/>
        <w:adjustRightInd w:val="0"/>
        <w:rPr>
          <w:szCs w:val="22"/>
          <w:u w:val="single"/>
        </w:rPr>
      </w:pPr>
    </w:p>
    <w:p w14:paraId="793A308B" w14:textId="77777777" w:rsidR="006501D5" w:rsidRDefault="006501D5" w:rsidP="006501D5">
      <w:pPr>
        <w:autoSpaceDE w:val="0"/>
        <w:autoSpaceDN w:val="0"/>
        <w:adjustRightInd w:val="0"/>
        <w:rPr>
          <w:szCs w:val="22"/>
          <w:u w:val="single"/>
        </w:rPr>
      </w:pPr>
      <w:r w:rsidRPr="0063119B">
        <w:rPr>
          <w:szCs w:val="22"/>
          <w:u w:val="single"/>
        </w:rPr>
        <w:t xml:space="preserve">Doentes com síndrome antifosfolipídica </w:t>
      </w:r>
    </w:p>
    <w:p w14:paraId="48653603" w14:textId="77777777" w:rsidR="00CB7754" w:rsidRPr="0063119B" w:rsidRDefault="00CB7754" w:rsidP="006501D5">
      <w:pPr>
        <w:autoSpaceDE w:val="0"/>
        <w:autoSpaceDN w:val="0"/>
        <w:adjustRightInd w:val="0"/>
        <w:rPr>
          <w:szCs w:val="22"/>
          <w:u w:val="single"/>
        </w:rPr>
      </w:pPr>
    </w:p>
    <w:p w14:paraId="6DD5F21F" w14:textId="77777777" w:rsidR="006501D5" w:rsidRPr="0063119B" w:rsidRDefault="006501D5" w:rsidP="006501D5">
      <w:pPr>
        <w:autoSpaceDE w:val="0"/>
        <w:autoSpaceDN w:val="0"/>
        <w:adjustRightInd w:val="0"/>
        <w:rPr>
          <w:rFonts w:eastAsia="MS Mincho"/>
          <w:bCs/>
          <w:szCs w:val="22"/>
          <w:lang w:eastAsia="ja-JP"/>
        </w:rPr>
      </w:pPr>
      <w:r w:rsidRPr="0063119B">
        <w:rPr>
          <w:rFonts w:eastAsia="MS Mincho"/>
          <w:bCs/>
          <w:szCs w:val="22"/>
          <w:lang w:eastAsia="ja-JP"/>
        </w:rPr>
        <w:t xml:space="preserve">Os anticoagulantes orais de ação direta (ACOaD) incluindo o rivaroxabano não são recomendados em doentes com antecedentes de trombose diagnosticados com síndrome antifosfolipídica. Em especial, no caso de doentes triplo-positivos (para a presença dos anticorpos anticoagulante lúpico, anticorpos anticardiolipina e anticorpos anti-beta2 glicoproteína I), o tratamento com ACOaD pode estar associado a um aumento das taxas de acontecimentos trombóticos recorrentes em comparação com a terapêutica com antagonistas da vitamina K </w:t>
      </w:r>
    </w:p>
    <w:p w14:paraId="43B671B8" w14:textId="77777777" w:rsidR="006501D5" w:rsidRDefault="006501D5" w:rsidP="005B1C7B">
      <w:pPr>
        <w:suppressAutoHyphens/>
        <w:rPr>
          <w:noProof/>
          <w:szCs w:val="22"/>
          <w:u w:val="single"/>
        </w:rPr>
      </w:pPr>
    </w:p>
    <w:p w14:paraId="49356D65" w14:textId="77777777" w:rsidR="00874F79" w:rsidRDefault="00874F79" w:rsidP="00874F79">
      <w:pPr>
        <w:autoSpaceDE w:val="0"/>
        <w:autoSpaceDN w:val="0"/>
        <w:adjustRightInd w:val="0"/>
        <w:rPr>
          <w:color w:val="000000"/>
          <w:szCs w:val="22"/>
          <w:lang w:eastAsia="pt-PT"/>
        </w:rPr>
      </w:pPr>
      <w:r w:rsidRPr="00874F79">
        <w:rPr>
          <w:color w:val="000000"/>
          <w:szCs w:val="22"/>
          <w:lang w:eastAsia="pt-PT"/>
        </w:rPr>
        <w:t xml:space="preserve">Doentes com EP hemodinamicamente instáveis ou doentes que necessitam de trombólise ou embolectomia pulmonar </w:t>
      </w:r>
    </w:p>
    <w:p w14:paraId="21B29575" w14:textId="77777777" w:rsidR="00874F79" w:rsidRPr="00874F79" w:rsidRDefault="00874F79" w:rsidP="00874F79">
      <w:pPr>
        <w:autoSpaceDE w:val="0"/>
        <w:autoSpaceDN w:val="0"/>
        <w:adjustRightInd w:val="0"/>
        <w:rPr>
          <w:color w:val="000000"/>
          <w:szCs w:val="22"/>
          <w:lang w:eastAsia="pt-PT"/>
        </w:rPr>
      </w:pPr>
    </w:p>
    <w:p w14:paraId="5B1C7435" w14:textId="77777777" w:rsidR="00874F79" w:rsidRDefault="00874F79" w:rsidP="00874F79">
      <w:pPr>
        <w:suppressAutoHyphens/>
        <w:rPr>
          <w:color w:val="000000"/>
          <w:szCs w:val="22"/>
          <w:lang w:eastAsia="pt-PT"/>
        </w:rPr>
      </w:pPr>
      <w:r>
        <w:rPr>
          <w:szCs w:val="22"/>
        </w:rPr>
        <w:t xml:space="preserve">Rivaroxabano Accord </w:t>
      </w:r>
      <w:r w:rsidRPr="00874F79">
        <w:rPr>
          <w:color w:val="000000"/>
          <w:szCs w:val="22"/>
          <w:lang w:eastAsia="pt-PT"/>
        </w:rPr>
        <w:t xml:space="preserve">não é recomendado como alternativa à heparina não fracionada em doentes com embolismo pulmonar que são hemodinamicamente instáveis ou que possam ser sujeitos a trombólise ou embolectomia pulmonar, uma vez que a segurança e a eficácia do </w:t>
      </w:r>
      <w:r>
        <w:rPr>
          <w:szCs w:val="22"/>
        </w:rPr>
        <w:t xml:space="preserve">Rivaroxaban Accord </w:t>
      </w:r>
      <w:r w:rsidRPr="00874F79">
        <w:rPr>
          <w:color w:val="000000"/>
          <w:szCs w:val="22"/>
          <w:lang w:eastAsia="pt-PT"/>
        </w:rPr>
        <w:t>nestas situações clínicas não foram estabelecidas.</w:t>
      </w:r>
    </w:p>
    <w:p w14:paraId="6DA2F2C3" w14:textId="77777777" w:rsidR="00874F79" w:rsidRPr="0063119B" w:rsidRDefault="00874F79" w:rsidP="00874F79">
      <w:pPr>
        <w:suppressAutoHyphens/>
        <w:rPr>
          <w:noProof/>
          <w:szCs w:val="22"/>
          <w:u w:val="single"/>
        </w:rPr>
      </w:pPr>
    </w:p>
    <w:p w14:paraId="1F48170E" w14:textId="77777777" w:rsidR="005B1C7B" w:rsidRDefault="005B1C7B" w:rsidP="005B1C7B">
      <w:pPr>
        <w:suppressAutoHyphens/>
        <w:rPr>
          <w:noProof/>
          <w:szCs w:val="22"/>
          <w:u w:val="single"/>
        </w:rPr>
      </w:pPr>
      <w:r w:rsidRPr="0063119B">
        <w:rPr>
          <w:noProof/>
          <w:szCs w:val="22"/>
          <w:u w:val="single"/>
        </w:rPr>
        <w:t>Punção ou anestesia espinal/epidural</w:t>
      </w:r>
    </w:p>
    <w:p w14:paraId="2BA94370" w14:textId="77777777" w:rsidR="00CB7754" w:rsidRPr="0063119B" w:rsidRDefault="00CB7754" w:rsidP="005B1C7B">
      <w:pPr>
        <w:suppressAutoHyphens/>
        <w:rPr>
          <w:noProof/>
          <w:szCs w:val="22"/>
          <w:u w:val="single"/>
        </w:rPr>
      </w:pPr>
    </w:p>
    <w:p w14:paraId="178CE0E1" w14:textId="77777777" w:rsidR="005B1C7B" w:rsidRPr="0063119B" w:rsidRDefault="005B1C7B" w:rsidP="005B1C7B">
      <w:pPr>
        <w:suppressAutoHyphens/>
        <w:rPr>
          <w:noProof/>
          <w:szCs w:val="22"/>
        </w:rPr>
      </w:pPr>
      <w:r w:rsidRPr="0063119B">
        <w:rPr>
          <w:noProof/>
          <w:szCs w:val="22"/>
        </w:rPr>
        <w:t xml:space="preserve">Quando é empregue anestesia neuraxial (anestesia epidural/espinal) ou punção epidural/espinal, os doentes tratados com agentes antitrombóticos para a prevenção de complicações tromboembólicas apresentam risco de desenvolverem um hematoma espinal ou epidural, o que pode resultar em paralisia prolongada ou permanente. O risco destes acontecimentos poderá ser aumentado pela utilização pós-operatória de cateteres epidurais internos ou pela utilização concomitante de medicamentos que afetam a hemostase. O risco pode também ser aumentado pela punção espinal ou epidural repetida ou traumática. Os doentes devem ser frequentemente monitorizados relativamente a sinais e sintomas de alteração neurológica (ex.: dormência ou fraqueza das pernas, disfunção da bexiga ou intestino). Se for observada alteração neurológica, são necessários o diagnóstico e o tratamento urgentes. Antes da intervenção neuraxial, o médico deve considerar o potencial benefício versus o risco em doentes tratados com anticoagulantes ou em doentes que irão ser tratados com anticoagulantes para a tromboprofilaxia. Nestas situações, não existe experiência clínica com a utilização de 15 mg ou 20 mg de rivaroxabano. </w:t>
      </w:r>
    </w:p>
    <w:p w14:paraId="129BCC44" w14:textId="77777777" w:rsidR="005B1C7B" w:rsidRPr="0063119B" w:rsidRDefault="005B1C7B" w:rsidP="005B1C7B">
      <w:pPr>
        <w:suppressAutoHyphens/>
        <w:rPr>
          <w:noProof/>
          <w:szCs w:val="22"/>
        </w:rPr>
      </w:pPr>
      <w:r w:rsidRPr="0063119B">
        <w:rPr>
          <w:noProof/>
          <w:szCs w:val="22"/>
        </w:rPr>
        <w:t xml:space="preserve">Para reduzir o risco potencial de hemorragia associado com a utilização concomitante de rivaroxabano e anestesia neuraxial (epidural/espinal) ou punção epidural, considerar o perfil farmacocinético do rivaroxabano. A colocação ou remoção de um cateter epidural ou punção lombar é melhor realizada quando se estima que o efeito anticoagulante do rivaroxabano é baixo. Contudo, o momento exato para atingir um efeito anticoagulante suficientemente baixo em cada doente, não é conhecido. </w:t>
      </w:r>
    </w:p>
    <w:p w14:paraId="7DF80CD7" w14:textId="77777777" w:rsidR="005B1C7B" w:rsidRPr="0063119B" w:rsidRDefault="005B1C7B" w:rsidP="005B1C7B">
      <w:pPr>
        <w:suppressAutoHyphens/>
        <w:rPr>
          <w:noProof/>
          <w:szCs w:val="22"/>
        </w:rPr>
      </w:pPr>
      <w:r w:rsidRPr="0063119B">
        <w:rPr>
          <w:noProof/>
          <w:szCs w:val="22"/>
        </w:rPr>
        <w:t>Para a remoção do cateter epidural e tendo por base as características famacocinéticas gerais devem ter decorrido pelo menos 2x a semivida, isto é, pelo  menos 18 horas em doentes jovens e 26 horas em doentes idosos, após a última administração de rivaroxabano (ver secção 5.2). A seguir à remoção do cateter, devem decorrer pelo menos 6 horas antes de ser administrada a dose seguinte de rivaroxabano.</w:t>
      </w:r>
    </w:p>
    <w:p w14:paraId="30118087" w14:textId="77777777" w:rsidR="005B1C7B" w:rsidRPr="0063119B" w:rsidRDefault="005B1C7B" w:rsidP="005B1C7B">
      <w:pPr>
        <w:suppressAutoHyphens/>
        <w:rPr>
          <w:noProof/>
          <w:szCs w:val="22"/>
        </w:rPr>
      </w:pPr>
      <w:r w:rsidRPr="0063119B">
        <w:rPr>
          <w:noProof/>
          <w:szCs w:val="22"/>
        </w:rPr>
        <w:t>Se ocorrer punção traumática, a administração do rivaroxabano deve ser adiada por 24 horas.</w:t>
      </w:r>
    </w:p>
    <w:p w14:paraId="2A7C8E97" w14:textId="77777777" w:rsidR="005B1C7B" w:rsidRPr="0063119B" w:rsidRDefault="005B1C7B" w:rsidP="005B1C7B">
      <w:pPr>
        <w:autoSpaceDE w:val="0"/>
        <w:autoSpaceDN w:val="0"/>
        <w:adjustRightInd w:val="0"/>
        <w:rPr>
          <w:szCs w:val="22"/>
          <w:u w:val="single"/>
        </w:rPr>
      </w:pPr>
    </w:p>
    <w:p w14:paraId="0776FEA4" w14:textId="77777777" w:rsidR="005B1C7B" w:rsidRDefault="005B1C7B" w:rsidP="005B1C7B">
      <w:pPr>
        <w:autoSpaceDE w:val="0"/>
        <w:autoSpaceDN w:val="0"/>
        <w:adjustRightInd w:val="0"/>
        <w:rPr>
          <w:szCs w:val="22"/>
          <w:u w:val="single"/>
        </w:rPr>
      </w:pPr>
      <w:r w:rsidRPr="0063119B">
        <w:rPr>
          <w:szCs w:val="22"/>
          <w:u w:val="single"/>
        </w:rPr>
        <w:t>Recomendações posológicas antes e depois de procedimentos invasivos e intervenções cirúrgicas</w:t>
      </w:r>
    </w:p>
    <w:p w14:paraId="7B138D80" w14:textId="77777777" w:rsidR="00CB7754" w:rsidRPr="0063119B" w:rsidRDefault="00CB7754" w:rsidP="005B1C7B">
      <w:pPr>
        <w:autoSpaceDE w:val="0"/>
        <w:autoSpaceDN w:val="0"/>
        <w:adjustRightInd w:val="0"/>
        <w:rPr>
          <w:szCs w:val="22"/>
        </w:rPr>
      </w:pPr>
    </w:p>
    <w:p w14:paraId="382862FC" w14:textId="77777777" w:rsidR="005B1C7B" w:rsidRPr="0063119B" w:rsidRDefault="005B1C7B" w:rsidP="005B1C7B">
      <w:pPr>
        <w:rPr>
          <w:szCs w:val="22"/>
        </w:rPr>
      </w:pPr>
      <w:r w:rsidRPr="0063119B">
        <w:rPr>
          <w:szCs w:val="22"/>
        </w:rPr>
        <w:t xml:space="preserve">No caso de ser necessário um procedimento invasivo ou uma intervenção cirúrgica, </w:t>
      </w:r>
      <w:r w:rsidR="00607DE4">
        <w:rPr>
          <w:szCs w:val="22"/>
        </w:rPr>
        <w:t>Rivaroxabano</w:t>
      </w:r>
      <w:r w:rsidR="00754E0E" w:rsidRPr="0063119B">
        <w:rPr>
          <w:szCs w:val="22"/>
        </w:rPr>
        <w:t xml:space="preserve"> Accord</w:t>
      </w:r>
      <w:r w:rsidRPr="0063119B">
        <w:rPr>
          <w:szCs w:val="22"/>
        </w:rPr>
        <w:t xml:space="preserve"> 15</w:t>
      </w:r>
      <w:r w:rsidR="006501D5" w:rsidRPr="0063119B">
        <w:rPr>
          <w:szCs w:val="22"/>
        </w:rPr>
        <w:t> </w:t>
      </w:r>
      <w:r w:rsidRPr="0063119B">
        <w:rPr>
          <w:szCs w:val="22"/>
        </w:rPr>
        <w:t>mg/20</w:t>
      </w:r>
      <w:r w:rsidR="006501D5" w:rsidRPr="0063119B">
        <w:rPr>
          <w:szCs w:val="22"/>
        </w:rPr>
        <w:t> </w:t>
      </w:r>
      <w:r w:rsidRPr="0063119B">
        <w:rPr>
          <w:szCs w:val="22"/>
        </w:rPr>
        <w:t>mg deve ser interrompido pelo menos 24 horas antes da intervenção, se possível, e de acordo com o critério clínico do médico.</w:t>
      </w:r>
    </w:p>
    <w:p w14:paraId="006A1E37" w14:textId="77777777" w:rsidR="005B1C7B" w:rsidRPr="0063119B" w:rsidRDefault="005B1C7B" w:rsidP="005B1C7B">
      <w:pPr>
        <w:rPr>
          <w:szCs w:val="22"/>
        </w:rPr>
      </w:pPr>
      <w:r w:rsidRPr="0063119B">
        <w:rPr>
          <w:bCs/>
          <w:szCs w:val="22"/>
        </w:rPr>
        <w:t>Se o procedimento não puder ser adiado, o risco acrescido de hemorragia deve ser avaliado em relação à urgência da intervenção.</w:t>
      </w:r>
    </w:p>
    <w:p w14:paraId="0215CE18" w14:textId="77777777" w:rsidR="005B1C7B" w:rsidRPr="0063119B" w:rsidRDefault="00607DE4" w:rsidP="005B1C7B">
      <w:pPr>
        <w:suppressAutoHyphens/>
        <w:rPr>
          <w:noProof/>
          <w:szCs w:val="22"/>
        </w:rPr>
      </w:pPr>
      <w:r>
        <w:rPr>
          <w:bCs/>
          <w:szCs w:val="22"/>
        </w:rPr>
        <w:t>Rivaroxabano</w:t>
      </w:r>
      <w:r w:rsidR="00754E0E" w:rsidRPr="0063119B">
        <w:rPr>
          <w:bCs/>
          <w:szCs w:val="22"/>
        </w:rPr>
        <w:t xml:space="preserve"> Accord</w:t>
      </w:r>
      <w:r w:rsidR="005B1C7B" w:rsidRPr="0063119B">
        <w:rPr>
          <w:bCs/>
          <w:szCs w:val="22"/>
        </w:rPr>
        <w:t xml:space="preserve"> deve ser reiniciado logo que possível após o procedimento invasivo ou a intervenção cirúrgica logo, desde que a situação clínica o permita e a hemostase adequada tenha sido estabelecida conforme determinado pelo médico assistente (ver secção 5.2).</w:t>
      </w:r>
    </w:p>
    <w:p w14:paraId="19902558" w14:textId="77777777" w:rsidR="005B1C7B" w:rsidRPr="0063119B" w:rsidRDefault="005B1C7B" w:rsidP="005B1C7B">
      <w:pPr>
        <w:suppressAutoHyphens/>
        <w:rPr>
          <w:noProof/>
          <w:szCs w:val="22"/>
        </w:rPr>
      </w:pPr>
    </w:p>
    <w:p w14:paraId="49F56FE7" w14:textId="77777777" w:rsidR="005B1C7B" w:rsidRDefault="005B1C7B" w:rsidP="005B1C7B">
      <w:pPr>
        <w:autoSpaceDE w:val="0"/>
        <w:autoSpaceDN w:val="0"/>
        <w:adjustRightInd w:val="0"/>
        <w:rPr>
          <w:noProof/>
          <w:szCs w:val="22"/>
          <w:u w:val="single"/>
        </w:rPr>
      </w:pPr>
      <w:r w:rsidRPr="0063119B">
        <w:rPr>
          <w:noProof/>
          <w:szCs w:val="22"/>
          <w:u w:val="single"/>
        </w:rPr>
        <w:t>População idosa</w:t>
      </w:r>
    </w:p>
    <w:p w14:paraId="67D2D4AF" w14:textId="77777777" w:rsidR="00CB7754" w:rsidRPr="0063119B" w:rsidRDefault="00CB7754" w:rsidP="005B1C7B">
      <w:pPr>
        <w:autoSpaceDE w:val="0"/>
        <w:autoSpaceDN w:val="0"/>
        <w:adjustRightInd w:val="0"/>
        <w:rPr>
          <w:noProof/>
          <w:szCs w:val="22"/>
        </w:rPr>
      </w:pPr>
    </w:p>
    <w:p w14:paraId="1E3624FA" w14:textId="77777777" w:rsidR="005B1C7B" w:rsidRPr="0063119B" w:rsidRDefault="005B1C7B" w:rsidP="005B1C7B">
      <w:pPr>
        <w:autoSpaceDE w:val="0"/>
        <w:autoSpaceDN w:val="0"/>
        <w:adjustRightInd w:val="0"/>
        <w:rPr>
          <w:szCs w:val="22"/>
        </w:rPr>
      </w:pPr>
      <w:r w:rsidRPr="0063119B">
        <w:rPr>
          <w:szCs w:val="22"/>
        </w:rPr>
        <w:t>A idade avançada pode aumentar o risco de hemorragia (ver secção 5.2).</w:t>
      </w:r>
    </w:p>
    <w:p w14:paraId="1E3557C6" w14:textId="77777777" w:rsidR="005B1C7B" w:rsidRPr="0063119B" w:rsidRDefault="005B1C7B" w:rsidP="005B1C7B">
      <w:pPr>
        <w:autoSpaceDE w:val="0"/>
        <w:autoSpaceDN w:val="0"/>
        <w:adjustRightInd w:val="0"/>
        <w:rPr>
          <w:szCs w:val="22"/>
        </w:rPr>
      </w:pPr>
    </w:p>
    <w:p w14:paraId="7F750F4F" w14:textId="77777777" w:rsidR="00C92B39" w:rsidRDefault="00C92B39" w:rsidP="00C92B39">
      <w:pPr>
        <w:autoSpaceDE w:val="0"/>
        <w:autoSpaceDN w:val="0"/>
        <w:adjustRightInd w:val="0"/>
        <w:rPr>
          <w:szCs w:val="22"/>
          <w:u w:val="single"/>
        </w:rPr>
      </w:pPr>
      <w:r w:rsidRPr="0063119B">
        <w:rPr>
          <w:szCs w:val="22"/>
          <w:u w:val="single"/>
        </w:rPr>
        <w:t>Reações dermatológicas</w:t>
      </w:r>
    </w:p>
    <w:p w14:paraId="48D9355F" w14:textId="77777777" w:rsidR="00CB7754" w:rsidRPr="0063119B" w:rsidRDefault="00CB7754" w:rsidP="00C92B39">
      <w:pPr>
        <w:autoSpaceDE w:val="0"/>
        <w:autoSpaceDN w:val="0"/>
        <w:adjustRightInd w:val="0"/>
        <w:rPr>
          <w:szCs w:val="22"/>
          <w:u w:val="single"/>
        </w:rPr>
      </w:pPr>
    </w:p>
    <w:p w14:paraId="4FE15819" w14:textId="77777777" w:rsidR="00C92B39" w:rsidRPr="0063119B" w:rsidRDefault="00C92B39" w:rsidP="00C92B39">
      <w:pPr>
        <w:autoSpaceDE w:val="0"/>
        <w:autoSpaceDN w:val="0"/>
        <w:adjustRightInd w:val="0"/>
        <w:rPr>
          <w:szCs w:val="22"/>
        </w:rPr>
      </w:pPr>
      <w:r w:rsidRPr="0063119B">
        <w:rPr>
          <w:szCs w:val="22"/>
        </w:rPr>
        <w:t>Foram notificadas reações cutâneas graves, incluindo síndrome de Stevens-Johnson/</w:t>
      </w:r>
      <w:r w:rsidR="00B37008" w:rsidRPr="0063119B">
        <w:rPr>
          <w:szCs w:val="22"/>
        </w:rPr>
        <w:t>n</w:t>
      </w:r>
      <w:r w:rsidRPr="0063119B">
        <w:rPr>
          <w:szCs w:val="22"/>
        </w:rPr>
        <w:t xml:space="preserve">ecrólise </w:t>
      </w:r>
      <w:r w:rsidR="00B37008" w:rsidRPr="0063119B">
        <w:rPr>
          <w:szCs w:val="22"/>
        </w:rPr>
        <w:t>e</w:t>
      </w:r>
      <w:r w:rsidRPr="0063119B">
        <w:rPr>
          <w:szCs w:val="22"/>
        </w:rPr>
        <w:t xml:space="preserve">pidérmica </w:t>
      </w:r>
      <w:r w:rsidR="00B37008" w:rsidRPr="0063119B">
        <w:rPr>
          <w:szCs w:val="22"/>
        </w:rPr>
        <w:t>t</w:t>
      </w:r>
      <w:r w:rsidRPr="0063119B">
        <w:rPr>
          <w:szCs w:val="22"/>
        </w:rPr>
        <w:t>óxica</w:t>
      </w:r>
      <w:r w:rsidR="00600004" w:rsidRPr="0063119B">
        <w:rPr>
          <w:szCs w:val="22"/>
        </w:rPr>
        <w:t xml:space="preserve"> e síndrome de DRESS</w:t>
      </w:r>
      <w:r w:rsidRPr="0063119B">
        <w:rPr>
          <w:szCs w:val="22"/>
        </w:rPr>
        <w:t xml:space="preserve">, durante a vigilância pós-comercialização </w:t>
      </w:r>
      <w:r w:rsidR="00EC173D" w:rsidRPr="0063119B">
        <w:rPr>
          <w:szCs w:val="22"/>
        </w:rPr>
        <w:t>,</w:t>
      </w:r>
      <w:r w:rsidRPr="0063119B">
        <w:rPr>
          <w:szCs w:val="22"/>
        </w:rPr>
        <w:t>associadas à utilização de rivaroxabano (ver secção 4.8). Os doentes parecem estar em maior risco para estas reações no início da terapêutica: o início da reação ocorre na maioria dos casos nas primeiras semanas de tratamento. O  rivaroxabano deve ser interrompido na primeira manifestação de uma erupção cutânea grave (ex.:</w:t>
      </w:r>
      <w:r w:rsidR="00EC173D" w:rsidRPr="0063119B">
        <w:rPr>
          <w:szCs w:val="22"/>
        </w:rPr>
        <w:t xml:space="preserve"> </w:t>
      </w:r>
      <w:r w:rsidRPr="0063119B">
        <w:rPr>
          <w:szCs w:val="22"/>
        </w:rPr>
        <w:t xml:space="preserve">disseminação intensa e/ou formação de bolhas) ou qualquer outro sinal de hipersensibilidade em associação com lesões da mucosa.  </w:t>
      </w:r>
    </w:p>
    <w:p w14:paraId="12FDA814" w14:textId="77777777" w:rsidR="00A4560F" w:rsidRPr="0063119B" w:rsidRDefault="00A4560F" w:rsidP="005B1C7B">
      <w:pPr>
        <w:suppressAutoHyphens/>
        <w:rPr>
          <w:noProof/>
          <w:szCs w:val="22"/>
          <w:u w:val="single"/>
        </w:rPr>
      </w:pPr>
    </w:p>
    <w:p w14:paraId="2825B772" w14:textId="77777777" w:rsidR="005B1C7B" w:rsidRDefault="005B1C7B" w:rsidP="005B1C7B">
      <w:pPr>
        <w:suppressAutoHyphens/>
        <w:rPr>
          <w:noProof/>
          <w:szCs w:val="22"/>
          <w:u w:val="single"/>
        </w:rPr>
      </w:pPr>
      <w:r w:rsidRPr="0063119B">
        <w:rPr>
          <w:noProof/>
          <w:szCs w:val="22"/>
          <w:u w:val="single"/>
        </w:rPr>
        <w:t>Informação sobre excipientes</w:t>
      </w:r>
    </w:p>
    <w:p w14:paraId="49FB6263" w14:textId="77777777" w:rsidR="00CB7754" w:rsidRPr="0063119B" w:rsidRDefault="00CB7754" w:rsidP="005B1C7B">
      <w:pPr>
        <w:suppressAutoHyphens/>
        <w:rPr>
          <w:noProof/>
          <w:szCs w:val="22"/>
          <w:u w:val="single"/>
        </w:rPr>
      </w:pPr>
    </w:p>
    <w:p w14:paraId="4BFA3EDD" w14:textId="77777777" w:rsidR="005B1C7B" w:rsidRPr="0063119B" w:rsidRDefault="00607DE4" w:rsidP="005B1C7B">
      <w:pPr>
        <w:suppressAutoHyphens/>
        <w:rPr>
          <w:noProof/>
          <w:szCs w:val="22"/>
        </w:rPr>
      </w:pPr>
      <w:r>
        <w:rPr>
          <w:noProof/>
          <w:szCs w:val="22"/>
        </w:rPr>
        <w:t>Rivaroxabano</w:t>
      </w:r>
      <w:r w:rsidR="00754E0E" w:rsidRPr="0063119B">
        <w:rPr>
          <w:noProof/>
          <w:szCs w:val="22"/>
        </w:rPr>
        <w:t xml:space="preserve"> Accord</w:t>
      </w:r>
      <w:r w:rsidR="005B1C7B" w:rsidRPr="0063119B">
        <w:rPr>
          <w:noProof/>
          <w:szCs w:val="22"/>
        </w:rPr>
        <w:t xml:space="preserve"> contém lactose. Doentes com problemas hereditários raros de intolerância à galactose, deficiência </w:t>
      </w:r>
      <w:r w:rsidR="00B37008" w:rsidRPr="0063119B">
        <w:rPr>
          <w:noProof/>
          <w:szCs w:val="22"/>
        </w:rPr>
        <w:t xml:space="preserve">total </w:t>
      </w:r>
      <w:r w:rsidR="005B1C7B" w:rsidRPr="0063119B">
        <w:rPr>
          <w:noProof/>
          <w:szCs w:val="22"/>
        </w:rPr>
        <w:t>de lactase ou malabsorção de glucose</w:t>
      </w:r>
      <w:r w:rsidR="005B1C7B" w:rsidRPr="0063119B">
        <w:rPr>
          <w:noProof/>
          <w:szCs w:val="22"/>
        </w:rPr>
        <w:noBreakHyphen/>
        <w:t>galactose não devem tomar este medicamento.</w:t>
      </w:r>
    </w:p>
    <w:p w14:paraId="5A4A8863" w14:textId="77777777" w:rsidR="006501D5" w:rsidRPr="0063119B" w:rsidRDefault="006501D5" w:rsidP="006501D5">
      <w:pPr>
        <w:autoSpaceDE w:val="0"/>
        <w:autoSpaceDN w:val="0"/>
        <w:adjustRightInd w:val="0"/>
        <w:rPr>
          <w:noProof/>
          <w:szCs w:val="22"/>
        </w:rPr>
      </w:pPr>
      <w:r w:rsidRPr="0063119B">
        <w:rPr>
          <w:color w:val="000000"/>
          <w:szCs w:val="22"/>
          <w:lang w:eastAsia="en-GB"/>
        </w:rPr>
        <w:t>Este medicamento contém menos do que 1 mmol (23 mg) de sódio por comprimido, ou seja, é praticamente “isento de sódio”.</w:t>
      </w:r>
    </w:p>
    <w:p w14:paraId="785F3193" w14:textId="77777777" w:rsidR="005B1C7B" w:rsidRPr="0063119B" w:rsidRDefault="005B1C7B" w:rsidP="005B1C7B">
      <w:pPr>
        <w:suppressAutoHyphens/>
        <w:rPr>
          <w:noProof/>
          <w:szCs w:val="22"/>
          <w:u w:val="single"/>
        </w:rPr>
      </w:pPr>
    </w:p>
    <w:p w14:paraId="76FDDF04" w14:textId="77777777" w:rsidR="005B1C7B" w:rsidRPr="0063119B" w:rsidRDefault="005B1C7B" w:rsidP="005B1C7B">
      <w:pPr>
        <w:suppressAutoHyphens/>
        <w:ind w:left="567" w:hanging="567"/>
        <w:rPr>
          <w:noProof/>
          <w:szCs w:val="22"/>
        </w:rPr>
      </w:pPr>
      <w:r w:rsidRPr="0063119B">
        <w:rPr>
          <w:b/>
          <w:noProof/>
          <w:szCs w:val="22"/>
        </w:rPr>
        <w:t>4.5</w:t>
      </w:r>
      <w:r w:rsidRPr="0063119B">
        <w:rPr>
          <w:b/>
          <w:noProof/>
          <w:szCs w:val="22"/>
        </w:rPr>
        <w:tab/>
        <w:t>Interações medicamentosas e outras formas de interação</w:t>
      </w:r>
    </w:p>
    <w:p w14:paraId="04619E28" w14:textId="77777777" w:rsidR="005B1C7B" w:rsidRPr="0063119B" w:rsidRDefault="005B1C7B" w:rsidP="005B1C7B">
      <w:pPr>
        <w:suppressAutoHyphens/>
        <w:rPr>
          <w:noProof/>
          <w:szCs w:val="22"/>
        </w:rPr>
      </w:pPr>
    </w:p>
    <w:p w14:paraId="2FFD2831" w14:textId="77777777" w:rsidR="005B1C7B" w:rsidRDefault="005B1C7B" w:rsidP="005B1C7B">
      <w:pPr>
        <w:suppressAutoHyphens/>
        <w:rPr>
          <w:noProof/>
          <w:szCs w:val="22"/>
          <w:u w:val="single"/>
        </w:rPr>
      </w:pPr>
      <w:r w:rsidRPr="0063119B">
        <w:rPr>
          <w:noProof/>
          <w:szCs w:val="22"/>
          <w:u w:val="single"/>
        </w:rPr>
        <w:t>Inibidores do CYP3A4 e da gp</w:t>
      </w:r>
      <w:r w:rsidRPr="0063119B">
        <w:rPr>
          <w:noProof/>
          <w:szCs w:val="22"/>
          <w:u w:val="single"/>
        </w:rPr>
        <w:noBreakHyphen/>
        <w:t>P</w:t>
      </w:r>
    </w:p>
    <w:p w14:paraId="1DFBBA77" w14:textId="77777777" w:rsidR="00CB7754" w:rsidRPr="0063119B" w:rsidRDefault="00CB7754" w:rsidP="005B1C7B">
      <w:pPr>
        <w:suppressAutoHyphens/>
        <w:rPr>
          <w:noProof/>
          <w:szCs w:val="22"/>
          <w:u w:val="single"/>
        </w:rPr>
      </w:pPr>
    </w:p>
    <w:p w14:paraId="5D2D38D3" w14:textId="77777777" w:rsidR="005B1C7B" w:rsidRPr="0063119B" w:rsidRDefault="005B1C7B" w:rsidP="005B1C7B">
      <w:pPr>
        <w:suppressAutoHyphens/>
        <w:rPr>
          <w:noProof/>
          <w:szCs w:val="22"/>
        </w:rPr>
      </w:pPr>
      <w:r w:rsidRPr="0063119B">
        <w:rPr>
          <w:noProof/>
          <w:szCs w:val="22"/>
        </w:rPr>
        <w:t>A coadministração de rivaroxabano com cetoconazol (400 mg uma vez ao dia) ou ritonavir</w:t>
      </w:r>
    </w:p>
    <w:p w14:paraId="2AE9EF70" w14:textId="77777777" w:rsidR="005B1C7B" w:rsidRPr="0063119B" w:rsidRDefault="005B1C7B" w:rsidP="005B1C7B">
      <w:pPr>
        <w:suppressAutoHyphens/>
        <w:rPr>
          <w:noProof/>
          <w:szCs w:val="22"/>
        </w:rPr>
      </w:pPr>
      <w:r w:rsidRPr="0063119B">
        <w:rPr>
          <w:noProof/>
          <w:szCs w:val="22"/>
        </w:rPr>
        <w:t>(600 mg duas vezes ao dia) originou um aumento de 2,6 vezes / 2,5 vezes da média da AUC do rivaroxabano e um aumento de 1,7 vezes / 1,6 vezes da média da C</w:t>
      </w:r>
      <w:r w:rsidRPr="0063119B">
        <w:rPr>
          <w:noProof/>
          <w:szCs w:val="22"/>
          <w:vertAlign w:val="subscript"/>
        </w:rPr>
        <w:t>max</w:t>
      </w:r>
      <w:r w:rsidRPr="0063119B">
        <w:rPr>
          <w:noProof/>
          <w:szCs w:val="22"/>
        </w:rPr>
        <w:t xml:space="preserve"> do rivaroxabano, com aumentos significativos nos efeitos farmacodinâmicos o que pode originar um risco aumentado de hemorragia. Deste modo, a utilização de </w:t>
      </w:r>
      <w:r w:rsidR="006501D5" w:rsidRPr="0063119B">
        <w:rPr>
          <w:noProof/>
          <w:szCs w:val="22"/>
        </w:rPr>
        <w:t>r</w:t>
      </w:r>
      <w:r w:rsidR="00754E0E" w:rsidRPr="0063119B">
        <w:rPr>
          <w:noProof/>
          <w:szCs w:val="22"/>
        </w:rPr>
        <w:t>ivaroxaban</w:t>
      </w:r>
      <w:r w:rsidR="006501D5" w:rsidRPr="0063119B">
        <w:rPr>
          <w:noProof/>
          <w:szCs w:val="22"/>
        </w:rPr>
        <w:t>o</w:t>
      </w:r>
      <w:r w:rsidRPr="0063119B">
        <w:rPr>
          <w:noProof/>
          <w:szCs w:val="22"/>
        </w:rPr>
        <w:t xml:space="preserve"> não é recomendada em doentes submetidos a tratamento sistémico concomitante com antimicóticos azólicos tais como cetoconazol, itraconazol, voriconazol, posaconazol ou inibidores da protease do VIH. Estas substâncias ativas são potentes inibidores do CYP3A4 e da gp</w:t>
      </w:r>
      <w:r w:rsidRPr="0063119B">
        <w:rPr>
          <w:noProof/>
          <w:szCs w:val="22"/>
        </w:rPr>
        <w:noBreakHyphen/>
        <w:t>P (ver secção 4.4).</w:t>
      </w:r>
    </w:p>
    <w:p w14:paraId="6B936E08" w14:textId="77777777" w:rsidR="005B1C7B" w:rsidRPr="0063119B" w:rsidRDefault="005B1C7B" w:rsidP="005B1C7B">
      <w:pPr>
        <w:suppressAutoHyphens/>
        <w:rPr>
          <w:noProof/>
          <w:szCs w:val="22"/>
        </w:rPr>
      </w:pPr>
    </w:p>
    <w:p w14:paraId="11F11AA7" w14:textId="77777777" w:rsidR="005B1C7B" w:rsidRPr="0063119B" w:rsidRDefault="005B1C7B" w:rsidP="005B1C7B">
      <w:pPr>
        <w:suppressAutoHyphens/>
        <w:rPr>
          <w:noProof/>
          <w:szCs w:val="22"/>
        </w:rPr>
      </w:pPr>
      <w:r w:rsidRPr="0063119B">
        <w:rPr>
          <w:noProof/>
          <w:szCs w:val="22"/>
        </w:rPr>
        <w:t>Prevê</w:t>
      </w:r>
      <w:r w:rsidRPr="0063119B">
        <w:rPr>
          <w:noProof/>
          <w:szCs w:val="22"/>
        </w:rPr>
        <w:noBreakHyphen/>
        <w:t>se que substâncias ativas que inibam fortemente apenas uma das vias de eliminação de rivaroxabano, quer o CYP3A4 quer a gp</w:t>
      </w:r>
      <w:r w:rsidRPr="0063119B">
        <w:rPr>
          <w:noProof/>
          <w:szCs w:val="22"/>
        </w:rPr>
        <w:noBreakHyphen/>
        <w:t>P, aumentem em menor grau as concentrações plasmáticas de rivaroxabano. A claritromicina (500 mg duas vezes ao dia), por exemplo, considerada como um potente inibidor do CYP3A4 e um inibidor moderado da gp</w:t>
      </w:r>
      <w:r w:rsidRPr="0063119B">
        <w:rPr>
          <w:noProof/>
          <w:szCs w:val="22"/>
        </w:rPr>
        <w:noBreakHyphen/>
        <w:t>P, originou um aumento de 1,5 vezes da média da AUC do rivaroxabano e um aumento de 1,4 vezes na C</w:t>
      </w:r>
      <w:r w:rsidRPr="0063119B">
        <w:rPr>
          <w:noProof/>
          <w:szCs w:val="22"/>
          <w:vertAlign w:val="subscript"/>
        </w:rPr>
        <w:t>max</w:t>
      </w:r>
      <w:r w:rsidRPr="0063119B">
        <w:rPr>
          <w:noProof/>
          <w:szCs w:val="22"/>
        </w:rPr>
        <w:t xml:space="preserve">. </w:t>
      </w:r>
      <w:r w:rsidR="00600004" w:rsidRPr="0063119B">
        <w:rPr>
          <w:szCs w:val="22"/>
        </w:rPr>
        <w:t>Provavelmente, a</w:t>
      </w:r>
      <w:r w:rsidR="00600004" w:rsidRPr="0063119B">
        <w:rPr>
          <w:noProof/>
          <w:szCs w:val="22"/>
        </w:rPr>
        <w:t xml:space="preserve"> interação com a claritromicina não é clinicamente relevante na maioria dos doentes, mas pode ser potencialmente significativa em doentes de alto risco</w:t>
      </w:r>
      <w:r w:rsidR="00600004" w:rsidRPr="0063119B" w:rsidDel="00600004">
        <w:rPr>
          <w:noProof/>
          <w:szCs w:val="22"/>
        </w:rPr>
        <w:t xml:space="preserve"> </w:t>
      </w:r>
      <w:r w:rsidRPr="0063119B">
        <w:rPr>
          <w:noProof/>
          <w:szCs w:val="22"/>
        </w:rPr>
        <w:t>(para doentes com compromisso renal: ver secção 4.4).</w:t>
      </w:r>
    </w:p>
    <w:p w14:paraId="699821F4" w14:textId="77777777" w:rsidR="005B1C7B" w:rsidRPr="0063119B" w:rsidRDefault="005B1C7B" w:rsidP="005B1C7B">
      <w:pPr>
        <w:suppressAutoHyphens/>
        <w:rPr>
          <w:noProof/>
          <w:szCs w:val="22"/>
        </w:rPr>
      </w:pPr>
    </w:p>
    <w:p w14:paraId="0C5B6AB4" w14:textId="77777777" w:rsidR="005B1C7B" w:rsidRPr="0063119B" w:rsidRDefault="005B1C7B" w:rsidP="005B1C7B">
      <w:pPr>
        <w:suppressAutoHyphens/>
        <w:rPr>
          <w:noProof/>
          <w:szCs w:val="22"/>
        </w:rPr>
      </w:pPr>
      <w:r w:rsidRPr="0063119B">
        <w:rPr>
          <w:noProof/>
          <w:szCs w:val="22"/>
        </w:rPr>
        <w:t>A eritromicina (500 mg três vezes ao dia), que inibe moderamente o CYP3A4 e a gp</w:t>
      </w:r>
      <w:r w:rsidRPr="0063119B">
        <w:rPr>
          <w:noProof/>
          <w:szCs w:val="22"/>
        </w:rPr>
        <w:noBreakHyphen/>
        <w:t>P, originou um aumento de 1,3 vezes da média da AUC e da C</w:t>
      </w:r>
      <w:r w:rsidRPr="0063119B">
        <w:rPr>
          <w:noProof/>
          <w:szCs w:val="22"/>
          <w:vertAlign w:val="subscript"/>
        </w:rPr>
        <w:t>max</w:t>
      </w:r>
      <w:r w:rsidRPr="0063119B">
        <w:rPr>
          <w:noProof/>
          <w:szCs w:val="22"/>
        </w:rPr>
        <w:t xml:space="preserve"> do rivaroxabano. </w:t>
      </w:r>
      <w:r w:rsidR="00600004" w:rsidRPr="0063119B">
        <w:rPr>
          <w:szCs w:val="22"/>
        </w:rPr>
        <w:t>Provavelmente, a</w:t>
      </w:r>
      <w:r w:rsidR="00600004" w:rsidRPr="0063119B">
        <w:rPr>
          <w:noProof/>
          <w:szCs w:val="22"/>
        </w:rPr>
        <w:t xml:space="preserve"> interação com a eritromicina não é clinicamente relevante na maioria dos doentes, mas pode ser potencialmente significativa em doentes de alto risco.</w:t>
      </w:r>
    </w:p>
    <w:p w14:paraId="2A1945CC" w14:textId="77777777" w:rsidR="005B1C7B" w:rsidRPr="0063119B" w:rsidRDefault="005B1C7B" w:rsidP="005B1C7B">
      <w:pPr>
        <w:tabs>
          <w:tab w:val="left" w:pos="5245"/>
        </w:tabs>
        <w:suppressAutoHyphens/>
        <w:rPr>
          <w:noProof/>
          <w:szCs w:val="22"/>
        </w:rPr>
      </w:pPr>
      <w:r w:rsidRPr="0063119B">
        <w:rPr>
          <w:noProof/>
          <w:szCs w:val="22"/>
        </w:rPr>
        <w:lastRenderedPageBreak/>
        <w:t>A eritromicina (500 mg três vezes ao dia) originou um aumento de 1,8 vezes da média da AUC do rivaroxabano e de 1,6 vezes da C</w:t>
      </w:r>
      <w:r w:rsidRPr="0063119B">
        <w:rPr>
          <w:noProof/>
          <w:szCs w:val="22"/>
          <w:vertAlign w:val="subscript"/>
        </w:rPr>
        <w:t>max</w:t>
      </w:r>
      <w:r w:rsidRPr="0063119B">
        <w:rPr>
          <w:noProof/>
          <w:szCs w:val="22"/>
        </w:rPr>
        <w:t xml:space="preserve"> em indivíduos com compromisso renal ligeiro quando comparados com indivíduos com função renal normal. Em indivíduos com compromisso renal moderado, a eritromicina originou um aumento de 2,0 vezes da média da AUC do rivaroxabano e de 1,6 vezes na C</w:t>
      </w:r>
      <w:r w:rsidRPr="0063119B">
        <w:rPr>
          <w:noProof/>
          <w:szCs w:val="22"/>
          <w:vertAlign w:val="subscript"/>
        </w:rPr>
        <w:t>max</w:t>
      </w:r>
      <w:r w:rsidRPr="0063119B">
        <w:rPr>
          <w:noProof/>
          <w:szCs w:val="22"/>
        </w:rPr>
        <w:t xml:space="preserve"> quando comparados com indivíduos com função renal normal. O efeito da eritromicina é aditivo ao do compromisso renal (ver secção 4.4).</w:t>
      </w:r>
    </w:p>
    <w:p w14:paraId="269764C0" w14:textId="77777777" w:rsidR="005B1C7B" w:rsidRPr="0063119B" w:rsidRDefault="005B1C7B" w:rsidP="005B1C7B">
      <w:pPr>
        <w:suppressAutoHyphens/>
        <w:rPr>
          <w:noProof/>
          <w:szCs w:val="22"/>
        </w:rPr>
      </w:pPr>
    </w:p>
    <w:p w14:paraId="1900D1B9" w14:textId="77777777" w:rsidR="005B1C7B" w:rsidRPr="0063119B" w:rsidRDefault="005B1C7B" w:rsidP="005B1C7B">
      <w:pPr>
        <w:suppressAutoHyphens/>
        <w:rPr>
          <w:szCs w:val="22"/>
        </w:rPr>
      </w:pPr>
      <w:r w:rsidRPr="0063119B">
        <w:rPr>
          <w:szCs w:val="22"/>
        </w:rPr>
        <w:t>O fluconazol (400 mg uma vez por dia) considerado como um inibidor moderado da CYP3A4, originou um aumento de 1,4 vezes da AUC média do rivaroxabano e um aumento de 1,3 vezes da C</w:t>
      </w:r>
      <w:r w:rsidRPr="0063119B">
        <w:rPr>
          <w:szCs w:val="22"/>
          <w:vertAlign w:val="subscript"/>
        </w:rPr>
        <w:t>max</w:t>
      </w:r>
      <w:r w:rsidRPr="0063119B">
        <w:rPr>
          <w:szCs w:val="22"/>
        </w:rPr>
        <w:t xml:space="preserve"> média. </w:t>
      </w:r>
      <w:r w:rsidR="00600004" w:rsidRPr="0063119B">
        <w:rPr>
          <w:szCs w:val="22"/>
        </w:rPr>
        <w:t>Provavelmente, a</w:t>
      </w:r>
      <w:r w:rsidR="00600004" w:rsidRPr="0063119B">
        <w:rPr>
          <w:noProof/>
          <w:szCs w:val="22"/>
        </w:rPr>
        <w:t xml:space="preserve"> interação com o fluconazol não é clinicamente relevante na maioria dos doentes, mas pode ser potencialmente significativa em doentes de alto risco</w:t>
      </w:r>
      <w:r w:rsidR="00600004" w:rsidRPr="0063119B" w:rsidDel="00600004">
        <w:rPr>
          <w:szCs w:val="22"/>
        </w:rPr>
        <w:t xml:space="preserve"> </w:t>
      </w:r>
      <w:r w:rsidRPr="0063119B">
        <w:rPr>
          <w:szCs w:val="22"/>
        </w:rPr>
        <w:t xml:space="preserve">(para doentes com compromisso renal: ver secção 4.4). </w:t>
      </w:r>
    </w:p>
    <w:p w14:paraId="4F7A73FB" w14:textId="77777777" w:rsidR="005B1C7B" w:rsidRPr="0063119B" w:rsidRDefault="005B1C7B" w:rsidP="005B1C7B">
      <w:pPr>
        <w:suppressAutoHyphens/>
        <w:rPr>
          <w:noProof/>
          <w:szCs w:val="22"/>
        </w:rPr>
      </w:pPr>
    </w:p>
    <w:p w14:paraId="27C052DB" w14:textId="77777777" w:rsidR="005B1C7B" w:rsidRPr="0063119B" w:rsidRDefault="005B1C7B" w:rsidP="005B1C7B">
      <w:pPr>
        <w:suppressAutoHyphens/>
        <w:rPr>
          <w:noProof/>
          <w:szCs w:val="22"/>
        </w:rPr>
      </w:pPr>
      <w:r w:rsidRPr="0063119B">
        <w:rPr>
          <w:noProof/>
          <w:szCs w:val="22"/>
        </w:rPr>
        <w:t>Face aos dados clínicos disponíveis com dronedarona serem limitados, a coadministração com rivaroxabano deve ser evitada.</w:t>
      </w:r>
    </w:p>
    <w:p w14:paraId="183759E7" w14:textId="77777777" w:rsidR="005B1C7B" w:rsidRPr="0063119B" w:rsidRDefault="005B1C7B" w:rsidP="005B1C7B">
      <w:pPr>
        <w:suppressAutoHyphens/>
        <w:rPr>
          <w:noProof/>
          <w:szCs w:val="22"/>
        </w:rPr>
      </w:pPr>
    </w:p>
    <w:p w14:paraId="1E80AB31" w14:textId="77777777" w:rsidR="002913D8" w:rsidRDefault="005B1C7B" w:rsidP="005B1C7B">
      <w:pPr>
        <w:suppressAutoHyphens/>
        <w:rPr>
          <w:noProof/>
          <w:szCs w:val="22"/>
          <w:u w:val="single"/>
        </w:rPr>
      </w:pPr>
      <w:r w:rsidRPr="0063119B">
        <w:rPr>
          <w:noProof/>
          <w:szCs w:val="22"/>
          <w:u w:val="single"/>
        </w:rPr>
        <w:t xml:space="preserve">Anticoagulantes </w:t>
      </w:r>
    </w:p>
    <w:p w14:paraId="49343A16" w14:textId="77777777" w:rsidR="005B1C7B" w:rsidRPr="0063119B" w:rsidRDefault="005B1C7B" w:rsidP="005B1C7B">
      <w:pPr>
        <w:suppressAutoHyphens/>
        <w:rPr>
          <w:noProof/>
          <w:szCs w:val="22"/>
        </w:rPr>
      </w:pPr>
      <w:r w:rsidRPr="0063119B">
        <w:rPr>
          <w:noProof/>
          <w:szCs w:val="22"/>
          <w:u w:val="single"/>
        </w:rPr>
        <w:br/>
      </w:r>
      <w:r w:rsidRPr="0063119B">
        <w:rPr>
          <w:noProof/>
          <w:szCs w:val="22"/>
        </w:rPr>
        <w:t>Após a administração combinada de enoxaparina (dose única de 40 mg) com rivaroxabano (dose única de 10 mg), foi observado um efeito aditivo sobre a atividade do antifator Xa, sem quaisquer efeitos adicionais sobre os testes de coagulação (TP, aPTT). A enoxaparina não afetou as propriedades farmacocinéticas do rivaroxabano.</w:t>
      </w:r>
    </w:p>
    <w:p w14:paraId="73A53C2D" w14:textId="77777777" w:rsidR="005B1C7B" w:rsidRPr="0063119B" w:rsidRDefault="005B1C7B" w:rsidP="005B1C7B">
      <w:pPr>
        <w:suppressAutoHyphens/>
        <w:rPr>
          <w:noProof/>
          <w:szCs w:val="22"/>
        </w:rPr>
      </w:pPr>
      <w:r w:rsidRPr="0063119B">
        <w:rPr>
          <w:noProof/>
          <w:szCs w:val="22"/>
        </w:rPr>
        <w:t>Devido ao risco aumentado de hemorragia, deve ter</w:t>
      </w:r>
      <w:r w:rsidRPr="0063119B">
        <w:rPr>
          <w:noProof/>
          <w:szCs w:val="22"/>
        </w:rPr>
        <w:noBreakHyphen/>
        <w:t>se precaução se os doentes são tratados concomitantemente com quaisquer outros anticoagulantes (ver secções 4.3 e 4.4).</w:t>
      </w:r>
    </w:p>
    <w:p w14:paraId="2502708D" w14:textId="77777777" w:rsidR="005B1C7B" w:rsidRPr="0063119B" w:rsidRDefault="005B1C7B" w:rsidP="005B1C7B">
      <w:pPr>
        <w:suppressAutoHyphens/>
        <w:rPr>
          <w:noProof/>
          <w:szCs w:val="22"/>
        </w:rPr>
      </w:pPr>
    </w:p>
    <w:p w14:paraId="69A4A1C5" w14:textId="77777777" w:rsidR="005B1C7B" w:rsidRDefault="005B1C7B" w:rsidP="005B1C7B">
      <w:pPr>
        <w:keepNext/>
        <w:suppressAutoHyphens/>
        <w:rPr>
          <w:noProof/>
          <w:szCs w:val="22"/>
          <w:u w:val="single"/>
        </w:rPr>
      </w:pPr>
      <w:r w:rsidRPr="0063119B">
        <w:rPr>
          <w:noProof/>
          <w:szCs w:val="22"/>
          <w:u w:val="single"/>
        </w:rPr>
        <w:t>AINEs/inibidores da agregação plaquetária</w:t>
      </w:r>
    </w:p>
    <w:p w14:paraId="6BDEE685" w14:textId="77777777" w:rsidR="002913D8" w:rsidRPr="0063119B" w:rsidRDefault="002913D8" w:rsidP="005B1C7B">
      <w:pPr>
        <w:keepNext/>
        <w:suppressAutoHyphens/>
        <w:rPr>
          <w:noProof/>
          <w:szCs w:val="22"/>
          <w:u w:val="single"/>
        </w:rPr>
      </w:pPr>
    </w:p>
    <w:p w14:paraId="613E61FE" w14:textId="77777777" w:rsidR="005B1C7B" w:rsidRPr="0063119B" w:rsidRDefault="005B1C7B" w:rsidP="005B1C7B">
      <w:pPr>
        <w:keepNext/>
        <w:suppressAutoHyphens/>
        <w:rPr>
          <w:noProof/>
          <w:szCs w:val="22"/>
        </w:rPr>
      </w:pPr>
      <w:r w:rsidRPr="0063119B">
        <w:rPr>
          <w:noProof/>
          <w:szCs w:val="22"/>
        </w:rPr>
        <w:t>Não foi observado nenhum prolongamento, clinicamente relevante, do tempo de hemorragia, após a administração concomitante de rivaroxabano (15 mg) e de 500 mg de naproxeno. Contudo, poderão existir indivíduos com uma resposta farmacodinâmica mais pronunciada.</w:t>
      </w:r>
    </w:p>
    <w:p w14:paraId="314239D9" w14:textId="77777777" w:rsidR="005B1C7B" w:rsidRPr="0063119B" w:rsidRDefault="005B1C7B" w:rsidP="001E28F4">
      <w:pPr>
        <w:suppressAutoHyphens/>
        <w:rPr>
          <w:noProof/>
          <w:szCs w:val="22"/>
        </w:rPr>
      </w:pPr>
      <w:r w:rsidRPr="0063119B">
        <w:rPr>
          <w:noProof/>
          <w:szCs w:val="22"/>
        </w:rPr>
        <w:t xml:space="preserve">Não foram observadas interações farmacocinéticas nem farmacodinâmicas clinicamente </w:t>
      </w:r>
      <w:r w:rsidRPr="0063119B">
        <w:rPr>
          <w:noProof/>
          <w:szCs w:val="22"/>
        </w:rPr>
        <w:br/>
        <w:t>significativas quando rivaroxabano foi coadministrado com 500 mg de ácido acetilsalicílico.</w:t>
      </w:r>
    </w:p>
    <w:p w14:paraId="54B1F4E0" w14:textId="77777777" w:rsidR="005B1C7B" w:rsidRPr="0063119B" w:rsidRDefault="005B1C7B" w:rsidP="001E28F4">
      <w:pPr>
        <w:suppressAutoHyphens/>
        <w:rPr>
          <w:noProof/>
          <w:szCs w:val="22"/>
        </w:rPr>
      </w:pPr>
      <w:r w:rsidRPr="0063119B">
        <w:rPr>
          <w:noProof/>
          <w:szCs w:val="22"/>
        </w:rPr>
        <w:t>O clopidogrel (dose de carga de 300 mg, seguida da dose de manutenção de 75 mg) não mostrou nenhuma interação farmacocinética com o rivaroxabano (15 mg), contudo, foi observado um aumento relevante no tempo de hemorragia num subgrupo de doentes não correlacionado com a agregação plaquetária, nem com os níveis de P</w:t>
      </w:r>
      <w:r w:rsidRPr="0063119B">
        <w:rPr>
          <w:noProof/>
          <w:szCs w:val="22"/>
        </w:rPr>
        <w:noBreakHyphen/>
        <w:t>selectina ou dos recetores GPIIb/IIIa.</w:t>
      </w:r>
    </w:p>
    <w:p w14:paraId="4A0C144F" w14:textId="77777777" w:rsidR="005B1C7B" w:rsidRPr="0063119B" w:rsidRDefault="005B1C7B" w:rsidP="001E28F4">
      <w:pPr>
        <w:suppressAutoHyphens/>
        <w:rPr>
          <w:noProof/>
          <w:szCs w:val="22"/>
        </w:rPr>
      </w:pPr>
      <w:r w:rsidRPr="0063119B">
        <w:rPr>
          <w:noProof/>
          <w:szCs w:val="22"/>
        </w:rPr>
        <w:t>Deve ter</w:t>
      </w:r>
      <w:r w:rsidRPr="0063119B">
        <w:rPr>
          <w:noProof/>
          <w:szCs w:val="22"/>
        </w:rPr>
        <w:noBreakHyphen/>
        <w:t>se precaução nos doentes tratados concomitantemente com AINEs (incluindo ácido acetilsalicílico) e inibidores da agregação plaquetária, porque estes medicamentos aumentam, normalmente, o risco de hemorragia (ver secção 4.4).</w:t>
      </w:r>
    </w:p>
    <w:p w14:paraId="4C73F9DC" w14:textId="77777777" w:rsidR="005B1C7B" w:rsidRPr="0063119B" w:rsidRDefault="005B1C7B" w:rsidP="001E28F4">
      <w:pPr>
        <w:suppressAutoHyphens/>
        <w:rPr>
          <w:noProof/>
          <w:szCs w:val="22"/>
        </w:rPr>
      </w:pPr>
    </w:p>
    <w:p w14:paraId="18453AA0" w14:textId="77777777" w:rsidR="005450DB" w:rsidRDefault="005450DB" w:rsidP="005450DB">
      <w:pPr>
        <w:rPr>
          <w:szCs w:val="22"/>
          <w:u w:val="single"/>
        </w:rPr>
      </w:pPr>
      <w:r w:rsidRPr="0063119B">
        <w:rPr>
          <w:szCs w:val="22"/>
          <w:u w:val="single"/>
        </w:rPr>
        <w:t>ISRS/IRSN</w:t>
      </w:r>
    </w:p>
    <w:p w14:paraId="32E6CD77" w14:textId="77777777" w:rsidR="002913D8" w:rsidRPr="0063119B" w:rsidRDefault="002913D8" w:rsidP="005450DB">
      <w:pPr>
        <w:rPr>
          <w:szCs w:val="22"/>
          <w:u w:val="single"/>
        </w:rPr>
      </w:pPr>
    </w:p>
    <w:p w14:paraId="5B6510B1" w14:textId="77777777" w:rsidR="005450DB" w:rsidRPr="0063119B" w:rsidRDefault="005450DB" w:rsidP="005450DB">
      <w:pPr>
        <w:suppressAutoHyphens/>
        <w:rPr>
          <w:szCs w:val="22"/>
        </w:rPr>
      </w:pPr>
      <w:r w:rsidRPr="0063119B">
        <w:rPr>
          <w:szCs w:val="22"/>
        </w:rPr>
        <w:t xml:space="preserve">Assim como com outros anticoagulantes, poderá existir a possibilidade dos doentes apresentarem um maior risco de hemorragia em caso de utilização concomitante com ISRS ou IRSN, devido ao seu efeito relatado sobre as plaquetas. Quando utilizados concomitantemente no programa clínico do rivaroxabano, observaram-se taxas numericamente superiores de hemorragias </w:t>
      </w:r>
      <w:r w:rsidR="00417496" w:rsidRPr="0063119B">
        <w:rPr>
          <w:szCs w:val="22"/>
        </w:rPr>
        <w:t>principais</w:t>
      </w:r>
      <w:r w:rsidR="00DE537C" w:rsidRPr="0063119B">
        <w:rPr>
          <w:szCs w:val="22"/>
        </w:rPr>
        <w:t xml:space="preserve"> </w:t>
      </w:r>
      <w:r w:rsidRPr="0063119B">
        <w:rPr>
          <w:szCs w:val="22"/>
        </w:rPr>
        <w:t xml:space="preserve">ou não </w:t>
      </w:r>
      <w:r w:rsidR="00417496" w:rsidRPr="0063119B">
        <w:rPr>
          <w:szCs w:val="22"/>
        </w:rPr>
        <w:t>principais</w:t>
      </w:r>
      <w:r w:rsidRPr="0063119B">
        <w:rPr>
          <w:szCs w:val="22"/>
        </w:rPr>
        <w:t>, clinicamente relevantes, em todos os grupos de tratamento.</w:t>
      </w:r>
    </w:p>
    <w:p w14:paraId="4F3E348F" w14:textId="77777777" w:rsidR="005450DB" w:rsidRPr="0063119B" w:rsidRDefault="005450DB" w:rsidP="005450DB">
      <w:pPr>
        <w:suppressAutoHyphens/>
        <w:rPr>
          <w:noProof/>
          <w:szCs w:val="22"/>
        </w:rPr>
      </w:pPr>
    </w:p>
    <w:p w14:paraId="20733F1F" w14:textId="77777777" w:rsidR="005B1C7B" w:rsidRDefault="005B1C7B" w:rsidP="005B1C7B">
      <w:pPr>
        <w:rPr>
          <w:szCs w:val="22"/>
          <w:u w:val="single"/>
        </w:rPr>
      </w:pPr>
      <w:r w:rsidRPr="0063119B">
        <w:rPr>
          <w:szCs w:val="22"/>
          <w:u w:val="single"/>
        </w:rPr>
        <w:t>Varfarina</w:t>
      </w:r>
    </w:p>
    <w:p w14:paraId="004954B1" w14:textId="77777777" w:rsidR="002913D8" w:rsidRPr="0063119B" w:rsidRDefault="002913D8" w:rsidP="005B1C7B">
      <w:pPr>
        <w:rPr>
          <w:szCs w:val="22"/>
        </w:rPr>
      </w:pPr>
    </w:p>
    <w:p w14:paraId="1842C845" w14:textId="77777777" w:rsidR="005B1C7B" w:rsidRPr="0063119B" w:rsidRDefault="005B1C7B" w:rsidP="005B1C7B">
      <w:pPr>
        <w:tabs>
          <w:tab w:val="left" w:pos="1080"/>
        </w:tabs>
        <w:autoSpaceDE w:val="0"/>
        <w:autoSpaceDN w:val="0"/>
        <w:adjustRightInd w:val="0"/>
        <w:rPr>
          <w:szCs w:val="22"/>
        </w:rPr>
      </w:pPr>
      <w:r w:rsidRPr="0063119B">
        <w:rPr>
          <w:szCs w:val="22"/>
        </w:rPr>
        <w:t>A passagem de doentes da varfarina, um antagonista da vitamina K (INR 2,0 a 3,0) para rivaroxabano (20 mg) ou de rivaroxabano (20 mg) para varfarina (INR 2,0 a 3,0) aumentou o tempo de protrombina/INR (Neoplastin) de forma mais do que aditiva (podem observar</w:t>
      </w:r>
      <w:r w:rsidRPr="0063119B">
        <w:rPr>
          <w:szCs w:val="22"/>
        </w:rPr>
        <w:noBreakHyphen/>
        <w:t>se valores individuais do INR até 12), enquanto que os efeitos sobre o aPTT, a inibição da atividade do fator Xa e o potencial da trombina endógena foram aditivos.</w:t>
      </w:r>
    </w:p>
    <w:p w14:paraId="5509BADC" w14:textId="77777777" w:rsidR="005B1C7B" w:rsidRPr="0063119B" w:rsidRDefault="005B1C7B" w:rsidP="005B1C7B">
      <w:pPr>
        <w:tabs>
          <w:tab w:val="left" w:pos="1080"/>
        </w:tabs>
        <w:autoSpaceDE w:val="0"/>
        <w:autoSpaceDN w:val="0"/>
        <w:adjustRightInd w:val="0"/>
        <w:rPr>
          <w:szCs w:val="22"/>
        </w:rPr>
      </w:pPr>
      <w:r w:rsidRPr="0063119B">
        <w:rPr>
          <w:szCs w:val="22"/>
        </w:rPr>
        <w:t>Se se desejar testar os efeitos farmacodinâmicos do rivaroxabano durante o período de passagem, podem utilizar</w:t>
      </w:r>
      <w:r w:rsidRPr="0063119B">
        <w:rPr>
          <w:szCs w:val="22"/>
        </w:rPr>
        <w:noBreakHyphen/>
        <w:t xml:space="preserve">se a atividade antifator Xa, PiCT e Heptest dado que estes testes não foram afetados </w:t>
      </w:r>
      <w:r w:rsidRPr="0063119B">
        <w:rPr>
          <w:szCs w:val="22"/>
        </w:rPr>
        <w:lastRenderedPageBreak/>
        <w:t>pela varfarina. No quarto dia após a última dose de varfarina, todos os testes (incluindo TP, aPTT, inibição da atividade do fator Xa e PTE) refletiram apenas o efeito do rivaroxabano.</w:t>
      </w:r>
    </w:p>
    <w:p w14:paraId="7152702D" w14:textId="77777777" w:rsidR="005B1C7B" w:rsidRPr="0063119B" w:rsidRDefault="005B1C7B" w:rsidP="005B1C7B">
      <w:pPr>
        <w:autoSpaceDE w:val="0"/>
        <w:autoSpaceDN w:val="0"/>
        <w:adjustRightInd w:val="0"/>
        <w:rPr>
          <w:szCs w:val="22"/>
        </w:rPr>
      </w:pPr>
      <w:r w:rsidRPr="0063119B">
        <w:rPr>
          <w:szCs w:val="22"/>
        </w:rPr>
        <w:t>Se se desejar testar os efeitos farmacodinâmicos da varfarina durante o período de passagem, pode utilizar</w:t>
      </w:r>
      <w:r w:rsidRPr="0063119B">
        <w:rPr>
          <w:szCs w:val="22"/>
        </w:rPr>
        <w:noBreakHyphen/>
        <w:t>se a determinação do INR na C</w:t>
      </w:r>
      <w:r w:rsidRPr="0063119B">
        <w:rPr>
          <w:szCs w:val="22"/>
          <w:vertAlign w:val="subscript"/>
        </w:rPr>
        <w:t>min</w:t>
      </w:r>
      <w:r w:rsidRPr="0063119B">
        <w:rPr>
          <w:szCs w:val="22"/>
        </w:rPr>
        <w:t xml:space="preserve"> do rivaroxabano (24 horas após a toma anterior de rivaroxabano) dado que este teste é minimamente afetado pelo rivaroxabano neste ponto.</w:t>
      </w:r>
    </w:p>
    <w:p w14:paraId="02A67419" w14:textId="77777777" w:rsidR="005B1C7B" w:rsidRPr="0063119B" w:rsidRDefault="005B1C7B" w:rsidP="005B1C7B">
      <w:pPr>
        <w:autoSpaceDE w:val="0"/>
        <w:autoSpaceDN w:val="0"/>
        <w:adjustRightInd w:val="0"/>
        <w:rPr>
          <w:i/>
          <w:szCs w:val="22"/>
          <w:u w:val="single"/>
        </w:rPr>
      </w:pPr>
      <w:r w:rsidRPr="0063119B">
        <w:rPr>
          <w:szCs w:val="22"/>
        </w:rPr>
        <w:t>Não se observaram interações farmacocinéticas entre a varfarina e o rivaroxabano.</w:t>
      </w:r>
    </w:p>
    <w:p w14:paraId="46C09F66" w14:textId="77777777" w:rsidR="005B1C7B" w:rsidRPr="0063119B" w:rsidRDefault="005B1C7B" w:rsidP="005B1C7B">
      <w:pPr>
        <w:suppressAutoHyphens/>
        <w:rPr>
          <w:noProof/>
          <w:szCs w:val="22"/>
          <w:u w:val="single"/>
        </w:rPr>
      </w:pPr>
    </w:p>
    <w:p w14:paraId="66AFEE5C" w14:textId="77777777" w:rsidR="005B1C7B" w:rsidRDefault="005B1C7B" w:rsidP="005B1C7B">
      <w:pPr>
        <w:suppressAutoHyphens/>
        <w:rPr>
          <w:noProof/>
          <w:szCs w:val="22"/>
          <w:u w:val="single"/>
        </w:rPr>
      </w:pPr>
      <w:r w:rsidRPr="0063119B">
        <w:rPr>
          <w:noProof/>
          <w:szCs w:val="22"/>
          <w:u w:val="single"/>
        </w:rPr>
        <w:t>Indutores do CYP3A4</w:t>
      </w:r>
    </w:p>
    <w:p w14:paraId="06583C42" w14:textId="77777777" w:rsidR="002913D8" w:rsidRPr="0063119B" w:rsidRDefault="002913D8" w:rsidP="005B1C7B">
      <w:pPr>
        <w:suppressAutoHyphens/>
        <w:rPr>
          <w:noProof/>
          <w:szCs w:val="22"/>
          <w:u w:val="single"/>
        </w:rPr>
      </w:pPr>
    </w:p>
    <w:p w14:paraId="020C549F" w14:textId="77777777" w:rsidR="005B1C7B" w:rsidRPr="0063119B" w:rsidRDefault="005B1C7B" w:rsidP="005B1C7B">
      <w:pPr>
        <w:suppressAutoHyphens/>
        <w:rPr>
          <w:noProof/>
          <w:szCs w:val="22"/>
        </w:rPr>
      </w:pPr>
      <w:r w:rsidRPr="0063119B">
        <w:rPr>
          <w:noProof/>
          <w:szCs w:val="22"/>
        </w:rPr>
        <w:t xml:space="preserve">A coadministração de rivaroxabano com rifampicina, um potente indutor do CYP3A4, originou uma diminuição aproximada de 50% da média da AUC do rivaroxabano, com diminuições paralelas nos seus efeitos farmacodinâmicos. O uso concomitante de rivaroxabano com outros indutores potentes do CYP3A4 (ex.: fenitoína, carbamazepina, fenobarbital ou hipericão </w:t>
      </w:r>
      <w:r w:rsidRPr="0063119B">
        <w:rPr>
          <w:rStyle w:val="BoldtextinprintedPIonly"/>
          <w:b w:val="0"/>
          <w:noProof/>
          <w:szCs w:val="22"/>
        </w:rPr>
        <w:t>(</w:t>
      </w:r>
      <w:r w:rsidRPr="0063119B">
        <w:rPr>
          <w:rStyle w:val="BoldtextinprintedPIonly"/>
          <w:b w:val="0"/>
          <w:i/>
          <w:noProof/>
          <w:szCs w:val="22"/>
        </w:rPr>
        <w:t>Hypericum perforatum</w:t>
      </w:r>
      <w:r w:rsidRPr="0063119B">
        <w:rPr>
          <w:rStyle w:val="BoldtextinprintedPIonly"/>
          <w:b w:val="0"/>
          <w:noProof/>
          <w:szCs w:val="22"/>
        </w:rPr>
        <w:t>)</w:t>
      </w:r>
      <w:r w:rsidRPr="0063119B">
        <w:rPr>
          <w:noProof/>
          <w:szCs w:val="22"/>
        </w:rPr>
        <w:t>) pode originar também a redução das concentrações plasmáticas do rivaroxabano. Por este motivo, a administração concomitante de indutores potentes do CYP3A4 deve ser evitada a menos que o doente seja observado atentamente quanto a sinais e sintomas de trombose.</w:t>
      </w:r>
    </w:p>
    <w:p w14:paraId="2E17046C" w14:textId="77777777" w:rsidR="005B1C7B" w:rsidRPr="0063119B" w:rsidRDefault="005B1C7B" w:rsidP="005B1C7B">
      <w:pPr>
        <w:suppressAutoHyphens/>
        <w:rPr>
          <w:noProof/>
          <w:szCs w:val="22"/>
        </w:rPr>
      </w:pPr>
    </w:p>
    <w:p w14:paraId="4411609A" w14:textId="77777777" w:rsidR="005B1C7B" w:rsidRDefault="005B1C7B" w:rsidP="005B1C7B">
      <w:pPr>
        <w:suppressAutoHyphens/>
        <w:rPr>
          <w:noProof/>
          <w:szCs w:val="22"/>
          <w:u w:val="single"/>
        </w:rPr>
      </w:pPr>
      <w:r w:rsidRPr="0063119B">
        <w:rPr>
          <w:noProof/>
          <w:szCs w:val="22"/>
          <w:u w:val="single"/>
        </w:rPr>
        <w:t>Outros tratamentos concomitantes</w:t>
      </w:r>
    </w:p>
    <w:p w14:paraId="69B3DBB8" w14:textId="77777777" w:rsidR="002913D8" w:rsidRPr="0063119B" w:rsidRDefault="002913D8" w:rsidP="005B1C7B">
      <w:pPr>
        <w:suppressAutoHyphens/>
        <w:rPr>
          <w:noProof/>
          <w:szCs w:val="22"/>
          <w:u w:val="single"/>
        </w:rPr>
      </w:pPr>
    </w:p>
    <w:p w14:paraId="340111A3" w14:textId="77777777" w:rsidR="005B1C7B" w:rsidRPr="0063119B" w:rsidRDefault="005B1C7B" w:rsidP="005B1C7B">
      <w:pPr>
        <w:suppressAutoHyphens/>
        <w:rPr>
          <w:noProof/>
          <w:szCs w:val="22"/>
        </w:rPr>
      </w:pPr>
      <w:r w:rsidRPr="0063119B">
        <w:rPr>
          <w:noProof/>
          <w:szCs w:val="22"/>
        </w:rPr>
        <w:t>Não foram observadas interações farmacocinéticas ou farmacodinâmicas clinicamente relevantes quando o rivaroxabano foi coadministrado com midazolam (substrato do CYP3A4), digoxina (substrato da gp</w:t>
      </w:r>
      <w:r w:rsidRPr="0063119B">
        <w:rPr>
          <w:noProof/>
          <w:szCs w:val="22"/>
        </w:rPr>
        <w:noBreakHyphen/>
        <w:t>P), atorvastatina (substrato do CYP3A4 e da gp</w:t>
      </w:r>
      <w:r w:rsidRPr="0063119B">
        <w:rPr>
          <w:noProof/>
          <w:szCs w:val="22"/>
        </w:rPr>
        <w:noBreakHyphen/>
        <w:t>P) ou omeprazol (inibidor da bomba de protões). O rivaroxabano não inibe nem induz nenhuma isoforma importante do CYP, como o CYP3A4.</w:t>
      </w:r>
    </w:p>
    <w:p w14:paraId="280E745B" w14:textId="77777777" w:rsidR="005B1C7B" w:rsidRPr="0063119B" w:rsidRDefault="005B1C7B" w:rsidP="005B1C7B">
      <w:pPr>
        <w:suppressAutoHyphens/>
        <w:rPr>
          <w:noProof/>
          <w:szCs w:val="22"/>
        </w:rPr>
      </w:pPr>
    </w:p>
    <w:p w14:paraId="4D928E3D" w14:textId="77777777" w:rsidR="005B1C7B" w:rsidRDefault="005B1C7B" w:rsidP="005B1C7B">
      <w:pPr>
        <w:keepNext/>
        <w:suppressAutoHyphens/>
        <w:rPr>
          <w:noProof/>
          <w:szCs w:val="22"/>
          <w:u w:val="single"/>
        </w:rPr>
      </w:pPr>
      <w:r w:rsidRPr="0063119B">
        <w:rPr>
          <w:noProof/>
          <w:szCs w:val="22"/>
          <w:u w:val="single"/>
        </w:rPr>
        <w:t>Parâmetros laboratoriais</w:t>
      </w:r>
    </w:p>
    <w:p w14:paraId="0A67A96F" w14:textId="77777777" w:rsidR="002913D8" w:rsidRPr="0063119B" w:rsidRDefault="002913D8" w:rsidP="005B1C7B">
      <w:pPr>
        <w:keepNext/>
        <w:suppressAutoHyphens/>
        <w:rPr>
          <w:noProof/>
          <w:szCs w:val="22"/>
          <w:u w:val="single"/>
        </w:rPr>
      </w:pPr>
    </w:p>
    <w:p w14:paraId="45DBB0AF" w14:textId="77777777" w:rsidR="005B1C7B" w:rsidRPr="0063119B" w:rsidRDefault="005B1C7B" w:rsidP="005B1C7B">
      <w:pPr>
        <w:keepNext/>
        <w:suppressAutoHyphens/>
        <w:rPr>
          <w:noProof/>
          <w:szCs w:val="22"/>
        </w:rPr>
      </w:pPr>
      <w:r w:rsidRPr="0063119B">
        <w:rPr>
          <w:noProof/>
          <w:szCs w:val="22"/>
        </w:rPr>
        <w:t>Os parâmetros de coagulação (ex.: TP, aPTT, HepTest) são afetados conforme esperado pelo modo de ação do rivaroxabano (ver secção 5.1).</w:t>
      </w:r>
    </w:p>
    <w:p w14:paraId="18160D9B" w14:textId="77777777" w:rsidR="005B1C7B" w:rsidRPr="0063119B" w:rsidRDefault="005B1C7B" w:rsidP="005B1C7B">
      <w:pPr>
        <w:suppressAutoHyphens/>
        <w:ind w:left="567" w:hanging="567"/>
        <w:rPr>
          <w:b/>
          <w:noProof/>
          <w:szCs w:val="22"/>
        </w:rPr>
      </w:pPr>
    </w:p>
    <w:p w14:paraId="2114B998" w14:textId="77777777" w:rsidR="005B1C7B" w:rsidRPr="0063119B" w:rsidRDefault="005B1C7B" w:rsidP="005B1C7B">
      <w:pPr>
        <w:keepNext/>
        <w:suppressAutoHyphens/>
        <w:ind w:left="567" w:hanging="567"/>
        <w:rPr>
          <w:b/>
          <w:noProof/>
          <w:szCs w:val="22"/>
        </w:rPr>
      </w:pPr>
      <w:r w:rsidRPr="0063119B">
        <w:rPr>
          <w:b/>
          <w:noProof/>
          <w:szCs w:val="22"/>
        </w:rPr>
        <w:t>4.6</w:t>
      </w:r>
      <w:r w:rsidRPr="0063119B">
        <w:rPr>
          <w:b/>
          <w:noProof/>
          <w:szCs w:val="22"/>
        </w:rPr>
        <w:tab/>
        <w:t>Fertilidade, gravidez e aleitamento</w:t>
      </w:r>
    </w:p>
    <w:p w14:paraId="3320BE3B" w14:textId="77777777" w:rsidR="005B1C7B" w:rsidRPr="0063119B" w:rsidRDefault="005B1C7B" w:rsidP="005B1C7B">
      <w:pPr>
        <w:keepNext/>
        <w:suppressAutoHyphens/>
        <w:rPr>
          <w:noProof/>
          <w:szCs w:val="22"/>
        </w:rPr>
      </w:pPr>
    </w:p>
    <w:p w14:paraId="0A2EB840" w14:textId="77777777" w:rsidR="005B1C7B" w:rsidRDefault="005B1C7B" w:rsidP="005B1C7B">
      <w:pPr>
        <w:keepNext/>
        <w:suppressAutoHyphens/>
        <w:rPr>
          <w:noProof/>
          <w:szCs w:val="22"/>
          <w:u w:val="single"/>
        </w:rPr>
      </w:pPr>
      <w:r w:rsidRPr="0063119B">
        <w:rPr>
          <w:noProof/>
          <w:szCs w:val="22"/>
          <w:u w:val="single"/>
        </w:rPr>
        <w:t>Gravidez</w:t>
      </w:r>
    </w:p>
    <w:p w14:paraId="3D5F286C" w14:textId="77777777" w:rsidR="002913D8" w:rsidRPr="0063119B" w:rsidRDefault="002913D8" w:rsidP="005B1C7B">
      <w:pPr>
        <w:keepNext/>
        <w:suppressAutoHyphens/>
        <w:rPr>
          <w:noProof/>
          <w:szCs w:val="22"/>
          <w:u w:val="single"/>
        </w:rPr>
      </w:pPr>
    </w:p>
    <w:p w14:paraId="069E816B" w14:textId="77777777" w:rsidR="005B1C7B" w:rsidRPr="0063119B" w:rsidRDefault="005B1C7B" w:rsidP="005B1C7B">
      <w:pPr>
        <w:keepNext/>
        <w:suppressAutoHyphens/>
        <w:rPr>
          <w:noProof/>
          <w:szCs w:val="22"/>
        </w:rPr>
      </w:pPr>
      <w:r w:rsidRPr="0063119B">
        <w:rPr>
          <w:noProof/>
          <w:szCs w:val="22"/>
        </w:rPr>
        <w:t xml:space="preserve">A segurança e eficácia de </w:t>
      </w:r>
      <w:r w:rsidR="006501D5" w:rsidRPr="0063119B">
        <w:rPr>
          <w:noProof/>
          <w:szCs w:val="22"/>
        </w:rPr>
        <w:t>r</w:t>
      </w:r>
      <w:r w:rsidR="00754E0E" w:rsidRPr="0063119B">
        <w:rPr>
          <w:noProof/>
          <w:szCs w:val="22"/>
        </w:rPr>
        <w:t>ivaroxaban</w:t>
      </w:r>
      <w:r w:rsidR="006501D5" w:rsidRPr="0063119B">
        <w:rPr>
          <w:noProof/>
          <w:szCs w:val="22"/>
        </w:rPr>
        <w:t>o</w:t>
      </w:r>
      <w:r w:rsidRPr="0063119B">
        <w:rPr>
          <w:noProof/>
          <w:szCs w:val="22"/>
        </w:rPr>
        <w:t xml:space="preserve"> não foram estabelecidas em mulheres grávidas. Os estudos em animais revelaram toxicidade reprodutiva (ver secção 5.3). Devido à potencial toxicidade reprodutiva, ao risco intrínseco de hemorragia e à evidência de que o rivaroxabano atravessa a placenta, </w:t>
      </w:r>
      <w:r w:rsidR="006501D5" w:rsidRPr="0063119B">
        <w:rPr>
          <w:noProof/>
          <w:szCs w:val="22"/>
        </w:rPr>
        <w:t>o r</w:t>
      </w:r>
      <w:r w:rsidR="00754E0E" w:rsidRPr="0063119B">
        <w:rPr>
          <w:noProof/>
          <w:szCs w:val="22"/>
        </w:rPr>
        <w:t>ivaroxaban</w:t>
      </w:r>
      <w:r w:rsidR="006501D5" w:rsidRPr="0063119B">
        <w:rPr>
          <w:noProof/>
          <w:szCs w:val="22"/>
        </w:rPr>
        <w:t>o</w:t>
      </w:r>
      <w:r w:rsidRPr="0063119B">
        <w:rPr>
          <w:noProof/>
          <w:szCs w:val="22"/>
        </w:rPr>
        <w:t xml:space="preserve"> é contraindicado durante a gravidez (ver secção 4.3).</w:t>
      </w:r>
    </w:p>
    <w:p w14:paraId="09D7929B" w14:textId="77777777" w:rsidR="005B1C7B" w:rsidRPr="0063119B" w:rsidRDefault="005B1C7B" w:rsidP="005B1C7B">
      <w:pPr>
        <w:suppressAutoHyphens/>
        <w:rPr>
          <w:noProof/>
          <w:szCs w:val="22"/>
        </w:rPr>
      </w:pPr>
      <w:r w:rsidRPr="0063119B">
        <w:rPr>
          <w:noProof/>
          <w:szCs w:val="22"/>
        </w:rPr>
        <w:t>As mulheres em idade fértil devem evitar engravidar durante o tratamento com rivaroxabano.</w:t>
      </w:r>
    </w:p>
    <w:p w14:paraId="2E2008A5" w14:textId="77777777" w:rsidR="005B1C7B" w:rsidRPr="0063119B" w:rsidRDefault="005B1C7B" w:rsidP="005B1C7B">
      <w:pPr>
        <w:suppressAutoHyphens/>
        <w:rPr>
          <w:noProof/>
          <w:szCs w:val="22"/>
        </w:rPr>
      </w:pPr>
    </w:p>
    <w:p w14:paraId="1DF86E98" w14:textId="77777777" w:rsidR="005B1C7B" w:rsidRDefault="005B1C7B" w:rsidP="000374D4">
      <w:pPr>
        <w:keepNext/>
        <w:suppressAutoHyphens/>
        <w:rPr>
          <w:noProof/>
          <w:szCs w:val="22"/>
          <w:u w:val="single"/>
        </w:rPr>
      </w:pPr>
      <w:r w:rsidRPr="0063119B">
        <w:rPr>
          <w:noProof/>
          <w:szCs w:val="22"/>
          <w:u w:val="single"/>
        </w:rPr>
        <w:t>Amamentação</w:t>
      </w:r>
    </w:p>
    <w:p w14:paraId="5EB79017" w14:textId="77777777" w:rsidR="002913D8" w:rsidRPr="0063119B" w:rsidRDefault="002913D8" w:rsidP="000374D4">
      <w:pPr>
        <w:keepNext/>
        <w:suppressAutoHyphens/>
        <w:rPr>
          <w:noProof/>
          <w:szCs w:val="22"/>
          <w:u w:val="single"/>
        </w:rPr>
      </w:pPr>
    </w:p>
    <w:p w14:paraId="431F9826" w14:textId="77777777" w:rsidR="005B1C7B" w:rsidRPr="0063119B" w:rsidRDefault="005B1C7B" w:rsidP="005B1C7B">
      <w:pPr>
        <w:suppressAutoHyphens/>
        <w:rPr>
          <w:noProof/>
          <w:szCs w:val="22"/>
        </w:rPr>
      </w:pPr>
      <w:r w:rsidRPr="0063119B">
        <w:rPr>
          <w:noProof/>
          <w:szCs w:val="22"/>
        </w:rPr>
        <w:t xml:space="preserve">A segurança e eficácia de </w:t>
      </w:r>
      <w:r w:rsidR="006501D5" w:rsidRPr="0063119B">
        <w:rPr>
          <w:noProof/>
          <w:szCs w:val="22"/>
        </w:rPr>
        <w:t>r</w:t>
      </w:r>
      <w:r w:rsidR="00754E0E" w:rsidRPr="0063119B">
        <w:rPr>
          <w:noProof/>
          <w:szCs w:val="22"/>
        </w:rPr>
        <w:t>ivaroxaban</w:t>
      </w:r>
      <w:r w:rsidR="006501D5" w:rsidRPr="0063119B">
        <w:rPr>
          <w:noProof/>
          <w:szCs w:val="22"/>
        </w:rPr>
        <w:t>o</w:t>
      </w:r>
      <w:r w:rsidRPr="0063119B">
        <w:rPr>
          <w:noProof/>
          <w:szCs w:val="22"/>
        </w:rPr>
        <w:t xml:space="preserve"> não foram estabelecidas em mães que estão a amamentar. Os dados obtidos em animais indicam que rivaroxabano é excretado no leite. Deste modo, </w:t>
      </w:r>
      <w:r w:rsidR="006501D5" w:rsidRPr="0063119B">
        <w:rPr>
          <w:noProof/>
          <w:szCs w:val="22"/>
        </w:rPr>
        <w:t>o r</w:t>
      </w:r>
      <w:r w:rsidR="00754E0E" w:rsidRPr="0063119B">
        <w:rPr>
          <w:noProof/>
          <w:szCs w:val="22"/>
        </w:rPr>
        <w:t>ivaroxaban</w:t>
      </w:r>
      <w:r w:rsidR="006501D5" w:rsidRPr="0063119B">
        <w:rPr>
          <w:noProof/>
          <w:szCs w:val="22"/>
        </w:rPr>
        <w:t>o</w:t>
      </w:r>
      <w:r w:rsidRPr="0063119B">
        <w:rPr>
          <w:noProof/>
          <w:szCs w:val="22"/>
        </w:rPr>
        <w:t xml:space="preserve"> é contraindicado durante a amamentação (ver secção 4.3). Tem de ser tomada uma decisão sobre a descontinuação da amamentação ou a descontinuação/abstenção da terapêutica.</w:t>
      </w:r>
    </w:p>
    <w:p w14:paraId="2E1CC2D2" w14:textId="77777777" w:rsidR="005B1C7B" w:rsidRPr="0063119B" w:rsidRDefault="005B1C7B" w:rsidP="005B1C7B">
      <w:pPr>
        <w:suppressAutoHyphens/>
        <w:rPr>
          <w:noProof/>
          <w:szCs w:val="22"/>
        </w:rPr>
      </w:pPr>
    </w:p>
    <w:p w14:paraId="206AC40A" w14:textId="77777777" w:rsidR="005B1C7B" w:rsidRDefault="005B1C7B" w:rsidP="005B1C7B">
      <w:pPr>
        <w:keepNext/>
        <w:rPr>
          <w:szCs w:val="22"/>
          <w:u w:val="single"/>
        </w:rPr>
      </w:pPr>
      <w:r w:rsidRPr="0063119B">
        <w:rPr>
          <w:szCs w:val="22"/>
          <w:u w:val="single"/>
        </w:rPr>
        <w:t>Fertilidade</w:t>
      </w:r>
    </w:p>
    <w:p w14:paraId="3AEF6DA1" w14:textId="77777777" w:rsidR="002913D8" w:rsidRPr="0063119B" w:rsidRDefault="002913D8" w:rsidP="005B1C7B">
      <w:pPr>
        <w:keepNext/>
        <w:rPr>
          <w:szCs w:val="22"/>
        </w:rPr>
      </w:pPr>
    </w:p>
    <w:p w14:paraId="0E4D8399" w14:textId="77777777" w:rsidR="005B1C7B" w:rsidRPr="0063119B" w:rsidRDefault="005B1C7B" w:rsidP="005B1C7B">
      <w:pPr>
        <w:suppressAutoHyphens/>
        <w:rPr>
          <w:noProof/>
          <w:szCs w:val="22"/>
        </w:rPr>
      </w:pPr>
      <w:r w:rsidRPr="0063119B">
        <w:rPr>
          <w:szCs w:val="22"/>
        </w:rPr>
        <w:t>Não se realizaram estudos específicos com rivaroxabano para avaliar os efeitos sobre a fertilidade no ser humano. Não se observaram quaisquer efeitos num estudo de fertilidade masculina e feminina realizado em ratos (ver secção 5.3).</w:t>
      </w:r>
    </w:p>
    <w:p w14:paraId="4EBE2A58" w14:textId="77777777" w:rsidR="005B1C7B" w:rsidRPr="0063119B" w:rsidRDefault="005B1C7B" w:rsidP="005B1C7B">
      <w:pPr>
        <w:suppressAutoHyphens/>
        <w:ind w:left="567" w:hanging="567"/>
        <w:rPr>
          <w:noProof/>
          <w:szCs w:val="22"/>
        </w:rPr>
      </w:pPr>
    </w:p>
    <w:p w14:paraId="706B60C9" w14:textId="77777777" w:rsidR="005B1C7B" w:rsidRPr="0063119B" w:rsidRDefault="005B1C7B" w:rsidP="005B1C7B">
      <w:pPr>
        <w:keepNext/>
        <w:suppressAutoHyphens/>
        <w:ind w:left="567" w:hanging="567"/>
        <w:rPr>
          <w:b/>
          <w:noProof/>
          <w:szCs w:val="22"/>
        </w:rPr>
      </w:pPr>
      <w:r w:rsidRPr="0063119B">
        <w:rPr>
          <w:b/>
          <w:noProof/>
          <w:szCs w:val="22"/>
        </w:rPr>
        <w:t>4.7</w:t>
      </w:r>
      <w:r w:rsidRPr="0063119B">
        <w:rPr>
          <w:b/>
          <w:noProof/>
          <w:szCs w:val="22"/>
        </w:rPr>
        <w:tab/>
        <w:t>Efeitos sobre a capacidade de conduzir e utilizar máquinas</w:t>
      </w:r>
    </w:p>
    <w:p w14:paraId="626CF1A8" w14:textId="77777777" w:rsidR="005B1C7B" w:rsidRPr="0063119B" w:rsidRDefault="005B1C7B" w:rsidP="005B1C7B">
      <w:pPr>
        <w:keepNext/>
        <w:suppressAutoHyphens/>
        <w:rPr>
          <w:b/>
          <w:noProof/>
          <w:szCs w:val="22"/>
        </w:rPr>
      </w:pPr>
    </w:p>
    <w:p w14:paraId="087FB6F1" w14:textId="77777777" w:rsidR="005B1C7B" w:rsidRPr="0063119B" w:rsidRDefault="006501D5" w:rsidP="005B1C7B">
      <w:pPr>
        <w:keepNext/>
        <w:suppressAutoHyphens/>
        <w:rPr>
          <w:noProof/>
          <w:szCs w:val="22"/>
        </w:rPr>
      </w:pPr>
      <w:r w:rsidRPr="0063119B">
        <w:rPr>
          <w:noProof/>
          <w:szCs w:val="22"/>
        </w:rPr>
        <w:t xml:space="preserve">Os efeitos do </w:t>
      </w:r>
      <w:r w:rsidRPr="0063119B">
        <w:rPr>
          <w:szCs w:val="22"/>
        </w:rPr>
        <w:t xml:space="preserve">rivaroxabano sobre </w:t>
      </w:r>
      <w:r w:rsidR="005B1C7B" w:rsidRPr="0063119B">
        <w:rPr>
          <w:noProof/>
          <w:szCs w:val="22"/>
        </w:rPr>
        <w:t>a capacidade de conduzir e utilizar máquinas</w:t>
      </w:r>
      <w:r w:rsidRPr="0063119B">
        <w:rPr>
          <w:noProof/>
          <w:szCs w:val="22"/>
        </w:rPr>
        <w:t xml:space="preserve"> são reduzidos</w:t>
      </w:r>
      <w:r w:rsidR="005B1C7B" w:rsidRPr="0063119B">
        <w:rPr>
          <w:noProof/>
          <w:szCs w:val="22"/>
        </w:rPr>
        <w:t xml:space="preserve">. Foram notificadas reações adversas como síncope (frequência: pouco frequentes) e tonturas (frequência: </w:t>
      </w:r>
      <w:r w:rsidR="005B1C7B" w:rsidRPr="0063119B">
        <w:rPr>
          <w:noProof/>
          <w:szCs w:val="22"/>
        </w:rPr>
        <w:lastRenderedPageBreak/>
        <w:t>frequentes) (ver secção</w:t>
      </w:r>
      <w:r w:rsidRPr="0063119B">
        <w:rPr>
          <w:noProof/>
          <w:szCs w:val="22"/>
        </w:rPr>
        <w:t> </w:t>
      </w:r>
      <w:r w:rsidR="005B1C7B" w:rsidRPr="0063119B">
        <w:rPr>
          <w:noProof/>
          <w:szCs w:val="22"/>
        </w:rPr>
        <w:t>4.8). Os doentes com estas reações adversas não devem conduzir ou utilizar máquinas.</w:t>
      </w:r>
    </w:p>
    <w:p w14:paraId="2699E729" w14:textId="77777777" w:rsidR="005B1C7B" w:rsidRPr="0063119B" w:rsidRDefault="005B1C7B" w:rsidP="005B1C7B">
      <w:pPr>
        <w:suppressAutoHyphens/>
        <w:ind w:left="567" w:hanging="567"/>
        <w:rPr>
          <w:b/>
          <w:noProof/>
          <w:szCs w:val="22"/>
        </w:rPr>
      </w:pPr>
    </w:p>
    <w:p w14:paraId="7945DECA" w14:textId="77777777" w:rsidR="005B1C7B" w:rsidRPr="0063119B" w:rsidRDefault="005B1C7B" w:rsidP="005B1C7B">
      <w:pPr>
        <w:keepNext/>
        <w:keepLines/>
        <w:suppressAutoHyphens/>
        <w:ind w:left="567" w:hanging="567"/>
        <w:rPr>
          <w:b/>
          <w:noProof/>
          <w:szCs w:val="22"/>
        </w:rPr>
      </w:pPr>
      <w:r w:rsidRPr="0063119B">
        <w:rPr>
          <w:b/>
          <w:noProof/>
          <w:szCs w:val="22"/>
        </w:rPr>
        <w:t>4.8</w:t>
      </w:r>
      <w:r w:rsidRPr="0063119B">
        <w:rPr>
          <w:b/>
          <w:noProof/>
          <w:szCs w:val="22"/>
        </w:rPr>
        <w:tab/>
        <w:t>Efeitos indesejáveis</w:t>
      </w:r>
    </w:p>
    <w:p w14:paraId="0880F5DB" w14:textId="77777777" w:rsidR="005B1C7B" w:rsidRPr="0063119B" w:rsidRDefault="005B1C7B" w:rsidP="005B1C7B">
      <w:pPr>
        <w:keepNext/>
        <w:keepLines/>
        <w:suppressAutoHyphens/>
        <w:rPr>
          <w:noProof/>
          <w:szCs w:val="22"/>
        </w:rPr>
      </w:pPr>
    </w:p>
    <w:p w14:paraId="56647972" w14:textId="77777777" w:rsidR="005B1C7B" w:rsidRPr="0063119B" w:rsidRDefault="005B1C7B" w:rsidP="005B1C7B">
      <w:pPr>
        <w:keepNext/>
        <w:keepLines/>
        <w:suppressAutoHyphens/>
        <w:rPr>
          <w:noProof/>
          <w:szCs w:val="22"/>
        </w:rPr>
      </w:pPr>
      <w:r w:rsidRPr="0063119B">
        <w:rPr>
          <w:noProof/>
          <w:szCs w:val="22"/>
          <w:u w:val="single"/>
        </w:rPr>
        <w:t>Resumo do perfil de segurança</w:t>
      </w:r>
    </w:p>
    <w:p w14:paraId="6793EEAB" w14:textId="77777777" w:rsidR="006501D5" w:rsidRPr="0063119B" w:rsidRDefault="006501D5" w:rsidP="00951279">
      <w:pPr>
        <w:keepNext/>
        <w:keepLines/>
        <w:rPr>
          <w:szCs w:val="22"/>
        </w:rPr>
      </w:pPr>
    </w:p>
    <w:p w14:paraId="3137F14F" w14:textId="77777777" w:rsidR="009C6E3F" w:rsidRDefault="005B1C7B" w:rsidP="00951279">
      <w:pPr>
        <w:keepNext/>
        <w:keepLines/>
        <w:rPr>
          <w:szCs w:val="22"/>
        </w:rPr>
      </w:pPr>
      <w:r w:rsidRPr="0063119B">
        <w:rPr>
          <w:szCs w:val="22"/>
        </w:rPr>
        <w:t xml:space="preserve">A segurança do rivaroxabano foi avaliada em </w:t>
      </w:r>
      <w:r w:rsidR="0079691A" w:rsidRPr="0063119B">
        <w:rPr>
          <w:szCs w:val="22"/>
        </w:rPr>
        <w:t>tre</w:t>
      </w:r>
      <w:r w:rsidR="009A48E2" w:rsidRPr="0063119B">
        <w:rPr>
          <w:szCs w:val="22"/>
        </w:rPr>
        <w:t xml:space="preserve">ze </w:t>
      </w:r>
      <w:r w:rsidRPr="0063119B">
        <w:rPr>
          <w:szCs w:val="22"/>
        </w:rPr>
        <w:t xml:space="preserve">estudos </w:t>
      </w:r>
      <w:r w:rsidR="009C6E3F">
        <w:rPr>
          <w:szCs w:val="22"/>
        </w:rPr>
        <w:t xml:space="preserve">de referência </w:t>
      </w:r>
      <w:r w:rsidRPr="0063119B">
        <w:rPr>
          <w:szCs w:val="22"/>
        </w:rPr>
        <w:t xml:space="preserve">de fase III </w:t>
      </w:r>
      <w:r w:rsidR="009C6E3F">
        <w:rPr>
          <w:szCs w:val="22"/>
        </w:rPr>
        <w:t>(ver Quadro 1).</w:t>
      </w:r>
    </w:p>
    <w:p w14:paraId="4A313FB6" w14:textId="77777777" w:rsidR="009C6E3F" w:rsidRDefault="009C6E3F" w:rsidP="00951279">
      <w:pPr>
        <w:keepNext/>
        <w:keepLines/>
        <w:rPr>
          <w:szCs w:val="22"/>
        </w:rPr>
      </w:pPr>
    </w:p>
    <w:p w14:paraId="5E66050D" w14:textId="032B2087" w:rsidR="005B1C7B" w:rsidRPr="0063119B" w:rsidRDefault="009C6E3F" w:rsidP="00951279">
      <w:pPr>
        <w:keepNext/>
        <w:keepLines/>
        <w:rPr>
          <w:szCs w:val="22"/>
        </w:rPr>
      </w:pPr>
      <w:r>
        <w:rPr>
          <w:szCs w:val="22"/>
        </w:rPr>
        <w:t>Globalmente, foram expostos ao rivaroxabano 69.608 </w:t>
      </w:r>
      <w:r w:rsidRPr="0063119B" w:rsidDel="009C6E3F">
        <w:rPr>
          <w:szCs w:val="22"/>
        </w:rPr>
        <w:t xml:space="preserve"> </w:t>
      </w:r>
      <w:r w:rsidR="005B1C7B" w:rsidRPr="0063119B">
        <w:rPr>
          <w:szCs w:val="22"/>
        </w:rPr>
        <w:t xml:space="preserve">doentes </w:t>
      </w:r>
      <w:r>
        <w:rPr>
          <w:szCs w:val="22"/>
        </w:rPr>
        <w:t>adultos em dezanove estudos de fase III e 4</w:t>
      </w:r>
      <w:r w:rsidR="00EE3EE0">
        <w:rPr>
          <w:szCs w:val="22"/>
        </w:rPr>
        <w:t>88</w:t>
      </w:r>
      <w:r>
        <w:rPr>
          <w:szCs w:val="22"/>
        </w:rPr>
        <w:t xml:space="preserve"> doentes pediátricos</w:t>
      </w:r>
      <w:r w:rsidR="004A13F9">
        <w:rPr>
          <w:szCs w:val="22"/>
        </w:rPr>
        <w:t xml:space="preserve"> em dois estudos pediátricos de fase II e </w:t>
      </w:r>
      <w:r w:rsidR="00EE3EE0">
        <w:rPr>
          <w:szCs w:val="22"/>
        </w:rPr>
        <w:t xml:space="preserve">dois estudos </w:t>
      </w:r>
      <w:r w:rsidR="004A13F9">
        <w:rPr>
          <w:szCs w:val="22"/>
        </w:rPr>
        <w:t>de fase III</w:t>
      </w:r>
      <w:r w:rsidR="005B1C7B" w:rsidRPr="0063119B">
        <w:rPr>
          <w:szCs w:val="22"/>
        </w:rPr>
        <w:t>.</w:t>
      </w:r>
    </w:p>
    <w:p w14:paraId="0ADCBF0F" w14:textId="77777777" w:rsidR="005B1C7B" w:rsidRPr="0063119B" w:rsidRDefault="005B1C7B" w:rsidP="00951279">
      <w:pPr>
        <w:rPr>
          <w:szCs w:val="22"/>
        </w:rPr>
      </w:pPr>
    </w:p>
    <w:p w14:paraId="519A552D" w14:textId="77777777" w:rsidR="005B1C7B" w:rsidRPr="0063119B" w:rsidRDefault="005B1C7B" w:rsidP="001F10F8">
      <w:pPr>
        <w:keepNext/>
        <w:keepLines/>
        <w:rPr>
          <w:szCs w:val="22"/>
        </w:rPr>
      </w:pPr>
      <w:r w:rsidRPr="0063119B">
        <w:rPr>
          <w:b/>
          <w:szCs w:val="22"/>
        </w:rPr>
        <w:t xml:space="preserve">Quadro 1: Número de doentes estudados, dose diária </w:t>
      </w:r>
      <w:r w:rsidR="009A48E2" w:rsidRPr="0063119B">
        <w:rPr>
          <w:b/>
          <w:szCs w:val="22"/>
        </w:rPr>
        <w:t xml:space="preserve">total </w:t>
      </w:r>
      <w:r w:rsidRPr="0063119B">
        <w:rPr>
          <w:b/>
          <w:szCs w:val="22"/>
        </w:rPr>
        <w:t xml:space="preserve">e duração </w:t>
      </w:r>
      <w:r w:rsidR="009A48E2" w:rsidRPr="0063119B">
        <w:rPr>
          <w:b/>
          <w:szCs w:val="22"/>
        </w:rPr>
        <w:t xml:space="preserve">máxima </w:t>
      </w:r>
      <w:r w:rsidRPr="0063119B">
        <w:rPr>
          <w:b/>
          <w:szCs w:val="22"/>
        </w:rPr>
        <w:t>do tratamento em estudos de fase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1189"/>
        <w:gridCol w:w="2127"/>
        <w:gridCol w:w="2045"/>
      </w:tblGrid>
      <w:tr w:rsidR="005B1C7B" w:rsidRPr="0063119B" w14:paraId="006EF05B" w14:textId="77777777" w:rsidTr="0079691A">
        <w:trPr>
          <w:tblHeader/>
        </w:trPr>
        <w:tc>
          <w:tcPr>
            <w:tcW w:w="3823" w:type="dxa"/>
          </w:tcPr>
          <w:p w14:paraId="28C27811" w14:textId="77777777" w:rsidR="005B1C7B" w:rsidRPr="0063119B" w:rsidRDefault="005B1C7B" w:rsidP="001F10F8">
            <w:pPr>
              <w:keepNext/>
              <w:keepLines/>
              <w:rPr>
                <w:szCs w:val="22"/>
              </w:rPr>
            </w:pPr>
            <w:r w:rsidRPr="0063119B">
              <w:rPr>
                <w:b/>
                <w:szCs w:val="22"/>
              </w:rPr>
              <w:t>Indicação</w:t>
            </w:r>
          </w:p>
        </w:tc>
        <w:tc>
          <w:tcPr>
            <w:tcW w:w="1199" w:type="dxa"/>
          </w:tcPr>
          <w:p w14:paraId="4784DA0D" w14:textId="77777777" w:rsidR="005B1C7B" w:rsidRPr="0063119B" w:rsidRDefault="005B1C7B" w:rsidP="001F10F8">
            <w:pPr>
              <w:keepNext/>
              <w:keepLines/>
              <w:rPr>
                <w:szCs w:val="22"/>
              </w:rPr>
            </w:pPr>
            <w:r w:rsidRPr="0063119B">
              <w:rPr>
                <w:b/>
                <w:szCs w:val="22"/>
              </w:rPr>
              <w:t>Número de doentes*</w:t>
            </w:r>
          </w:p>
        </w:tc>
        <w:tc>
          <w:tcPr>
            <w:tcW w:w="2158" w:type="dxa"/>
          </w:tcPr>
          <w:p w14:paraId="4EADEF33" w14:textId="77777777" w:rsidR="005B1C7B" w:rsidRPr="0063119B" w:rsidRDefault="005B1C7B" w:rsidP="009A48E2">
            <w:pPr>
              <w:keepNext/>
              <w:keepLines/>
              <w:rPr>
                <w:szCs w:val="22"/>
              </w:rPr>
            </w:pPr>
            <w:r w:rsidRPr="0063119B">
              <w:rPr>
                <w:b/>
                <w:szCs w:val="22"/>
              </w:rPr>
              <w:t xml:space="preserve">Dose diária </w:t>
            </w:r>
            <w:r w:rsidR="009A48E2" w:rsidRPr="0063119B">
              <w:rPr>
                <w:b/>
                <w:szCs w:val="22"/>
              </w:rPr>
              <w:t>total</w:t>
            </w:r>
          </w:p>
        </w:tc>
        <w:tc>
          <w:tcPr>
            <w:tcW w:w="2096" w:type="dxa"/>
          </w:tcPr>
          <w:p w14:paraId="01BE6680" w14:textId="77777777" w:rsidR="005B1C7B" w:rsidRPr="0063119B" w:rsidRDefault="005B1C7B" w:rsidP="001F10F8">
            <w:pPr>
              <w:keepNext/>
              <w:keepLines/>
              <w:rPr>
                <w:szCs w:val="22"/>
              </w:rPr>
            </w:pPr>
            <w:r w:rsidRPr="0063119B">
              <w:rPr>
                <w:b/>
                <w:szCs w:val="22"/>
              </w:rPr>
              <w:t>Duração máxima do tratamento</w:t>
            </w:r>
          </w:p>
        </w:tc>
      </w:tr>
      <w:tr w:rsidR="005B1C7B" w:rsidRPr="0063119B" w14:paraId="4BC3F218" w14:textId="77777777" w:rsidTr="0079691A">
        <w:tc>
          <w:tcPr>
            <w:tcW w:w="3823" w:type="dxa"/>
          </w:tcPr>
          <w:p w14:paraId="3B077AD9" w14:textId="77777777" w:rsidR="005B1C7B" w:rsidRPr="0063119B" w:rsidRDefault="005B1C7B" w:rsidP="001F10F8">
            <w:pPr>
              <w:keepNext/>
              <w:keepLines/>
              <w:rPr>
                <w:szCs w:val="22"/>
              </w:rPr>
            </w:pPr>
            <w:r w:rsidRPr="0063119B">
              <w:rPr>
                <w:szCs w:val="22"/>
              </w:rPr>
              <w:t>Prevenção do tromboembolismo venoso (TEV) em doentes adultos submetidos a artroplastia eletiva da anca ou joelho</w:t>
            </w:r>
          </w:p>
        </w:tc>
        <w:tc>
          <w:tcPr>
            <w:tcW w:w="1199" w:type="dxa"/>
          </w:tcPr>
          <w:p w14:paraId="2900B29D" w14:textId="77777777" w:rsidR="005B1C7B" w:rsidRPr="0063119B" w:rsidRDefault="005B1C7B" w:rsidP="001F10F8">
            <w:pPr>
              <w:keepNext/>
              <w:keepLines/>
              <w:rPr>
                <w:szCs w:val="22"/>
              </w:rPr>
            </w:pPr>
            <w:r w:rsidRPr="0063119B">
              <w:rPr>
                <w:szCs w:val="22"/>
              </w:rPr>
              <w:t>6.097</w:t>
            </w:r>
          </w:p>
        </w:tc>
        <w:tc>
          <w:tcPr>
            <w:tcW w:w="2158" w:type="dxa"/>
          </w:tcPr>
          <w:p w14:paraId="1AD10B54" w14:textId="77777777" w:rsidR="005B1C7B" w:rsidRPr="0063119B" w:rsidRDefault="005B1C7B" w:rsidP="001F10F8">
            <w:pPr>
              <w:keepNext/>
              <w:keepLines/>
              <w:rPr>
                <w:szCs w:val="22"/>
              </w:rPr>
            </w:pPr>
            <w:r w:rsidRPr="0063119B">
              <w:rPr>
                <w:szCs w:val="22"/>
              </w:rPr>
              <w:t>10 mg</w:t>
            </w:r>
          </w:p>
        </w:tc>
        <w:tc>
          <w:tcPr>
            <w:tcW w:w="2096" w:type="dxa"/>
          </w:tcPr>
          <w:p w14:paraId="60AC4445" w14:textId="77777777" w:rsidR="005B1C7B" w:rsidRPr="0063119B" w:rsidRDefault="005B1C7B" w:rsidP="001F10F8">
            <w:pPr>
              <w:keepNext/>
              <w:keepLines/>
              <w:rPr>
                <w:szCs w:val="22"/>
              </w:rPr>
            </w:pPr>
            <w:r w:rsidRPr="0063119B">
              <w:rPr>
                <w:szCs w:val="22"/>
              </w:rPr>
              <w:t>39 dias</w:t>
            </w:r>
          </w:p>
        </w:tc>
      </w:tr>
      <w:tr w:rsidR="005B1C7B" w:rsidRPr="0063119B" w14:paraId="21CF3F52" w14:textId="77777777" w:rsidTr="0079691A">
        <w:tc>
          <w:tcPr>
            <w:tcW w:w="3823" w:type="dxa"/>
          </w:tcPr>
          <w:p w14:paraId="372B5331" w14:textId="77777777" w:rsidR="005B1C7B" w:rsidRPr="0063119B" w:rsidRDefault="005B1C7B" w:rsidP="00B37008">
            <w:pPr>
              <w:keepNext/>
              <w:keepLines/>
              <w:rPr>
                <w:szCs w:val="22"/>
              </w:rPr>
            </w:pPr>
            <w:r w:rsidRPr="0063119B">
              <w:rPr>
                <w:szCs w:val="22"/>
              </w:rPr>
              <w:t xml:space="preserve">Prevenção do </w:t>
            </w:r>
            <w:r w:rsidR="00B37008" w:rsidRPr="0063119B">
              <w:rPr>
                <w:szCs w:val="22"/>
              </w:rPr>
              <w:t>TEV</w:t>
            </w:r>
            <w:r w:rsidRPr="0063119B">
              <w:rPr>
                <w:szCs w:val="22"/>
              </w:rPr>
              <w:t xml:space="preserve"> em doentes não cirúrgicos</w:t>
            </w:r>
          </w:p>
        </w:tc>
        <w:tc>
          <w:tcPr>
            <w:tcW w:w="1199" w:type="dxa"/>
          </w:tcPr>
          <w:p w14:paraId="14235BCA" w14:textId="77777777" w:rsidR="005B1C7B" w:rsidRPr="0063119B" w:rsidRDefault="005B1C7B" w:rsidP="001F10F8">
            <w:pPr>
              <w:keepNext/>
              <w:keepLines/>
              <w:rPr>
                <w:szCs w:val="22"/>
              </w:rPr>
            </w:pPr>
            <w:r w:rsidRPr="0063119B">
              <w:rPr>
                <w:szCs w:val="22"/>
              </w:rPr>
              <w:t>3.997</w:t>
            </w:r>
          </w:p>
        </w:tc>
        <w:tc>
          <w:tcPr>
            <w:tcW w:w="2158" w:type="dxa"/>
          </w:tcPr>
          <w:p w14:paraId="2B8517D2" w14:textId="77777777" w:rsidR="005B1C7B" w:rsidRPr="0063119B" w:rsidRDefault="005B1C7B" w:rsidP="001F10F8">
            <w:pPr>
              <w:keepNext/>
              <w:keepLines/>
              <w:rPr>
                <w:szCs w:val="22"/>
              </w:rPr>
            </w:pPr>
            <w:r w:rsidRPr="0063119B">
              <w:rPr>
                <w:szCs w:val="22"/>
              </w:rPr>
              <w:t>10 mg</w:t>
            </w:r>
          </w:p>
        </w:tc>
        <w:tc>
          <w:tcPr>
            <w:tcW w:w="2096" w:type="dxa"/>
          </w:tcPr>
          <w:p w14:paraId="2BEF990D" w14:textId="77777777" w:rsidR="005B1C7B" w:rsidRPr="0063119B" w:rsidRDefault="005B1C7B" w:rsidP="001F10F8">
            <w:pPr>
              <w:keepNext/>
              <w:keepLines/>
              <w:rPr>
                <w:szCs w:val="22"/>
              </w:rPr>
            </w:pPr>
            <w:r w:rsidRPr="0063119B">
              <w:rPr>
                <w:szCs w:val="22"/>
              </w:rPr>
              <w:t>39 dias</w:t>
            </w:r>
          </w:p>
        </w:tc>
      </w:tr>
      <w:tr w:rsidR="005B1C7B" w:rsidRPr="0063119B" w14:paraId="7812EC5B" w14:textId="77777777" w:rsidTr="0079691A">
        <w:tc>
          <w:tcPr>
            <w:tcW w:w="3823" w:type="dxa"/>
          </w:tcPr>
          <w:p w14:paraId="26BCFE17" w14:textId="393AA5E0" w:rsidR="005B1C7B" w:rsidRPr="0063119B" w:rsidRDefault="005B1C7B" w:rsidP="001F10F8">
            <w:pPr>
              <w:keepNext/>
              <w:keepLines/>
              <w:rPr>
                <w:szCs w:val="22"/>
              </w:rPr>
            </w:pPr>
            <w:r w:rsidRPr="0063119B">
              <w:rPr>
                <w:szCs w:val="22"/>
              </w:rPr>
              <w:t xml:space="preserve">Tratamento da </w:t>
            </w:r>
            <w:r w:rsidR="002B5FBC">
              <w:rPr>
                <w:szCs w:val="22"/>
              </w:rPr>
              <w:t>trombose venosa profunda (</w:t>
            </w:r>
            <w:r w:rsidRPr="0063119B">
              <w:rPr>
                <w:szCs w:val="22"/>
              </w:rPr>
              <w:t>TVP</w:t>
            </w:r>
            <w:r w:rsidR="002B5FBC">
              <w:rPr>
                <w:szCs w:val="22"/>
              </w:rPr>
              <w:t>)</w:t>
            </w:r>
            <w:r w:rsidRPr="0063119B">
              <w:rPr>
                <w:szCs w:val="22"/>
              </w:rPr>
              <w:t xml:space="preserve">, </w:t>
            </w:r>
            <w:r w:rsidR="002B5FBC">
              <w:rPr>
                <w:szCs w:val="22"/>
              </w:rPr>
              <w:t>embolismo pulmonar (</w:t>
            </w:r>
            <w:r w:rsidRPr="0063119B">
              <w:rPr>
                <w:szCs w:val="22"/>
              </w:rPr>
              <w:t>EP</w:t>
            </w:r>
            <w:r w:rsidR="002B5FBC">
              <w:rPr>
                <w:szCs w:val="22"/>
              </w:rPr>
              <w:t>)</w:t>
            </w:r>
            <w:r w:rsidRPr="0063119B">
              <w:rPr>
                <w:szCs w:val="22"/>
              </w:rPr>
              <w:t xml:space="preserve"> e prevenção da recorrência</w:t>
            </w:r>
          </w:p>
        </w:tc>
        <w:tc>
          <w:tcPr>
            <w:tcW w:w="1199" w:type="dxa"/>
          </w:tcPr>
          <w:p w14:paraId="3B6C6EE7" w14:textId="77777777" w:rsidR="005B1C7B" w:rsidRPr="0063119B" w:rsidRDefault="005B1C7B" w:rsidP="001F10F8">
            <w:pPr>
              <w:keepNext/>
              <w:keepLines/>
              <w:rPr>
                <w:szCs w:val="22"/>
              </w:rPr>
            </w:pPr>
            <w:r w:rsidRPr="0063119B">
              <w:rPr>
                <w:szCs w:val="22"/>
              </w:rPr>
              <w:t>6</w:t>
            </w:r>
            <w:r w:rsidR="009A48E2" w:rsidRPr="0063119B">
              <w:rPr>
                <w:szCs w:val="22"/>
              </w:rPr>
              <w:t>,790</w:t>
            </w:r>
          </w:p>
        </w:tc>
        <w:tc>
          <w:tcPr>
            <w:tcW w:w="2158" w:type="dxa"/>
          </w:tcPr>
          <w:p w14:paraId="49E776C0" w14:textId="77777777" w:rsidR="005B1C7B" w:rsidRPr="0063119B" w:rsidRDefault="005B1C7B" w:rsidP="001F10F8">
            <w:pPr>
              <w:keepNext/>
              <w:keepLines/>
              <w:rPr>
                <w:szCs w:val="22"/>
              </w:rPr>
            </w:pPr>
            <w:r w:rsidRPr="0063119B">
              <w:rPr>
                <w:szCs w:val="22"/>
              </w:rPr>
              <w:t>Dias 1 </w:t>
            </w:r>
            <w:r w:rsidRPr="0063119B">
              <w:rPr>
                <w:szCs w:val="22"/>
              </w:rPr>
              <w:noBreakHyphen/>
              <w:t> 21: 30 mg</w:t>
            </w:r>
          </w:p>
          <w:p w14:paraId="4FC36DA1" w14:textId="77777777" w:rsidR="005B1C7B" w:rsidRPr="0063119B" w:rsidRDefault="005B1C7B" w:rsidP="001F10F8">
            <w:pPr>
              <w:keepNext/>
              <w:keepLines/>
              <w:rPr>
                <w:szCs w:val="22"/>
              </w:rPr>
            </w:pPr>
            <w:r w:rsidRPr="0063119B">
              <w:rPr>
                <w:szCs w:val="22"/>
              </w:rPr>
              <w:t>Dia 22 e seguintes: 20 mg</w:t>
            </w:r>
          </w:p>
          <w:p w14:paraId="17519714" w14:textId="77777777" w:rsidR="009A48E2" w:rsidRPr="0063119B" w:rsidRDefault="009A48E2" w:rsidP="001F10F8">
            <w:pPr>
              <w:keepNext/>
              <w:keepLines/>
              <w:rPr>
                <w:szCs w:val="22"/>
              </w:rPr>
            </w:pPr>
            <w:r w:rsidRPr="0063119B">
              <w:rPr>
                <w:szCs w:val="22"/>
              </w:rPr>
              <w:t>Depois de pelo menos 6 meses: 10 mg ou 20 mg</w:t>
            </w:r>
          </w:p>
        </w:tc>
        <w:tc>
          <w:tcPr>
            <w:tcW w:w="2096" w:type="dxa"/>
          </w:tcPr>
          <w:p w14:paraId="301D88B9" w14:textId="77777777" w:rsidR="005B1C7B" w:rsidRPr="0063119B" w:rsidRDefault="005B1C7B" w:rsidP="001F10F8">
            <w:pPr>
              <w:keepNext/>
              <w:keepLines/>
              <w:rPr>
                <w:szCs w:val="22"/>
              </w:rPr>
            </w:pPr>
            <w:r w:rsidRPr="0063119B">
              <w:rPr>
                <w:szCs w:val="22"/>
              </w:rPr>
              <w:t>21 meses</w:t>
            </w:r>
          </w:p>
        </w:tc>
      </w:tr>
      <w:tr w:rsidR="00E724F3" w:rsidRPr="0063119B" w14:paraId="3DC095EF" w14:textId="77777777" w:rsidTr="0079691A">
        <w:tc>
          <w:tcPr>
            <w:tcW w:w="3823" w:type="dxa"/>
          </w:tcPr>
          <w:p w14:paraId="09026662" w14:textId="77777777" w:rsidR="00E724F3" w:rsidRPr="00EF3721" w:rsidRDefault="00E724F3" w:rsidP="00EF3721">
            <w:pPr>
              <w:pStyle w:val="Default"/>
              <w:rPr>
                <w:szCs w:val="22"/>
                <w:lang w:val="pt-PT"/>
              </w:rPr>
            </w:pPr>
            <w:r w:rsidRPr="00EF3721">
              <w:rPr>
                <w:sz w:val="22"/>
                <w:szCs w:val="22"/>
                <w:lang w:val="pt-PT"/>
              </w:rPr>
              <w:t xml:space="preserve">Tratamento do TEV e prevenção da recorrência de TEV em recém-nascidos de termo e em crianças com menos de 18 anos de idade após o início do tratamento anticoagulante padrão </w:t>
            </w:r>
          </w:p>
        </w:tc>
        <w:tc>
          <w:tcPr>
            <w:tcW w:w="1199" w:type="dxa"/>
          </w:tcPr>
          <w:p w14:paraId="3C1E72E0" w14:textId="77777777" w:rsidR="00E724F3" w:rsidRPr="0063119B" w:rsidRDefault="00E724F3" w:rsidP="001F10F8">
            <w:pPr>
              <w:keepNext/>
              <w:keepLines/>
              <w:rPr>
                <w:szCs w:val="22"/>
              </w:rPr>
            </w:pPr>
            <w:r>
              <w:rPr>
                <w:szCs w:val="22"/>
              </w:rPr>
              <w:t>329</w:t>
            </w:r>
          </w:p>
        </w:tc>
        <w:tc>
          <w:tcPr>
            <w:tcW w:w="2158" w:type="dxa"/>
          </w:tcPr>
          <w:p w14:paraId="7729DAD5" w14:textId="77777777" w:rsidR="00E724F3" w:rsidRPr="00EF3721" w:rsidRDefault="00E724F3" w:rsidP="00EF3721">
            <w:pPr>
              <w:pStyle w:val="Default"/>
              <w:rPr>
                <w:szCs w:val="22"/>
                <w:lang w:val="pt-PT"/>
              </w:rPr>
            </w:pPr>
            <w:r w:rsidRPr="00EF3721">
              <w:rPr>
                <w:sz w:val="22"/>
                <w:szCs w:val="22"/>
                <w:lang w:val="pt-PT"/>
              </w:rPr>
              <w:t xml:space="preserve">Dose ajustada em função do peso corporal de modo a se atingir uma exposição semelhante à observada em adultos tratados para TVP com 20 mg de rivaroxabano uma vez por dia </w:t>
            </w:r>
          </w:p>
        </w:tc>
        <w:tc>
          <w:tcPr>
            <w:tcW w:w="2096" w:type="dxa"/>
          </w:tcPr>
          <w:p w14:paraId="1BBD06F5" w14:textId="77777777" w:rsidR="00E724F3" w:rsidRPr="0063119B" w:rsidRDefault="00E724F3" w:rsidP="001F10F8">
            <w:pPr>
              <w:keepNext/>
              <w:keepLines/>
              <w:rPr>
                <w:szCs w:val="22"/>
              </w:rPr>
            </w:pPr>
            <w:r>
              <w:rPr>
                <w:szCs w:val="22"/>
              </w:rPr>
              <w:t>12 meses</w:t>
            </w:r>
          </w:p>
        </w:tc>
      </w:tr>
      <w:tr w:rsidR="005B1C7B" w:rsidRPr="0063119B" w14:paraId="39A8900F" w14:textId="77777777" w:rsidTr="0079691A">
        <w:tc>
          <w:tcPr>
            <w:tcW w:w="3823" w:type="dxa"/>
          </w:tcPr>
          <w:p w14:paraId="2044BCC1" w14:textId="77777777" w:rsidR="005B1C7B" w:rsidRPr="0063119B" w:rsidRDefault="005B1C7B" w:rsidP="001F10F8">
            <w:pPr>
              <w:keepNext/>
              <w:keepLines/>
              <w:rPr>
                <w:szCs w:val="22"/>
              </w:rPr>
            </w:pPr>
            <w:r w:rsidRPr="0063119B">
              <w:rPr>
                <w:szCs w:val="22"/>
              </w:rPr>
              <w:lastRenderedPageBreak/>
              <w:t>Prevenção do acidente vascular cerebral e do embolismo sistémico em doentes com fibrilhação auricular não-valvular</w:t>
            </w:r>
          </w:p>
        </w:tc>
        <w:tc>
          <w:tcPr>
            <w:tcW w:w="1199" w:type="dxa"/>
          </w:tcPr>
          <w:p w14:paraId="080A042B" w14:textId="77777777" w:rsidR="005B1C7B" w:rsidRPr="0063119B" w:rsidRDefault="005B1C7B" w:rsidP="001F10F8">
            <w:pPr>
              <w:keepNext/>
              <w:keepLines/>
              <w:rPr>
                <w:szCs w:val="22"/>
              </w:rPr>
            </w:pPr>
            <w:r w:rsidRPr="0063119B">
              <w:rPr>
                <w:szCs w:val="22"/>
              </w:rPr>
              <w:t>7.750</w:t>
            </w:r>
          </w:p>
        </w:tc>
        <w:tc>
          <w:tcPr>
            <w:tcW w:w="2158" w:type="dxa"/>
          </w:tcPr>
          <w:p w14:paraId="034EA71D" w14:textId="77777777" w:rsidR="005B1C7B" w:rsidRPr="0063119B" w:rsidRDefault="005B1C7B" w:rsidP="001F10F8">
            <w:pPr>
              <w:keepNext/>
              <w:keepLines/>
              <w:rPr>
                <w:szCs w:val="22"/>
              </w:rPr>
            </w:pPr>
            <w:r w:rsidRPr="0063119B">
              <w:rPr>
                <w:szCs w:val="22"/>
              </w:rPr>
              <w:t>20 mg</w:t>
            </w:r>
          </w:p>
        </w:tc>
        <w:tc>
          <w:tcPr>
            <w:tcW w:w="2096" w:type="dxa"/>
          </w:tcPr>
          <w:p w14:paraId="7B6DAD91" w14:textId="77777777" w:rsidR="005B1C7B" w:rsidRPr="0063119B" w:rsidRDefault="005B1C7B" w:rsidP="001F10F8">
            <w:pPr>
              <w:keepNext/>
              <w:keepLines/>
              <w:rPr>
                <w:szCs w:val="22"/>
              </w:rPr>
            </w:pPr>
            <w:r w:rsidRPr="0063119B">
              <w:rPr>
                <w:szCs w:val="22"/>
              </w:rPr>
              <w:t>41 meses</w:t>
            </w:r>
          </w:p>
        </w:tc>
      </w:tr>
      <w:tr w:rsidR="005B1C7B" w:rsidRPr="0063119B" w14:paraId="3C17E1BA" w14:textId="77777777" w:rsidTr="0079691A">
        <w:tc>
          <w:tcPr>
            <w:tcW w:w="3823" w:type="dxa"/>
          </w:tcPr>
          <w:p w14:paraId="12AB6E16" w14:textId="77777777" w:rsidR="005B1C7B" w:rsidRPr="0063119B" w:rsidRDefault="005B1C7B" w:rsidP="001F10F8">
            <w:pPr>
              <w:keepNext/>
              <w:keepLines/>
              <w:rPr>
                <w:szCs w:val="22"/>
              </w:rPr>
            </w:pPr>
            <w:r w:rsidRPr="0063119B">
              <w:rPr>
                <w:szCs w:val="22"/>
              </w:rPr>
              <w:t xml:space="preserve">Prevenção de </w:t>
            </w:r>
            <w:r w:rsidRPr="0063119B">
              <w:rPr>
                <w:noProof/>
                <w:szCs w:val="22"/>
              </w:rPr>
              <w:t xml:space="preserve">acontecimentos aterotrombóticos </w:t>
            </w:r>
            <w:r w:rsidRPr="0063119B">
              <w:rPr>
                <w:szCs w:val="22"/>
              </w:rPr>
              <w:t>em doentes após uma</w:t>
            </w:r>
            <w:r w:rsidR="00B37008" w:rsidRPr="0063119B">
              <w:rPr>
                <w:szCs w:val="22"/>
              </w:rPr>
              <w:t xml:space="preserve"> síndrome coronária agúda</w:t>
            </w:r>
            <w:r w:rsidRPr="0063119B">
              <w:rPr>
                <w:szCs w:val="22"/>
              </w:rPr>
              <w:t xml:space="preserve"> </w:t>
            </w:r>
            <w:r w:rsidR="00B37008" w:rsidRPr="0063119B">
              <w:rPr>
                <w:szCs w:val="22"/>
              </w:rPr>
              <w:t>(</w:t>
            </w:r>
            <w:r w:rsidRPr="0063119B">
              <w:rPr>
                <w:szCs w:val="22"/>
              </w:rPr>
              <w:t>SCA</w:t>
            </w:r>
            <w:r w:rsidR="00B37008" w:rsidRPr="0063119B">
              <w:rPr>
                <w:szCs w:val="22"/>
              </w:rPr>
              <w:t>)</w:t>
            </w:r>
          </w:p>
        </w:tc>
        <w:tc>
          <w:tcPr>
            <w:tcW w:w="1199" w:type="dxa"/>
          </w:tcPr>
          <w:p w14:paraId="55AB0547" w14:textId="77777777" w:rsidR="005B1C7B" w:rsidRPr="0063119B" w:rsidRDefault="005B1C7B" w:rsidP="001F10F8">
            <w:pPr>
              <w:keepNext/>
              <w:keepLines/>
              <w:rPr>
                <w:szCs w:val="22"/>
              </w:rPr>
            </w:pPr>
            <w:r w:rsidRPr="0063119B">
              <w:rPr>
                <w:szCs w:val="22"/>
              </w:rPr>
              <w:t>10.225</w:t>
            </w:r>
          </w:p>
        </w:tc>
        <w:tc>
          <w:tcPr>
            <w:tcW w:w="2158" w:type="dxa"/>
          </w:tcPr>
          <w:p w14:paraId="1CF652FB" w14:textId="77777777" w:rsidR="005B1C7B" w:rsidRPr="0063119B" w:rsidRDefault="005B1C7B" w:rsidP="001F10F8">
            <w:pPr>
              <w:keepNext/>
              <w:keepLines/>
              <w:rPr>
                <w:szCs w:val="22"/>
              </w:rPr>
            </w:pPr>
            <w:r w:rsidRPr="0063119B">
              <w:rPr>
                <w:szCs w:val="22"/>
              </w:rPr>
              <w:t>5 mg ou 10 mg respetivamente, coadministrados com AAS ou AAS com clopidogrel ou ticlopidina</w:t>
            </w:r>
          </w:p>
        </w:tc>
        <w:tc>
          <w:tcPr>
            <w:tcW w:w="2096" w:type="dxa"/>
          </w:tcPr>
          <w:p w14:paraId="30DA2706" w14:textId="77777777" w:rsidR="005B1C7B" w:rsidRPr="0063119B" w:rsidRDefault="005B1C7B" w:rsidP="001F10F8">
            <w:pPr>
              <w:keepNext/>
              <w:keepLines/>
              <w:rPr>
                <w:szCs w:val="22"/>
              </w:rPr>
            </w:pPr>
            <w:r w:rsidRPr="0063119B">
              <w:rPr>
                <w:szCs w:val="22"/>
              </w:rPr>
              <w:t>31 meses</w:t>
            </w:r>
          </w:p>
        </w:tc>
      </w:tr>
      <w:tr w:rsidR="004A13F9" w:rsidRPr="0063119B" w14:paraId="6F3C361F" w14:textId="77777777" w:rsidTr="0079691A">
        <w:tc>
          <w:tcPr>
            <w:tcW w:w="3823" w:type="dxa"/>
            <w:vMerge w:val="restart"/>
          </w:tcPr>
          <w:p w14:paraId="7B3B8085" w14:textId="77777777" w:rsidR="004A13F9" w:rsidRPr="0063119B" w:rsidRDefault="004A13F9" w:rsidP="001B0380">
            <w:pPr>
              <w:keepNext/>
              <w:keepLines/>
              <w:rPr>
                <w:szCs w:val="22"/>
              </w:rPr>
            </w:pPr>
            <w:r w:rsidRPr="0063119B">
              <w:rPr>
                <w:szCs w:val="22"/>
              </w:rPr>
              <w:t>Prevenção de acontecimentos aterotrombóticos em doentes com DAC/DAP</w:t>
            </w:r>
          </w:p>
        </w:tc>
        <w:tc>
          <w:tcPr>
            <w:tcW w:w="1199" w:type="dxa"/>
          </w:tcPr>
          <w:p w14:paraId="34BE7A5C" w14:textId="77777777" w:rsidR="004A13F9" w:rsidRPr="0063119B" w:rsidRDefault="004A13F9" w:rsidP="0079691A">
            <w:pPr>
              <w:keepNext/>
              <w:keepLines/>
              <w:rPr>
                <w:szCs w:val="22"/>
              </w:rPr>
            </w:pPr>
            <w:r w:rsidRPr="0063119B">
              <w:rPr>
                <w:szCs w:val="22"/>
              </w:rPr>
              <w:t>18.244</w:t>
            </w:r>
          </w:p>
        </w:tc>
        <w:tc>
          <w:tcPr>
            <w:tcW w:w="2158" w:type="dxa"/>
          </w:tcPr>
          <w:p w14:paraId="0A68E1A2" w14:textId="77777777" w:rsidR="004A13F9" w:rsidRPr="0063119B" w:rsidRDefault="004A13F9" w:rsidP="0079691A">
            <w:pPr>
              <w:keepNext/>
              <w:keepLines/>
              <w:rPr>
                <w:szCs w:val="22"/>
              </w:rPr>
            </w:pPr>
            <w:r w:rsidRPr="0063119B">
              <w:rPr>
                <w:szCs w:val="22"/>
              </w:rPr>
              <w:t>5 mg coadministrados com AAS ou 10 mg isoladamente</w:t>
            </w:r>
          </w:p>
        </w:tc>
        <w:tc>
          <w:tcPr>
            <w:tcW w:w="2096" w:type="dxa"/>
          </w:tcPr>
          <w:p w14:paraId="74A4BEE4" w14:textId="77777777" w:rsidR="004A13F9" w:rsidRPr="0063119B" w:rsidRDefault="004A13F9" w:rsidP="0079691A">
            <w:pPr>
              <w:keepNext/>
              <w:keepLines/>
              <w:rPr>
                <w:szCs w:val="22"/>
              </w:rPr>
            </w:pPr>
            <w:r w:rsidRPr="0063119B">
              <w:rPr>
                <w:szCs w:val="22"/>
              </w:rPr>
              <w:t>47 meses</w:t>
            </w:r>
          </w:p>
        </w:tc>
      </w:tr>
      <w:tr w:rsidR="004A13F9" w:rsidRPr="0063119B" w14:paraId="1AE49084" w14:textId="77777777" w:rsidTr="0079691A">
        <w:tc>
          <w:tcPr>
            <w:tcW w:w="3823" w:type="dxa"/>
            <w:vMerge/>
          </w:tcPr>
          <w:p w14:paraId="73F548DB" w14:textId="77777777" w:rsidR="004A13F9" w:rsidRPr="0063119B" w:rsidRDefault="004A13F9" w:rsidP="004A13F9">
            <w:pPr>
              <w:keepNext/>
              <w:keepLines/>
              <w:rPr>
                <w:szCs w:val="22"/>
              </w:rPr>
            </w:pPr>
          </w:p>
        </w:tc>
        <w:tc>
          <w:tcPr>
            <w:tcW w:w="1199" w:type="dxa"/>
          </w:tcPr>
          <w:p w14:paraId="23F8F4AB" w14:textId="77777777" w:rsidR="004A13F9" w:rsidRPr="0063119B" w:rsidRDefault="004A13F9" w:rsidP="004A13F9">
            <w:pPr>
              <w:keepNext/>
              <w:keepLines/>
              <w:rPr>
                <w:szCs w:val="22"/>
              </w:rPr>
            </w:pPr>
            <w:r>
              <w:rPr>
                <w:szCs w:val="22"/>
              </w:rPr>
              <w:t>3.256**</w:t>
            </w:r>
          </w:p>
        </w:tc>
        <w:tc>
          <w:tcPr>
            <w:tcW w:w="2158" w:type="dxa"/>
          </w:tcPr>
          <w:p w14:paraId="20CF0862" w14:textId="77777777" w:rsidR="004A13F9" w:rsidRPr="0063119B" w:rsidRDefault="004A13F9" w:rsidP="004A13F9">
            <w:pPr>
              <w:keepNext/>
              <w:keepLines/>
              <w:rPr>
                <w:szCs w:val="22"/>
              </w:rPr>
            </w:pPr>
            <w:r>
              <w:rPr>
                <w:szCs w:val="22"/>
              </w:rPr>
              <w:t>5 mg coadministrados com AAS</w:t>
            </w:r>
          </w:p>
        </w:tc>
        <w:tc>
          <w:tcPr>
            <w:tcW w:w="2096" w:type="dxa"/>
          </w:tcPr>
          <w:p w14:paraId="41815D49" w14:textId="77777777" w:rsidR="004A13F9" w:rsidRPr="0063119B" w:rsidRDefault="004A13F9" w:rsidP="004A13F9">
            <w:pPr>
              <w:keepNext/>
              <w:keepLines/>
              <w:rPr>
                <w:szCs w:val="22"/>
              </w:rPr>
            </w:pPr>
            <w:r>
              <w:rPr>
                <w:szCs w:val="22"/>
              </w:rPr>
              <w:t>42 meses</w:t>
            </w:r>
          </w:p>
        </w:tc>
      </w:tr>
    </w:tbl>
    <w:p w14:paraId="4D88C702" w14:textId="77777777" w:rsidR="005B1C7B" w:rsidRDefault="005B1C7B" w:rsidP="005B1C7B">
      <w:pPr>
        <w:rPr>
          <w:szCs w:val="22"/>
        </w:rPr>
      </w:pPr>
      <w:r w:rsidRPr="0063119B">
        <w:rPr>
          <w:szCs w:val="22"/>
        </w:rPr>
        <w:t>*Doentes expostos a pelo menos uma dose de rivaroxabano</w:t>
      </w:r>
    </w:p>
    <w:p w14:paraId="13477444" w14:textId="77777777" w:rsidR="004A13F9" w:rsidRPr="0063119B" w:rsidRDefault="004A13F9" w:rsidP="005B1C7B">
      <w:pPr>
        <w:rPr>
          <w:szCs w:val="22"/>
        </w:rPr>
      </w:pPr>
      <w:r>
        <w:rPr>
          <w:szCs w:val="22"/>
        </w:rPr>
        <w:t>** Do estudo VOYAGER PAD</w:t>
      </w:r>
    </w:p>
    <w:p w14:paraId="374414B1" w14:textId="77777777" w:rsidR="005B1C7B" w:rsidRPr="0063119B" w:rsidRDefault="005B1C7B" w:rsidP="005B1C7B">
      <w:pPr>
        <w:rPr>
          <w:szCs w:val="22"/>
        </w:rPr>
      </w:pPr>
    </w:p>
    <w:p w14:paraId="49DAA8C9" w14:textId="77777777" w:rsidR="005B1C7B" w:rsidRPr="0063119B" w:rsidRDefault="005B1C7B" w:rsidP="005B1C7B">
      <w:pPr>
        <w:suppressAutoHyphens/>
        <w:rPr>
          <w:noProof/>
          <w:szCs w:val="22"/>
          <w:u w:val="single"/>
        </w:rPr>
      </w:pPr>
      <w:r w:rsidRPr="0063119B">
        <w:rPr>
          <w:rFonts w:eastAsia="SimSun"/>
          <w:szCs w:val="22"/>
        </w:rPr>
        <w:t xml:space="preserve">As reações adversas notificadas com maior frequência em doentes aos quais foi administrado rivaroxabano foram hemorragias </w:t>
      </w:r>
      <w:r w:rsidR="00B37008" w:rsidRPr="0063119B">
        <w:rPr>
          <w:noProof/>
          <w:szCs w:val="22"/>
        </w:rPr>
        <w:t>(Quadro 2)</w:t>
      </w:r>
      <w:r w:rsidR="00B37008" w:rsidRPr="0063119B">
        <w:rPr>
          <w:rFonts w:eastAsia="SimSun"/>
          <w:szCs w:val="22"/>
        </w:rPr>
        <w:t xml:space="preserve"> </w:t>
      </w:r>
      <w:r w:rsidRPr="0063119B">
        <w:rPr>
          <w:rFonts w:eastAsia="SimSun"/>
          <w:szCs w:val="22"/>
        </w:rPr>
        <w:t xml:space="preserve">(ver </w:t>
      </w:r>
      <w:r w:rsidR="00B37008" w:rsidRPr="0063119B">
        <w:rPr>
          <w:rFonts w:eastAsia="SimSun"/>
          <w:szCs w:val="22"/>
        </w:rPr>
        <w:t xml:space="preserve">também a </w:t>
      </w:r>
      <w:r w:rsidRPr="0063119B">
        <w:rPr>
          <w:rFonts w:eastAsia="SimSun"/>
          <w:szCs w:val="22"/>
        </w:rPr>
        <w:t>secção 4.4 e “</w:t>
      </w:r>
      <w:r w:rsidRPr="0063119B">
        <w:rPr>
          <w:noProof/>
          <w:szCs w:val="22"/>
        </w:rPr>
        <w:t xml:space="preserve">Descrição das reações adversas selecionadas” abaixo). As hemorragias notificadas com maior frequência </w:t>
      </w:r>
      <w:r w:rsidRPr="0063119B">
        <w:rPr>
          <w:szCs w:val="22"/>
        </w:rPr>
        <w:t>foram epistaxe (</w:t>
      </w:r>
      <w:r w:rsidR="0079691A" w:rsidRPr="0063119B">
        <w:rPr>
          <w:szCs w:val="22"/>
        </w:rPr>
        <w:t>4,5</w:t>
      </w:r>
      <w:r w:rsidRPr="0063119B">
        <w:rPr>
          <w:szCs w:val="22"/>
        </w:rPr>
        <w:t>%) e hemorragia do trato gastrointestinal (</w:t>
      </w:r>
      <w:r w:rsidR="0079691A" w:rsidRPr="0063119B">
        <w:rPr>
          <w:szCs w:val="22"/>
        </w:rPr>
        <w:t>3,8</w:t>
      </w:r>
      <w:r w:rsidRPr="0063119B">
        <w:rPr>
          <w:szCs w:val="22"/>
        </w:rPr>
        <w:t>%).</w:t>
      </w:r>
    </w:p>
    <w:p w14:paraId="648A02BB" w14:textId="77777777" w:rsidR="00F009F5" w:rsidRPr="0063119B" w:rsidRDefault="00F009F5" w:rsidP="005B1C7B">
      <w:pPr>
        <w:rPr>
          <w:rFonts w:eastAsia="SimSun"/>
          <w:szCs w:val="22"/>
        </w:rPr>
      </w:pPr>
    </w:p>
    <w:p w14:paraId="1D97A65D" w14:textId="77777777" w:rsidR="002F4FE5" w:rsidRPr="0063119B" w:rsidRDefault="002F4FE5" w:rsidP="002F4FE5">
      <w:pPr>
        <w:keepNext/>
        <w:rPr>
          <w:b/>
          <w:szCs w:val="22"/>
        </w:rPr>
      </w:pPr>
      <w:r w:rsidRPr="0063119B">
        <w:rPr>
          <w:b/>
          <w:szCs w:val="22"/>
        </w:rPr>
        <w:t>Quadro 2</w:t>
      </w:r>
      <w:r w:rsidR="0000492E" w:rsidRPr="0063119B">
        <w:rPr>
          <w:b/>
          <w:szCs w:val="22"/>
        </w:rPr>
        <w:t>:</w:t>
      </w:r>
      <w:r w:rsidRPr="0063119B">
        <w:rPr>
          <w:b/>
          <w:szCs w:val="22"/>
        </w:rPr>
        <w:t xml:space="preserve"> </w:t>
      </w:r>
      <w:r w:rsidR="00104B9D" w:rsidRPr="0063119B">
        <w:rPr>
          <w:b/>
          <w:szCs w:val="22"/>
        </w:rPr>
        <w:t>Taxas de acontecimentos hemorrá</w:t>
      </w:r>
      <w:r w:rsidRPr="0063119B">
        <w:rPr>
          <w:b/>
          <w:szCs w:val="22"/>
        </w:rPr>
        <w:t>gi</w:t>
      </w:r>
      <w:r w:rsidR="00104B9D" w:rsidRPr="0063119B">
        <w:rPr>
          <w:b/>
          <w:szCs w:val="22"/>
        </w:rPr>
        <w:t>cos</w:t>
      </w:r>
      <w:r w:rsidR="0079691A" w:rsidRPr="0063119B">
        <w:rPr>
          <w:b/>
          <w:szCs w:val="22"/>
        </w:rPr>
        <w:t>*</w:t>
      </w:r>
      <w:r w:rsidRPr="0063119B">
        <w:rPr>
          <w:b/>
          <w:szCs w:val="22"/>
        </w:rPr>
        <w:t xml:space="preserve"> e anemia em doentes expostos ao rivaroxabano nos estudos de fase III </w:t>
      </w:r>
      <w:r w:rsidR="00A41E92">
        <w:rPr>
          <w:b/>
          <w:bCs/>
          <w:szCs w:val="22"/>
        </w:rPr>
        <w:t xml:space="preserve">em doentes adultos e pediátricos </w:t>
      </w:r>
      <w:r w:rsidRPr="0063119B">
        <w:rPr>
          <w:b/>
          <w:szCs w:val="22"/>
        </w:rPr>
        <w:t>concluídos</w:t>
      </w:r>
    </w:p>
    <w:p w14:paraId="5DD5FCE0" w14:textId="77777777" w:rsidR="002F4FE5" w:rsidRPr="0063119B" w:rsidRDefault="002F4FE5" w:rsidP="002F4FE5">
      <w:pPr>
        <w:keepNext/>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2F4FE5" w:rsidRPr="0063119B" w14:paraId="6552A197" w14:textId="77777777" w:rsidTr="002F4FE5">
        <w:trPr>
          <w:tblHeader/>
        </w:trPr>
        <w:tc>
          <w:tcPr>
            <w:tcW w:w="3544" w:type="dxa"/>
          </w:tcPr>
          <w:p w14:paraId="7552F4F7" w14:textId="77777777" w:rsidR="002F4FE5" w:rsidRPr="0063119B" w:rsidRDefault="002F4FE5" w:rsidP="002F4FE5">
            <w:pPr>
              <w:keepNext/>
              <w:rPr>
                <w:b/>
                <w:szCs w:val="22"/>
              </w:rPr>
            </w:pPr>
            <w:r w:rsidRPr="0063119B">
              <w:rPr>
                <w:b/>
                <w:szCs w:val="22"/>
              </w:rPr>
              <w:t>Indicação</w:t>
            </w:r>
          </w:p>
        </w:tc>
        <w:tc>
          <w:tcPr>
            <w:tcW w:w="1985" w:type="dxa"/>
          </w:tcPr>
          <w:p w14:paraId="0A8C8E89" w14:textId="77777777" w:rsidR="002F4FE5" w:rsidRPr="0063119B" w:rsidRDefault="002F4FE5" w:rsidP="002F4FE5">
            <w:pPr>
              <w:keepNext/>
              <w:rPr>
                <w:szCs w:val="22"/>
              </w:rPr>
            </w:pPr>
            <w:r w:rsidRPr="0063119B">
              <w:rPr>
                <w:b/>
                <w:szCs w:val="22"/>
              </w:rPr>
              <w:t>Qualquer hemorragia</w:t>
            </w:r>
          </w:p>
        </w:tc>
        <w:tc>
          <w:tcPr>
            <w:tcW w:w="2126" w:type="dxa"/>
          </w:tcPr>
          <w:p w14:paraId="4D44D956" w14:textId="77777777" w:rsidR="002F4FE5" w:rsidRPr="0063119B" w:rsidRDefault="002F4FE5" w:rsidP="002F4FE5">
            <w:pPr>
              <w:keepNext/>
              <w:rPr>
                <w:b/>
                <w:szCs w:val="22"/>
              </w:rPr>
            </w:pPr>
            <w:r w:rsidRPr="0063119B">
              <w:rPr>
                <w:b/>
                <w:szCs w:val="22"/>
              </w:rPr>
              <w:t>Anemia</w:t>
            </w:r>
          </w:p>
        </w:tc>
      </w:tr>
      <w:tr w:rsidR="002F4FE5" w:rsidRPr="0063119B" w14:paraId="32B22A4D" w14:textId="77777777" w:rsidTr="002F4FE5">
        <w:tc>
          <w:tcPr>
            <w:tcW w:w="3544" w:type="dxa"/>
          </w:tcPr>
          <w:p w14:paraId="2E0E0688" w14:textId="77777777" w:rsidR="002F4FE5" w:rsidRPr="0063119B" w:rsidRDefault="002F4FE5" w:rsidP="00B45C8F">
            <w:pPr>
              <w:keepNext/>
              <w:rPr>
                <w:szCs w:val="22"/>
              </w:rPr>
            </w:pPr>
            <w:r w:rsidRPr="0063119B">
              <w:rPr>
                <w:szCs w:val="22"/>
              </w:rPr>
              <w:t xml:space="preserve">Prevenção </w:t>
            </w:r>
            <w:r w:rsidR="006E160F" w:rsidRPr="0063119B">
              <w:rPr>
                <w:szCs w:val="22"/>
              </w:rPr>
              <w:t>tromboembolismo venoso (</w:t>
            </w:r>
            <w:r w:rsidRPr="0063119B">
              <w:rPr>
                <w:szCs w:val="22"/>
              </w:rPr>
              <w:t>TEV</w:t>
            </w:r>
            <w:r w:rsidR="006E160F">
              <w:rPr>
                <w:szCs w:val="22"/>
              </w:rPr>
              <w:t>)</w:t>
            </w:r>
            <w:r w:rsidRPr="0063119B">
              <w:rPr>
                <w:szCs w:val="22"/>
              </w:rPr>
              <w:t xml:space="preserve"> em doentes adultos submetidos a artroplastia eletiva da anca ou joelho</w:t>
            </w:r>
          </w:p>
        </w:tc>
        <w:tc>
          <w:tcPr>
            <w:tcW w:w="1985" w:type="dxa"/>
          </w:tcPr>
          <w:p w14:paraId="6B1D5FBA" w14:textId="77777777" w:rsidR="002F4FE5" w:rsidRPr="0063119B" w:rsidRDefault="002F4FE5" w:rsidP="002F4FE5">
            <w:pPr>
              <w:keepNext/>
              <w:rPr>
                <w:szCs w:val="22"/>
              </w:rPr>
            </w:pPr>
            <w:r w:rsidRPr="0063119B">
              <w:rPr>
                <w:szCs w:val="22"/>
              </w:rPr>
              <w:t>6,8% dos doentes</w:t>
            </w:r>
          </w:p>
        </w:tc>
        <w:tc>
          <w:tcPr>
            <w:tcW w:w="2126" w:type="dxa"/>
          </w:tcPr>
          <w:p w14:paraId="60EE57FB" w14:textId="77777777" w:rsidR="002F4FE5" w:rsidRPr="0063119B" w:rsidRDefault="002F4FE5" w:rsidP="002F4FE5">
            <w:pPr>
              <w:keepNext/>
              <w:rPr>
                <w:szCs w:val="22"/>
              </w:rPr>
            </w:pPr>
            <w:r w:rsidRPr="0063119B">
              <w:rPr>
                <w:szCs w:val="22"/>
              </w:rPr>
              <w:t>5,9% dos doentes</w:t>
            </w:r>
          </w:p>
        </w:tc>
      </w:tr>
      <w:tr w:rsidR="002F4FE5" w:rsidRPr="0063119B" w14:paraId="6048E305" w14:textId="77777777" w:rsidTr="002F4FE5">
        <w:tc>
          <w:tcPr>
            <w:tcW w:w="3544" w:type="dxa"/>
          </w:tcPr>
          <w:p w14:paraId="780D97F2" w14:textId="0F87F7BB" w:rsidR="002F4FE5" w:rsidRPr="0063119B" w:rsidRDefault="002F4FE5" w:rsidP="00B37008">
            <w:pPr>
              <w:keepNext/>
              <w:rPr>
                <w:szCs w:val="22"/>
              </w:rPr>
            </w:pPr>
            <w:r w:rsidRPr="0063119B">
              <w:rPr>
                <w:szCs w:val="22"/>
              </w:rPr>
              <w:t>Prevenção d</w:t>
            </w:r>
            <w:r w:rsidR="00B37008" w:rsidRPr="0063119B">
              <w:rPr>
                <w:szCs w:val="22"/>
              </w:rPr>
              <w:t>o</w:t>
            </w:r>
            <w:r w:rsidRPr="0063119B">
              <w:rPr>
                <w:szCs w:val="22"/>
              </w:rPr>
              <w:t xml:space="preserve"> </w:t>
            </w:r>
            <w:r w:rsidR="002B5FBC" w:rsidRPr="0063119B">
              <w:rPr>
                <w:szCs w:val="22"/>
              </w:rPr>
              <w:t xml:space="preserve">tromboembolismo venoso </w:t>
            </w:r>
            <w:r w:rsidRPr="0063119B">
              <w:rPr>
                <w:szCs w:val="22"/>
              </w:rPr>
              <w:t xml:space="preserve">em doentes </w:t>
            </w:r>
            <w:r w:rsidR="00AB54CD" w:rsidRPr="0063119B">
              <w:rPr>
                <w:szCs w:val="22"/>
              </w:rPr>
              <w:t>com patologias médicas</w:t>
            </w:r>
          </w:p>
        </w:tc>
        <w:tc>
          <w:tcPr>
            <w:tcW w:w="1985" w:type="dxa"/>
          </w:tcPr>
          <w:p w14:paraId="3C8B2629" w14:textId="77777777" w:rsidR="002F4FE5" w:rsidRPr="0063119B" w:rsidRDefault="002F4FE5" w:rsidP="002F4FE5">
            <w:pPr>
              <w:keepNext/>
              <w:rPr>
                <w:szCs w:val="22"/>
              </w:rPr>
            </w:pPr>
            <w:r w:rsidRPr="0063119B">
              <w:rPr>
                <w:szCs w:val="22"/>
              </w:rPr>
              <w:t>12,6% dos doentes</w:t>
            </w:r>
          </w:p>
        </w:tc>
        <w:tc>
          <w:tcPr>
            <w:tcW w:w="2126" w:type="dxa"/>
          </w:tcPr>
          <w:p w14:paraId="4143C77D" w14:textId="77777777" w:rsidR="002F4FE5" w:rsidRPr="0063119B" w:rsidRDefault="002F4FE5" w:rsidP="002F4FE5">
            <w:pPr>
              <w:keepNext/>
              <w:rPr>
                <w:szCs w:val="22"/>
              </w:rPr>
            </w:pPr>
            <w:r w:rsidRPr="0063119B">
              <w:rPr>
                <w:szCs w:val="22"/>
              </w:rPr>
              <w:t>2,1% dos doentes</w:t>
            </w:r>
          </w:p>
        </w:tc>
      </w:tr>
      <w:tr w:rsidR="002F4FE5" w:rsidRPr="0063119B" w14:paraId="2B4C439A" w14:textId="77777777" w:rsidTr="002F4FE5">
        <w:tc>
          <w:tcPr>
            <w:tcW w:w="3544" w:type="dxa"/>
          </w:tcPr>
          <w:p w14:paraId="673A2422" w14:textId="77777777" w:rsidR="002F4FE5" w:rsidRPr="0063119B" w:rsidRDefault="002F4FE5" w:rsidP="004075A4">
            <w:pPr>
              <w:keepNext/>
              <w:rPr>
                <w:szCs w:val="22"/>
              </w:rPr>
            </w:pPr>
            <w:r w:rsidRPr="0063119B">
              <w:rPr>
                <w:szCs w:val="22"/>
              </w:rPr>
              <w:t xml:space="preserve">Tratamento da </w:t>
            </w:r>
            <w:r w:rsidR="0051410B" w:rsidRPr="0063119B">
              <w:rPr>
                <w:szCs w:val="22"/>
              </w:rPr>
              <w:t xml:space="preserve">TVP, </w:t>
            </w:r>
            <w:r w:rsidRPr="0063119B">
              <w:rPr>
                <w:szCs w:val="22"/>
              </w:rPr>
              <w:t>EP e prevenção de recorrências</w:t>
            </w:r>
          </w:p>
        </w:tc>
        <w:tc>
          <w:tcPr>
            <w:tcW w:w="1985" w:type="dxa"/>
          </w:tcPr>
          <w:p w14:paraId="3C892D14" w14:textId="77777777" w:rsidR="002F4FE5" w:rsidRPr="0063119B" w:rsidRDefault="002F4FE5" w:rsidP="002F4FE5">
            <w:pPr>
              <w:keepNext/>
              <w:rPr>
                <w:szCs w:val="22"/>
              </w:rPr>
            </w:pPr>
            <w:r w:rsidRPr="0063119B">
              <w:rPr>
                <w:szCs w:val="22"/>
              </w:rPr>
              <w:t>23% dos doentes</w:t>
            </w:r>
          </w:p>
        </w:tc>
        <w:tc>
          <w:tcPr>
            <w:tcW w:w="2126" w:type="dxa"/>
          </w:tcPr>
          <w:p w14:paraId="75933459" w14:textId="77777777" w:rsidR="002F4FE5" w:rsidRPr="0063119B" w:rsidRDefault="002F4FE5" w:rsidP="002F4FE5">
            <w:pPr>
              <w:keepNext/>
              <w:rPr>
                <w:szCs w:val="22"/>
              </w:rPr>
            </w:pPr>
            <w:r w:rsidRPr="0063119B">
              <w:rPr>
                <w:szCs w:val="22"/>
              </w:rPr>
              <w:t>1,6% dos doentes</w:t>
            </w:r>
          </w:p>
        </w:tc>
      </w:tr>
      <w:tr w:rsidR="00537631" w:rsidRPr="0063119B" w14:paraId="1D29FD58" w14:textId="77777777" w:rsidTr="002F4FE5">
        <w:tc>
          <w:tcPr>
            <w:tcW w:w="3544" w:type="dxa"/>
          </w:tcPr>
          <w:p w14:paraId="27CA3BCB" w14:textId="77777777" w:rsidR="00537631" w:rsidRPr="00EF3721" w:rsidRDefault="00537631" w:rsidP="00EF3721">
            <w:pPr>
              <w:pStyle w:val="Default"/>
              <w:rPr>
                <w:szCs w:val="22"/>
                <w:lang w:val="pt-PT"/>
              </w:rPr>
            </w:pPr>
            <w:r w:rsidRPr="00EF3721">
              <w:rPr>
                <w:sz w:val="22"/>
                <w:szCs w:val="22"/>
                <w:lang w:val="pt-PT"/>
              </w:rPr>
              <w:t xml:space="preserve">Tratamento do TEV e prevenção da recorrência de TEV em recém-nascidos de termo e em crianças com menos de 18 anos de idade após o início do tratamento anticoagulante padrão </w:t>
            </w:r>
          </w:p>
        </w:tc>
        <w:tc>
          <w:tcPr>
            <w:tcW w:w="1985" w:type="dxa"/>
          </w:tcPr>
          <w:tbl>
            <w:tblPr>
              <w:tblW w:w="0" w:type="auto"/>
              <w:tblBorders>
                <w:top w:val="nil"/>
                <w:left w:val="nil"/>
                <w:bottom w:val="nil"/>
                <w:right w:val="nil"/>
              </w:tblBorders>
              <w:tblLook w:val="0000" w:firstRow="0" w:lastRow="0" w:firstColumn="0" w:lastColumn="0" w:noHBand="0" w:noVBand="0"/>
            </w:tblPr>
            <w:tblGrid>
              <w:gridCol w:w="1547"/>
              <w:gridCol w:w="222"/>
            </w:tblGrid>
            <w:tr w:rsidR="00537631" w:rsidRPr="00537631" w14:paraId="34C30332" w14:textId="77777777">
              <w:trPr>
                <w:trHeight w:val="147"/>
              </w:trPr>
              <w:tc>
                <w:tcPr>
                  <w:tcW w:w="0" w:type="auto"/>
                </w:tcPr>
                <w:p w14:paraId="1464B437" w14:textId="77777777" w:rsidR="00537631" w:rsidRPr="00537631" w:rsidRDefault="00537631" w:rsidP="00537631">
                  <w:pPr>
                    <w:autoSpaceDE w:val="0"/>
                    <w:autoSpaceDN w:val="0"/>
                    <w:adjustRightInd w:val="0"/>
                    <w:rPr>
                      <w:color w:val="000000"/>
                      <w:szCs w:val="22"/>
                      <w:lang w:eastAsia="pt-PT"/>
                    </w:rPr>
                  </w:pPr>
                  <w:r w:rsidRPr="00537631">
                    <w:rPr>
                      <w:color w:val="000000"/>
                      <w:szCs w:val="22"/>
                      <w:lang w:eastAsia="pt-PT"/>
                    </w:rPr>
                    <w:t xml:space="preserve">39,5% dos doentes </w:t>
                  </w:r>
                </w:p>
              </w:tc>
              <w:tc>
                <w:tcPr>
                  <w:tcW w:w="0" w:type="auto"/>
                </w:tcPr>
                <w:p w14:paraId="766250CF" w14:textId="77777777" w:rsidR="00537631" w:rsidRPr="00537631" w:rsidRDefault="00537631" w:rsidP="00537631">
                  <w:pPr>
                    <w:autoSpaceDE w:val="0"/>
                    <w:autoSpaceDN w:val="0"/>
                    <w:adjustRightInd w:val="0"/>
                    <w:rPr>
                      <w:color w:val="000000"/>
                      <w:szCs w:val="22"/>
                      <w:lang w:eastAsia="pt-PT"/>
                    </w:rPr>
                  </w:pPr>
                </w:p>
              </w:tc>
            </w:tr>
          </w:tbl>
          <w:p w14:paraId="385E6184" w14:textId="77777777" w:rsidR="00537631" w:rsidRPr="0063119B" w:rsidRDefault="00537631" w:rsidP="002F4FE5">
            <w:pPr>
              <w:keepNext/>
              <w:rPr>
                <w:szCs w:val="22"/>
              </w:rPr>
            </w:pPr>
          </w:p>
        </w:tc>
        <w:tc>
          <w:tcPr>
            <w:tcW w:w="2126" w:type="dxa"/>
          </w:tcPr>
          <w:p w14:paraId="17CFE251" w14:textId="77777777" w:rsidR="00537631" w:rsidRPr="0063119B" w:rsidRDefault="00537631" w:rsidP="002F4FE5">
            <w:pPr>
              <w:keepNext/>
              <w:rPr>
                <w:szCs w:val="22"/>
              </w:rPr>
            </w:pPr>
            <w:r w:rsidRPr="00537631">
              <w:rPr>
                <w:color w:val="000000"/>
                <w:szCs w:val="22"/>
                <w:lang w:eastAsia="pt-PT"/>
              </w:rPr>
              <w:t>4,6% dos doentes</w:t>
            </w:r>
          </w:p>
        </w:tc>
      </w:tr>
      <w:tr w:rsidR="002F4FE5" w:rsidRPr="0063119B" w14:paraId="542D737C" w14:textId="77777777" w:rsidTr="002F4FE5">
        <w:tc>
          <w:tcPr>
            <w:tcW w:w="3544" w:type="dxa"/>
          </w:tcPr>
          <w:p w14:paraId="6EE8CA1F" w14:textId="77777777" w:rsidR="002F4FE5" w:rsidRPr="0063119B" w:rsidRDefault="002F4FE5" w:rsidP="002F4FE5">
            <w:pPr>
              <w:keepNext/>
              <w:rPr>
                <w:szCs w:val="22"/>
              </w:rPr>
            </w:pPr>
            <w:r w:rsidRPr="0063119B">
              <w:rPr>
                <w:szCs w:val="22"/>
              </w:rPr>
              <w:lastRenderedPageBreak/>
              <w:t>Prevenção de AVC e embolismo sistémico em doentes com fibrilhação auricular não valvular</w:t>
            </w:r>
          </w:p>
        </w:tc>
        <w:tc>
          <w:tcPr>
            <w:tcW w:w="1985" w:type="dxa"/>
          </w:tcPr>
          <w:p w14:paraId="739EE718" w14:textId="77777777" w:rsidR="002F4FE5" w:rsidRPr="0063119B" w:rsidRDefault="002F4FE5" w:rsidP="002F4FE5">
            <w:pPr>
              <w:keepNext/>
              <w:rPr>
                <w:szCs w:val="22"/>
              </w:rPr>
            </w:pPr>
            <w:r w:rsidRPr="0063119B">
              <w:rPr>
                <w:szCs w:val="22"/>
              </w:rPr>
              <w:t>28 por 100 </w:t>
            </w:r>
            <w:r w:rsidR="004A13F9" w:rsidRPr="0063119B" w:rsidDel="004A13F9">
              <w:rPr>
                <w:szCs w:val="22"/>
              </w:rPr>
              <w:t xml:space="preserve"> </w:t>
            </w:r>
            <w:r w:rsidRPr="0063119B">
              <w:rPr>
                <w:szCs w:val="22"/>
              </w:rPr>
              <w:t>doente</w:t>
            </w:r>
            <w:r w:rsidR="004A13F9">
              <w:rPr>
                <w:szCs w:val="22"/>
              </w:rPr>
              <w:t>s-ano</w:t>
            </w:r>
          </w:p>
        </w:tc>
        <w:tc>
          <w:tcPr>
            <w:tcW w:w="2126" w:type="dxa"/>
          </w:tcPr>
          <w:p w14:paraId="321469D9" w14:textId="77777777" w:rsidR="002F4FE5" w:rsidRPr="0063119B" w:rsidRDefault="002F4FE5" w:rsidP="002F4FE5">
            <w:pPr>
              <w:keepNext/>
              <w:rPr>
                <w:szCs w:val="22"/>
              </w:rPr>
            </w:pPr>
            <w:r w:rsidRPr="0063119B">
              <w:rPr>
                <w:szCs w:val="22"/>
              </w:rPr>
              <w:t>2,5 por 100 </w:t>
            </w:r>
            <w:r w:rsidR="004A13F9" w:rsidRPr="0063119B" w:rsidDel="004A13F9">
              <w:rPr>
                <w:szCs w:val="22"/>
              </w:rPr>
              <w:t xml:space="preserve"> </w:t>
            </w:r>
            <w:r w:rsidRPr="0063119B">
              <w:rPr>
                <w:szCs w:val="22"/>
              </w:rPr>
              <w:t>doente</w:t>
            </w:r>
            <w:r w:rsidR="004A13F9">
              <w:rPr>
                <w:szCs w:val="22"/>
              </w:rPr>
              <w:t>s-ano</w:t>
            </w:r>
          </w:p>
        </w:tc>
      </w:tr>
      <w:tr w:rsidR="002F4FE5" w:rsidRPr="0063119B" w14:paraId="7D442A49" w14:textId="77777777" w:rsidTr="002F4FE5">
        <w:tc>
          <w:tcPr>
            <w:tcW w:w="3544" w:type="dxa"/>
          </w:tcPr>
          <w:p w14:paraId="6EB44B17" w14:textId="77777777" w:rsidR="002F4FE5" w:rsidRPr="0063119B" w:rsidRDefault="002F4FE5" w:rsidP="002F4FE5">
            <w:pPr>
              <w:keepNext/>
              <w:rPr>
                <w:szCs w:val="22"/>
              </w:rPr>
            </w:pPr>
            <w:r w:rsidRPr="0063119B">
              <w:rPr>
                <w:szCs w:val="22"/>
              </w:rPr>
              <w:t>Prevenção de acontecimentos aterotrombóticos em doentes após um SCA</w:t>
            </w:r>
          </w:p>
        </w:tc>
        <w:tc>
          <w:tcPr>
            <w:tcW w:w="1985" w:type="dxa"/>
          </w:tcPr>
          <w:p w14:paraId="15B1928A" w14:textId="77777777" w:rsidR="002F4FE5" w:rsidRPr="0063119B" w:rsidRDefault="002F4FE5" w:rsidP="002F4FE5">
            <w:pPr>
              <w:keepNext/>
              <w:rPr>
                <w:szCs w:val="22"/>
              </w:rPr>
            </w:pPr>
            <w:r w:rsidRPr="0063119B">
              <w:rPr>
                <w:szCs w:val="22"/>
              </w:rPr>
              <w:t>22 por 100 </w:t>
            </w:r>
            <w:r w:rsidR="004A13F9" w:rsidRPr="0063119B" w:rsidDel="004A13F9">
              <w:rPr>
                <w:szCs w:val="22"/>
              </w:rPr>
              <w:t xml:space="preserve"> </w:t>
            </w:r>
            <w:r w:rsidRPr="0063119B">
              <w:rPr>
                <w:szCs w:val="22"/>
              </w:rPr>
              <w:t>doente</w:t>
            </w:r>
            <w:r w:rsidR="004A13F9">
              <w:rPr>
                <w:szCs w:val="22"/>
              </w:rPr>
              <w:t>s-ano</w:t>
            </w:r>
          </w:p>
        </w:tc>
        <w:tc>
          <w:tcPr>
            <w:tcW w:w="2126" w:type="dxa"/>
          </w:tcPr>
          <w:p w14:paraId="584F823C" w14:textId="77777777" w:rsidR="002F4FE5" w:rsidRPr="0063119B" w:rsidRDefault="002F4FE5" w:rsidP="002F4FE5">
            <w:pPr>
              <w:keepNext/>
              <w:rPr>
                <w:szCs w:val="22"/>
              </w:rPr>
            </w:pPr>
            <w:r w:rsidRPr="0063119B">
              <w:rPr>
                <w:szCs w:val="22"/>
              </w:rPr>
              <w:t>1,4 por 100 </w:t>
            </w:r>
            <w:r w:rsidR="004A13F9" w:rsidRPr="0063119B" w:rsidDel="004A13F9">
              <w:rPr>
                <w:szCs w:val="22"/>
              </w:rPr>
              <w:t xml:space="preserve"> </w:t>
            </w:r>
            <w:r w:rsidRPr="0063119B">
              <w:rPr>
                <w:szCs w:val="22"/>
              </w:rPr>
              <w:t>doente</w:t>
            </w:r>
            <w:r w:rsidR="004A13F9">
              <w:rPr>
                <w:szCs w:val="22"/>
              </w:rPr>
              <w:t>s-ano</w:t>
            </w:r>
          </w:p>
        </w:tc>
      </w:tr>
      <w:tr w:rsidR="004A13F9" w:rsidRPr="0063119B" w14:paraId="08DA7C11" w14:textId="77777777" w:rsidTr="00F03D43">
        <w:tc>
          <w:tcPr>
            <w:tcW w:w="3544" w:type="dxa"/>
            <w:vMerge w:val="restart"/>
          </w:tcPr>
          <w:p w14:paraId="3B172157" w14:textId="77777777" w:rsidR="004A13F9" w:rsidRPr="0063119B" w:rsidRDefault="004A13F9" w:rsidP="001B0380">
            <w:pPr>
              <w:keepNext/>
              <w:rPr>
                <w:szCs w:val="22"/>
              </w:rPr>
            </w:pPr>
            <w:r w:rsidRPr="0063119B">
              <w:rPr>
                <w:szCs w:val="22"/>
              </w:rPr>
              <w:t>Prevenção de acontecimentos aterotrombóticos em doentes com DAC/DAP</w:t>
            </w:r>
          </w:p>
        </w:tc>
        <w:tc>
          <w:tcPr>
            <w:tcW w:w="1985" w:type="dxa"/>
            <w:tcBorders>
              <w:bottom w:val="single" w:sz="4" w:space="0" w:color="auto"/>
            </w:tcBorders>
          </w:tcPr>
          <w:p w14:paraId="0166D2F6" w14:textId="77777777" w:rsidR="004A13F9" w:rsidRPr="0063119B" w:rsidRDefault="004A13F9" w:rsidP="0033041F">
            <w:pPr>
              <w:keepNext/>
              <w:rPr>
                <w:szCs w:val="22"/>
              </w:rPr>
            </w:pPr>
            <w:r w:rsidRPr="0063119B">
              <w:rPr>
                <w:szCs w:val="22"/>
              </w:rPr>
              <w:t>6,7 por 100 </w:t>
            </w:r>
            <w:r w:rsidRPr="0063119B" w:rsidDel="004A13F9">
              <w:rPr>
                <w:szCs w:val="22"/>
              </w:rPr>
              <w:t xml:space="preserve"> </w:t>
            </w:r>
            <w:r w:rsidRPr="0063119B">
              <w:rPr>
                <w:szCs w:val="22"/>
              </w:rPr>
              <w:t>doente</w:t>
            </w:r>
            <w:r>
              <w:rPr>
                <w:szCs w:val="22"/>
              </w:rPr>
              <w:t>s-ano</w:t>
            </w:r>
          </w:p>
        </w:tc>
        <w:tc>
          <w:tcPr>
            <w:tcW w:w="2126" w:type="dxa"/>
            <w:tcBorders>
              <w:bottom w:val="single" w:sz="4" w:space="0" w:color="auto"/>
            </w:tcBorders>
          </w:tcPr>
          <w:p w14:paraId="60B7DE5D" w14:textId="77777777" w:rsidR="004A13F9" w:rsidRPr="0063119B" w:rsidRDefault="004A13F9" w:rsidP="0033041F">
            <w:pPr>
              <w:keepNext/>
              <w:rPr>
                <w:szCs w:val="22"/>
              </w:rPr>
            </w:pPr>
            <w:r w:rsidRPr="0063119B">
              <w:rPr>
                <w:szCs w:val="22"/>
              </w:rPr>
              <w:t>0,15 por 100 </w:t>
            </w:r>
            <w:r w:rsidRPr="0063119B" w:rsidDel="004A13F9">
              <w:rPr>
                <w:szCs w:val="22"/>
              </w:rPr>
              <w:t xml:space="preserve"> </w:t>
            </w:r>
            <w:r w:rsidRPr="0063119B">
              <w:rPr>
                <w:szCs w:val="22"/>
              </w:rPr>
              <w:t>doente</w:t>
            </w:r>
            <w:r>
              <w:rPr>
                <w:szCs w:val="22"/>
              </w:rPr>
              <w:t>s-ano</w:t>
            </w:r>
            <w:r w:rsidRPr="0063119B">
              <w:rPr>
                <w:szCs w:val="22"/>
              </w:rPr>
              <w:t xml:space="preserve">** </w:t>
            </w:r>
          </w:p>
        </w:tc>
      </w:tr>
      <w:tr w:rsidR="004A13F9" w:rsidRPr="0063119B" w14:paraId="467A66AD" w14:textId="77777777" w:rsidTr="0056664B">
        <w:tc>
          <w:tcPr>
            <w:tcW w:w="3544" w:type="dxa"/>
            <w:vMerge/>
            <w:tcBorders>
              <w:bottom w:val="single" w:sz="4" w:space="0" w:color="auto"/>
            </w:tcBorders>
          </w:tcPr>
          <w:p w14:paraId="40D654CB" w14:textId="77777777" w:rsidR="004A13F9" w:rsidRPr="0063119B" w:rsidRDefault="004A13F9" w:rsidP="004A13F9">
            <w:pPr>
              <w:keepNext/>
              <w:rPr>
                <w:szCs w:val="22"/>
              </w:rPr>
            </w:pPr>
          </w:p>
        </w:tc>
        <w:tc>
          <w:tcPr>
            <w:tcW w:w="1985" w:type="dxa"/>
            <w:tcBorders>
              <w:bottom w:val="single" w:sz="4" w:space="0" w:color="auto"/>
            </w:tcBorders>
          </w:tcPr>
          <w:p w14:paraId="797FC78F" w14:textId="77777777" w:rsidR="004A13F9" w:rsidRPr="0063119B" w:rsidRDefault="004A13F9" w:rsidP="004A13F9">
            <w:pPr>
              <w:keepNext/>
              <w:rPr>
                <w:szCs w:val="22"/>
              </w:rPr>
            </w:pPr>
            <w:r>
              <w:rPr>
                <w:szCs w:val="22"/>
              </w:rPr>
              <w:t>8</w:t>
            </w:r>
            <w:r w:rsidRPr="0063119B">
              <w:rPr>
                <w:szCs w:val="22"/>
              </w:rPr>
              <w:t>,</w:t>
            </w:r>
            <w:r>
              <w:rPr>
                <w:szCs w:val="22"/>
              </w:rPr>
              <w:t>38</w:t>
            </w:r>
            <w:r w:rsidRPr="0063119B">
              <w:rPr>
                <w:szCs w:val="22"/>
              </w:rPr>
              <w:t xml:space="preserve"> por 100 doente</w:t>
            </w:r>
            <w:r>
              <w:rPr>
                <w:szCs w:val="22"/>
              </w:rPr>
              <w:t>s-ano</w:t>
            </w:r>
            <w:r w:rsidRPr="003848C1">
              <w:rPr>
                <w:szCs w:val="22"/>
                <w:vertAlign w:val="superscript"/>
              </w:rPr>
              <w:t>#</w:t>
            </w:r>
          </w:p>
        </w:tc>
        <w:tc>
          <w:tcPr>
            <w:tcW w:w="2126" w:type="dxa"/>
            <w:tcBorders>
              <w:bottom w:val="single" w:sz="4" w:space="0" w:color="auto"/>
            </w:tcBorders>
          </w:tcPr>
          <w:p w14:paraId="3617B4A8" w14:textId="77777777" w:rsidR="004A13F9" w:rsidRPr="0063119B" w:rsidRDefault="004A13F9" w:rsidP="004A13F9">
            <w:pPr>
              <w:keepNext/>
              <w:rPr>
                <w:szCs w:val="22"/>
              </w:rPr>
            </w:pPr>
            <w:r>
              <w:rPr>
                <w:szCs w:val="22"/>
              </w:rPr>
              <w:t>0</w:t>
            </w:r>
            <w:r w:rsidRPr="0063119B">
              <w:rPr>
                <w:szCs w:val="22"/>
              </w:rPr>
              <w:t>,7</w:t>
            </w:r>
            <w:r>
              <w:rPr>
                <w:szCs w:val="22"/>
              </w:rPr>
              <w:t>4</w:t>
            </w:r>
            <w:r w:rsidRPr="0063119B">
              <w:rPr>
                <w:szCs w:val="22"/>
              </w:rPr>
              <w:t xml:space="preserve"> por 100 doente</w:t>
            </w:r>
            <w:r>
              <w:rPr>
                <w:szCs w:val="22"/>
              </w:rPr>
              <w:t>s-ano***</w:t>
            </w:r>
            <w:r w:rsidRPr="003848C1">
              <w:rPr>
                <w:szCs w:val="22"/>
                <w:vertAlign w:val="superscript"/>
              </w:rPr>
              <w:t>#</w:t>
            </w:r>
          </w:p>
        </w:tc>
      </w:tr>
      <w:tr w:rsidR="0079691A" w:rsidRPr="0063119B" w14:paraId="2B762B18" w14:textId="77777777" w:rsidTr="0056664B">
        <w:tc>
          <w:tcPr>
            <w:tcW w:w="7655" w:type="dxa"/>
            <w:gridSpan w:val="3"/>
            <w:tcBorders>
              <w:top w:val="single" w:sz="4" w:space="0" w:color="auto"/>
              <w:left w:val="nil"/>
              <w:bottom w:val="nil"/>
              <w:right w:val="nil"/>
            </w:tcBorders>
          </w:tcPr>
          <w:p w14:paraId="60C1C5ED" w14:textId="77777777" w:rsidR="0079691A" w:rsidRPr="0063119B" w:rsidRDefault="0079691A" w:rsidP="00D56F59">
            <w:pPr>
              <w:keepNext/>
              <w:tabs>
                <w:tab w:val="left" w:pos="459"/>
              </w:tabs>
              <w:rPr>
                <w:szCs w:val="22"/>
              </w:rPr>
            </w:pPr>
            <w:r w:rsidRPr="0063119B">
              <w:rPr>
                <w:szCs w:val="22"/>
              </w:rPr>
              <w:t>*</w:t>
            </w:r>
            <w:r w:rsidRPr="0063119B">
              <w:rPr>
                <w:szCs w:val="22"/>
              </w:rPr>
              <w:tab/>
              <w:t>Para todos os estudos com rivaroxabano foram recolhidos, notificados e adjudicados todos o</w:t>
            </w:r>
            <w:r w:rsidR="00D56F59" w:rsidRPr="0063119B">
              <w:rPr>
                <w:szCs w:val="22"/>
              </w:rPr>
              <w:t>s acontecimentos hemorrágicos.</w:t>
            </w:r>
          </w:p>
          <w:p w14:paraId="04D2EF17" w14:textId="77777777" w:rsidR="0079691A" w:rsidRDefault="00D56F59" w:rsidP="001B0380">
            <w:pPr>
              <w:keepNext/>
              <w:tabs>
                <w:tab w:val="left" w:pos="459"/>
              </w:tabs>
              <w:rPr>
                <w:szCs w:val="22"/>
              </w:rPr>
            </w:pPr>
            <w:r w:rsidRPr="0063119B">
              <w:rPr>
                <w:szCs w:val="22"/>
              </w:rPr>
              <w:t>**</w:t>
            </w:r>
            <w:r w:rsidR="0079691A" w:rsidRPr="0063119B">
              <w:rPr>
                <w:szCs w:val="22"/>
              </w:rPr>
              <w:tab/>
              <w:t>No estudo COMPASS, existe uma incidência baixa de anemia dado ter sido utilizad</w:t>
            </w:r>
            <w:r w:rsidR="000C3740" w:rsidRPr="0063119B">
              <w:rPr>
                <w:szCs w:val="22"/>
              </w:rPr>
              <w:t>a</w:t>
            </w:r>
            <w:r w:rsidR="0079691A" w:rsidRPr="0063119B">
              <w:rPr>
                <w:szCs w:val="22"/>
              </w:rPr>
              <w:t xml:space="preserve"> um</w:t>
            </w:r>
            <w:r w:rsidR="000C3740" w:rsidRPr="0063119B">
              <w:rPr>
                <w:szCs w:val="22"/>
              </w:rPr>
              <w:t>a</w:t>
            </w:r>
            <w:r w:rsidR="0079691A" w:rsidRPr="0063119B">
              <w:rPr>
                <w:szCs w:val="22"/>
              </w:rPr>
              <w:t xml:space="preserve"> </w:t>
            </w:r>
            <w:r w:rsidR="000C3740" w:rsidRPr="0063119B">
              <w:rPr>
                <w:szCs w:val="22"/>
              </w:rPr>
              <w:t>abordagem</w:t>
            </w:r>
            <w:r w:rsidR="0079691A" w:rsidRPr="0063119B">
              <w:rPr>
                <w:szCs w:val="22"/>
              </w:rPr>
              <w:t xml:space="preserve"> seletiv</w:t>
            </w:r>
            <w:r w:rsidR="000C3740" w:rsidRPr="0063119B">
              <w:rPr>
                <w:szCs w:val="22"/>
              </w:rPr>
              <w:t>a</w:t>
            </w:r>
            <w:r w:rsidR="0079691A" w:rsidRPr="0063119B">
              <w:rPr>
                <w:szCs w:val="22"/>
              </w:rPr>
              <w:t xml:space="preserve"> para recolha de acontecimentos adversos</w:t>
            </w:r>
          </w:p>
          <w:p w14:paraId="2B2AFE9A" w14:textId="77777777" w:rsidR="004A13F9" w:rsidRPr="0063119B" w:rsidRDefault="004A13F9" w:rsidP="001B0380">
            <w:pPr>
              <w:keepNext/>
              <w:tabs>
                <w:tab w:val="left" w:pos="459"/>
              </w:tabs>
              <w:rPr>
                <w:szCs w:val="22"/>
              </w:rPr>
            </w:pPr>
            <w:r>
              <w:rPr>
                <w:szCs w:val="22"/>
              </w:rPr>
              <w:t>***</w:t>
            </w:r>
            <w:r w:rsidRPr="0063119B">
              <w:rPr>
                <w:szCs w:val="22"/>
              </w:rPr>
              <w:tab/>
            </w:r>
            <w:r>
              <w:rPr>
                <w:szCs w:val="22"/>
              </w:rPr>
              <w:t xml:space="preserve"> </w:t>
            </w:r>
            <w:r>
              <w:t>Aplicou-se uma abordagem seletiva para recolha de acontecimentos adversos #</w:t>
            </w:r>
            <w:r w:rsidRPr="0063119B">
              <w:rPr>
                <w:szCs w:val="22"/>
              </w:rPr>
              <w:tab/>
            </w:r>
            <w:r>
              <w:t>Do estudo VOYAGER PAD</w:t>
            </w:r>
          </w:p>
        </w:tc>
      </w:tr>
    </w:tbl>
    <w:p w14:paraId="6F6006B1" w14:textId="77777777" w:rsidR="005B1C7B" w:rsidRPr="0063119B" w:rsidRDefault="005B1C7B" w:rsidP="005B1C7B">
      <w:pPr>
        <w:rPr>
          <w:b/>
          <w:szCs w:val="22"/>
        </w:rPr>
      </w:pPr>
    </w:p>
    <w:p w14:paraId="51ED9F5F" w14:textId="77777777" w:rsidR="005B1C7B" w:rsidRPr="0063119B" w:rsidRDefault="005B1C7B" w:rsidP="005B1C7B">
      <w:pPr>
        <w:rPr>
          <w:szCs w:val="22"/>
        </w:rPr>
      </w:pPr>
      <w:r w:rsidRPr="0063119B">
        <w:rPr>
          <w:szCs w:val="22"/>
          <w:u w:val="single"/>
        </w:rPr>
        <w:t>Lista tabelada de reações adversas</w:t>
      </w:r>
    </w:p>
    <w:p w14:paraId="2407EF15" w14:textId="77777777" w:rsidR="00C659F3" w:rsidRPr="0063119B" w:rsidRDefault="00C659F3" w:rsidP="005B1C7B">
      <w:pPr>
        <w:suppressAutoHyphens/>
        <w:rPr>
          <w:szCs w:val="22"/>
        </w:rPr>
      </w:pPr>
    </w:p>
    <w:p w14:paraId="5F6BBDDC" w14:textId="77777777" w:rsidR="005B1C7B" w:rsidRPr="0063119B" w:rsidRDefault="005B1C7B" w:rsidP="005B1C7B">
      <w:pPr>
        <w:suppressAutoHyphens/>
        <w:rPr>
          <w:szCs w:val="22"/>
        </w:rPr>
      </w:pPr>
      <w:r w:rsidRPr="0063119B">
        <w:rPr>
          <w:szCs w:val="22"/>
        </w:rPr>
        <w:t xml:space="preserve">As frequências de reações adversas notificadas com </w:t>
      </w:r>
      <w:r w:rsidR="00C659F3" w:rsidRPr="0063119B">
        <w:rPr>
          <w:szCs w:val="22"/>
        </w:rPr>
        <w:t>o r</w:t>
      </w:r>
      <w:r w:rsidR="00754E0E" w:rsidRPr="0063119B">
        <w:rPr>
          <w:szCs w:val="22"/>
        </w:rPr>
        <w:t>ivaroxaban</w:t>
      </w:r>
      <w:r w:rsidR="00C659F3" w:rsidRPr="0063119B">
        <w:rPr>
          <w:szCs w:val="22"/>
        </w:rPr>
        <w:t>o</w:t>
      </w:r>
      <w:r w:rsidRPr="0063119B">
        <w:rPr>
          <w:szCs w:val="22"/>
        </w:rPr>
        <w:t xml:space="preserve"> </w:t>
      </w:r>
      <w:r w:rsidR="00537631">
        <w:rPr>
          <w:szCs w:val="22"/>
        </w:rPr>
        <w:t xml:space="preserve">em doentes adultos e pediátricos </w:t>
      </w:r>
      <w:r w:rsidRPr="0063119B">
        <w:rPr>
          <w:szCs w:val="22"/>
        </w:rPr>
        <w:t xml:space="preserve">estão resumidas abaixo no </w:t>
      </w:r>
      <w:r w:rsidR="00B37008" w:rsidRPr="0063119B">
        <w:rPr>
          <w:szCs w:val="22"/>
        </w:rPr>
        <w:t>Q</w:t>
      </w:r>
      <w:r w:rsidRPr="0063119B">
        <w:rPr>
          <w:szCs w:val="22"/>
        </w:rPr>
        <w:t>uadro </w:t>
      </w:r>
      <w:r w:rsidR="009A48E2" w:rsidRPr="0063119B">
        <w:rPr>
          <w:szCs w:val="22"/>
        </w:rPr>
        <w:t>3</w:t>
      </w:r>
      <w:r w:rsidRPr="0063119B">
        <w:rPr>
          <w:szCs w:val="22"/>
        </w:rPr>
        <w:t xml:space="preserve"> por classe de sistemas de órgãos (classificação MedDRA) e por frequência.</w:t>
      </w:r>
    </w:p>
    <w:p w14:paraId="435F9AD5" w14:textId="77777777" w:rsidR="005B1C7B" w:rsidRPr="0063119B" w:rsidRDefault="005B1C7B" w:rsidP="005B1C7B">
      <w:pPr>
        <w:suppressAutoHyphens/>
        <w:rPr>
          <w:b/>
          <w:noProof/>
          <w:szCs w:val="22"/>
        </w:rPr>
      </w:pPr>
    </w:p>
    <w:p w14:paraId="45C3A529" w14:textId="77777777" w:rsidR="005B1C7B" w:rsidRPr="0063119B" w:rsidRDefault="005B1C7B" w:rsidP="005B1C7B">
      <w:pPr>
        <w:suppressAutoHyphens/>
        <w:jc w:val="both"/>
        <w:rPr>
          <w:noProof/>
          <w:szCs w:val="22"/>
        </w:rPr>
      </w:pPr>
      <w:r w:rsidRPr="0063119B">
        <w:rPr>
          <w:noProof/>
          <w:szCs w:val="22"/>
        </w:rPr>
        <w:t>As frequências são definidas como:</w:t>
      </w:r>
    </w:p>
    <w:p w14:paraId="7DA3F02E" w14:textId="77777777" w:rsidR="005B1C7B" w:rsidRPr="0063119B" w:rsidRDefault="005B1C7B" w:rsidP="005B1C7B">
      <w:pPr>
        <w:suppressAutoHyphens/>
        <w:jc w:val="both"/>
        <w:rPr>
          <w:szCs w:val="22"/>
        </w:rPr>
      </w:pPr>
      <w:r w:rsidRPr="0063119B">
        <w:rPr>
          <w:noProof/>
          <w:szCs w:val="22"/>
        </w:rPr>
        <w:t>muito frequentes (≥ 1/10</w:t>
      </w:r>
      <w:r w:rsidRPr="0063119B">
        <w:rPr>
          <w:szCs w:val="22"/>
        </w:rPr>
        <w:t xml:space="preserve">) </w:t>
      </w:r>
    </w:p>
    <w:p w14:paraId="15421032" w14:textId="77777777" w:rsidR="005B1C7B" w:rsidRPr="0063119B" w:rsidRDefault="005B1C7B" w:rsidP="005B1C7B">
      <w:pPr>
        <w:suppressAutoHyphens/>
        <w:jc w:val="both"/>
        <w:rPr>
          <w:noProof/>
          <w:szCs w:val="22"/>
        </w:rPr>
      </w:pPr>
      <w:r w:rsidRPr="0063119B">
        <w:rPr>
          <w:noProof/>
          <w:szCs w:val="22"/>
        </w:rPr>
        <w:t>frequentes (≥ 1/100, &lt; 1/10)</w:t>
      </w:r>
    </w:p>
    <w:p w14:paraId="22740ED4" w14:textId="77777777" w:rsidR="005B1C7B" w:rsidRPr="0063119B" w:rsidRDefault="005B1C7B" w:rsidP="005B1C7B">
      <w:pPr>
        <w:suppressAutoHyphens/>
        <w:jc w:val="both"/>
        <w:rPr>
          <w:noProof/>
          <w:szCs w:val="22"/>
        </w:rPr>
      </w:pPr>
      <w:r w:rsidRPr="0063119B">
        <w:rPr>
          <w:noProof/>
          <w:szCs w:val="22"/>
        </w:rPr>
        <w:t>pouco frequentes (≥ 1/1.000, &lt; 1/100)</w:t>
      </w:r>
    </w:p>
    <w:p w14:paraId="5969AB7D" w14:textId="77777777" w:rsidR="005B1C7B" w:rsidRPr="0063119B" w:rsidRDefault="005B1C7B" w:rsidP="005B1C7B">
      <w:pPr>
        <w:suppressAutoHyphens/>
        <w:jc w:val="both"/>
        <w:rPr>
          <w:noProof/>
          <w:szCs w:val="22"/>
        </w:rPr>
      </w:pPr>
      <w:r w:rsidRPr="0063119B">
        <w:rPr>
          <w:noProof/>
          <w:szCs w:val="22"/>
        </w:rPr>
        <w:t>raros (≥ 1/10.000, &lt; 1/1.000)</w:t>
      </w:r>
    </w:p>
    <w:p w14:paraId="45E4B765" w14:textId="77777777" w:rsidR="005B1C7B" w:rsidRPr="0063119B" w:rsidRDefault="005B1C7B" w:rsidP="005B1C7B">
      <w:pPr>
        <w:suppressAutoHyphens/>
        <w:jc w:val="both"/>
        <w:rPr>
          <w:noProof/>
          <w:szCs w:val="22"/>
        </w:rPr>
      </w:pPr>
      <w:r w:rsidRPr="0063119B">
        <w:rPr>
          <w:noProof/>
          <w:szCs w:val="22"/>
        </w:rPr>
        <w:t>muito raros (&lt; 1/10.000)</w:t>
      </w:r>
    </w:p>
    <w:p w14:paraId="725C877D" w14:textId="77777777" w:rsidR="005B1C7B" w:rsidRPr="0063119B" w:rsidRDefault="005B1C7B" w:rsidP="005B1C7B">
      <w:pPr>
        <w:suppressAutoHyphens/>
        <w:rPr>
          <w:noProof/>
          <w:szCs w:val="22"/>
        </w:rPr>
      </w:pPr>
      <w:r w:rsidRPr="0063119B">
        <w:rPr>
          <w:noProof/>
          <w:szCs w:val="22"/>
        </w:rPr>
        <w:t>desconhecido (não pode ser calculada a partir dos dados disponíveis)</w:t>
      </w:r>
    </w:p>
    <w:p w14:paraId="62C6B288" w14:textId="77777777" w:rsidR="005B1C7B" w:rsidRPr="0063119B" w:rsidRDefault="005B1C7B" w:rsidP="005B1C7B">
      <w:pPr>
        <w:rPr>
          <w:b/>
          <w:szCs w:val="22"/>
        </w:rPr>
      </w:pPr>
    </w:p>
    <w:p w14:paraId="7BBBE970" w14:textId="6E3785B7" w:rsidR="005B1C7B" w:rsidRDefault="005B1C7B" w:rsidP="005B1C7B">
      <w:pPr>
        <w:rPr>
          <w:b/>
          <w:bCs/>
          <w:szCs w:val="22"/>
        </w:rPr>
      </w:pPr>
      <w:r w:rsidRPr="0063119B">
        <w:rPr>
          <w:b/>
          <w:szCs w:val="22"/>
        </w:rPr>
        <w:t>Quadro </w:t>
      </w:r>
      <w:r w:rsidR="009A48E2" w:rsidRPr="0063119B">
        <w:rPr>
          <w:b/>
          <w:szCs w:val="22"/>
        </w:rPr>
        <w:t>3</w:t>
      </w:r>
      <w:r w:rsidRPr="0063119B">
        <w:rPr>
          <w:b/>
          <w:szCs w:val="22"/>
        </w:rPr>
        <w:t xml:space="preserve">: </w:t>
      </w:r>
      <w:r w:rsidR="00600004" w:rsidRPr="0063119B">
        <w:rPr>
          <w:b/>
          <w:szCs w:val="22"/>
        </w:rPr>
        <w:t>Todas as reações adversas notificadas em doentes</w:t>
      </w:r>
      <w:r w:rsidR="00BB04BB">
        <w:rPr>
          <w:b/>
          <w:szCs w:val="22"/>
        </w:rPr>
        <w:t xml:space="preserve"> adultos</w:t>
      </w:r>
      <w:r w:rsidR="00600004" w:rsidRPr="0063119B">
        <w:rPr>
          <w:b/>
          <w:szCs w:val="22"/>
        </w:rPr>
        <w:t xml:space="preserve"> em </w:t>
      </w:r>
      <w:r w:rsidR="00BB04BB">
        <w:rPr>
          <w:b/>
          <w:szCs w:val="22"/>
        </w:rPr>
        <w:t>estudos</w:t>
      </w:r>
      <w:r w:rsidR="00600004" w:rsidRPr="0063119B">
        <w:rPr>
          <w:b/>
          <w:szCs w:val="22"/>
        </w:rPr>
        <w:t xml:space="preserve"> clínicos de fase III ou por utilização pós-comercialização</w:t>
      </w:r>
      <w:r w:rsidR="0033041F" w:rsidRPr="0063119B">
        <w:rPr>
          <w:b/>
          <w:szCs w:val="22"/>
        </w:rPr>
        <w:t>*</w:t>
      </w:r>
      <w:r w:rsidR="00BB04BB">
        <w:rPr>
          <w:b/>
          <w:szCs w:val="22"/>
        </w:rPr>
        <w:t xml:space="preserve"> </w:t>
      </w:r>
      <w:r w:rsidR="00BB04BB">
        <w:rPr>
          <w:b/>
          <w:bCs/>
          <w:szCs w:val="22"/>
        </w:rPr>
        <w:t xml:space="preserve">e em dois estudos de fase II e </w:t>
      </w:r>
      <w:r w:rsidR="00EE3EE0">
        <w:rPr>
          <w:b/>
          <w:bCs/>
          <w:szCs w:val="22"/>
        </w:rPr>
        <w:t xml:space="preserve">dois </w:t>
      </w:r>
      <w:r w:rsidR="00BB04BB">
        <w:rPr>
          <w:b/>
          <w:bCs/>
          <w:szCs w:val="22"/>
        </w:rPr>
        <w:t>estudo</w:t>
      </w:r>
      <w:r w:rsidR="00EE3EE0">
        <w:rPr>
          <w:b/>
          <w:bCs/>
          <w:szCs w:val="22"/>
        </w:rPr>
        <w:t>s</w:t>
      </w:r>
      <w:r w:rsidR="00BB04BB">
        <w:rPr>
          <w:b/>
          <w:bCs/>
          <w:szCs w:val="22"/>
        </w:rPr>
        <w:t xml:space="preserve"> de fase III em doentes pediátricos</w:t>
      </w:r>
    </w:p>
    <w:p w14:paraId="72F76C50" w14:textId="77777777" w:rsidR="00BB04BB" w:rsidRPr="0063119B" w:rsidRDefault="00BB04BB" w:rsidP="005B1C7B">
      <w:pPr>
        <w:rPr>
          <w:noProof/>
          <w:szCs w:val="22"/>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22"/>
        <w:gridCol w:w="1756"/>
        <w:gridCol w:w="1842"/>
        <w:gridCol w:w="1841"/>
      </w:tblGrid>
      <w:tr w:rsidR="00600004" w:rsidRPr="0063119B" w14:paraId="6B2D0BF8" w14:textId="77777777" w:rsidTr="006A13A4">
        <w:trPr>
          <w:tblHeader/>
        </w:trPr>
        <w:tc>
          <w:tcPr>
            <w:tcW w:w="1942" w:type="dxa"/>
          </w:tcPr>
          <w:p w14:paraId="1903385E" w14:textId="77777777" w:rsidR="00600004" w:rsidRPr="0063119B" w:rsidRDefault="00600004" w:rsidP="00A17B2C">
            <w:pPr>
              <w:suppressAutoHyphens/>
              <w:rPr>
                <w:b/>
                <w:noProof/>
                <w:szCs w:val="22"/>
              </w:rPr>
            </w:pPr>
            <w:r w:rsidRPr="0063119B">
              <w:rPr>
                <w:b/>
                <w:noProof/>
                <w:szCs w:val="22"/>
              </w:rPr>
              <w:t>Frequentes</w:t>
            </w:r>
          </w:p>
          <w:p w14:paraId="2B963901" w14:textId="77777777" w:rsidR="00600004" w:rsidRPr="0063119B" w:rsidRDefault="00600004" w:rsidP="00A17B2C">
            <w:pPr>
              <w:suppressAutoHyphens/>
              <w:rPr>
                <w:noProof/>
                <w:szCs w:val="22"/>
              </w:rPr>
            </w:pPr>
          </w:p>
        </w:tc>
        <w:tc>
          <w:tcPr>
            <w:tcW w:w="1970" w:type="dxa"/>
          </w:tcPr>
          <w:p w14:paraId="3D15A073" w14:textId="77777777" w:rsidR="00600004" w:rsidRPr="0063119B" w:rsidRDefault="00600004" w:rsidP="00A17B2C">
            <w:pPr>
              <w:suppressAutoHyphens/>
              <w:rPr>
                <w:b/>
                <w:noProof/>
                <w:szCs w:val="22"/>
              </w:rPr>
            </w:pPr>
            <w:r w:rsidRPr="0063119B">
              <w:rPr>
                <w:b/>
                <w:noProof/>
                <w:szCs w:val="22"/>
              </w:rPr>
              <w:t>Pouco frequentes</w:t>
            </w:r>
          </w:p>
          <w:p w14:paraId="01B92164" w14:textId="77777777" w:rsidR="00600004" w:rsidRPr="0063119B" w:rsidRDefault="00600004" w:rsidP="00A17B2C">
            <w:pPr>
              <w:suppressAutoHyphens/>
              <w:rPr>
                <w:noProof/>
                <w:szCs w:val="22"/>
              </w:rPr>
            </w:pPr>
          </w:p>
        </w:tc>
        <w:tc>
          <w:tcPr>
            <w:tcW w:w="1756" w:type="dxa"/>
          </w:tcPr>
          <w:p w14:paraId="3642A2FD" w14:textId="77777777" w:rsidR="00600004" w:rsidRPr="0063119B" w:rsidRDefault="00600004" w:rsidP="00A17B2C">
            <w:pPr>
              <w:suppressAutoHyphens/>
              <w:rPr>
                <w:b/>
                <w:noProof/>
                <w:szCs w:val="22"/>
              </w:rPr>
            </w:pPr>
            <w:r w:rsidRPr="0063119B">
              <w:rPr>
                <w:b/>
                <w:noProof/>
                <w:szCs w:val="22"/>
              </w:rPr>
              <w:t>Raros</w:t>
            </w:r>
          </w:p>
          <w:p w14:paraId="35739D74" w14:textId="77777777" w:rsidR="00600004" w:rsidRPr="0063119B" w:rsidRDefault="00600004" w:rsidP="00A17B2C">
            <w:pPr>
              <w:suppressAutoHyphens/>
              <w:rPr>
                <w:noProof/>
                <w:szCs w:val="22"/>
              </w:rPr>
            </w:pPr>
          </w:p>
        </w:tc>
        <w:tc>
          <w:tcPr>
            <w:tcW w:w="1767" w:type="dxa"/>
          </w:tcPr>
          <w:p w14:paraId="2F6C37F2" w14:textId="7C869ABB" w:rsidR="00600004" w:rsidRPr="0063119B" w:rsidRDefault="00EE3EE0" w:rsidP="00A17B2C">
            <w:pPr>
              <w:suppressAutoHyphens/>
              <w:rPr>
                <w:b/>
                <w:noProof/>
                <w:szCs w:val="22"/>
              </w:rPr>
            </w:pPr>
            <w:r>
              <w:rPr>
                <w:b/>
                <w:noProof/>
                <w:szCs w:val="22"/>
              </w:rPr>
              <w:t>Muito raros</w:t>
            </w:r>
          </w:p>
        </w:tc>
        <w:tc>
          <w:tcPr>
            <w:tcW w:w="1841" w:type="dxa"/>
          </w:tcPr>
          <w:p w14:paraId="65AAF95B" w14:textId="77777777" w:rsidR="00600004" w:rsidRPr="0063119B" w:rsidRDefault="00600004" w:rsidP="00A17B2C">
            <w:pPr>
              <w:suppressAutoHyphens/>
              <w:rPr>
                <w:b/>
                <w:noProof/>
                <w:szCs w:val="22"/>
                <w:vertAlign w:val="superscript"/>
              </w:rPr>
            </w:pPr>
            <w:r w:rsidRPr="0063119B">
              <w:rPr>
                <w:b/>
                <w:noProof/>
                <w:szCs w:val="22"/>
              </w:rPr>
              <w:t>Desconhecido</w:t>
            </w:r>
          </w:p>
        </w:tc>
      </w:tr>
      <w:tr w:rsidR="00600004" w:rsidRPr="0063119B" w14:paraId="544AEDAA" w14:textId="77777777" w:rsidTr="00D733A1">
        <w:tc>
          <w:tcPr>
            <w:tcW w:w="5668" w:type="dxa"/>
            <w:gridSpan w:val="3"/>
          </w:tcPr>
          <w:p w14:paraId="3A312939" w14:textId="77777777" w:rsidR="00600004" w:rsidRPr="0063119B" w:rsidRDefault="00600004" w:rsidP="00A17B2C">
            <w:pPr>
              <w:suppressAutoHyphens/>
              <w:rPr>
                <w:b/>
                <w:noProof/>
                <w:szCs w:val="22"/>
              </w:rPr>
            </w:pPr>
            <w:r w:rsidRPr="0063119B">
              <w:rPr>
                <w:b/>
                <w:noProof/>
                <w:szCs w:val="22"/>
              </w:rPr>
              <w:t>Doenças do sangue e do sistema linfático</w:t>
            </w:r>
          </w:p>
        </w:tc>
        <w:tc>
          <w:tcPr>
            <w:tcW w:w="1767" w:type="dxa"/>
          </w:tcPr>
          <w:p w14:paraId="0B073A90" w14:textId="77777777" w:rsidR="00600004" w:rsidRPr="0063119B" w:rsidRDefault="00600004" w:rsidP="00A17B2C">
            <w:pPr>
              <w:suppressAutoHyphens/>
              <w:rPr>
                <w:b/>
                <w:noProof/>
                <w:szCs w:val="22"/>
              </w:rPr>
            </w:pPr>
          </w:p>
        </w:tc>
        <w:tc>
          <w:tcPr>
            <w:tcW w:w="1841" w:type="dxa"/>
          </w:tcPr>
          <w:p w14:paraId="2F5E6B66" w14:textId="77777777" w:rsidR="00600004" w:rsidRPr="0063119B" w:rsidRDefault="00600004" w:rsidP="00A17B2C">
            <w:pPr>
              <w:suppressAutoHyphens/>
              <w:rPr>
                <w:b/>
                <w:noProof/>
                <w:szCs w:val="22"/>
              </w:rPr>
            </w:pPr>
          </w:p>
        </w:tc>
      </w:tr>
      <w:tr w:rsidR="00600004" w:rsidRPr="0063119B" w14:paraId="653D3F5B" w14:textId="77777777" w:rsidTr="00D733A1">
        <w:tc>
          <w:tcPr>
            <w:tcW w:w="1942" w:type="dxa"/>
          </w:tcPr>
          <w:p w14:paraId="598C62C8" w14:textId="77777777" w:rsidR="00600004" w:rsidRPr="0063119B" w:rsidRDefault="00600004" w:rsidP="00A17B2C">
            <w:pPr>
              <w:suppressAutoHyphens/>
              <w:rPr>
                <w:b/>
                <w:noProof/>
                <w:szCs w:val="22"/>
              </w:rPr>
            </w:pPr>
            <w:r w:rsidRPr="0063119B">
              <w:rPr>
                <w:noProof/>
                <w:szCs w:val="22"/>
              </w:rPr>
              <w:t>Anemia (incl. parâmetros laboratoriais respetivos)</w:t>
            </w:r>
          </w:p>
        </w:tc>
        <w:tc>
          <w:tcPr>
            <w:tcW w:w="1970" w:type="dxa"/>
          </w:tcPr>
          <w:p w14:paraId="79B66C31" w14:textId="77777777" w:rsidR="00600004" w:rsidRPr="0063119B" w:rsidRDefault="00600004" w:rsidP="009A48E2">
            <w:pPr>
              <w:suppressAutoHyphens/>
              <w:rPr>
                <w:noProof/>
                <w:szCs w:val="22"/>
              </w:rPr>
            </w:pPr>
            <w:r w:rsidRPr="0063119B">
              <w:rPr>
                <w:noProof/>
                <w:szCs w:val="22"/>
              </w:rPr>
              <w:t>Trombocitose (incl. aumento da contagem de plaquetas)</w:t>
            </w:r>
            <w:r w:rsidRPr="0063119B">
              <w:rPr>
                <w:noProof/>
                <w:szCs w:val="22"/>
                <w:vertAlign w:val="superscript"/>
              </w:rPr>
              <w:t>A</w:t>
            </w:r>
            <w:r w:rsidRPr="0063119B">
              <w:rPr>
                <w:noProof/>
                <w:szCs w:val="22"/>
              </w:rPr>
              <w:t>,</w:t>
            </w:r>
          </w:p>
          <w:p w14:paraId="66619653" w14:textId="77777777" w:rsidR="00600004" w:rsidRPr="0063119B" w:rsidRDefault="00600004" w:rsidP="009A48E2">
            <w:pPr>
              <w:suppressAutoHyphens/>
              <w:rPr>
                <w:b/>
                <w:noProof/>
                <w:szCs w:val="22"/>
              </w:rPr>
            </w:pPr>
            <w:r w:rsidRPr="0063119B">
              <w:rPr>
                <w:noProof/>
                <w:szCs w:val="22"/>
              </w:rPr>
              <w:t>Trombocitopenia</w:t>
            </w:r>
          </w:p>
        </w:tc>
        <w:tc>
          <w:tcPr>
            <w:tcW w:w="1756" w:type="dxa"/>
          </w:tcPr>
          <w:p w14:paraId="48D0D82D" w14:textId="77777777" w:rsidR="00600004" w:rsidRPr="0063119B" w:rsidRDefault="00600004" w:rsidP="00A17B2C">
            <w:pPr>
              <w:suppressAutoHyphens/>
              <w:rPr>
                <w:b/>
                <w:noProof/>
                <w:szCs w:val="22"/>
              </w:rPr>
            </w:pPr>
          </w:p>
        </w:tc>
        <w:tc>
          <w:tcPr>
            <w:tcW w:w="1767" w:type="dxa"/>
          </w:tcPr>
          <w:p w14:paraId="0F021104" w14:textId="77777777" w:rsidR="00600004" w:rsidRPr="0063119B" w:rsidRDefault="00600004" w:rsidP="00A17B2C">
            <w:pPr>
              <w:suppressAutoHyphens/>
              <w:rPr>
                <w:b/>
                <w:noProof/>
                <w:szCs w:val="22"/>
              </w:rPr>
            </w:pPr>
          </w:p>
        </w:tc>
        <w:tc>
          <w:tcPr>
            <w:tcW w:w="1841" w:type="dxa"/>
          </w:tcPr>
          <w:p w14:paraId="5D5371AF" w14:textId="77777777" w:rsidR="00600004" w:rsidRPr="0063119B" w:rsidRDefault="00600004" w:rsidP="00A17B2C">
            <w:pPr>
              <w:suppressAutoHyphens/>
              <w:rPr>
                <w:b/>
                <w:noProof/>
                <w:szCs w:val="22"/>
              </w:rPr>
            </w:pPr>
          </w:p>
        </w:tc>
      </w:tr>
      <w:tr w:rsidR="00600004" w:rsidRPr="0063119B" w14:paraId="43079E60" w14:textId="77777777" w:rsidTr="00D733A1">
        <w:tc>
          <w:tcPr>
            <w:tcW w:w="5668" w:type="dxa"/>
            <w:gridSpan w:val="3"/>
          </w:tcPr>
          <w:p w14:paraId="79B47EC4" w14:textId="77777777" w:rsidR="00600004" w:rsidRPr="0063119B" w:rsidRDefault="00600004" w:rsidP="00A17B2C">
            <w:pPr>
              <w:suppressAutoHyphens/>
              <w:rPr>
                <w:b/>
                <w:noProof/>
                <w:szCs w:val="22"/>
              </w:rPr>
            </w:pPr>
            <w:r w:rsidRPr="0063119B">
              <w:rPr>
                <w:b/>
                <w:noProof/>
                <w:szCs w:val="22"/>
              </w:rPr>
              <w:t>Doenças do sistema imunitário</w:t>
            </w:r>
          </w:p>
        </w:tc>
        <w:tc>
          <w:tcPr>
            <w:tcW w:w="1767" w:type="dxa"/>
          </w:tcPr>
          <w:p w14:paraId="1C7016F2" w14:textId="77777777" w:rsidR="00600004" w:rsidRPr="0063119B" w:rsidRDefault="00600004" w:rsidP="00A17B2C">
            <w:pPr>
              <w:suppressAutoHyphens/>
              <w:rPr>
                <w:b/>
                <w:noProof/>
                <w:szCs w:val="22"/>
              </w:rPr>
            </w:pPr>
          </w:p>
        </w:tc>
        <w:tc>
          <w:tcPr>
            <w:tcW w:w="1841" w:type="dxa"/>
          </w:tcPr>
          <w:p w14:paraId="132D1191" w14:textId="77777777" w:rsidR="00600004" w:rsidRPr="0063119B" w:rsidRDefault="00600004" w:rsidP="00A17B2C">
            <w:pPr>
              <w:suppressAutoHyphens/>
              <w:rPr>
                <w:b/>
                <w:noProof/>
                <w:szCs w:val="22"/>
              </w:rPr>
            </w:pPr>
          </w:p>
        </w:tc>
      </w:tr>
      <w:tr w:rsidR="00600004" w:rsidRPr="0063119B" w14:paraId="2092FC4D" w14:textId="77777777" w:rsidTr="00D733A1">
        <w:tc>
          <w:tcPr>
            <w:tcW w:w="1942" w:type="dxa"/>
          </w:tcPr>
          <w:p w14:paraId="16539348" w14:textId="77777777" w:rsidR="00600004" w:rsidRPr="0063119B" w:rsidRDefault="00600004" w:rsidP="00A17B2C">
            <w:pPr>
              <w:suppressAutoHyphens/>
              <w:rPr>
                <w:b/>
                <w:noProof/>
                <w:szCs w:val="22"/>
              </w:rPr>
            </w:pPr>
          </w:p>
        </w:tc>
        <w:tc>
          <w:tcPr>
            <w:tcW w:w="1970" w:type="dxa"/>
          </w:tcPr>
          <w:p w14:paraId="1F45F2CC" w14:textId="77777777" w:rsidR="00600004" w:rsidRPr="0063119B" w:rsidRDefault="00600004" w:rsidP="00A17B2C">
            <w:pPr>
              <w:suppressAutoHyphens/>
              <w:rPr>
                <w:noProof/>
                <w:szCs w:val="22"/>
              </w:rPr>
            </w:pPr>
            <w:r w:rsidRPr="0063119B">
              <w:rPr>
                <w:noProof/>
                <w:szCs w:val="22"/>
              </w:rPr>
              <w:t>Reação alérgica, dermatite alérgica,</w:t>
            </w:r>
          </w:p>
          <w:p w14:paraId="59803414" w14:textId="77777777" w:rsidR="00600004" w:rsidRPr="0063119B" w:rsidRDefault="00600004" w:rsidP="00A17B2C">
            <w:pPr>
              <w:suppressAutoHyphens/>
              <w:rPr>
                <w:b/>
                <w:noProof/>
                <w:szCs w:val="22"/>
              </w:rPr>
            </w:pPr>
            <w:r w:rsidRPr="0063119B">
              <w:rPr>
                <w:noProof/>
                <w:szCs w:val="22"/>
              </w:rPr>
              <w:t>Angiodema e edema alérgico</w:t>
            </w:r>
          </w:p>
        </w:tc>
        <w:tc>
          <w:tcPr>
            <w:tcW w:w="1756" w:type="dxa"/>
          </w:tcPr>
          <w:p w14:paraId="265AD768" w14:textId="77777777" w:rsidR="00600004" w:rsidRPr="0063119B" w:rsidRDefault="00600004" w:rsidP="00A17B2C">
            <w:pPr>
              <w:suppressAutoHyphens/>
              <w:rPr>
                <w:b/>
                <w:noProof/>
                <w:szCs w:val="22"/>
              </w:rPr>
            </w:pPr>
          </w:p>
        </w:tc>
        <w:tc>
          <w:tcPr>
            <w:tcW w:w="1767" w:type="dxa"/>
          </w:tcPr>
          <w:p w14:paraId="06067917" w14:textId="77777777" w:rsidR="00600004" w:rsidRPr="0063119B" w:rsidRDefault="00600004" w:rsidP="00A17B2C">
            <w:pPr>
              <w:suppressAutoHyphens/>
              <w:rPr>
                <w:b/>
                <w:noProof/>
                <w:szCs w:val="22"/>
              </w:rPr>
            </w:pPr>
            <w:r w:rsidRPr="0063119B">
              <w:rPr>
                <w:szCs w:val="22"/>
              </w:rPr>
              <w:t>Reações anafiláticas, incluindo choque anafilático</w:t>
            </w:r>
          </w:p>
        </w:tc>
        <w:tc>
          <w:tcPr>
            <w:tcW w:w="1841" w:type="dxa"/>
          </w:tcPr>
          <w:p w14:paraId="416025B2" w14:textId="77777777" w:rsidR="00600004" w:rsidRPr="0063119B" w:rsidRDefault="00600004" w:rsidP="00A17B2C">
            <w:pPr>
              <w:suppressAutoHyphens/>
              <w:rPr>
                <w:b/>
                <w:noProof/>
                <w:szCs w:val="22"/>
              </w:rPr>
            </w:pPr>
          </w:p>
        </w:tc>
      </w:tr>
      <w:tr w:rsidR="00600004" w:rsidRPr="0063119B" w14:paraId="4ABB1DA1" w14:textId="77777777" w:rsidTr="00D733A1">
        <w:tc>
          <w:tcPr>
            <w:tcW w:w="5668" w:type="dxa"/>
            <w:gridSpan w:val="3"/>
          </w:tcPr>
          <w:p w14:paraId="41E5D942" w14:textId="77777777" w:rsidR="00600004" w:rsidRPr="0063119B" w:rsidRDefault="00600004" w:rsidP="00A17B2C">
            <w:pPr>
              <w:suppressAutoHyphens/>
              <w:rPr>
                <w:noProof/>
                <w:szCs w:val="22"/>
              </w:rPr>
            </w:pPr>
            <w:r w:rsidRPr="0063119B">
              <w:rPr>
                <w:b/>
                <w:noProof/>
                <w:szCs w:val="22"/>
              </w:rPr>
              <w:t>Doenças do sistema nervoso</w:t>
            </w:r>
          </w:p>
        </w:tc>
        <w:tc>
          <w:tcPr>
            <w:tcW w:w="1767" w:type="dxa"/>
          </w:tcPr>
          <w:p w14:paraId="29CC972A" w14:textId="77777777" w:rsidR="00600004" w:rsidRPr="0063119B" w:rsidRDefault="00600004" w:rsidP="00A17B2C">
            <w:pPr>
              <w:suppressAutoHyphens/>
              <w:rPr>
                <w:noProof/>
                <w:szCs w:val="22"/>
              </w:rPr>
            </w:pPr>
          </w:p>
        </w:tc>
        <w:tc>
          <w:tcPr>
            <w:tcW w:w="1841" w:type="dxa"/>
          </w:tcPr>
          <w:p w14:paraId="28CFE619" w14:textId="77777777" w:rsidR="00600004" w:rsidRPr="0063119B" w:rsidRDefault="00600004" w:rsidP="00A17B2C">
            <w:pPr>
              <w:suppressAutoHyphens/>
              <w:rPr>
                <w:noProof/>
                <w:szCs w:val="22"/>
              </w:rPr>
            </w:pPr>
          </w:p>
        </w:tc>
      </w:tr>
      <w:tr w:rsidR="00600004" w:rsidRPr="0063119B" w14:paraId="32488224" w14:textId="77777777" w:rsidTr="00D733A1">
        <w:tc>
          <w:tcPr>
            <w:tcW w:w="1951" w:type="dxa"/>
          </w:tcPr>
          <w:p w14:paraId="076C8D72" w14:textId="77777777" w:rsidR="00600004" w:rsidRPr="0063119B" w:rsidRDefault="00600004" w:rsidP="00A17B2C">
            <w:pPr>
              <w:suppressAutoHyphens/>
              <w:rPr>
                <w:b/>
                <w:noProof/>
                <w:szCs w:val="22"/>
              </w:rPr>
            </w:pPr>
            <w:r w:rsidRPr="0063119B">
              <w:rPr>
                <w:noProof/>
                <w:szCs w:val="22"/>
              </w:rPr>
              <w:t>Tonturas, cefaleias</w:t>
            </w:r>
          </w:p>
        </w:tc>
        <w:tc>
          <w:tcPr>
            <w:tcW w:w="1985" w:type="dxa"/>
          </w:tcPr>
          <w:p w14:paraId="6A7B0DBA" w14:textId="77777777" w:rsidR="00600004" w:rsidRPr="0063119B" w:rsidRDefault="00600004" w:rsidP="00A17B2C">
            <w:pPr>
              <w:suppressAutoHyphens/>
              <w:rPr>
                <w:b/>
                <w:noProof/>
                <w:szCs w:val="22"/>
              </w:rPr>
            </w:pPr>
            <w:r w:rsidRPr="0063119B">
              <w:rPr>
                <w:noProof/>
                <w:szCs w:val="22"/>
              </w:rPr>
              <w:t>Hemorragia cerebral e intracraniana, síncope</w:t>
            </w:r>
          </w:p>
        </w:tc>
        <w:tc>
          <w:tcPr>
            <w:tcW w:w="1701" w:type="dxa"/>
          </w:tcPr>
          <w:p w14:paraId="0DCA8512" w14:textId="77777777" w:rsidR="00600004" w:rsidRPr="0063119B" w:rsidRDefault="00600004" w:rsidP="00A17B2C">
            <w:pPr>
              <w:suppressAutoHyphens/>
              <w:rPr>
                <w:noProof/>
                <w:szCs w:val="22"/>
              </w:rPr>
            </w:pPr>
          </w:p>
        </w:tc>
        <w:tc>
          <w:tcPr>
            <w:tcW w:w="1798" w:type="dxa"/>
          </w:tcPr>
          <w:p w14:paraId="2D5FB79E" w14:textId="77777777" w:rsidR="00600004" w:rsidRPr="0063119B" w:rsidRDefault="00600004" w:rsidP="00A17B2C">
            <w:pPr>
              <w:suppressAutoHyphens/>
              <w:rPr>
                <w:noProof/>
                <w:szCs w:val="22"/>
              </w:rPr>
            </w:pPr>
          </w:p>
        </w:tc>
        <w:tc>
          <w:tcPr>
            <w:tcW w:w="1841" w:type="dxa"/>
          </w:tcPr>
          <w:p w14:paraId="4C13E517" w14:textId="77777777" w:rsidR="00600004" w:rsidRPr="0063119B" w:rsidRDefault="00600004" w:rsidP="00A17B2C">
            <w:pPr>
              <w:suppressAutoHyphens/>
              <w:rPr>
                <w:noProof/>
                <w:szCs w:val="22"/>
              </w:rPr>
            </w:pPr>
          </w:p>
        </w:tc>
      </w:tr>
      <w:tr w:rsidR="00600004" w:rsidRPr="0063119B" w14:paraId="25A20FEB" w14:textId="77777777" w:rsidTr="00B6417D">
        <w:tc>
          <w:tcPr>
            <w:tcW w:w="9276" w:type="dxa"/>
            <w:gridSpan w:val="5"/>
          </w:tcPr>
          <w:p w14:paraId="22B5704D" w14:textId="77777777" w:rsidR="00600004" w:rsidRPr="0063119B" w:rsidRDefault="00600004" w:rsidP="00A17B2C">
            <w:pPr>
              <w:suppressAutoHyphens/>
              <w:rPr>
                <w:b/>
                <w:noProof/>
                <w:szCs w:val="22"/>
              </w:rPr>
            </w:pPr>
            <w:r w:rsidRPr="0063119B">
              <w:rPr>
                <w:b/>
                <w:noProof/>
                <w:szCs w:val="22"/>
              </w:rPr>
              <w:t>Afeções oculares</w:t>
            </w:r>
          </w:p>
        </w:tc>
      </w:tr>
      <w:tr w:rsidR="00600004" w:rsidRPr="0063119B" w14:paraId="1398EF88" w14:textId="77777777" w:rsidTr="00D733A1">
        <w:tc>
          <w:tcPr>
            <w:tcW w:w="1942" w:type="dxa"/>
          </w:tcPr>
          <w:p w14:paraId="55496AF5" w14:textId="77777777" w:rsidR="00600004" w:rsidRPr="0063119B" w:rsidRDefault="00600004" w:rsidP="00A17B2C">
            <w:pPr>
              <w:suppressAutoHyphens/>
              <w:rPr>
                <w:noProof/>
                <w:szCs w:val="22"/>
              </w:rPr>
            </w:pPr>
            <w:r w:rsidRPr="0063119B">
              <w:rPr>
                <w:noProof/>
                <w:szCs w:val="22"/>
              </w:rPr>
              <w:lastRenderedPageBreak/>
              <w:t>Hemorragia ocular (incl. hemorragia conjuntival)</w:t>
            </w:r>
          </w:p>
        </w:tc>
        <w:tc>
          <w:tcPr>
            <w:tcW w:w="1970" w:type="dxa"/>
          </w:tcPr>
          <w:p w14:paraId="7C9928DE" w14:textId="77777777" w:rsidR="00600004" w:rsidRPr="0063119B" w:rsidRDefault="00600004" w:rsidP="00A17B2C">
            <w:pPr>
              <w:suppressAutoHyphens/>
              <w:rPr>
                <w:b/>
                <w:noProof/>
                <w:szCs w:val="22"/>
              </w:rPr>
            </w:pPr>
          </w:p>
        </w:tc>
        <w:tc>
          <w:tcPr>
            <w:tcW w:w="1756" w:type="dxa"/>
          </w:tcPr>
          <w:p w14:paraId="1AC1D41F" w14:textId="77777777" w:rsidR="00600004" w:rsidRPr="0063119B" w:rsidRDefault="00600004" w:rsidP="00A17B2C">
            <w:pPr>
              <w:suppressAutoHyphens/>
              <w:rPr>
                <w:b/>
                <w:noProof/>
                <w:szCs w:val="22"/>
              </w:rPr>
            </w:pPr>
          </w:p>
        </w:tc>
        <w:tc>
          <w:tcPr>
            <w:tcW w:w="1767" w:type="dxa"/>
          </w:tcPr>
          <w:p w14:paraId="18F36C53" w14:textId="77777777" w:rsidR="00600004" w:rsidRPr="0063119B" w:rsidRDefault="00600004" w:rsidP="00A17B2C">
            <w:pPr>
              <w:suppressAutoHyphens/>
              <w:rPr>
                <w:b/>
                <w:noProof/>
                <w:szCs w:val="22"/>
              </w:rPr>
            </w:pPr>
          </w:p>
        </w:tc>
        <w:tc>
          <w:tcPr>
            <w:tcW w:w="1841" w:type="dxa"/>
          </w:tcPr>
          <w:p w14:paraId="4D8F756F" w14:textId="77777777" w:rsidR="00600004" w:rsidRPr="0063119B" w:rsidRDefault="00600004" w:rsidP="00A17B2C">
            <w:pPr>
              <w:suppressAutoHyphens/>
              <w:rPr>
                <w:b/>
                <w:noProof/>
                <w:szCs w:val="22"/>
              </w:rPr>
            </w:pPr>
          </w:p>
        </w:tc>
      </w:tr>
      <w:tr w:rsidR="00600004" w:rsidRPr="0063119B" w14:paraId="2200A6C7" w14:textId="77777777" w:rsidTr="00D733A1">
        <w:tc>
          <w:tcPr>
            <w:tcW w:w="5668" w:type="dxa"/>
            <w:gridSpan w:val="3"/>
          </w:tcPr>
          <w:p w14:paraId="6D29DD77" w14:textId="77777777" w:rsidR="00600004" w:rsidRPr="0063119B" w:rsidRDefault="00600004" w:rsidP="00A17B2C">
            <w:pPr>
              <w:suppressAutoHyphens/>
              <w:rPr>
                <w:b/>
                <w:noProof/>
                <w:szCs w:val="22"/>
              </w:rPr>
            </w:pPr>
            <w:r w:rsidRPr="0063119B">
              <w:rPr>
                <w:b/>
                <w:noProof/>
                <w:szCs w:val="22"/>
              </w:rPr>
              <w:t>Cardiopatias</w:t>
            </w:r>
          </w:p>
        </w:tc>
        <w:tc>
          <w:tcPr>
            <w:tcW w:w="1767" w:type="dxa"/>
          </w:tcPr>
          <w:p w14:paraId="7A220CBF" w14:textId="77777777" w:rsidR="00600004" w:rsidRPr="0063119B" w:rsidRDefault="00600004" w:rsidP="00A17B2C">
            <w:pPr>
              <w:suppressAutoHyphens/>
              <w:rPr>
                <w:b/>
                <w:noProof/>
                <w:szCs w:val="22"/>
              </w:rPr>
            </w:pPr>
          </w:p>
        </w:tc>
        <w:tc>
          <w:tcPr>
            <w:tcW w:w="1841" w:type="dxa"/>
          </w:tcPr>
          <w:p w14:paraId="074FF898" w14:textId="77777777" w:rsidR="00600004" w:rsidRPr="0063119B" w:rsidRDefault="00600004" w:rsidP="00A17B2C">
            <w:pPr>
              <w:suppressAutoHyphens/>
              <w:rPr>
                <w:b/>
                <w:noProof/>
                <w:szCs w:val="22"/>
              </w:rPr>
            </w:pPr>
          </w:p>
        </w:tc>
      </w:tr>
      <w:tr w:rsidR="00600004" w:rsidRPr="0063119B" w14:paraId="5D45252C" w14:textId="77777777" w:rsidTr="00D733A1">
        <w:tc>
          <w:tcPr>
            <w:tcW w:w="1942" w:type="dxa"/>
          </w:tcPr>
          <w:p w14:paraId="0E0AE5AE" w14:textId="77777777" w:rsidR="00600004" w:rsidRPr="0063119B" w:rsidRDefault="00600004" w:rsidP="00A17B2C">
            <w:pPr>
              <w:suppressAutoHyphens/>
              <w:rPr>
                <w:noProof/>
                <w:szCs w:val="22"/>
              </w:rPr>
            </w:pPr>
          </w:p>
        </w:tc>
        <w:tc>
          <w:tcPr>
            <w:tcW w:w="1970" w:type="dxa"/>
          </w:tcPr>
          <w:p w14:paraId="5319FF54" w14:textId="77777777" w:rsidR="00600004" w:rsidRPr="0063119B" w:rsidRDefault="00600004" w:rsidP="00A17B2C">
            <w:pPr>
              <w:suppressAutoHyphens/>
              <w:rPr>
                <w:noProof/>
                <w:szCs w:val="22"/>
              </w:rPr>
            </w:pPr>
            <w:r w:rsidRPr="0063119B">
              <w:rPr>
                <w:noProof/>
                <w:szCs w:val="22"/>
              </w:rPr>
              <w:t>Taquicardia</w:t>
            </w:r>
          </w:p>
        </w:tc>
        <w:tc>
          <w:tcPr>
            <w:tcW w:w="1756" w:type="dxa"/>
          </w:tcPr>
          <w:p w14:paraId="27651F6C" w14:textId="77777777" w:rsidR="00600004" w:rsidRPr="0063119B" w:rsidRDefault="00600004" w:rsidP="00A17B2C">
            <w:pPr>
              <w:suppressAutoHyphens/>
              <w:rPr>
                <w:noProof/>
                <w:szCs w:val="22"/>
              </w:rPr>
            </w:pPr>
          </w:p>
        </w:tc>
        <w:tc>
          <w:tcPr>
            <w:tcW w:w="1767" w:type="dxa"/>
          </w:tcPr>
          <w:p w14:paraId="6D7326E8" w14:textId="77777777" w:rsidR="00600004" w:rsidRPr="0063119B" w:rsidRDefault="00600004" w:rsidP="00A17B2C">
            <w:pPr>
              <w:suppressAutoHyphens/>
              <w:rPr>
                <w:noProof/>
                <w:szCs w:val="22"/>
              </w:rPr>
            </w:pPr>
          </w:p>
        </w:tc>
        <w:tc>
          <w:tcPr>
            <w:tcW w:w="1841" w:type="dxa"/>
          </w:tcPr>
          <w:p w14:paraId="75A886B8" w14:textId="77777777" w:rsidR="00600004" w:rsidRPr="0063119B" w:rsidRDefault="00600004" w:rsidP="00A17B2C">
            <w:pPr>
              <w:suppressAutoHyphens/>
              <w:rPr>
                <w:noProof/>
                <w:szCs w:val="22"/>
              </w:rPr>
            </w:pPr>
          </w:p>
        </w:tc>
      </w:tr>
      <w:tr w:rsidR="00600004" w:rsidRPr="0063119B" w14:paraId="4C1D986E" w14:textId="77777777" w:rsidTr="00D733A1">
        <w:tc>
          <w:tcPr>
            <w:tcW w:w="5668" w:type="dxa"/>
            <w:gridSpan w:val="3"/>
          </w:tcPr>
          <w:p w14:paraId="40AFEB37" w14:textId="77777777" w:rsidR="00600004" w:rsidRPr="0063119B" w:rsidRDefault="00600004" w:rsidP="00A17B2C">
            <w:pPr>
              <w:suppressAutoHyphens/>
              <w:rPr>
                <w:b/>
                <w:noProof/>
                <w:szCs w:val="22"/>
              </w:rPr>
            </w:pPr>
            <w:r w:rsidRPr="0063119B">
              <w:rPr>
                <w:b/>
                <w:noProof/>
                <w:szCs w:val="22"/>
              </w:rPr>
              <w:t>Vasculopatias</w:t>
            </w:r>
          </w:p>
        </w:tc>
        <w:tc>
          <w:tcPr>
            <w:tcW w:w="1767" w:type="dxa"/>
          </w:tcPr>
          <w:p w14:paraId="37DF7BD7" w14:textId="77777777" w:rsidR="00600004" w:rsidRPr="0063119B" w:rsidRDefault="00600004" w:rsidP="00A17B2C">
            <w:pPr>
              <w:suppressAutoHyphens/>
              <w:rPr>
                <w:b/>
                <w:noProof/>
                <w:szCs w:val="22"/>
              </w:rPr>
            </w:pPr>
          </w:p>
        </w:tc>
        <w:tc>
          <w:tcPr>
            <w:tcW w:w="1841" w:type="dxa"/>
          </w:tcPr>
          <w:p w14:paraId="139EBF4D" w14:textId="77777777" w:rsidR="00600004" w:rsidRPr="0063119B" w:rsidRDefault="00600004" w:rsidP="00A17B2C">
            <w:pPr>
              <w:suppressAutoHyphens/>
              <w:rPr>
                <w:b/>
                <w:noProof/>
                <w:szCs w:val="22"/>
              </w:rPr>
            </w:pPr>
          </w:p>
        </w:tc>
      </w:tr>
      <w:tr w:rsidR="00600004" w:rsidRPr="0063119B" w14:paraId="3B27D306" w14:textId="77777777" w:rsidTr="00D733A1">
        <w:tc>
          <w:tcPr>
            <w:tcW w:w="1942" w:type="dxa"/>
          </w:tcPr>
          <w:p w14:paraId="266D9B4A" w14:textId="77777777" w:rsidR="00600004" w:rsidRPr="0063119B" w:rsidRDefault="00600004" w:rsidP="00A17B2C">
            <w:pPr>
              <w:suppressAutoHyphens/>
              <w:rPr>
                <w:b/>
                <w:noProof/>
                <w:szCs w:val="22"/>
              </w:rPr>
            </w:pPr>
            <w:r w:rsidRPr="0063119B">
              <w:rPr>
                <w:noProof/>
                <w:szCs w:val="22"/>
              </w:rPr>
              <w:t>Hipotensão, hematoma</w:t>
            </w:r>
          </w:p>
        </w:tc>
        <w:tc>
          <w:tcPr>
            <w:tcW w:w="1970" w:type="dxa"/>
          </w:tcPr>
          <w:p w14:paraId="55EB2BDD" w14:textId="77777777" w:rsidR="00600004" w:rsidRPr="0063119B" w:rsidRDefault="00600004" w:rsidP="00A17B2C">
            <w:pPr>
              <w:suppressAutoHyphens/>
              <w:rPr>
                <w:b/>
                <w:noProof/>
                <w:szCs w:val="22"/>
              </w:rPr>
            </w:pPr>
          </w:p>
        </w:tc>
        <w:tc>
          <w:tcPr>
            <w:tcW w:w="1756" w:type="dxa"/>
          </w:tcPr>
          <w:p w14:paraId="39FEB027" w14:textId="77777777" w:rsidR="00600004" w:rsidRPr="0063119B" w:rsidRDefault="00600004" w:rsidP="00A17B2C">
            <w:pPr>
              <w:suppressAutoHyphens/>
              <w:rPr>
                <w:b/>
                <w:noProof/>
                <w:szCs w:val="22"/>
              </w:rPr>
            </w:pPr>
          </w:p>
        </w:tc>
        <w:tc>
          <w:tcPr>
            <w:tcW w:w="1767" w:type="dxa"/>
          </w:tcPr>
          <w:p w14:paraId="7AB88D19" w14:textId="77777777" w:rsidR="00600004" w:rsidRPr="0063119B" w:rsidRDefault="00600004" w:rsidP="00A17B2C">
            <w:pPr>
              <w:suppressAutoHyphens/>
              <w:rPr>
                <w:b/>
                <w:noProof/>
                <w:szCs w:val="22"/>
              </w:rPr>
            </w:pPr>
          </w:p>
        </w:tc>
        <w:tc>
          <w:tcPr>
            <w:tcW w:w="1841" w:type="dxa"/>
          </w:tcPr>
          <w:p w14:paraId="1509FC7C" w14:textId="77777777" w:rsidR="00600004" w:rsidRPr="0063119B" w:rsidRDefault="00600004" w:rsidP="00A17B2C">
            <w:pPr>
              <w:suppressAutoHyphens/>
              <w:rPr>
                <w:b/>
                <w:noProof/>
                <w:szCs w:val="22"/>
              </w:rPr>
            </w:pPr>
          </w:p>
        </w:tc>
      </w:tr>
      <w:tr w:rsidR="00600004" w:rsidRPr="0063119B" w14:paraId="407B1246" w14:textId="77777777" w:rsidTr="00B6417D">
        <w:tc>
          <w:tcPr>
            <w:tcW w:w="9276" w:type="dxa"/>
            <w:gridSpan w:val="5"/>
          </w:tcPr>
          <w:p w14:paraId="01D76CF1" w14:textId="77777777" w:rsidR="00600004" w:rsidRPr="0063119B" w:rsidRDefault="00600004" w:rsidP="00A17B2C">
            <w:pPr>
              <w:suppressAutoHyphens/>
              <w:rPr>
                <w:b/>
                <w:noProof/>
                <w:szCs w:val="22"/>
              </w:rPr>
            </w:pPr>
            <w:r w:rsidRPr="0063119B">
              <w:rPr>
                <w:b/>
                <w:noProof/>
                <w:szCs w:val="22"/>
              </w:rPr>
              <w:t>Doenças respiratórias, torácicas e do mediastino</w:t>
            </w:r>
          </w:p>
        </w:tc>
      </w:tr>
      <w:tr w:rsidR="00600004" w:rsidRPr="0063119B" w14:paraId="659ECF05" w14:textId="77777777" w:rsidTr="00D733A1">
        <w:tc>
          <w:tcPr>
            <w:tcW w:w="1942" w:type="dxa"/>
          </w:tcPr>
          <w:p w14:paraId="4C78CE2A" w14:textId="77777777" w:rsidR="00600004" w:rsidRPr="0063119B" w:rsidRDefault="00600004" w:rsidP="00A17B2C">
            <w:pPr>
              <w:suppressAutoHyphens/>
              <w:rPr>
                <w:noProof/>
                <w:szCs w:val="22"/>
              </w:rPr>
            </w:pPr>
            <w:r w:rsidRPr="0063119B">
              <w:rPr>
                <w:noProof/>
                <w:szCs w:val="22"/>
              </w:rPr>
              <w:t>Epistaxe, hemoptise</w:t>
            </w:r>
          </w:p>
        </w:tc>
        <w:tc>
          <w:tcPr>
            <w:tcW w:w="1970" w:type="dxa"/>
          </w:tcPr>
          <w:p w14:paraId="5189FDB8" w14:textId="77777777" w:rsidR="00600004" w:rsidRPr="0063119B" w:rsidRDefault="00600004" w:rsidP="00A17B2C">
            <w:pPr>
              <w:suppressAutoHyphens/>
              <w:rPr>
                <w:noProof/>
                <w:szCs w:val="22"/>
              </w:rPr>
            </w:pPr>
          </w:p>
        </w:tc>
        <w:tc>
          <w:tcPr>
            <w:tcW w:w="1756" w:type="dxa"/>
          </w:tcPr>
          <w:p w14:paraId="35D75B3A" w14:textId="77777777" w:rsidR="00600004" w:rsidRPr="0063119B" w:rsidRDefault="00600004" w:rsidP="00A17B2C">
            <w:pPr>
              <w:suppressAutoHyphens/>
              <w:rPr>
                <w:noProof/>
                <w:szCs w:val="22"/>
              </w:rPr>
            </w:pPr>
          </w:p>
        </w:tc>
        <w:tc>
          <w:tcPr>
            <w:tcW w:w="1767" w:type="dxa"/>
          </w:tcPr>
          <w:p w14:paraId="21D3A2AE" w14:textId="58C1583D" w:rsidR="00600004" w:rsidRPr="0063119B" w:rsidRDefault="002B5FBC" w:rsidP="00A17B2C">
            <w:pPr>
              <w:suppressAutoHyphens/>
              <w:rPr>
                <w:noProof/>
                <w:szCs w:val="22"/>
              </w:rPr>
            </w:pPr>
            <w:r>
              <w:rPr>
                <w:noProof/>
                <w:szCs w:val="22"/>
              </w:rPr>
              <w:t>Pneumonia eosinofilica</w:t>
            </w:r>
          </w:p>
        </w:tc>
        <w:tc>
          <w:tcPr>
            <w:tcW w:w="1841" w:type="dxa"/>
          </w:tcPr>
          <w:p w14:paraId="4F14A22F" w14:textId="77777777" w:rsidR="00600004" w:rsidRPr="0063119B" w:rsidRDefault="00600004" w:rsidP="00A17B2C">
            <w:pPr>
              <w:suppressAutoHyphens/>
              <w:rPr>
                <w:noProof/>
                <w:szCs w:val="22"/>
              </w:rPr>
            </w:pPr>
          </w:p>
        </w:tc>
      </w:tr>
      <w:tr w:rsidR="00600004" w:rsidRPr="0063119B" w14:paraId="49133225" w14:textId="77777777" w:rsidTr="00D733A1">
        <w:tc>
          <w:tcPr>
            <w:tcW w:w="5668" w:type="dxa"/>
            <w:gridSpan w:val="3"/>
          </w:tcPr>
          <w:p w14:paraId="1878ECE1" w14:textId="77777777" w:rsidR="00600004" w:rsidRPr="0063119B" w:rsidRDefault="00600004" w:rsidP="00A17B2C">
            <w:pPr>
              <w:suppressAutoHyphens/>
              <w:rPr>
                <w:b/>
                <w:noProof/>
                <w:szCs w:val="22"/>
              </w:rPr>
            </w:pPr>
            <w:r w:rsidRPr="0063119B">
              <w:rPr>
                <w:b/>
                <w:noProof/>
                <w:szCs w:val="22"/>
              </w:rPr>
              <w:t>Doenças gastrointestinais</w:t>
            </w:r>
          </w:p>
        </w:tc>
        <w:tc>
          <w:tcPr>
            <w:tcW w:w="1767" w:type="dxa"/>
          </w:tcPr>
          <w:p w14:paraId="72242317" w14:textId="77777777" w:rsidR="00600004" w:rsidRPr="0063119B" w:rsidRDefault="00600004" w:rsidP="00A17B2C">
            <w:pPr>
              <w:suppressAutoHyphens/>
              <w:rPr>
                <w:b/>
                <w:noProof/>
                <w:szCs w:val="22"/>
              </w:rPr>
            </w:pPr>
          </w:p>
        </w:tc>
        <w:tc>
          <w:tcPr>
            <w:tcW w:w="1841" w:type="dxa"/>
          </w:tcPr>
          <w:p w14:paraId="6F6321C3" w14:textId="77777777" w:rsidR="00600004" w:rsidRPr="0063119B" w:rsidRDefault="00600004" w:rsidP="00A17B2C">
            <w:pPr>
              <w:suppressAutoHyphens/>
              <w:rPr>
                <w:b/>
                <w:noProof/>
                <w:szCs w:val="22"/>
              </w:rPr>
            </w:pPr>
          </w:p>
        </w:tc>
      </w:tr>
      <w:tr w:rsidR="00600004" w:rsidRPr="0063119B" w14:paraId="29BAF886" w14:textId="77777777" w:rsidTr="00D733A1">
        <w:tc>
          <w:tcPr>
            <w:tcW w:w="1942" w:type="dxa"/>
          </w:tcPr>
          <w:p w14:paraId="00779C79" w14:textId="77777777" w:rsidR="00600004" w:rsidRPr="0063119B" w:rsidRDefault="00600004" w:rsidP="00A17B2C">
            <w:pPr>
              <w:suppressAutoHyphens/>
              <w:rPr>
                <w:noProof/>
                <w:szCs w:val="22"/>
                <w:vertAlign w:val="superscript"/>
              </w:rPr>
            </w:pPr>
            <w:r w:rsidRPr="0063119B">
              <w:rPr>
                <w:noProof/>
                <w:szCs w:val="22"/>
              </w:rPr>
              <w:t>Hemorragia gengival, hemorragia do trato gastrointestinal (incl. hemorragia retal), dores gastrointestinais e abdominais, dispepsia, náuseas, obstipação</w:t>
            </w:r>
            <w:r w:rsidRPr="0063119B">
              <w:rPr>
                <w:noProof/>
                <w:szCs w:val="22"/>
                <w:vertAlign w:val="superscript"/>
              </w:rPr>
              <w:t>A</w:t>
            </w:r>
            <w:r w:rsidRPr="0063119B">
              <w:rPr>
                <w:noProof/>
                <w:szCs w:val="22"/>
              </w:rPr>
              <w:t>, diarreia, vómitos</w:t>
            </w:r>
            <w:r w:rsidRPr="0063119B">
              <w:rPr>
                <w:noProof/>
                <w:szCs w:val="22"/>
                <w:vertAlign w:val="superscript"/>
              </w:rPr>
              <w:t>A</w:t>
            </w:r>
          </w:p>
        </w:tc>
        <w:tc>
          <w:tcPr>
            <w:tcW w:w="1970" w:type="dxa"/>
          </w:tcPr>
          <w:p w14:paraId="07BA7812" w14:textId="77777777" w:rsidR="00600004" w:rsidRPr="0063119B" w:rsidRDefault="00600004" w:rsidP="00A17B2C">
            <w:pPr>
              <w:suppressAutoHyphens/>
              <w:rPr>
                <w:noProof/>
                <w:szCs w:val="22"/>
              </w:rPr>
            </w:pPr>
            <w:r w:rsidRPr="0063119B">
              <w:rPr>
                <w:noProof/>
                <w:szCs w:val="22"/>
              </w:rPr>
              <w:t>Xerostomia</w:t>
            </w:r>
          </w:p>
        </w:tc>
        <w:tc>
          <w:tcPr>
            <w:tcW w:w="1756" w:type="dxa"/>
          </w:tcPr>
          <w:p w14:paraId="179D012A" w14:textId="77777777" w:rsidR="00600004" w:rsidRPr="0063119B" w:rsidRDefault="00600004" w:rsidP="00A17B2C">
            <w:pPr>
              <w:suppressAutoHyphens/>
              <w:rPr>
                <w:noProof/>
                <w:szCs w:val="22"/>
              </w:rPr>
            </w:pPr>
          </w:p>
        </w:tc>
        <w:tc>
          <w:tcPr>
            <w:tcW w:w="1767" w:type="dxa"/>
          </w:tcPr>
          <w:p w14:paraId="7D427731" w14:textId="77777777" w:rsidR="00600004" w:rsidRPr="0063119B" w:rsidRDefault="00600004" w:rsidP="00A17B2C">
            <w:pPr>
              <w:suppressAutoHyphens/>
              <w:rPr>
                <w:noProof/>
                <w:szCs w:val="22"/>
              </w:rPr>
            </w:pPr>
          </w:p>
        </w:tc>
        <w:tc>
          <w:tcPr>
            <w:tcW w:w="1841" w:type="dxa"/>
          </w:tcPr>
          <w:p w14:paraId="79E38D91" w14:textId="77777777" w:rsidR="00600004" w:rsidRPr="0063119B" w:rsidRDefault="00600004" w:rsidP="00A17B2C">
            <w:pPr>
              <w:suppressAutoHyphens/>
              <w:rPr>
                <w:noProof/>
                <w:szCs w:val="22"/>
              </w:rPr>
            </w:pPr>
          </w:p>
        </w:tc>
      </w:tr>
      <w:tr w:rsidR="00600004" w:rsidRPr="0063119B" w14:paraId="0CF56979" w14:textId="77777777" w:rsidTr="00D733A1">
        <w:tc>
          <w:tcPr>
            <w:tcW w:w="5668" w:type="dxa"/>
            <w:gridSpan w:val="3"/>
          </w:tcPr>
          <w:p w14:paraId="04DD0879" w14:textId="77777777" w:rsidR="00600004" w:rsidRPr="0063119B" w:rsidRDefault="00600004" w:rsidP="00A17B2C">
            <w:pPr>
              <w:suppressAutoHyphens/>
              <w:rPr>
                <w:b/>
                <w:noProof/>
                <w:szCs w:val="22"/>
              </w:rPr>
            </w:pPr>
            <w:r w:rsidRPr="0063119B">
              <w:rPr>
                <w:b/>
                <w:noProof/>
                <w:szCs w:val="22"/>
              </w:rPr>
              <w:t>Afeções hepatobiliares</w:t>
            </w:r>
          </w:p>
        </w:tc>
        <w:tc>
          <w:tcPr>
            <w:tcW w:w="1767" w:type="dxa"/>
          </w:tcPr>
          <w:p w14:paraId="2E9AAAA1" w14:textId="77777777" w:rsidR="00600004" w:rsidRPr="0063119B" w:rsidRDefault="00600004" w:rsidP="00A17B2C">
            <w:pPr>
              <w:suppressAutoHyphens/>
              <w:rPr>
                <w:b/>
                <w:noProof/>
                <w:szCs w:val="22"/>
              </w:rPr>
            </w:pPr>
          </w:p>
        </w:tc>
        <w:tc>
          <w:tcPr>
            <w:tcW w:w="1841" w:type="dxa"/>
          </w:tcPr>
          <w:p w14:paraId="7E909D74" w14:textId="77777777" w:rsidR="00600004" w:rsidRPr="0063119B" w:rsidRDefault="00600004" w:rsidP="00A17B2C">
            <w:pPr>
              <w:suppressAutoHyphens/>
              <w:rPr>
                <w:b/>
                <w:noProof/>
                <w:szCs w:val="22"/>
              </w:rPr>
            </w:pPr>
          </w:p>
        </w:tc>
      </w:tr>
      <w:tr w:rsidR="00600004" w:rsidRPr="0063119B" w14:paraId="559A6FAB" w14:textId="77777777" w:rsidTr="00D733A1">
        <w:tc>
          <w:tcPr>
            <w:tcW w:w="1942" w:type="dxa"/>
          </w:tcPr>
          <w:p w14:paraId="3DDC0406" w14:textId="77777777" w:rsidR="00600004" w:rsidRPr="0063119B" w:rsidRDefault="00600004" w:rsidP="00A17B2C">
            <w:pPr>
              <w:suppressAutoHyphens/>
              <w:rPr>
                <w:noProof/>
                <w:szCs w:val="22"/>
              </w:rPr>
            </w:pPr>
            <w:r w:rsidRPr="0063119B">
              <w:rPr>
                <w:noProof/>
                <w:szCs w:val="22"/>
              </w:rPr>
              <w:t>Aumento das transaminases</w:t>
            </w:r>
          </w:p>
        </w:tc>
        <w:tc>
          <w:tcPr>
            <w:tcW w:w="1970" w:type="dxa"/>
          </w:tcPr>
          <w:p w14:paraId="3C933571" w14:textId="77777777" w:rsidR="00600004" w:rsidRPr="0063119B" w:rsidRDefault="00600004" w:rsidP="00A17B2C">
            <w:pPr>
              <w:suppressAutoHyphens/>
              <w:rPr>
                <w:noProof/>
                <w:szCs w:val="22"/>
              </w:rPr>
            </w:pPr>
            <w:r w:rsidRPr="0063119B">
              <w:rPr>
                <w:noProof/>
                <w:szCs w:val="22"/>
              </w:rPr>
              <w:t>Compromisso hepático,</w:t>
            </w:r>
          </w:p>
          <w:p w14:paraId="76761307" w14:textId="77777777" w:rsidR="00600004" w:rsidRPr="0063119B" w:rsidRDefault="00600004" w:rsidP="00A17B2C">
            <w:pPr>
              <w:suppressAutoHyphens/>
              <w:rPr>
                <w:b/>
                <w:noProof/>
                <w:szCs w:val="22"/>
              </w:rPr>
            </w:pPr>
            <w:r w:rsidRPr="0063119B">
              <w:rPr>
                <w:szCs w:val="22"/>
              </w:rPr>
              <w:t>Aumento da bilirrubina, aumento da fosfatase alcalina sérica</w:t>
            </w:r>
            <w:r w:rsidRPr="0063119B">
              <w:rPr>
                <w:szCs w:val="22"/>
                <w:vertAlign w:val="superscript"/>
              </w:rPr>
              <w:t>A</w:t>
            </w:r>
            <w:r w:rsidRPr="0063119B">
              <w:rPr>
                <w:szCs w:val="22"/>
              </w:rPr>
              <w:t>, aumento da GGT</w:t>
            </w:r>
            <w:r w:rsidRPr="0063119B">
              <w:rPr>
                <w:szCs w:val="22"/>
                <w:vertAlign w:val="superscript"/>
              </w:rPr>
              <w:t>A</w:t>
            </w:r>
          </w:p>
        </w:tc>
        <w:tc>
          <w:tcPr>
            <w:tcW w:w="1756" w:type="dxa"/>
          </w:tcPr>
          <w:p w14:paraId="2AC4F1B9" w14:textId="77777777" w:rsidR="00600004" w:rsidRPr="0063119B" w:rsidRDefault="00600004" w:rsidP="00A17B2C">
            <w:pPr>
              <w:suppressAutoHyphens/>
              <w:rPr>
                <w:noProof/>
                <w:szCs w:val="22"/>
              </w:rPr>
            </w:pPr>
            <w:r w:rsidRPr="0063119B">
              <w:rPr>
                <w:noProof/>
                <w:szCs w:val="22"/>
              </w:rPr>
              <w:t>Icterícia,</w:t>
            </w:r>
          </w:p>
          <w:p w14:paraId="607A1B8C" w14:textId="77777777" w:rsidR="00600004" w:rsidRPr="0063119B" w:rsidRDefault="00600004" w:rsidP="00A17B2C">
            <w:pPr>
              <w:suppressAutoHyphens/>
              <w:rPr>
                <w:b/>
                <w:noProof/>
                <w:szCs w:val="22"/>
              </w:rPr>
            </w:pPr>
            <w:r w:rsidRPr="0063119B">
              <w:rPr>
                <w:szCs w:val="22"/>
              </w:rPr>
              <w:t>Bilirrubina conjugada aumentada (com ou sem aumento concomitante da ALT)</w:t>
            </w:r>
            <w:r w:rsidR="00BA7F7B" w:rsidRPr="0063119B">
              <w:rPr>
                <w:szCs w:val="22"/>
              </w:rPr>
              <w:t>,</w:t>
            </w:r>
            <w:r w:rsidR="00BA7F7B" w:rsidRPr="0063119B">
              <w:rPr>
                <w:szCs w:val="22"/>
              </w:rPr>
              <w:br/>
              <w:t>Colestase, Hepatite (incl.</w:t>
            </w:r>
            <w:r w:rsidR="00B23D33" w:rsidRPr="0063119B">
              <w:rPr>
                <w:szCs w:val="22"/>
              </w:rPr>
              <w:t xml:space="preserve"> lesão</w:t>
            </w:r>
            <w:r w:rsidR="00BA7F7B" w:rsidRPr="0063119B">
              <w:rPr>
                <w:szCs w:val="22"/>
              </w:rPr>
              <w:t xml:space="preserve"> </w:t>
            </w:r>
            <w:r w:rsidRPr="0063119B">
              <w:rPr>
                <w:szCs w:val="22"/>
              </w:rPr>
              <w:t>hepatocelular)</w:t>
            </w:r>
          </w:p>
        </w:tc>
        <w:tc>
          <w:tcPr>
            <w:tcW w:w="1767" w:type="dxa"/>
          </w:tcPr>
          <w:p w14:paraId="477FC5CA" w14:textId="77777777" w:rsidR="00600004" w:rsidRPr="0063119B" w:rsidRDefault="00600004" w:rsidP="00A17B2C">
            <w:pPr>
              <w:suppressAutoHyphens/>
              <w:rPr>
                <w:b/>
                <w:noProof/>
                <w:szCs w:val="22"/>
              </w:rPr>
            </w:pPr>
          </w:p>
        </w:tc>
        <w:tc>
          <w:tcPr>
            <w:tcW w:w="1841" w:type="dxa"/>
          </w:tcPr>
          <w:p w14:paraId="0BD3C0DC" w14:textId="77777777" w:rsidR="00600004" w:rsidRPr="0063119B" w:rsidRDefault="00600004" w:rsidP="00A17B2C">
            <w:pPr>
              <w:suppressAutoHyphens/>
              <w:rPr>
                <w:b/>
                <w:noProof/>
                <w:szCs w:val="22"/>
              </w:rPr>
            </w:pPr>
          </w:p>
        </w:tc>
      </w:tr>
      <w:tr w:rsidR="00600004" w:rsidRPr="0063119B" w14:paraId="3A24C1BA" w14:textId="77777777" w:rsidTr="00B6417D">
        <w:tc>
          <w:tcPr>
            <w:tcW w:w="9276" w:type="dxa"/>
            <w:gridSpan w:val="5"/>
          </w:tcPr>
          <w:p w14:paraId="20BAD25B" w14:textId="77777777" w:rsidR="00600004" w:rsidRPr="0063119B" w:rsidRDefault="00600004" w:rsidP="00A17B2C">
            <w:pPr>
              <w:keepNext/>
              <w:suppressAutoHyphens/>
              <w:rPr>
                <w:b/>
                <w:noProof/>
                <w:szCs w:val="22"/>
              </w:rPr>
            </w:pPr>
            <w:r w:rsidRPr="0063119B">
              <w:rPr>
                <w:b/>
                <w:noProof/>
                <w:szCs w:val="22"/>
              </w:rPr>
              <w:t>Afeções dos tecidos cutâneos e subcutâneos</w:t>
            </w:r>
          </w:p>
        </w:tc>
      </w:tr>
      <w:tr w:rsidR="00600004" w:rsidRPr="0063119B" w14:paraId="061EBC74" w14:textId="77777777" w:rsidTr="00D733A1">
        <w:tc>
          <w:tcPr>
            <w:tcW w:w="1942" w:type="dxa"/>
          </w:tcPr>
          <w:p w14:paraId="2F28E027" w14:textId="77777777" w:rsidR="00600004" w:rsidRPr="0063119B" w:rsidRDefault="00600004" w:rsidP="00A17B2C">
            <w:pPr>
              <w:keepNext/>
              <w:suppressAutoHyphens/>
              <w:rPr>
                <w:noProof/>
                <w:szCs w:val="22"/>
              </w:rPr>
            </w:pPr>
            <w:r w:rsidRPr="0063119B">
              <w:rPr>
                <w:noProof/>
                <w:szCs w:val="22"/>
              </w:rPr>
              <w:t>Prurido (incl. casos pouco frequentes de prurido generalizado), exantema cutâneo, equimose, hemorragia cutânea e subcutânea</w:t>
            </w:r>
          </w:p>
        </w:tc>
        <w:tc>
          <w:tcPr>
            <w:tcW w:w="1970" w:type="dxa"/>
          </w:tcPr>
          <w:p w14:paraId="4E2BFB01" w14:textId="77777777" w:rsidR="00600004" w:rsidRPr="0063119B" w:rsidRDefault="00600004" w:rsidP="00A17B2C">
            <w:pPr>
              <w:keepNext/>
              <w:suppressAutoHyphens/>
              <w:rPr>
                <w:noProof/>
                <w:szCs w:val="22"/>
              </w:rPr>
            </w:pPr>
            <w:r w:rsidRPr="0063119B">
              <w:rPr>
                <w:noProof/>
                <w:szCs w:val="22"/>
              </w:rPr>
              <w:t>Urticária</w:t>
            </w:r>
          </w:p>
        </w:tc>
        <w:tc>
          <w:tcPr>
            <w:tcW w:w="1756" w:type="dxa"/>
          </w:tcPr>
          <w:p w14:paraId="0849301B" w14:textId="77777777" w:rsidR="00600004" w:rsidRPr="0063119B" w:rsidRDefault="00600004" w:rsidP="00A17B2C">
            <w:pPr>
              <w:keepNext/>
              <w:suppressAutoHyphens/>
              <w:rPr>
                <w:noProof/>
                <w:szCs w:val="22"/>
              </w:rPr>
            </w:pPr>
          </w:p>
        </w:tc>
        <w:tc>
          <w:tcPr>
            <w:tcW w:w="1767" w:type="dxa"/>
          </w:tcPr>
          <w:p w14:paraId="7AC72E02" w14:textId="77777777" w:rsidR="00B23D33" w:rsidRPr="0063119B" w:rsidRDefault="00600004" w:rsidP="00A17B2C">
            <w:pPr>
              <w:keepNext/>
              <w:suppressAutoHyphens/>
              <w:rPr>
                <w:szCs w:val="22"/>
              </w:rPr>
            </w:pPr>
            <w:r w:rsidRPr="0063119B">
              <w:rPr>
                <w:szCs w:val="22"/>
              </w:rPr>
              <w:t>Síndrome de Stevens-John</w:t>
            </w:r>
            <w:r w:rsidR="00B23D33" w:rsidRPr="0063119B">
              <w:rPr>
                <w:szCs w:val="22"/>
              </w:rPr>
              <w:t>son/Necrólise Epidérmica Tóxica,</w:t>
            </w:r>
          </w:p>
          <w:p w14:paraId="463CF764" w14:textId="77777777" w:rsidR="00600004" w:rsidRPr="0063119B" w:rsidRDefault="00600004" w:rsidP="00A17B2C">
            <w:pPr>
              <w:keepNext/>
              <w:suppressAutoHyphens/>
              <w:rPr>
                <w:noProof/>
                <w:szCs w:val="22"/>
              </w:rPr>
            </w:pPr>
            <w:r w:rsidRPr="0063119B">
              <w:rPr>
                <w:szCs w:val="22"/>
              </w:rPr>
              <w:t>Síndrome de DRESS</w:t>
            </w:r>
          </w:p>
        </w:tc>
        <w:tc>
          <w:tcPr>
            <w:tcW w:w="1841" w:type="dxa"/>
          </w:tcPr>
          <w:p w14:paraId="2BEB8A20" w14:textId="77777777" w:rsidR="00600004" w:rsidRPr="0063119B" w:rsidRDefault="00600004" w:rsidP="00A17B2C">
            <w:pPr>
              <w:keepNext/>
              <w:suppressAutoHyphens/>
              <w:rPr>
                <w:noProof/>
                <w:szCs w:val="22"/>
              </w:rPr>
            </w:pPr>
          </w:p>
        </w:tc>
      </w:tr>
      <w:tr w:rsidR="00600004" w:rsidRPr="0063119B" w14:paraId="2F9C3662" w14:textId="77777777" w:rsidTr="00B6417D">
        <w:tc>
          <w:tcPr>
            <w:tcW w:w="9276" w:type="dxa"/>
            <w:gridSpan w:val="5"/>
          </w:tcPr>
          <w:p w14:paraId="643064E9" w14:textId="77777777" w:rsidR="00600004" w:rsidRPr="0063119B" w:rsidRDefault="00600004" w:rsidP="00A17B2C">
            <w:pPr>
              <w:suppressAutoHyphens/>
              <w:rPr>
                <w:b/>
                <w:noProof/>
                <w:szCs w:val="22"/>
              </w:rPr>
            </w:pPr>
            <w:r w:rsidRPr="0063119B">
              <w:rPr>
                <w:b/>
                <w:noProof/>
                <w:szCs w:val="22"/>
              </w:rPr>
              <w:t xml:space="preserve">Afeções musculosqueléticas e dos tecidos conjuntivos </w:t>
            </w:r>
          </w:p>
        </w:tc>
      </w:tr>
      <w:tr w:rsidR="00600004" w:rsidRPr="0063119B" w14:paraId="03B9A9FD" w14:textId="77777777" w:rsidTr="00D733A1">
        <w:tc>
          <w:tcPr>
            <w:tcW w:w="1942" w:type="dxa"/>
          </w:tcPr>
          <w:p w14:paraId="16DF0B1F" w14:textId="77777777" w:rsidR="00600004" w:rsidRPr="0063119B" w:rsidRDefault="00600004" w:rsidP="00A17B2C">
            <w:pPr>
              <w:suppressAutoHyphens/>
              <w:rPr>
                <w:noProof/>
                <w:szCs w:val="22"/>
                <w:vertAlign w:val="superscript"/>
              </w:rPr>
            </w:pPr>
            <w:r w:rsidRPr="0063119B">
              <w:rPr>
                <w:noProof/>
                <w:szCs w:val="22"/>
              </w:rPr>
              <w:t>Dor nas extremidades</w:t>
            </w:r>
            <w:r w:rsidRPr="0063119B">
              <w:rPr>
                <w:noProof/>
                <w:szCs w:val="22"/>
                <w:vertAlign w:val="superscript"/>
              </w:rPr>
              <w:t>A</w:t>
            </w:r>
          </w:p>
        </w:tc>
        <w:tc>
          <w:tcPr>
            <w:tcW w:w="1970" w:type="dxa"/>
          </w:tcPr>
          <w:p w14:paraId="05BA5C9D" w14:textId="77777777" w:rsidR="00600004" w:rsidRPr="0063119B" w:rsidRDefault="00600004" w:rsidP="00A17B2C">
            <w:pPr>
              <w:suppressAutoHyphens/>
              <w:rPr>
                <w:noProof/>
                <w:szCs w:val="22"/>
              </w:rPr>
            </w:pPr>
            <w:r w:rsidRPr="0063119B">
              <w:rPr>
                <w:noProof/>
                <w:szCs w:val="22"/>
              </w:rPr>
              <w:t>Hemartrose</w:t>
            </w:r>
          </w:p>
        </w:tc>
        <w:tc>
          <w:tcPr>
            <w:tcW w:w="1756" w:type="dxa"/>
          </w:tcPr>
          <w:p w14:paraId="597F96ED" w14:textId="77777777" w:rsidR="00600004" w:rsidRPr="0063119B" w:rsidRDefault="00600004" w:rsidP="00A17B2C">
            <w:pPr>
              <w:suppressAutoHyphens/>
              <w:rPr>
                <w:noProof/>
                <w:szCs w:val="22"/>
              </w:rPr>
            </w:pPr>
            <w:r w:rsidRPr="0063119B">
              <w:rPr>
                <w:noProof/>
                <w:szCs w:val="22"/>
              </w:rPr>
              <w:t>Hemorragia muscular</w:t>
            </w:r>
          </w:p>
        </w:tc>
        <w:tc>
          <w:tcPr>
            <w:tcW w:w="1767" w:type="dxa"/>
          </w:tcPr>
          <w:p w14:paraId="0ECDDC2A" w14:textId="77777777" w:rsidR="00600004" w:rsidRPr="0063119B" w:rsidRDefault="00600004" w:rsidP="00A17B2C">
            <w:pPr>
              <w:suppressAutoHyphens/>
              <w:rPr>
                <w:noProof/>
                <w:szCs w:val="22"/>
              </w:rPr>
            </w:pPr>
          </w:p>
        </w:tc>
        <w:tc>
          <w:tcPr>
            <w:tcW w:w="1841" w:type="dxa"/>
          </w:tcPr>
          <w:p w14:paraId="0A83F77A" w14:textId="77777777" w:rsidR="00600004" w:rsidRPr="0063119B" w:rsidRDefault="00600004" w:rsidP="00A17B2C">
            <w:pPr>
              <w:suppressAutoHyphens/>
              <w:rPr>
                <w:noProof/>
                <w:szCs w:val="22"/>
              </w:rPr>
            </w:pPr>
            <w:r w:rsidRPr="0063119B">
              <w:rPr>
                <w:noProof/>
                <w:szCs w:val="22"/>
              </w:rPr>
              <w:t>Síndrome compartimental secundária a hemorragia</w:t>
            </w:r>
          </w:p>
        </w:tc>
      </w:tr>
      <w:tr w:rsidR="00600004" w:rsidRPr="0063119B" w14:paraId="558EC325" w14:textId="77777777" w:rsidTr="00D733A1">
        <w:tc>
          <w:tcPr>
            <w:tcW w:w="5668" w:type="dxa"/>
            <w:gridSpan w:val="3"/>
          </w:tcPr>
          <w:p w14:paraId="04BAF7E6" w14:textId="77777777" w:rsidR="00600004" w:rsidRPr="0063119B" w:rsidRDefault="00600004" w:rsidP="001F10F8">
            <w:pPr>
              <w:keepNext/>
              <w:keepLines/>
              <w:suppressAutoHyphens/>
              <w:rPr>
                <w:b/>
                <w:noProof/>
                <w:szCs w:val="22"/>
              </w:rPr>
            </w:pPr>
            <w:r w:rsidRPr="0063119B">
              <w:rPr>
                <w:b/>
                <w:noProof/>
                <w:szCs w:val="22"/>
              </w:rPr>
              <w:lastRenderedPageBreak/>
              <w:t>Doenças renais e urinárias</w:t>
            </w:r>
          </w:p>
        </w:tc>
        <w:tc>
          <w:tcPr>
            <w:tcW w:w="1767" w:type="dxa"/>
          </w:tcPr>
          <w:p w14:paraId="13C4F3BF" w14:textId="77777777" w:rsidR="00600004" w:rsidRPr="0063119B" w:rsidRDefault="00600004" w:rsidP="001F10F8">
            <w:pPr>
              <w:keepNext/>
              <w:keepLines/>
              <w:suppressAutoHyphens/>
              <w:rPr>
                <w:b/>
                <w:noProof/>
                <w:szCs w:val="22"/>
              </w:rPr>
            </w:pPr>
          </w:p>
        </w:tc>
        <w:tc>
          <w:tcPr>
            <w:tcW w:w="1841" w:type="dxa"/>
          </w:tcPr>
          <w:p w14:paraId="05C79AEA" w14:textId="77777777" w:rsidR="00600004" w:rsidRPr="0063119B" w:rsidRDefault="00600004" w:rsidP="001F10F8">
            <w:pPr>
              <w:keepNext/>
              <w:keepLines/>
              <w:suppressAutoHyphens/>
              <w:rPr>
                <w:b/>
                <w:noProof/>
                <w:szCs w:val="22"/>
              </w:rPr>
            </w:pPr>
          </w:p>
        </w:tc>
      </w:tr>
      <w:tr w:rsidR="00600004" w:rsidRPr="0063119B" w14:paraId="10517175" w14:textId="77777777" w:rsidTr="00D733A1">
        <w:tc>
          <w:tcPr>
            <w:tcW w:w="1942" w:type="dxa"/>
          </w:tcPr>
          <w:p w14:paraId="60E14EDC" w14:textId="77777777" w:rsidR="00600004" w:rsidRPr="0063119B" w:rsidRDefault="00600004" w:rsidP="001F10F8">
            <w:pPr>
              <w:keepNext/>
              <w:keepLines/>
              <w:suppressAutoHyphens/>
              <w:rPr>
                <w:noProof/>
                <w:szCs w:val="22"/>
              </w:rPr>
            </w:pPr>
            <w:r w:rsidRPr="0063119B">
              <w:rPr>
                <w:noProof/>
                <w:szCs w:val="22"/>
              </w:rPr>
              <w:t>Hemorragia do trato urogenital (incluindo hematúria e menorragia</w:t>
            </w:r>
            <w:r w:rsidRPr="0063119B">
              <w:rPr>
                <w:noProof/>
                <w:szCs w:val="22"/>
                <w:vertAlign w:val="superscript"/>
              </w:rPr>
              <w:t>B</w:t>
            </w:r>
            <w:r w:rsidRPr="0063119B">
              <w:rPr>
                <w:noProof/>
                <w:szCs w:val="22"/>
              </w:rPr>
              <w:t xml:space="preserve">), </w:t>
            </w:r>
          </w:p>
          <w:p w14:paraId="3E9B47C1" w14:textId="77777777" w:rsidR="00600004" w:rsidRPr="0063119B" w:rsidRDefault="00600004" w:rsidP="001F10F8">
            <w:pPr>
              <w:keepNext/>
              <w:keepLines/>
              <w:suppressAutoHyphens/>
              <w:rPr>
                <w:noProof/>
                <w:szCs w:val="22"/>
              </w:rPr>
            </w:pPr>
            <w:r w:rsidRPr="0063119B">
              <w:rPr>
                <w:noProof/>
                <w:szCs w:val="22"/>
              </w:rPr>
              <w:t>compromisso renal (incl. aumento da creatinina no sangue, aumento de ureia no sangue)</w:t>
            </w:r>
          </w:p>
        </w:tc>
        <w:tc>
          <w:tcPr>
            <w:tcW w:w="1970" w:type="dxa"/>
          </w:tcPr>
          <w:p w14:paraId="661C9E4A" w14:textId="77777777" w:rsidR="00600004" w:rsidRPr="0063119B" w:rsidRDefault="00600004" w:rsidP="001F10F8">
            <w:pPr>
              <w:keepNext/>
              <w:keepLines/>
              <w:suppressAutoHyphens/>
              <w:rPr>
                <w:b/>
                <w:noProof/>
                <w:szCs w:val="22"/>
                <w:vertAlign w:val="superscript"/>
              </w:rPr>
            </w:pPr>
          </w:p>
        </w:tc>
        <w:tc>
          <w:tcPr>
            <w:tcW w:w="1756" w:type="dxa"/>
          </w:tcPr>
          <w:p w14:paraId="72F15B4A" w14:textId="77777777" w:rsidR="00600004" w:rsidRPr="0063119B" w:rsidRDefault="00600004" w:rsidP="001F10F8">
            <w:pPr>
              <w:keepNext/>
              <w:keepLines/>
              <w:suppressAutoHyphens/>
              <w:rPr>
                <w:b/>
                <w:noProof/>
                <w:szCs w:val="22"/>
              </w:rPr>
            </w:pPr>
          </w:p>
        </w:tc>
        <w:tc>
          <w:tcPr>
            <w:tcW w:w="1767" w:type="dxa"/>
          </w:tcPr>
          <w:p w14:paraId="304820FE" w14:textId="77777777" w:rsidR="00600004" w:rsidRPr="0063119B" w:rsidRDefault="00600004" w:rsidP="001F10F8">
            <w:pPr>
              <w:keepNext/>
              <w:keepLines/>
              <w:suppressAutoHyphens/>
              <w:rPr>
                <w:noProof/>
                <w:szCs w:val="22"/>
              </w:rPr>
            </w:pPr>
          </w:p>
        </w:tc>
        <w:tc>
          <w:tcPr>
            <w:tcW w:w="1841" w:type="dxa"/>
          </w:tcPr>
          <w:p w14:paraId="5A267488" w14:textId="6DB5B096" w:rsidR="00600004" w:rsidRPr="0063119B" w:rsidRDefault="00600004" w:rsidP="001F10F8">
            <w:pPr>
              <w:keepNext/>
              <w:keepLines/>
              <w:suppressAutoHyphens/>
              <w:rPr>
                <w:noProof/>
                <w:szCs w:val="22"/>
              </w:rPr>
            </w:pPr>
            <w:r w:rsidRPr="0063119B">
              <w:rPr>
                <w:noProof/>
                <w:szCs w:val="22"/>
              </w:rPr>
              <w:t>Insuficiência renal/insuficiência renal aguda secundária a hemorragia suficiente para causar hipoperfusão</w:t>
            </w:r>
            <w:r w:rsidR="007830B5">
              <w:rPr>
                <w:noProof/>
                <w:szCs w:val="22"/>
              </w:rPr>
              <w:t xml:space="preserve">, </w:t>
            </w:r>
            <w:r w:rsidR="007830B5">
              <w:t>Nefropatia relacionada com anticoagulante</w:t>
            </w:r>
          </w:p>
        </w:tc>
      </w:tr>
      <w:tr w:rsidR="00600004" w:rsidRPr="0063119B" w14:paraId="30E15BC5" w14:textId="77777777" w:rsidTr="00B6417D">
        <w:tc>
          <w:tcPr>
            <w:tcW w:w="9276" w:type="dxa"/>
            <w:gridSpan w:val="5"/>
          </w:tcPr>
          <w:p w14:paraId="1F7A4622" w14:textId="77777777" w:rsidR="00600004" w:rsidRPr="0063119B" w:rsidRDefault="00600004" w:rsidP="00A17B2C">
            <w:pPr>
              <w:suppressAutoHyphens/>
              <w:rPr>
                <w:b/>
                <w:noProof/>
                <w:szCs w:val="22"/>
              </w:rPr>
            </w:pPr>
            <w:r w:rsidRPr="0063119B">
              <w:rPr>
                <w:b/>
                <w:noProof/>
                <w:szCs w:val="22"/>
              </w:rPr>
              <w:t>Perturbações gerais e alterações no local de administração</w:t>
            </w:r>
          </w:p>
        </w:tc>
      </w:tr>
      <w:tr w:rsidR="00600004" w:rsidRPr="0063119B" w14:paraId="37A9F3EB" w14:textId="77777777" w:rsidTr="00D733A1">
        <w:tc>
          <w:tcPr>
            <w:tcW w:w="1942" w:type="dxa"/>
          </w:tcPr>
          <w:p w14:paraId="508A711A" w14:textId="77777777" w:rsidR="00600004" w:rsidRPr="0063119B" w:rsidRDefault="00600004" w:rsidP="00A17B2C">
            <w:pPr>
              <w:suppressAutoHyphens/>
              <w:rPr>
                <w:b/>
                <w:noProof/>
                <w:szCs w:val="22"/>
              </w:rPr>
            </w:pPr>
            <w:r w:rsidRPr="0063119B">
              <w:rPr>
                <w:noProof/>
                <w:szCs w:val="22"/>
              </w:rPr>
              <w:t>Febre</w:t>
            </w:r>
            <w:r w:rsidRPr="0063119B">
              <w:rPr>
                <w:noProof/>
                <w:szCs w:val="22"/>
                <w:vertAlign w:val="superscript"/>
              </w:rPr>
              <w:t>A</w:t>
            </w:r>
            <w:r w:rsidRPr="0063119B">
              <w:rPr>
                <w:noProof/>
                <w:szCs w:val="22"/>
              </w:rPr>
              <w:t>, edema periférico, diminuição da força e energia de um modo geral (incl. fadiga, astenia)</w:t>
            </w:r>
          </w:p>
        </w:tc>
        <w:tc>
          <w:tcPr>
            <w:tcW w:w="1970" w:type="dxa"/>
          </w:tcPr>
          <w:p w14:paraId="6A21D8CC" w14:textId="77777777" w:rsidR="00600004" w:rsidRPr="0063119B" w:rsidRDefault="00600004" w:rsidP="00A17B2C">
            <w:pPr>
              <w:suppressAutoHyphens/>
              <w:rPr>
                <w:b/>
                <w:noProof/>
                <w:szCs w:val="22"/>
              </w:rPr>
            </w:pPr>
            <w:r w:rsidRPr="0063119B">
              <w:rPr>
                <w:noProof/>
                <w:szCs w:val="22"/>
              </w:rPr>
              <w:t>Sensação de mal</w:t>
            </w:r>
            <w:r w:rsidRPr="0063119B">
              <w:rPr>
                <w:noProof/>
                <w:szCs w:val="22"/>
              </w:rPr>
              <w:noBreakHyphen/>
              <w:t>estar</w:t>
            </w:r>
          </w:p>
        </w:tc>
        <w:tc>
          <w:tcPr>
            <w:tcW w:w="1756" w:type="dxa"/>
          </w:tcPr>
          <w:p w14:paraId="2F86E898" w14:textId="77777777" w:rsidR="00600004" w:rsidRPr="0063119B" w:rsidRDefault="00600004" w:rsidP="00A17B2C">
            <w:pPr>
              <w:suppressAutoHyphens/>
              <w:rPr>
                <w:b/>
                <w:noProof/>
                <w:szCs w:val="22"/>
              </w:rPr>
            </w:pPr>
            <w:r w:rsidRPr="0063119B">
              <w:rPr>
                <w:noProof/>
                <w:szCs w:val="22"/>
              </w:rPr>
              <w:t>Edema localizado</w:t>
            </w:r>
            <w:r w:rsidRPr="0063119B">
              <w:rPr>
                <w:noProof/>
                <w:szCs w:val="22"/>
                <w:vertAlign w:val="superscript"/>
              </w:rPr>
              <w:t>A</w:t>
            </w:r>
          </w:p>
        </w:tc>
        <w:tc>
          <w:tcPr>
            <w:tcW w:w="1767" w:type="dxa"/>
          </w:tcPr>
          <w:p w14:paraId="6595EAEE" w14:textId="77777777" w:rsidR="00600004" w:rsidRPr="0063119B" w:rsidRDefault="00600004" w:rsidP="00A17B2C">
            <w:pPr>
              <w:suppressAutoHyphens/>
              <w:rPr>
                <w:b/>
                <w:noProof/>
                <w:szCs w:val="22"/>
              </w:rPr>
            </w:pPr>
          </w:p>
        </w:tc>
        <w:tc>
          <w:tcPr>
            <w:tcW w:w="1841" w:type="dxa"/>
          </w:tcPr>
          <w:p w14:paraId="436292E3" w14:textId="77777777" w:rsidR="00600004" w:rsidRPr="0063119B" w:rsidRDefault="00600004" w:rsidP="00A17B2C">
            <w:pPr>
              <w:suppressAutoHyphens/>
              <w:rPr>
                <w:b/>
                <w:noProof/>
                <w:szCs w:val="22"/>
              </w:rPr>
            </w:pPr>
          </w:p>
        </w:tc>
      </w:tr>
      <w:tr w:rsidR="00600004" w:rsidRPr="0063119B" w14:paraId="72A4BE92" w14:textId="77777777" w:rsidTr="00D733A1">
        <w:tc>
          <w:tcPr>
            <w:tcW w:w="5668" w:type="dxa"/>
            <w:gridSpan w:val="3"/>
          </w:tcPr>
          <w:p w14:paraId="0DFF55F7" w14:textId="77777777" w:rsidR="00600004" w:rsidRPr="0063119B" w:rsidRDefault="00600004" w:rsidP="00A17B2C">
            <w:pPr>
              <w:suppressAutoHyphens/>
              <w:rPr>
                <w:noProof/>
                <w:szCs w:val="22"/>
              </w:rPr>
            </w:pPr>
            <w:r w:rsidRPr="0063119B">
              <w:rPr>
                <w:b/>
                <w:noProof/>
                <w:szCs w:val="22"/>
              </w:rPr>
              <w:t>Exames complementares de diagnóstico</w:t>
            </w:r>
          </w:p>
        </w:tc>
        <w:tc>
          <w:tcPr>
            <w:tcW w:w="1767" w:type="dxa"/>
          </w:tcPr>
          <w:p w14:paraId="1791A52C" w14:textId="77777777" w:rsidR="00600004" w:rsidRPr="0063119B" w:rsidRDefault="00600004" w:rsidP="00A17B2C">
            <w:pPr>
              <w:suppressAutoHyphens/>
              <w:rPr>
                <w:noProof/>
                <w:szCs w:val="22"/>
              </w:rPr>
            </w:pPr>
          </w:p>
        </w:tc>
        <w:tc>
          <w:tcPr>
            <w:tcW w:w="1841" w:type="dxa"/>
          </w:tcPr>
          <w:p w14:paraId="497A448D" w14:textId="77777777" w:rsidR="00600004" w:rsidRPr="0063119B" w:rsidRDefault="00600004" w:rsidP="00A17B2C">
            <w:pPr>
              <w:suppressAutoHyphens/>
              <w:rPr>
                <w:noProof/>
                <w:szCs w:val="22"/>
              </w:rPr>
            </w:pPr>
          </w:p>
        </w:tc>
      </w:tr>
      <w:tr w:rsidR="00600004" w:rsidRPr="0063119B" w14:paraId="6BE03805" w14:textId="77777777" w:rsidTr="00D733A1">
        <w:tc>
          <w:tcPr>
            <w:tcW w:w="1942" w:type="dxa"/>
          </w:tcPr>
          <w:p w14:paraId="352FCFB7" w14:textId="77777777" w:rsidR="00600004" w:rsidRPr="0063119B" w:rsidRDefault="00600004" w:rsidP="00A17B2C">
            <w:pPr>
              <w:suppressAutoHyphens/>
              <w:rPr>
                <w:noProof/>
                <w:szCs w:val="22"/>
              </w:rPr>
            </w:pPr>
          </w:p>
        </w:tc>
        <w:tc>
          <w:tcPr>
            <w:tcW w:w="1970" w:type="dxa"/>
          </w:tcPr>
          <w:p w14:paraId="06406FE2" w14:textId="77777777" w:rsidR="00600004" w:rsidRPr="0063119B" w:rsidRDefault="00600004" w:rsidP="00600004">
            <w:pPr>
              <w:suppressAutoHyphens/>
              <w:rPr>
                <w:noProof/>
                <w:szCs w:val="22"/>
              </w:rPr>
            </w:pPr>
            <w:r w:rsidRPr="0063119B">
              <w:rPr>
                <w:noProof/>
                <w:szCs w:val="22"/>
              </w:rPr>
              <w:t>Aumento da HDL</w:t>
            </w:r>
            <w:r w:rsidRPr="0063119B">
              <w:rPr>
                <w:noProof/>
                <w:szCs w:val="22"/>
                <w:vertAlign w:val="superscript"/>
              </w:rPr>
              <w:t>A</w:t>
            </w:r>
            <w:r w:rsidRPr="0063119B">
              <w:rPr>
                <w:noProof/>
                <w:szCs w:val="22"/>
              </w:rPr>
              <w:t>, aumento da lipase</w:t>
            </w:r>
            <w:r w:rsidRPr="0063119B">
              <w:rPr>
                <w:noProof/>
                <w:szCs w:val="22"/>
                <w:vertAlign w:val="superscript"/>
              </w:rPr>
              <w:t>A</w:t>
            </w:r>
            <w:r w:rsidRPr="0063119B">
              <w:rPr>
                <w:noProof/>
                <w:szCs w:val="22"/>
              </w:rPr>
              <w:t>, aumento da amilase</w:t>
            </w:r>
            <w:r w:rsidRPr="0063119B">
              <w:rPr>
                <w:noProof/>
                <w:szCs w:val="22"/>
                <w:vertAlign w:val="superscript"/>
              </w:rPr>
              <w:t>A</w:t>
            </w:r>
          </w:p>
        </w:tc>
        <w:tc>
          <w:tcPr>
            <w:tcW w:w="1756" w:type="dxa"/>
          </w:tcPr>
          <w:p w14:paraId="7110E0C1" w14:textId="77777777" w:rsidR="00600004" w:rsidRPr="0063119B" w:rsidRDefault="00600004" w:rsidP="00A17B2C">
            <w:pPr>
              <w:suppressAutoHyphens/>
              <w:rPr>
                <w:noProof/>
                <w:szCs w:val="22"/>
              </w:rPr>
            </w:pPr>
          </w:p>
        </w:tc>
        <w:tc>
          <w:tcPr>
            <w:tcW w:w="1767" w:type="dxa"/>
          </w:tcPr>
          <w:p w14:paraId="2F8B3A09" w14:textId="77777777" w:rsidR="00600004" w:rsidRPr="0063119B" w:rsidRDefault="00600004" w:rsidP="00A17B2C">
            <w:pPr>
              <w:suppressAutoHyphens/>
              <w:rPr>
                <w:noProof/>
                <w:szCs w:val="22"/>
              </w:rPr>
            </w:pPr>
          </w:p>
        </w:tc>
        <w:tc>
          <w:tcPr>
            <w:tcW w:w="1841" w:type="dxa"/>
          </w:tcPr>
          <w:p w14:paraId="0B3E30BB" w14:textId="77777777" w:rsidR="00600004" w:rsidRPr="0063119B" w:rsidRDefault="00600004" w:rsidP="00A17B2C">
            <w:pPr>
              <w:suppressAutoHyphens/>
              <w:rPr>
                <w:noProof/>
                <w:szCs w:val="22"/>
              </w:rPr>
            </w:pPr>
          </w:p>
        </w:tc>
      </w:tr>
      <w:tr w:rsidR="00600004" w:rsidRPr="0063119B" w14:paraId="79613E11" w14:textId="77777777" w:rsidTr="00B6417D">
        <w:tc>
          <w:tcPr>
            <w:tcW w:w="9276" w:type="dxa"/>
            <w:gridSpan w:val="5"/>
          </w:tcPr>
          <w:p w14:paraId="13D1F99A" w14:textId="77777777" w:rsidR="00600004" w:rsidRPr="0063119B" w:rsidRDefault="00600004" w:rsidP="001E28F4">
            <w:pPr>
              <w:keepNext/>
              <w:suppressAutoHyphens/>
              <w:rPr>
                <w:noProof/>
                <w:szCs w:val="22"/>
              </w:rPr>
            </w:pPr>
            <w:r w:rsidRPr="0063119B">
              <w:rPr>
                <w:b/>
                <w:noProof/>
                <w:szCs w:val="22"/>
              </w:rPr>
              <w:t>Complicações de intervenções relacionadas com lesões e intoxicações</w:t>
            </w:r>
          </w:p>
        </w:tc>
      </w:tr>
      <w:tr w:rsidR="00600004" w:rsidRPr="0063119B" w14:paraId="0F4E3232" w14:textId="77777777" w:rsidTr="00D733A1">
        <w:tc>
          <w:tcPr>
            <w:tcW w:w="1942" w:type="dxa"/>
          </w:tcPr>
          <w:p w14:paraId="22970A10" w14:textId="77777777" w:rsidR="00600004" w:rsidRPr="0063119B" w:rsidRDefault="00600004" w:rsidP="001E28F4">
            <w:pPr>
              <w:keepNext/>
              <w:suppressAutoHyphens/>
              <w:rPr>
                <w:noProof/>
                <w:szCs w:val="22"/>
              </w:rPr>
            </w:pPr>
            <w:r w:rsidRPr="0063119B">
              <w:rPr>
                <w:noProof/>
                <w:szCs w:val="22"/>
              </w:rPr>
              <w:t>Hemorragia pós</w:t>
            </w:r>
            <w:r w:rsidRPr="0063119B">
              <w:rPr>
                <w:noProof/>
                <w:szCs w:val="22"/>
              </w:rPr>
              <w:noBreakHyphen/>
              <w:t>procedimento (incl. anemia pós</w:t>
            </w:r>
            <w:r w:rsidRPr="0063119B">
              <w:rPr>
                <w:noProof/>
                <w:szCs w:val="22"/>
              </w:rPr>
              <w:noBreakHyphen/>
              <w:t>operatória e hemorragia da ferida), contusão, secreção da ferida</w:t>
            </w:r>
            <w:r w:rsidRPr="0063119B">
              <w:rPr>
                <w:noProof/>
                <w:szCs w:val="22"/>
                <w:vertAlign w:val="superscript"/>
              </w:rPr>
              <w:t>A</w:t>
            </w:r>
          </w:p>
        </w:tc>
        <w:tc>
          <w:tcPr>
            <w:tcW w:w="1970" w:type="dxa"/>
          </w:tcPr>
          <w:p w14:paraId="1769D345" w14:textId="77777777" w:rsidR="00600004" w:rsidRPr="0063119B" w:rsidRDefault="00600004" w:rsidP="001E28F4">
            <w:pPr>
              <w:keepNext/>
              <w:suppressAutoHyphens/>
              <w:rPr>
                <w:noProof/>
                <w:szCs w:val="22"/>
              </w:rPr>
            </w:pPr>
          </w:p>
        </w:tc>
        <w:tc>
          <w:tcPr>
            <w:tcW w:w="1756" w:type="dxa"/>
          </w:tcPr>
          <w:p w14:paraId="51DAAE2B" w14:textId="77777777" w:rsidR="00600004" w:rsidRPr="0063119B" w:rsidRDefault="00600004" w:rsidP="001E28F4">
            <w:pPr>
              <w:keepNext/>
              <w:suppressAutoHyphens/>
              <w:rPr>
                <w:noProof/>
                <w:szCs w:val="22"/>
              </w:rPr>
            </w:pPr>
            <w:r w:rsidRPr="0063119B">
              <w:rPr>
                <w:noProof/>
                <w:szCs w:val="22"/>
              </w:rPr>
              <w:t>Pseudoaneurisma vascular</w:t>
            </w:r>
            <w:r w:rsidRPr="0063119B">
              <w:rPr>
                <w:noProof/>
                <w:szCs w:val="22"/>
                <w:vertAlign w:val="superscript"/>
              </w:rPr>
              <w:t>C</w:t>
            </w:r>
          </w:p>
        </w:tc>
        <w:tc>
          <w:tcPr>
            <w:tcW w:w="1767" w:type="dxa"/>
          </w:tcPr>
          <w:p w14:paraId="4D5898FD" w14:textId="77777777" w:rsidR="00600004" w:rsidRPr="0063119B" w:rsidRDefault="00600004" w:rsidP="001E28F4">
            <w:pPr>
              <w:keepNext/>
              <w:suppressAutoHyphens/>
              <w:rPr>
                <w:noProof/>
                <w:szCs w:val="22"/>
              </w:rPr>
            </w:pPr>
          </w:p>
        </w:tc>
        <w:tc>
          <w:tcPr>
            <w:tcW w:w="1841" w:type="dxa"/>
          </w:tcPr>
          <w:p w14:paraId="5AF1F4EE" w14:textId="77777777" w:rsidR="00600004" w:rsidRPr="0063119B" w:rsidRDefault="00600004" w:rsidP="001E28F4">
            <w:pPr>
              <w:keepNext/>
              <w:suppressAutoHyphens/>
              <w:rPr>
                <w:noProof/>
                <w:szCs w:val="22"/>
              </w:rPr>
            </w:pPr>
          </w:p>
        </w:tc>
      </w:tr>
    </w:tbl>
    <w:p w14:paraId="45E85293" w14:textId="77777777" w:rsidR="005B1C7B" w:rsidRPr="0063119B" w:rsidRDefault="005B1C7B" w:rsidP="005B1C7B">
      <w:pPr>
        <w:suppressAutoHyphens/>
        <w:rPr>
          <w:noProof/>
          <w:szCs w:val="22"/>
        </w:rPr>
      </w:pPr>
      <w:r w:rsidRPr="0063119B">
        <w:rPr>
          <w:szCs w:val="22"/>
        </w:rPr>
        <w:t>A: observados na p</w:t>
      </w:r>
      <w:r w:rsidRPr="0063119B">
        <w:rPr>
          <w:noProof/>
          <w:szCs w:val="22"/>
        </w:rPr>
        <w:t>revenção do TEV em doentes adultos submetidos a artroplastia eletiva da anca ou joelho</w:t>
      </w:r>
    </w:p>
    <w:p w14:paraId="7CB4A3E5" w14:textId="77777777" w:rsidR="005B1C7B" w:rsidRPr="0063119B" w:rsidRDefault="005B1C7B" w:rsidP="005B1C7B">
      <w:pPr>
        <w:rPr>
          <w:szCs w:val="22"/>
        </w:rPr>
      </w:pPr>
      <w:r w:rsidRPr="0063119B">
        <w:rPr>
          <w:szCs w:val="22"/>
        </w:rPr>
        <w:t>B: observados no tratamento da TVP, EP e prevenção da recorrência como muito frequentes em mulheres com &lt; 55 anos</w:t>
      </w:r>
    </w:p>
    <w:p w14:paraId="390087DF" w14:textId="77777777" w:rsidR="005B1C7B" w:rsidRPr="0063119B" w:rsidRDefault="005B1C7B" w:rsidP="005B1C7B">
      <w:pPr>
        <w:rPr>
          <w:szCs w:val="22"/>
        </w:rPr>
      </w:pPr>
      <w:r w:rsidRPr="0063119B">
        <w:rPr>
          <w:szCs w:val="22"/>
        </w:rPr>
        <w:t>C: observados como pouco frequentes na prevenção de acontecimentos aterotrombóticos em doentes após um SCA (após intervenção coronária percutânea)</w:t>
      </w:r>
    </w:p>
    <w:p w14:paraId="64693D44" w14:textId="77777777" w:rsidR="0079691A" w:rsidRPr="0063119B" w:rsidRDefault="0079691A" w:rsidP="00145B36">
      <w:pPr>
        <w:tabs>
          <w:tab w:val="left" w:pos="284"/>
        </w:tabs>
        <w:rPr>
          <w:szCs w:val="22"/>
        </w:rPr>
      </w:pPr>
      <w:r w:rsidRPr="0063119B">
        <w:rPr>
          <w:szCs w:val="22"/>
        </w:rPr>
        <w:t>*</w:t>
      </w:r>
      <w:r w:rsidRPr="0063119B">
        <w:rPr>
          <w:szCs w:val="22"/>
        </w:rPr>
        <w:tab/>
      </w:r>
      <w:r w:rsidR="004A13F9">
        <w:t>Aplicou-se uma abordagem seletiva pré-especificada para a recolha de acontecimentos adversos em estudos de fase III selecionados. A incidência de reações adversas não aumentou e não foi identificada nenhuma reação adversa medicamentosa nova após a análise destes estudos.</w:t>
      </w:r>
    </w:p>
    <w:p w14:paraId="34604FF1" w14:textId="77777777" w:rsidR="005B1C7B" w:rsidRPr="0063119B" w:rsidRDefault="005B1C7B" w:rsidP="005B1C7B">
      <w:pPr>
        <w:suppressAutoHyphens/>
        <w:rPr>
          <w:noProof/>
          <w:szCs w:val="22"/>
        </w:rPr>
      </w:pPr>
    </w:p>
    <w:p w14:paraId="6DE79C27" w14:textId="77777777" w:rsidR="005B1C7B" w:rsidRPr="0063119B" w:rsidRDefault="005B1C7B" w:rsidP="005B1C7B">
      <w:pPr>
        <w:suppressAutoHyphens/>
        <w:rPr>
          <w:noProof/>
          <w:szCs w:val="22"/>
          <w:u w:val="single"/>
        </w:rPr>
      </w:pPr>
      <w:r w:rsidRPr="0063119B">
        <w:rPr>
          <w:noProof/>
          <w:szCs w:val="22"/>
          <w:u w:val="single"/>
        </w:rPr>
        <w:t>Descrição das reações adversas selecionadas</w:t>
      </w:r>
    </w:p>
    <w:p w14:paraId="695E6892" w14:textId="77777777" w:rsidR="00C659F3" w:rsidRPr="0063119B" w:rsidRDefault="00C659F3" w:rsidP="005B1C7B">
      <w:pPr>
        <w:suppressAutoHyphens/>
        <w:rPr>
          <w:noProof/>
          <w:szCs w:val="22"/>
        </w:rPr>
      </w:pPr>
    </w:p>
    <w:p w14:paraId="65DE9229" w14:textId="77777777" w:rsidR="005B1C7B" w:rsidRPr="0063119B" w:rsidRDefault="005B1C7B" w:rsidP="005B1C7B">
      <w:pPr>
        <w:suppressAutoHyphens/>
        <w:rPr>
          <w:noProof/>
          <w:szCs w:val="22"/>
        </w:rPr>
      </w:pPr>
      <w:r w:rsidRPr="0063119B">
        <w:rPr>
          <w:noProof/>
          <w:szCs w:val="22"/>
        </w:rPr>
        <w:t xml:space="preserve">Devido ao modo de ação farmacológico, a utilização de </w:t>
      </w:r>
      <w:r w:rsidR="00C659F3" w:rsidRPr="0063119B">
        <w:rPr>
          <w:noProof/>
          <w:szCs w:val="22"/>
        </w:rPr>
        <w:t>r</w:t>
      </w:r>
      <w:r w:rsidR="00754E0E" w:rsidRPr="0063119B">
        <w:rPr>
          <w:noProof/>
          <w:szCs w:val="22"/>
        </w:rPr>
        <w:t>ivaroxaban</w:t>
      </w:r>
      <w:r w:rsidR="00C659F3" w:rsidRPr="0063119B">
        <w:rPr>
          <w:noProof/>
          <w:szCs w:val="22"/>
        </w:rPr>
        <w:t>o</w:t>
      </w:r>
      <w:r w:rsidRPr="0063119B">
        <w:rPr>
          <w:noProof/>
          <w:szCs w:val="22"/>
        </w:rPr>
        <w:t xml:space="preserve"> pode estar associada a um risco acrescido de hemorragia, oculta ou evidente, de qualquer tecido ou órgão, que pode resultar em anemia pós</w:t>
      </w:r>
      <w:r w:rsidRPr="0063119B">
        <w:rPr>
          <w:noProof/>
          <w:szCs w:val="22"/>
        </w:rPr>
        <w:noBreakHyphen/>
        <w:t xml:space="preserve">hemorrágica. Os sinais, sintomas e gravidade (incluindo desfecho fatal) irão variar de acordo com a localização e o grau ou a extensão da hemorragia e/ou anemia (ver secção 4.9 Controlo da hemorragia). </w:t>
      </w:r>
      <w:r w:rsidR="00F009F5" w:rsidRPr="0063119B">
        <w:rPr>
          <w:noProof/>
          <w:szCs w:val="22"/>
        </w:rPr>
        <w:t>Nos</w:t>
      </w:r>
      <w:r w:rsidRPr="0063119B">
        <w:rPr>
          <w:noProof/>
          <w:szCs w:val="22"/>
        </w:rPr>
        <w:t xml:space="preserve"> estudos clínicos, foram observadas com maior frequência hemorragias das mucosas (ex.: epistaxe, gengival, gastrointestinal, genitourinária</w:t>
      </w:r>
      <w:r w:rsidR="009A48E2" w:rsidRPr="0063119B">
        <w:rPr>
          <w:noProof/>
          <w:szCs w:val="22"/>
        </w:rPr>
        <w:t xml:space="preserve"> incluindo hemorragia vaginal anormal ou menstrual aumentada</w:t>
      </w:r>
      <w:r w:rsidRPr="0063119B">
        <w:rPr>
          <w:noProof/>
          <w:szCs w:val="22"/>
        </w:rPr>
        <w:t>) e anemia durante o tratamento prolongado com rivaroxabano, comparativamente ao tratamento com AVK. Assim, para além de uma vigilância clínica adequada, testes laboratoriais de hemoglobina/hematócrito podem ser uma mais-valia para detetar hemorragias ocultas</w:t>
      </w:r>
      <w:r w:rsidR="009A48E2" w:rsidRPr="0063119B">
        <w:rPr>
          <w:noProof/>
          <w:szCs w:val="22"/>
        </w:rPr>
        <w:t xml:space="preserve"> e quantificar a relevância clínica de uma hemorragia óbvia</w:t>
      </w:r>
      <w:r w:rsidRPr="0063119B">
        <w:rPr>
          <w:noProof/>
          <w:szCs w:val="22"/>
        </w:rPr>
        <w:t xml:space="preserve">, quando considerado necessário. O </w:t>
      </w:r>
      <w:r w:rsidRPr="0063119B">
        <w:rPr>
          <w:noProof/>
          <w:szCs w:val="22"/>
        </w:rPr>
        <w:lastRenderedPageBreak/>
        <w:t>risco de hemorragias pode estar aumentado em certos grupos de doentes, como por exemplo, os doentes com hipertensão arterial grave não controlada e/ou em tratamento concomitante, afetando a hemostase (ver secção 4.4</w:t>
      </w:r>
      <w:r w:rsidR="00822F6C" w:rsidRPr="0063119B">
        <w:rPr>
          <w:noProof/>
          <w:szCs w:val="22"/>
        </w:rPr>
        <w:t xml:space="preserve"> “Risco hemorrágico”</w:t>
      </w:r>
      <w:r w:rsidRPr="0063119B">
        <w:rPr>
          <w:noProof/>
          <w:szCs w:val="22"/>
        </w:rPr>
        <w:t>). A hemorragia menstrual pode estar intensificada e/ou prolongada. As complicações hemorrágicas poderão apresentar</w:t>
      </w:r>
      <w:r w:rsidRPr="0063119B">
        <w:rPr>
          <w:noProof/>
          <w:szCs w:val="22"/>
        </w:rPr>
        <w:noBreakHyphen/>
        <w:t>se como fraqueza, palidez, tonturas, cefaleias ou edema inexplicável, dispneia e choque inexplicável. Em alguns casos, observaram</w:t>
      </w:r>
      <w:r w:rsidRPr="0063119B">
        <w:rPr>
          <w:noProof/>
          <w:szCs w:val="22"/>
        </w:rPr>
        <w:noBreakHyphen/>
        <w:t>se, como consequência da anemia, sintomas de isquémia cardíaca como dor no peito ou angina de peito.</w:t>
      </w:r>
    </w:p>
    <w:p w14:paraId="269A2908" w14:textId="281FFB94" w:rsidR="005B1C7B" w:rsidRPr="0063119B" w:rsidRDefault="005B1C7B" w:rsidP="005B1C7B">
      <w:pPr>
        <w:suppressAutoHyphens/>
        <w:rPr>
          <w:noProof/>
          <w:szCs w:val="22"/>
        </w:rPr>
      </w:pPr>
      <w:r w:rsidRPr="0063119B">
        <w:rPr>
          <w:noProof/>
          <w:szCs w:val="22"/>
        </w:rPr>
        <w:t xml:space="preserve">Foram notificadas com </w:t>
      </w:r>
      <w:r w:rsidR="00C659F3" w:rsidRPr="0063119B">
        <w:rPr>
          <w:noProof/>
          <w:szCs w:val="22"/>
        </w:rPr>
        <w:t>o r</w:t>
      </w:r>
      <w:r w:rsidR="00754E0E" w:rsidRPr="0063119B">
        <w:rPr>
          <w:noProof/>
          <w:szCs w:val="22"/>
        </w:rPr>
        <w:t>ivaroxaban</w:t>
      </w:r>
      <w:r w:rsidR="00C659F3" w:rsidRPr="0063119B">
        <w:rPr>
          <w:noProof/>
          <w:szCs w:val="22"/>
        </w:rPr>
        <w:t>o</w:t>
      </w:r>
      <w:r w:rsidRPr="0063119B">
        <w:rPr>
          <w:noProof/>
          <w:szCs w:val="22"/>
        </w:rPr>
        <w:t xml:space="preserve"> complicações secundárias conhecidas à hemorragia grave, tais como síndrome compartimental e insuficiência renal devidas à hipoperfusão</w:t>
      </w:r>
      <w:r w:rsidR="007830B5">
        <w:rPr>
          <w:noProof/>
          <w:szCs w:val="22"/>
        </w:rPr>
        <w:t xml:space="preserve"> </w:t>
      </w:r>
      <w:r w:rsidR="007830B5">
        <w:t>ou nefropatia relacionada com anticoagulante</w:t>
      </w:r>
      <w:r w:rsidRPr="0063119B">
        <w:rPr>
          <w:noProof/>
          <w:szCs w:val="22"/>
        </w:rPr>
        <w:t>. Por este motivo, ao avaliar</w:t>
      </w:r>
      <w:r w:rsidRPr="0063119B">
        <w:rPr>
          <w:noProof/>
          <w:szCs w:val="22"/>
        </w:rPr>
        <w:noBreakHyphen/>
        <w:t>se o estado de qualquer doente tratado com anticoagulantes, deverá ser considerada a possibilidade de hemorragia.</w:t>
      </w:r>
    </w:p>
    <w:p w14:paraId="0324CE3C" w14:textId="77777777" w:rsidR="005B1C7B" w:rsidRPr="0063119B" w:rsidRDefault="005B1C7B" w:rsidP="005B1C7B">
      <w:pPr>
        <w:tabs>
          <w:tab w:val="left" w:pos="4074"/>
        </w:tabs>
        <w:rPr>
          <w:szCs w:val="22"/>
        </w:rPr>
      </w:pPr>
    </w:p>
    <w:p w14:paraId="36087B5C" w14:textId="77777777" w:rsidR="005B1C7B" w:rsidRDefault="005B1C7B" w:rsidP="005B1C7B">
      <w:pPr>
        <w:suppressAutoHyphens/>
        <w:rPr>
          <w:noProof/>
          <w:szCs w:val="22"/>
          <w:u w:val="single"/>
        </w:rPr>
      </w:pPr>
      <w:r w:rsidRPr="0063119B">
        <w:rPr>
          <w:noProof/>
          <w:szCs w:val="22"/>
          <w:u w:val="single"/>
        </w:rPr>
        <w:t>Notificação de suspeitas de reações adversas</w:t>
      </w:r>
    </w:p>
    <w:p w14:paraId="7E714EAA" w14:textId="77777777" w:rsidR="002913D8" w:rsidRPr="0063119B" w:rsidRDefault="002913D8" w:rsidP="005B1C7B">
      <w:pPr>
        <w:suppressAutoHyphens/>
        <w:rPr>
          <w:szCs w:val="22"/>
          <w:u w:val="single"/>
        </w:rPr>
      </w:pPr>
    </w:p>
    <w:p w14:paraId="5BE3C339" w14:textId="77777777" w:rsidR="005B1C7B" w:rsidRPr="0063119B" w:rsidRDefault="005B1C7B" w:rsidP="005B1C7B">
      <w:pPr>
        <w:keepNext/>
        <w:keepLines/>
        <w:tabs>
          <w:tab w:val="left" w:pos="4074"/>
        </w:tabs>
        <w:rPr>
          <w:noProof/>
          <w:szCs w:val="22"/>
        </w:rPr>
      </w:pPr>
      <w:r w:rsidRPr="0063119B">
        <w:rPr>
          <w:noProof/>
          <w:szCs w:val="22"/>
        </w:rPr>
        <w:t>A notificação de suspeitas de reações adversas após a autorização do medicamento é importante, uma vez que permite uma monitorização contínua da relação benefício-risco do medicamento.</w:t>
      </w:r>
      <w:r w:rsidRPr="0063119B">
        <w:rPr>
          <w:szCs w:val="22"/>
        </w:rPr>
        <w:t xml:space="preserve"> Pede-se aos profissionais de saúde que notifiquem quaisquer suspeitas de reações adversas através </w:t>
      </w:r>
      <w:r w:rsidRPr="0063119B">
        <w:rPr>
          <w:szCs w:val="22"/>
          <w:highlight w:val="lightGray"/>
        </w:rPr>
        <w:t xml:space="preserve">do sistema nacional de notificação mencionado no </w:t>
      </w:r>
      <w:hyperlink r:id="rId22" w:history="1">
        <w:r w:rsidRPr="0063119B">
          <w:rPr>
            <w:rStyle w:val="Hyperlink"/>
            <w:szCs w:val="22"/>
            <w:highlight w:val="lightGray"/>
          </w:rPr>
          <w:t>Apêndice V</w:t>
        </w:r>
      </w:hyperlink>
      <w:r w:rsidRPr="0063119B">
        <w:rPr>
          <w:noProof/>
          <w:szCs w:val="22"/>
        </w:rPr>
        <w:t>.</w:t>
      </w:r>
    </w:p>
    <w:p w14:paraId="4BC53819" w14:textId="77777777" w:rsidR="005B1C7B" w:rsidRPr="0063119B" w:rsidRDefault="005B1C7B" w:rsidP="005B1C7B">
      <w:pPr>
        <w:suppressAutoHyphens/>
        <w:rPr>
          <w:noProof/>
          <w:szCs w:val="22"/>
        </w:rPr>
      </w:pPr>
    </w:p>
    <w:p w14:paraId="6806017A" w14:textId="77777777" w:rsidR="005B1C7B" w:rsidRPr="0063119B" w:rsidRDefault="005B1C7B" w:rsidP="001E28F4">
      <w:pPr>
        <w:keepNext/>
        <w:keepLines/>
        <w:suppressAutoHyphens/>
        <w:ind w:left="567" w:hanging="567"/>
        <w:rPr>
          <w:noProof/>
          <w:szCs w:val="22"/>
        </w:rPr>
      </w:pPr>
      <w:r w:rsidRPr="0063119B">
        <w:rPr>
          <w:b/>
          <w:noProof/>
          <w:szCs w:val="22"/>
        </w:rPr>
        <w:t>4.9</w:t>
      </w:r>
      <w:r w:rsidRPr="0063119B">
        <w:rPr>
          <w:b/>
          <w:noProof/>
          <w:szCs w:val="22"/>
        </w:rPr>
        <w:tab/>
        <w:t>Sobredosagem</w:t>
      </w:r>
    </w:p>
    <w:p w14:paraId="4973A2D3" w14:textId="77777777" w:rsidR="005B1C7B" w:rsidRPr="0063119B" w:rsidRDefault="005B1C7B" w:rsidP="001E28F4">
      <w:pPr>
        <w:keepNext/>
        <w:keepLines/>
        <w:suppressAutoHyphens/>
        <w:rPr>
          <w:noProof/>
          <w:szCs w:val="22"/>
        </w:rPr>
      </w:pPr>
    </w:p>
    <w:p w14:paraId="743A5C01" w14:textId="77777777" w:rsidR="005B1C7B" w:rsidRPr="0063119B" w:rsidRDefault="005B1C7B" w:rsidP="005B1C7B">
      <w:pPr>
        <w:suppressAutoHyphens/>
        <w:rPr>
          <w:rFonts w:eastAsia="MS Mincho"/>
          <w:szCs w:val="22"/>
          <w:lang w:eastAsia="ja-JP"/>
        </w:rPr>
      </w:pPr>
      <w:r w:rsidRPr="0063119B">
        <w:rPr>
          <w:szCs w:val="22"/>
        </w:rPr>
        <w:t xml:space="preserve">Foram notificados casos raros de sobredosagem com doses até </w:t>
      </w:r>
      <w:r w:rsidR="00BB04BB">
        <w:rPr>
          <w:szCs w:val="22"/>
        </w:rPr>
        <w:t>19</w:t>
      </w:r>
      <w:r w:rsidRPr="0063119B">
        <w:rPr>
          <w:szCs w:val="22"/>
        </w:rPr>
        <w:t>60 mg</w:t>
      </w:r>
      <w:r w:rsidR="00BB04BB">
        <w:rPr>
          <w:szCs w:val="22"/>
        </w:rPr>
        <w:t>.</w:t>
      </w:r>
      <w:r w:rsidRPr="0063119B">
        <w:rPr>
          <w:szCs w:val="22"/>
        </w:rPr>
        <w:t xml:space="preserve"> </w:t>
      </w:r>
      <w:r w:rsidR="00BB04BB">
        <w:rPr>
          <w:szCs w:val="22"/>
        </w:rPr>
        <w:t>Em casos de sobredosagem, o doente deve ser cuidadosamente observado quanto a</w:t>
      </w:r>
      <w:r w:rsidRPr="0063119B">
        <w:rPr>
          <w:szCs w:val="22"/>
        </w:rPr>
        <w:t xml:space="preserve"> complicações hemorrágicas ou outras reações adversas</w:t>
      </w:r>
      <w:r w:rsidR="00BB04BB">
        <w:rPr>
          <w:szCs w:val="22"/>
        </w:rPr>
        <w:t xml:space="preserve"> (ver secção “Controlo da hemorragia”)</w:t>
      </w:r>
      <w:r w:rsidRPr="0063119B">
        <w:rPr>
          <w:szCs w:val="22"/>
        </w:rPr>
        <w:t xml:space="preserve">. </w:t>
      </w:r>
      <w:r w:rsidRPr="0063119B">
        <w:rPr>
          <w:rFonts w:eastAsia="MS Mincho"/>
          <w:szCs w:val="22"/>
          <w:lang w:eastAsia="ja-JP"/>
        </w:rPr>
        <w:t>Devido à absorção limitada, prevê</w:t>
      </w:r>
      <w:r w:rsidRPr="0063119B">
        <w:rPr>
          <w:rFonts w:eastAsia="MS Mincho"/>
          <w:szCs w:val="22"/>
          <w:lang w:eastAsia="ja-JP"/>
        </w:rPr>
        <w:noBreakHyphen/>
        <w:t xml:space="preserve">se um efeito máximo sem aumento adicional da exposição plasmática média em doses supraterapêuticas de 50 mg ou mais de rivaroxabano. </w:t>
      </w:r>
    </w:p>
    <w:p w14:paraId="7DE88D04" w14:textId="77777777" w:rsidR="005B1C7B" w:rsidRPr="0063119B" w:rsidRDefault="005D2334" w:rsidP="005B1C7B">
      <w:pPr>
        <w:suppressAutoHyphens/>
        <w:rPr>
          <w:noProof/>
          <w:szCs w:val="22"/>
        </w:rPr>
      </w:pPr>
      <w:r w:rsidRPr="0063119B">
        <w:rPr>
          <w:noProof/>
          <w:szCs w:val="22"/>
        </w:rPr>
        <w:t>E</w:t>
      </w:r>
      <w:r w:rsidR="005B1C7B" w:rsidRPr="0063119B">
        <w:rPr>
          <w:noProof/>
          <w:szCs w:val="22"/>
        </w:rPr>
        <w:t xml:space="preserve">stá disponível um </w:t>
      </w:r>
      <w:r w:rsidRPr="0063119B">
        <w:rPr>
          <w:noProof/>
          <w:szCs w:val="22"/>
        </w:rPr>
        <w:t xml:space="preserve">agente de reversão específico (andexanet alfa) </w:t>
      </w:r>
      <w:r w:rsidR="005B1C7B" w:rsidRPr="0063119B">
        <w:rPr>
          <w:noProof/>
          <w:szCs w:val="22"/>
        </w:rPr>
        <w:t>que antagoniz</w:t>
      </w:r>
      <w:r w:rsidRPr="0063119B">
        <w:rPr>
          <w:noProof/>
          <w:szCs w:val="22"/>
        </w:rPr>
        <w:t>a</w:t>
      </w:r>
      <w:r w:rsidR="005B1C7B" w:rsidRPr="0063119B">
        <w:rPr>
          <w:noProof/>
          <w:szCs w:val="22"/>
        </w:rPr>
        <w:t xml:space="preserve"> o efeito farmacodinâmico do rivaroxabano</w:t>
      </w:r>
      <w:r w:rsidRPr="0063119B">
        <w:rPr>
          <w:noProof/>
          <w:szCs w:val="22"/>
        </w:rPr>
        <w:t xml:space="preserve"> (ver o Resumo das Características do Medicamento andexanet alfa)</w:t>
      </w:r>
      <w:r w:rsidR="005B1C7B" w:rsidRPr="0063119B">
        <w:rPr>
          <w:noProof/>
          <w:szCs w:val="22"/>
        </w:rPr>
        <w:t>.</w:t>
      </w:r>
    </w:p>
    <w:p w14:paraId="5D76DFFE" w14:textId="77777777" w:rsidR="005B1C7B" w:rsidRPr="0063119B" w:rsidRDefault="005B1C7B" w:rsidP="005B1C7B">
      <w:pPr>
        <w:suppressAutoHyphens/>
        <w:rPr>
          <w:noProof/>
          <w:szCs w:val="22"/>
        </w:rPr>
      </w:pPr>
      <w:r w:rsidRPr="0063119B">
        <w:rPr>
          <w:noProof/>
          <w:szCs w:val="22"/>
        </w:rPr>
        <w:t>Em caso de sobredosagem com rivaroxabano poderá ser considerada a utilização de carvão ativado para reduzir a absorção.</w:t>
      </w:r>
    </w:p>
    <w:p w14:paraId="347BF1C2" w14:textId="77777777" w:rsidR="005B1C7B" w:rsidRPr="0063119B" w:rsidRDefault="005B1C7B" w:rsidP="005B1C7B">
      <w:pPr>
        <w:suppressAutoHyphens/>
        <w:rPr>
          <w:noProof/>
          <w:szCs w:val="22"/>
        </w:rPr>
      </w:pPr>
    </w:p>
    <w:p w14:paraId="11F67B31" w14:textId="77777777" w:rsidR="005B1C7B" w:rsidRPr="0063119B" w:rsidRDefault="005B1C7B" w:rsidP="005B1C7B">
      <w:pPr>
        <w:suppressAutoHyphens/>
        <w:rPr>
          <w:noProof/>
          <w:szCs w:val="22"/>
          <w:u w:val="single"/>
        </w:rPr>
      </w:pPr>
      <w:r w:rsidRPr="0063119B">
        <w:rPr>
          <w:noProof/>
          <w:szCs w:val="22"/>
          <w:u w:val="single"/>
        </w:rPr>
        <w:t>Controlo da hemorragia</w:t>
      </w:r>
    </w:p>
    <w:p w14:paraId="37E0C6DE" w14:textId="77777777" w:rsidR="00C659F3" w:rsidRPr="0063119B" w:rsidRDefault="00C659F3" w:rsidP="005B1C7B">
      <w:pPr>
        <w:suppressAutoHyphens/>
        <w:rPr>
          <w:noProof/>
          <w:szCs w:val="22"/>
        </w:rPr>
      </w:pPr>
    </w:p>
    <w:p w14:paraId="4539F1BD" w14:textId="77777777" w:rsidR="005B1C7B" w:rsidRPr="0063119B" w:rsidRDefault="005B1C7B" w:rsidP="005B1C7B">
      <w:pPr>
        <w:suppressAutoHyphens/>
        <w:rPr>
          <w:noProof/>
          <w:szCs w:val="22"/>
        </w:rPr>
      </w:pPr>
      <w:r w:rsidRPr="0063119B">
        <w:rPr>
          <w:noProof/>
          <w:szCs w:val="22"/>
        </w:rPr>
        <w:t>Se ocorrer uma complicação hemorrágica num doente tratado com rivaroxabano, a administração seguinte de rivaroxabano deve ser adiada ou o tratamento interrompido, se se considerar adequado. O rivaroxabano tem uma semivida de aproximadamente 5 a 13 horas (ver secção 5.2).</w:t>
      </w:r>
      <w:r w:rsidRPr="0063119B" w:rsidDel="006C7CA4">
        <w:rPr>
          <w:noProof/>
          <w:szCs w:val="22"/>
        </w:rPr>
        <w:t xml:space="preserve"> </w:t>
      </w:r>
      <w:r w:rsidRPr="0063119B">
        <w:rPr>
          <w:noProof/>
          <w:szCs w:val="22"/>
        </w:rPr>
        <w:t>O tratamento deve ser individualizado de acordo com a gravidade e localização da hemorragia. Pode utilizar</w:t>
      </w:r>
      <w:r w:rsidRPr="0063119B">
        <w:rPr>
          <w:noProof/>
          <w:szCs w:val="22"/>
        </w:rPr>
        <w:noBreakHyphen/>
        <w:t>se o tratamento sintomático apropriado, conforme necessário, como por exemplo, compressão mecânica (ex.: na epistaxe grave), hemostase cirúrgica com procedimentos de controlo de hemorragia, reposição hídrica e suporte hemodinâmico, produtos derivados do sangue (concentrado de eritrócitos ou plasma fresco congelado, dependendo se está associada uma anemia ou uma coagulopatia) ou plaquetas.</w:t>
      </w:r>
    </w:p>
    <w:p w14:paraId="5AFBB740" w14:textId="6311B3F1" w:rsidR="005B1C7B" w:rsidRPr="0063119B" w:rsidRDefault="005B1C7B" w:rsidP="005B1C7B">
      <w:pPr>
        <w:suppressAutoHyphens/>
        <w:rPr>
          <w:noProof/>
          <w:szCs w:val="22"/>
        </w:rPr>
      </w:pPr>
      <w:r w:rsidRPr="0063119B">
        <w:rPr>
          <w:noProof/>
          <w:szCs w:val="22"/>
        </w:rPr>
        <w:t>Se a hemorragia não puder ser controlada com as medidas anteriores, deve considerar</w:t>
      </w:r>
      <w:r w:rsidRPr="0063119B">
        <w:rPr>
          <w:noProof/>
          <w:szCs w:val="22"/>
        </w:rPr>
        <w:noBreakHyphen/>
        <w:t xml:space="preserve">se a administração de um </w:t>
      </w:r>
      <w:r w:rsidR="00A74673" w:rsidRPr="0063119B">
        <w:rPr>
          <w:noProof/>
          <w:szCs w:val="22"/>
        </w:rPr>
        <w:t xml:space="preserve">agente de reversão do inibidor do fator Xa específico (andexanet alfa), que antagoniza o efeito farmacodinâmico do rivaroxabano ou de um </w:t>
      </w:r>
      <w:r w:rsidRPr="0063119B">
        <w:rPr>
          <w:noProof/>
          <w:szCs w:val="22"/>
        </w:rPr>
        <w:t>agente procoagulante</w:t>
      </w:r>
      <w:r w:rsidR="00A74673" w:rsidRPr="0063119B">
        <w:rPr>
          <w:noProof/>
          <w:szCs w:val="22"/>
        </w:rPr>
        <w:t xml:space="preserve"> específico</w:t>
      </w:r>
      <w:r w:rsidRPr="0063119B">
        <w:rPr>
          <w:noProof/>
          <w:szCs w:val="22"/>
        </w:rPr>
        <w:t xml:space="preserve">, como por exemplo, concentrado de complexo de protrombina (CCP), concentrado de complexo de protrombina ativado (CCPA) ou fator VIIa recombinante (FVIIa-r). Contudo, existe atualmente uma experiência clínica muito limitada com a utilização destes </w:t>
      </w:r>
      <w:r w:rsidR="00A32A6D" w:rsidRPr="0063119B">
        <w:rPr>
          <w:noProof/>
          <w:szCs w:val="22"/>
        </w:rPr>
        <w:t xml:space="preserve">medicamentos </w:t>
      </w:r>
      <w:r w:rsidRPr="0063119B">
        <w:rPr>
          <w:noProof/>
          <w:szCs w:val="22"/>
        </w:rPr>
        <w:t>em indivíduos tratados com rivaroxabano. A recomendação também é baseada nos dados não clínicos limitados. O ajuste da dose de fator VIIa recombinante deve ser considerado e titulado em função da melhoria da hemorragia. Dependendo da disponibilidade local, em caso de grandes hemorragias deve considerar-se a consulta de um especialista em coagulação (ver secção 5.1).</w:t>
      </w:r>
    </w:p>
    <w:p w14:paraId="05B1F90E" w14:textId="77777777" w:rsidR="005B1C7B" w:rsidRPr="0063119B" w:rsidRDefault="005B1C7B" w:rsidP="005B1C7B">
      <w:pPr>
        <w:suppressAutoHyphens/>
        <w:rPr>
          <w:noProof/>
          <w:szCs w:val="22"/>
        </w:rPr>
      </w:pPr>
    </w:p>
    <w:p w14:paraId="17AC49A8" w14:textId="77777777" w:rsidR="005B1C7B" w:rsidRPr="0063119B" w:rsidRDefault="005B1C7B" w:rsidP="005B1C7B">
      <w:pPr>
        <w:suppressAutoHyphens/>
        <w:rPr>
          <w:noProof/>
          <w:szCs w:val="22"/>
        </w:rPr>
      </w:pPr>
      <w:r w:rsidRPr="0063119B">
        <w:rPr>
          <w:noProof/>
          <w:szCs w:val="22"/>
        </w:rPr>
        <w:t xml:space="preserve">Não se espera que o sulfato de protamina e a vitamina K afetem a atividade anticoagulante do rivaroxabano. Existe uma experiência limitada com ácido tranexâmico e não existe experiência com ácido aminocapróico e aprotinina em indivíduos tratados com rivaroxabano. Não existe nem justificação científica sobre o benefício nem experiência com a utilização do hemostático sistémico </w:t>
      </w:r>
      <w:r w:rsidRPr="0063119B">
        <w:rPr>
          <w:noProof/>
          <w:szCs w:val="22"/>
        </w:rPr>
        <w:lastRenderedPageBreak/>
        <w:t>desmopressina em indivíduos tratados com rivaroxabano. Devido à elevada ligação às proteínas plasmáticas, não é esperado que o rivaroxabano seja dialisável.</w:t>
      </w:r>
    </w:p>
    <w:p w14:paraId="47927504" w14:textId="77777777" w:rsidR="005B1C7B" w:rsidRPr="0063119B" w:rsidRDefault="005B1C7B" w:rsidP="005B1C7B">
      <w:pPr>
        <w:suppressAutoHyphens/>
        <w:rPr>
          <w:noProof/>
          <w:szCs w:val="22"/>
        </w:rPr>
      </w:pPr>
    </w:p>
    <w:p w14:paraId="58A00320" w14:textId="77777777" w:rsidR="005B1C7B" w:rsidRPr="0063119B" w:rsidRDefault="005B1C7B" w:rsidP="005B1C7B">
      <w:pPr>
        <w:suppressAutoHyphens/>
        <w:rPr>
          <w:noProof/>
          <w:szCs w:val="22"/>
        </w:rPr>
      </w:pPr>
    </w:p>
    <w:p w14:paraId="0DA4D951" w14:textId="77777777" w:rsidR="005B1C7B" w:rsidRPr="0063119B" w:rsidRDefault="005B1C7B" w:rsidP="005B1C7B">
      <w:pPr>
        <w:suppressAutoHyphens/>
        <w:ind w:left="567" w:hanging="567"/>
        <w:rPr>
          <w:noProof/>
          <w:szCs w:val="22"/>
        </w:rPr>
      </w:pPr>
      <w:r w:rsidRPr="0063119B">
        <w:rPr>
          <w:b/>
          <w:noProof/>
          <w:szCs w:val="22"/>
        </w:rPr>
        <w:t>5.</w:t>
      </w:r>
      <w:r w:rsidRPr="0063119B">
        <w:rPr>
          <w:b/>
          <w:noProof/>
          <w:szCs w:val="22"/>
        </w:rPr>
        <w:tab/>
        <w:t>PROPRIEDADES FARMACOLÓGICAS</w:t>
      </w:r>
    </w:p>
    <w:p w14:paraId="0831A11E" w14:textId="77777777" w:rsidR="005B1C7B" w:rsidRPr="0063119B" w:rsidRDefault="005B1C7B" w:rsidP="005B1C7B">
      <w:pPr>
        <w:suppressAutoHyphens/>
        <w:rPr>
          <w:noProof/>
          <w:szCs w:val="22"/>
        </w:rPr>
      </w:pPr>
    </w:p>
    <w:p w14:paraId="72FEA136" w14:textId="77777777" w:rsidR="005B1C7B" w:rsidRPr="0063119B" w:rsidRDefault="005B1C7B" w:rsidP="005B1C7B">
      <w:pPr>
        <w:suppressAutoHyphens/>
        <w:ind w:left="567" w:hanging="567"/>
        <w:rPr>
          <w:noProof/>
          <w:szCs w:val="22"/>
        </w:rPr>
      </w:pPr>
      <w:r w:rsidRPr="0063119B">
        <w:rPr>
          <w:b/>
          <w:noProof/>
          <w:szCs w:val="22"/>
        </w:rPr>
        <w:t>5.1</w:t>
      </w:r>
      <w:r w:rsidRPr="0063119B">
        <w:rPr>
          <w:b/>
          <w:noProof/>
          <w:szCs w:val="22"/>
        </w:rPr>
        <w:tab/>
        <w:t>Propriedades farmacodinâmicas</w:t>
      </w:r>
    </w:p>
    <w:p w14:paraId="2D7B7FFE" w14:textId="77777777" w:rsidR="005B1C7B" w:rsidRPr="0063119B" w:rsidRDefault="005B1C7B" w:rsidP="005B1C7B">
      <w:pPr>
        <w:suppressAutoHyphens/>
        <w:rPr>
          <w:noProof/>
          <w:szCs w:val="22"/>
        </w:rPr>
      </w:pPr>
    </w:p>
    <w:p w14:paraId="75E9F1FC" w14:textId="77777777" w:rsidR="005B1C7B" w:rsidRPr="0063119B" w:rsidRDefault="005B1C7B" w:rsidP="005B1C7B">
      <w:pPr>
        <w:suppressAutoHyphens/>
        <w:rPr>
          <w:noProof/>
          <w:szCs w:val="22"/>
        </w:rPr>
      </w:pPr>
      <w:r w:rsidRPr="0063119B">
        <w:rPr>
          <w:noProof/>
          <w:szCs w:val="22"/>
        </w:rPr>
        <w:t xml:space="preserve">Grupo farmacoterapêutico: </w:t>
      </w:r>
      <w:r w:rsidR="00822F6C" w:rsidRPr="0063119B">
        <w:rPr>
          <w:noProof/>
          <w:szCs w:val="22"/>
        </w:rPr>
        <w:t>Agentes antitrombóticos, i</w:t>
      </w:r>
      <w:r w:rsidRPr="0063119B">
        <w:rPr>
          <w:noProof/>
          <w:szCs w:val="22"/>
        </w:rPr>
        <w:t>nibidores diretos do fator Xa, código ATC: B01AF01</w:t>
      </w:r>
    </w:p>
    <w:p w14:paraId="2AF55206" w14:textId="77777777" w:rsidR="005B1C7B" w:rsidRPr="0063119B" w:rsidRDefault="005B1C7B" w:rsidP="005B1C7B">
      <w:pPr>
        <w:suppressAutoHyphens/>
        <w:rPr>
          <w:noProof/>
          <w:szCs w:val="22"/>
        </w:rPr>
      </w:pPr>
    </w:p>
    <w:p w14:paraId="2058853A" w14:textId="77777777" w:rsidR="005B1C7B" w:rsidRPr="0063119B" w:rsidRDefault="005B1C7B" w:rsidP="005B1C7B">
      <w:pPr>
        <w:suppressAutoHyphens/>
        <w:rPr>
          <w:noProof/>
          <w:szCs w:val="22"/>
          <w:u w:val="single"/>
        </w:rPr>
      </w:pPr>
      <w:r w:rsidRPr="0063119B">
        <w:rPr>
          <w:noProof/>
          <w:szCs w:val="22"/>
          <w:u w:val="single"/>
        </w:rPr>
        <w:t>Mecanismo de ação</w:t>
      </w:r>
    </w:p>
    <w:p w14:paraId="7EFBBBC3" w14:textId="77777777" w:rsidR="00C659F3" w:rsidRPr="0063119B" w:rsidRDefault="00C659F3" w:rsidP="005B1C7B">
      <w:pPr>
        <w:suppressAutoHyphens/>
        <w:rPr>
          <w:noProof/>
          <w:szCs w:val="22"/>
        </w:rPr>
      </w:pPr>
    </w:p>
    <w:p w14:paraId="1A5F22CD" w14:textId="77777777" w:rsidR="005B1C7B" w:rsidRPr="0063119B" w:rsidRDefault="005B1C7B" w:rsidP="005B1C7B">
      <w:pPr>
        <w:suppressAutoHyphens/>
        <w:rPr>
          <w:noProof/>
          <w:szCs w:val="22"/>
        </w:rPr>
      </w:pPr>
      <w:r w:rsidRPr="0063119B">
        <w:rPr>
          <w:noProof/>
          <w:szCs w:val="22"/>
        </w:rPr>
        <w:t>O rivaroxabano é um inibidor direto do fator Xa, altamente seletivo, com biodisponibilidade oral. A inibição do fator Xa interrompe as vias intrínseca e extrínseca da cascata de coagulação sanguínea, inibindo a formação de trombina e o desenvolvimento de trombos. O rivaroxabano não inibe a trombina (fator II ativado) e não foram demonstrados efeitos sobre as plaquetas.</w:t>
      </w:r>
    </w:p>
    <w:p w14:paraId="4EC6C8CC" w14:textId="77777777" w:rsidR="005B1C7B" w:rsidRPr="0063119B" w:rsidRDefault="005B1C7B" w:rsidP="005B1C7B">
      <w:pPr>
        <w:rPr>
          <w:i/>
          <w:noProof/>
          <w:szCs w:val="22"/>
          <w:u w:val="single"/>
        </w:rPr>
      </w:pPr>
    </w:p>
    <w:p w14:paraId="3B120809" w14:textId="77777777" w:rsidR="005B1C7B" w:rsidRPr="0063119B" w:rsidRDefault="005B1C7B" w:rsidP="005B1C7B">
      <w:pPr>
        <w:rPr>
          <w:noProof/>
          <w:szCs w:val="22"/>
          <w:u w:val="single"/>
        </w:rPr>
      </w:pPr>
      <w:r w:rsidRPr="0063119B">
        <w:rPr>
          <w:noProof/>
          <w:szCs w:val="22"/>
          <w:u w:val="single"/>
        </w:rPr>
        <w:t>Efeitos farmacodinâmicos</w:t>
      </w:r>
    </w:p>
    <w:p w14:paraId="3DCB1783" w14:textId="77777777" w:rsidR="00C659F3" w:rsidRPr="0063119B" w:rsidRDefault="00C659F3" w:rsidP="005B1C7B">
      <w:pPr>
        <w:rPr>
          <w:noProof/>
          <w:szCs w:val="22"/>
        </w:rPr>
      </w:pPr>
    </w:p>
    <w:p w14:paraId="3351D90D" w14:textId="77777777" w:rsidR="005B1C7B" w:rsidRPr="0063119B" w:rsidRDefault="005B1C7B" w:rsidP="005B1C7B">
      <w:pPr>
        <w:rPr>
          <w:noProof/>
          <w:szCs w:val="22"/>
        </w:rPr>
      </w:pPr>
      <w:r w:rsidRPr="0063119B">
        <w:rPr>
          <w:noProof/>
          <w:szCs w:val="22"/>
        </w:rPr>
        <w:t xml:space="preserve">No ser humano foi observada inibição dose-dependente da atividade do fator Xa. O tempo de protrombina (TP) é influenciado pelo rivaroxabano de uma forma dependente da dose, com uma estreita correlação com as concentrações plasmáticas (valor r igual a 0,98) quando se emprega Neoplastin para o ensaio. Outros reagentes originariam resultados diferentes. A leitura do TP deve ser feita em segundos, porque o INR está apenas calibrado e validado para os cumarínicos e não pode ser usado para nenhum outro anticoagulante. </w:t>
      </w:r>
    </w:p>
    <w:p w14:paraId="6600A71B" w14:textId="77777777" w:rsidR="005B1C7B" w:rsidRPr="0063119B" w:rsidRDefault="005B1C7B" w:rsidP="005B1C7B">
      <w:pPr>
        <w:rPr>
          <w:szCs w:val="22"/>
        </w:rPr>
      </w:pPr>
      <w:r w:rsidRPr="0063119B">
        <w:rPr>
          <w:noProof/>
          <w:szCs w:val="22"/>
        </w:rPr>
        <w:t>Em doentes tratados</w:t>
      </w:r>
      <w:r w:rsidRPr="0063119B">
        <w:rPr>
          <w:szCs w:val="22"/>
        </w:rPr>
        <w:t xml:space="preserve"> com rivaroxabano para tratamento da TVP e EP e na prevenção da recorrência,</w:t>
      </w:r>
      <w:r w:rsidRPr="0063119B">
        <w:rPr>
          <w:noProof/>
          <w:szCs w:val="22"/>
        </w:rPr>
        <w:t xml:space="preserve"> os percentis 5/95 de TP (Neoplastin) 2 </w:t>
      </w:r>
      <w:r w:rsidRPr="0063119B">
        <w:rPr>
          <w:noProof/>
          <w:szCs w:val="22"/>
        </w:rPr>
        <w:noBreakHyphen/>
        <w:t xml:space="preserve"> 4 horas após a ingestão do comprimido (ou seja, no momento do efeito máximo) variaram </w:t>
      </w:r>
      <w:r w:rsidRPr="0063119B">
        <w:rPr>
          <w:szCs w:val="22"/>
        </w:rPr>
        <w:t xml:space="preserve">entre 17 e 32 seg. com 15 mg de rivaroxabano duas vezes por dia e entre 15 e 30 seg. com 20 mg de rivaroxabano uma vez por dia. No valor mínimo (8 </w:t>
      </w:r>
      <w:r w:rsidR="00377739" w:rsidRPr="0063119B">
        <w:rPr>
          <w:szCs w:val="22"/>
        </w:rPr>
        <w:t>-</w:t>
      </w:r>
      <w:r w:rsidRPr="0063119B">
        <w:rPr>
          <w:szCs w:val="22"/>
        </w:rPr>
        <w:t xml:space="preserve"> 16h após a ingestão do comprimido) os percentis 5/95 variaram entre 14 a 24 seg. com 15 mg duas vezes por dia e entre 13 a 20</w:t>
      </w:r>
      <w:r w:rsidR="00C659F3" w:rsidRPr="0063119B">
        <w:rPr>
          <w:szCs w:val="22"/>
        </w:rPr>
        <w:t> </w:t>
      </w:r>
      <w:r w:rsidRPr="0063119B">
        <w:rPr>
          <w:szCs w:val="22"/>
        </w:rPr>
        <w:t>seg. com 20</w:t>
      </w:r>
      <w:r w:rsidR="00C659F3" w:rsidRPr="0063119B">
        <w:rPr>
          <w:szCs w:val="22"/>
        </w:rPr>
        <w:t> </w:t>
      </w:r>
      <w:r w:rsidRPr="0063119B">
        <w:rPr>
          <w:szCs w:val="22"/>
        </w:rPr>
        <w:t xml:space="preserve">mg uma vez por dia (18 </w:t>
      </w:r>
      <w:r w:rsidR="00377739" w:rsidRPr="0063119B">
        <w:rPr>
          <w:szCs w:val="22"/>
        </w:rPr>
        <w:t>-</w:t>
      </w:r>
      <w:r w:rsidRPr="0063119B">
        <w:rPr>
          <w:szCs w:val="22"/>
        </w:rPr>
        <w:t xml:space="preserve"> 30</w:t>
      </w:r>
      <w:r w:rsidR="00C659F3" w:rsidRPr="0063119B">
        <w:rPr>
          <w:szCs w:val="22"/>
        </w:rPr>
        <w:t> </w:t>
      </w:r>
      <w:r w:rsidRPr="0063119B">
        <w:rPr>
          <w:szCs w:val="22"/>
        </w:rPr>
        <w:t>h após a ingestão do comprimido).</w:t>
      </w:r>
    </w:p>
    <w:p w14:paraId="4217996A" w14:textId="77777777" w:rsidR="005B1C7B" w:rsidRPr="0063119B" w:rsidRDefault="005B1C7B" w:rsidP="005B1C7B">
      <w:pPr>
        <w:rPr>
          <w:noProof/>
          <w:szCs w:val="22"/>
        </w:rPr>
      </w:pPr>
      <w:r w:rsidRPr="0063119B">
        <w:rPr>
          <w:bCs/>
          <w:szCs w:val="22"/>
        </w:rPr>
        <w:t>Em doentes com fibrilhação auricular não-valvular tratados com rivaroxabano para prevenção do acidente vascular cerebral e embolismo sistémico, os percentis 5/95 do TP (Neoplastin) 1 </w:t>
      </w:r>
      <w:r w:rsidRPr="0063119B">
        <w:rPr>
          <w:bCs/>
          <w:szCs w:val="22"/>
        </w:rPr>
        <w:noBreakHyphen/>
        <w:t> 4 horas após a ingestão do comprimido (i.e. na altura do efeito máximo) variaram entre 14 e 40 seg. nos doentes tratados com 20 mg de rivaroxabano uma</w:t>
      </w:r>
      <w:r w:rsidR="00C659F3" w:rsidRPr="0063119B">
        <w:rPr>
          <w:bCs/>
          <w:szCs w:val="22"/>
        </w:rPr>
        <w:t xml:space="preserve"> </w:t>
      </w:r>
      <w:r w:rsidRPr="0063119B">
        <w:rPr>
          <w:bCs/>
          <w:szCs w:val="22"/>
        </w:rPr>
        <w:t>vez por dia e entre 10 e 50 seg. nos doentes com compromisso renal moderado tratados com 15 mg uma vez por dia</w:t>
      </w:r>
      <w:r w:rsidRPr="0063119B">
        <w:rPr>
          <w:noProof/>
          <w:szCs w:val="22"/>
        </w:rPr>
        <w:t xml:space="preserve">. No valor mínimo (16 </w:t>
      </w:r>
      <w:r w:rsidR="00C659F3" w:rsidRPr="0063119B">
        <w:rPr>
          <w:noProof/>
          <w:szCs w:val="22"/>
        </w:rPr>
        <w:t>–</w:t>
      </w:r>
      <w:r w:rsidRPr="0063119B">
        <w:rPr>
          <w:noProof/>
          <w:szCs w:val="22"/>
        </w:rPr>
        <w:t xml:space="preserve"> 36</w:t>
      </w:r>
      <w:r w:rsidR="00C659F3" w:rsidRPr="0063119B">
        <w:rPr>
          <w:noProof/>
          <w:szCs w:val="22"/>
        </w:rPr>
        <w:t> </w:t>
      </w:r>
      <w:r w:rsidRPr="0063119B">
        <w:rPr>
          <w:noProof/>
          <w:szCs w:val="22"/>
        </w:rPr>
        <w:t>h após a ingestão do comprimido) os percentis 5/95 variaram de 12 a 26</w:t>
      </w:r>
      <w:r w:rsidR="00C659F3" w:rsidRPr="0063119B">
        <w:rPr>
          <w:noProof/>
          <w:szCs w:val="22"/>
        </w:rPr>
        <w:t> </w:t>
      </w:r>
      <w:r w:rsidRPr="0063119B">
        <w:rPr>
          <w:noProof/>
          <w:szCs w:val="22"/>
        </w:rPr>
        <w:t>seg. nos doentes tratados com 20 mg uma vez por dia e entre 12 a 26</w:t>
      </w:r>
      <w:r w:rsidR="00C659F3" w:rsidRPr="0063119B">
        <w:rPr>
          <w:noProof/>
          <w:szCs w:val="22"/>
        </w:rPr>
        <w:t> </w:t>
      </w:r>
      <w:r w:rsidRPr="0063119B">
        <w:rPr>
          <w:noProof/>
          <w:szCs w:val="22"/>
        </w:rPr>
        <w:t>seg. nos doentes com compromisso renal moderado tratados com 15 mg uma vez por dia.</w:t>
      </w:r>
    </w:p>
    <w:p w14:paraId="1E6552D9" w14:textId="77777777" w:rsidR="005B1C7B" w:rsidRPr="0063119B" w:rsidRDefault="005B1C7B" w:rsidP="005B1C7B">
      <w:pPr>
        <w:rPr>
          <w:noProof/>
          <w:szCs w:val="22"/>
        </w:rPr>
      </w:pPr>
      <w:r w:rsidRPr="0063119B">
        <w:rPr>
          <w:noProof/>
          <w:szCs w:val="22"/>
        </w:rPr>
        <w:t>Num estudo de farmacologia clínica sobre a farmacodinâmica de reversão do rivaroxabano em doentes adultos saudáveis (n=22), foram avaliados os efeitos de doses únicas (50</w:t>
      </w:r>
      <w:r w:rsidR="00C659F3" w:rsidRPr="0063119B">
        <w:rPr>
          <w:noProof/>
          <w:szCs w:val="22"/>
        </w:rPr>
        <w:t> </w:t>
      </w:r>
      <w:r w:rsidRPr="0063119B">
        <w:rPr>
          <w:noProof/>
          <w:szCs w:val="22"/>
        </w:rPr>
        <w:t>UI/Kg) de dois tipos diferentes de CCPs, um CCP de 3 fatores (Fatores II, IX e X) e um CCP de 4 fatores (Fatores II, VII, IX e X). O CCP de 3 fatores reduziu os valores médios de TP de Neoplastin de aproximadamente 1,0</w:t>
      </w:r>
      <w:r w:rsidR="00C659F3" w:rsidRPr="0063119B">
        <w:rPr>
          <w:noProof/>
          <w:szCs w:val="22"/>
        </w:rPr>
        <w:t> </w:t>
      </w:r>
      <w:r w:rsidRPr="0063119B">
        <w:rPr>
          <w:noProof/>
          <w:szCs w:val="22"/>
        </w:rPr>
        <w:t>segundo em 30 minutos em comparação com reduções de aproximadamente 3,5 segundos observadas com o CCP de 4 fatores. Por outro lado, o CCP de 3 fatores teve um melhor e mais rápido efeito global na reversão das alterações na formação da trombina endógena que o CCP de 4 fatores (ver secção 4.9).</w:t>
      </w:r>
    </w:p>
    <w:p w14:paraId="3028126B" w14:textId="77777777" w:rsidR="005B1C7B" w:rsidRPr="0063119B" w:rsidRDefault="005B1C7B" w:rsidP="005B1C7B">
      <w:pPr>
        <w:rPr>
          <w:noProof/>
          <w:szCs w:val="22"/>
        </w:rPr>
      </w:pPr>
      <w:r w:rsidRPr="0063119B">
        <w:rPr>
          <w:noProof/>
          <w:szCs w:val="22"/>
        </w:rPr>
        <w:t>O tempo de tromboplastina parcial ativada (aPTT) e o HepTest são igualmente prolongados, de forma dose</w:t>
      </w:r>
      <w:r w:rsidRPr="0063119B">
        <w:rPr>
          <w:noProof/>
          <w:szCs w:val="22"/>
        </w:rPr>
        <w:noBreakHyphen/>
        <w:t xml:space="preserve">dependente; contudo, não são recomendados para avaliar o efeito farmacodinâmico do rivaroxabano. Não há necessidade de monitorização dos parâmetros da coagulação durante o tratamento com rivaroxabano na prática clínica. </w:t>
      </w:r>
    </w:p>
    <w:p w14:paraId="0C576692" w14:textId="77777777" w:rsidR="005B1C7B" w:rsidRPr="0063119B" w:rsidRDefault="005B1C7B" w:rsidP="005B1C7B">
      <w:pPr>
        <w:rPr>
          <w:noProof/>
          <w:szCs w:val="22"/>
        </w:rPr>
      </w:pPr>
      <w:r w:rsidRPr="0063119B">
        <w:rPr>
          <w:noProof/>
          <w:szCs w:val="22"/>
        </w:rPr>
        <w:t>Contudo, se clinicamente indicado, podem determinar-se os níveis de rivaroxabano através de testes quantitativos calibrados de antifator Xa (ver secção 5.2).</w:t>
      </w:r>
    </w:p>
    <w:p w14:paraId="10069E66" w14:textId="77777777" w:rsidR="005B1C7B" w:rsidRPr="0063119B" w:rsidRDefault="005B1C7B" w:rsidP="005B1C7B">
      <w:pPr>
        <w:rPr>
          <w:noProof/>
          <w:szCs w:val="22"/>
        </w:rPr>
      </w:pPr>
    </w:p>
    <w:p w14:paraId="68F75ABC" w14:textId="77777777" w:rsidR="005B1C7B" w:rsidRPr="0063119B" w:rsidRDefault="005B1C7B" w:rsidP="005B1C7B">
      <w:pPr>
        <w:keepNext/>
        <w:widowControl w:val="0"/>
        <w:rPr>
          <w:noProof/>
          <w:szCs w:val="22"/>
        </w:rPr>
      </w:pPr>
      <w:r w:rsidRPr="0063119B">
        <w:rPr>
          <w:noProof/>
          <w:szCs w:val="22"/>
          <w:u w:val="single"/>
        </w:rPr>
        <w:t>Eficácia e segurança clínicas</w:t>
      </w:r>
    </w:p>
    <w:p w14:paraId="7460DA86" w14:textId="77777777" w:rsidR="00C659F3" w:rsidRPr="0063119B" w:rsidRDefault="00C659F3" w:rsidP="005B1C7B">
      <w:pPr>
        <w:rPr>
          <w:i/>
          <w:szCs w:val="22"/>
        </w:rPr>
      </w:pPr>
    </w:p>
    <w:p w14:paraId="42AC4D07" w14:textId="77777777" w:rsidR="005B1C7B" w:rsidRPr="0063119B" w:rsidRDefault="005B1C7B" w:rsidP="005B1C7B">
      <w:pPr>
        <w:rPr>
          <w:rFonts w:eastAsia="SimSun"/>
          <w:i/>
          <w:szCs w:val="22"/>
          <w:lang w:eastAsia="ja-JP"/>
        </w:rPr>
      </w:pPr>
      <w:r w:rsidRPr="0063119B">
        <w:rPr>
          <w:i/>
          <w:szCs w:val="22"/>
        </w:rPr>
        <w:lastRenderedPageBreak/>
        <w:t>Tratamento da TVP, EP e prevenção da TVP recorrente e EP</w:t>
      </w:r>
    </w:p>
    <w:p w14:paraId="6713D33E" w14:textId="77777777" w:rsidR="005B1C7B" w:rsidRPr="0063119B" w:rsidRDefault="005B1C7B" w:rsidP="005B1C7B">
      <w:pPr>
        <w:rPr>
          <w:rFonts w:eastAsia="SimSun"/>
          <w:szCs w:val="22"/>
          <w:lang w:eastAsia="ja-JP"/>
        </w:rPr>
      </w:pPr>
      <w:r w:rsidRPr="0063119B">
        <w:rPr>
          <w:rFonts w:eastAsia="SimSun"/>
          <w:szCs w:val="22"/>
          <w:lang w:eastAsia="ja-JP"/>
        </w:rPr>
        <w:t xml:space="preserve">O programa clínico de </w:t>
      </w:r>
      <w:r w:rsidR="00C659F3" w:rsidRPr="0063119B">
        <w:rPr>
          <w:rFonts w:eastAsia="SimSun"/>
          <w:szCs w:val="22"/>
          <w:lang w:eastAsia="ja-JP"/>
        </w:rPr>
        <w:t>r</w:t>
      </w:r>
      <w:r w:rsidR="00754E0E" w:rsidRPr="0063119B">
        <w:rPr>
          <w:rFonts w:eastAsia="SimSun"/>
          <w:szCs w:val="22"/>
          <w:lang w:eastAsia="ja-JP"/>
        </w:rPr>
        <w:t>ivaroxaban</w:t>
      </w:r>
      <w:r w:rsidR="00C659F3" w:rsidRPr="0063119B">
        <w:rPr>
          <w:rFonts w:eastAsia="SimSun"/>
          <w:szCs w:val="22"/>
          <w:lang w:eastAsia="ja-JP"/>
        </w:rPr>
        <w:t>o</w:t>
      </w:r>
      <w:r w:rsidRPr="0063119B">
        <w:rPr>
          <w:rFonts w:eastAsia="SimSun"/>
          <w:szCs w:val="22"/>
          <w:lang w:eastAsia="ja-JP"/>
        </w:rPr>
        <w:t xml:space="preserve"> foi concebido para demonstrar a eficácia de </w:t>
      </w:r>
      <w:r w:rsidR="00C659F3" w:rsidRPr="0063119B">
        <w:rPr>
          <w:rFonts w:eastAsia="SimSun"/>
          <w:szCs w:val="22"/>
          <w:lang w:eastAsia="ja-JP"/>
        </w:rPr>
        <w:t>r</w:t>
      </w:r>
      <w:r w:rsidR="00754E0E" w:rsidRPr="0063119B">
        <w:rPr>
          <w:rFonts w:eastAsia="SimSun"/>
          <w:szCs w:val="22"/>
          <w:lang w:eastAsia="ja-JP"/>
        </w:rPr>
        <w:t>ivaroxaban</w:t>
      </w:r>
      <w:r w:rsidR="00C659F3" w:rsidRPr="0063119B">
        <w:rPr>
          <w:rFonts w:eastAsia="SimSun"/>
          <w:szCs w:val="22"/>
          <w:lang w:eastAsia="ja-JP"/>
        </w:rPr>
        <w:t>o</w:t>
      </w:r>
      <w:r w:rsidRPr="0063119B">
        <w:rPr>
          <w:rFonts w:eastAsia="SimSun"/>
          <w:szCs w:val="22"/>
          <w:lang w:eastAsia="ja-JP"/>
        </w:rPr>
        <w:t xml:space="preserve"> no início e continuação do tratamento da TVP aguda e EP e da prevenção da recorrência.</w:t>
      </w:r>
    </w:p>
    <w:p w14:paraId="7E9BD938" w14:textId="77777777" w:rsidR="005B1C7B" w:rsidRPr="0063119B" w:rsidRDefault="005B1C7B" w:rsidP="005B1C7B">
      <w:pPr>
        <w:rPr>
          <w:rFonts w:eastAsia="SimSun"/>
          <w:szCs w:val="22"/>
          <w:lang w:eastAsia="ja-JP"/>
        </w:rPr>
      </w:pPr>
      <w:r w:rsidRPr="0063119B">
        <w:rPr>
          <w:rFonts w:eastAsia="SimSun"/>
          <w:szCs w:val="22"/>
          <w:lang w:eastAsia="ja-JP"/>
        </w:rPr>
        <w:t xml:space="preserve">Foram estudados mais de </w:t>
      </w:r>
      <w:r w:rsidR="009A48E2" w:rsidRPr="0063119B">
        <w:rPr>
          <w:rFonts w:eastAsia="SimSun"/>
          <w:szCs w:val="22"/>
          <w:lang w:eastAsia="ja-JP"/>
        </w:rPr>
        <w:t>12.8</w:t>
      </w:r>
      <w:r w:rsidRPr="0063119B">
        <w:rPr>
          <w:rFonts w:eastAsia="SimSun"/>
          <w:szCs w:val="22"/>
          <w:lang w:eastAsia="ja-JP"/>
        </w:rPr>
        <w:t xml:space="preserve">00 doentes em </w:t>
      </w:r>
      <w:r w:rsidR="009A48E2" w:rsidRPr="0063119B">
        <w:rPr>
          <w:rFonts w:eastAsia="SimSun"/>
          <w:szCs w:val="22"/>
          <w:lang w:eastAsia="ja-JP"/>
        </w:rPr>
        <w:t xml:space="preserve">quatro </w:t>
      </w:r>
      <w:r w:rsidRPr="0063119B">
        <w:rPr>
          <w:rFonts w:eastAsia="SimSun"/>
          <w:szCs w:val="22"/>
          <w:lang w:eastAsia="ja-JP"/>
        </w:rPr>
        <w:t>estudos clínicos controlados aleatorizados de fase III (Einstein DVT, Einstein PE</w:t>
      </w:r>
      <w:r w:rsidR="009A48E2" w:rsidRPr="0063119B">
        <w:rPr>
          <w:rFonts w:eastAsia="SimSun"/>
          <w:szCs w:val="22"/>
          <w:lang w:eastAsia="ja-JP"/>
        </w:rPr>
        <w:t>,</w:t>
      </w:r>
      <w:r w:rsidRPr="0063119B">
        <w:rPr>
          <w:rFonts w:eastAsia="SimSun"/>
          <w:szCs w:val="22"/>
          <w:lang w:eastAsia="ja-JP"/>
        </w:rPr>
        <w:t xml:space="preserve"> Einstein Extension</w:t>
      </w:r>
      <w:r w:rsidR="009A48E2" w:rsidRPr="0063119B">
        <w:rPr>
          <w:rFonts w:eastAsia="SimSun"/>
          <w:szCs w:val="22"/>
          <w:lang w:eastAsia="ja-JP"/>
        </w:rPr>
        <w:t xml:space="preserve"> e Einstein Choice</w:t>
      </w:r>
      <w:r w:rsidRPr="0063119B">
        <w:rPr>
          <w:rFonts w:eastAsia="SimSun"/>
          <w:szCs w:val="22"/>
          <w:lang w:eastAsia="ja-JP"/>
        </w:rPr>
        <w:t>) e adicionalmente, foi realizada uma análise agrupada pré-definida dos estudos Einstein DVT e Einstein PE. A duração de tratamento total combinada de todos os estudos atingiu um máximo de 21 meses.</w:t>
      </w:r>
    </w:p>
    <w:p w14:paraId="3BE94888" w14:textId="77777777" w:rsidR="005B1C7B" w:rsidRPr="0063119B" w:rsidRDefault="005B1C7B" w:rsidP="005B1C7B">
      <w:pPr>
        <w:rPr>
          <w:rFonts w:eastAsia="SimSun"/>
          <w:szCs w:val="22"/>
          <w:lang w:eastAsia="ja-JP"/>
        </w:rPr>
      </w:pPr>
    </w:p>
    <w:p w14:paraId="7F9067BD" w14:textId="77777777" w:rsidR="005B1C7B" w:rsidRPr="0063119B" w:rsidRDefault="005B1C7B" w:rsidP="005B1C7B">
      <w:pPr>
        <w:rPr>
          <w:rFonts w:eastAsia="SimSun"/>
          <w:szCs w:val="22"/>
          <w:lang w:eastAsia="ja-JP"/>
        </w:rPr>
      </w:pPr>
      <w:r w:rsidRPr="0063119B">
        <w:rPr>
          <w:rFonts w:eastAsia="SimSun"/>
          <w:szCs w:val="22"/>
          <w:lang w:eastAsia="ja-JP"/>
        </w:rPr>
        <w:t>No estudo Einstein DVT, 3.449 doentes com TVP foram estudados no tratamento da TVP e da prevenção da TVP recorrente e EP (doentes que se apresentaram com EP sintomático foram excluídos deste estudo). A duração do tratamento foi de 3, 6 ou 12 meses dependendo do critério clínico do investigador.</w:t>
      </w:r>
    </w:p>
    <w:p w14:paraId="61E8B1CC" w14:textId="77777777" w:rsidR="005B1C7B" w:rsidRPr="0063119B" w:rsidRDefault="005B1C7B" w:rsidP="005B1C7B">
      <w:pPr>
        <w:rPr>
          <w:rFonts w:eastAsia="SimSun"/>
          <w:szCs w:val="22"/>
          <w:lang w:eastAsia="ja-JP"/>
        </w:rPr>
      </w:pPr>
      <w:r w:rsidRPr="0063119B">
        <w:rPr>
          <w:rFonts w:eastAsia="SimSun"/>
          <w:szCs w:val="22"/>
          <w:lang w:eastAsia="ja-JP"/>
        </w:rPr>
        <w:t>No tratamento inicial de 3 semanas da TVP aguda foram administrados 15 mg de rivaroxabano duas vezes por dia. Esta dose foi seguida de 20 mg de rivaroxabano uma vez por dia.</w:t>
      </w:r>
    </w:p>
    <w:p w14:paraId="36F9CDEE" w14:textId="77777777" w:rsidR="005B1C7B" w:rsidRPr="0063119B" w:rsidRDefault="005B1C7B" w:rsidP="005B1C7B">
      <w:pPr>
        <w:rPr>
          <w:rFonts w:eastAsia="SimSun"/>
          <w:szCs w:val="22"/>
          <w:lang w:eastAsia="ja-JP"/>
        </w:rPr>
      </w:pPr>
    </w:p>
    <w:p w14:paraId="285DEFBD" w14:textId="77777777" w:rsidR="005B1C7B" w:rsidRPr="0063119B" w:rsidRDefault="005B1C7B" w:rsidP="005B1C7B">
      <w:pPr>
        <w:rPr>
          <w:rFonts w:eastAsia="SimSun"/>
          <w:szCs w:val="22"/>
          <w:lang w:eastAsia="ja-JP"/>
        </w:rPr>
      </w:pPr>
      <w:r w:rsidRPr="0063119B">
        <w:rPr>
          <w:rFonts w:eastAsia="SimSun"/>
          <w:szCs w:val="22"/>
          <w:lang w:eastAsia="ja-JP"/>
        </w:rPr>
        <w:t>No Einstein PE, 4.832</w:t>
      </w:r>
      <w:r w:rsidR="00C659F3" w:rsidRPr="0063119B">
        <w:rPr>
          <w:rFonts w:eastAsia="SimSun"/>
          <w:szCs w:val="22"/>
          <w:lang w:eastAsia="ja-JP"/>
        </w:rPr>
        <w:t> </w:t>
      </w:r>
      <w:r w:rsidRPr="0063119B">
        <w:rPr>
          <w:rFonts w:eastAsia="SimSun"/>
          <w:szCs w:val="22"/>
          <w:lang w:eastAsia="ja-JP"/>
        </w:rPr>
        <w:t>doentes com EP agudo foram estudados no tratamento do EP e na prevenção da TVP recorrente e EP. A duração do tratamento foi de 3, 6 ou 12 meses dependendo do critério clínico do investigador.</w:t>
      </w:r>
    </w:p>
    <w:p w14:paraId="36C2FC0E" w14:textId="77777777" w:rsidR="005B1C7B" w:rsidRPr="0063119B" w:rsidRDefault="005B1C7B" w:rsidP="005B1C7B">
      <w:pPr>
        <w:rPr>
          <w:rFonts w:eastAsia="SimSun"/>
          <w:szCs w:val="22"/>
          <w:lang w:eastAsia="ja-JP"/>
        </w:rPr>
      </w:pPr>
      <w:r w:rsidRPr="0063119B">
        <w:rPr>
          <w:rFonts w:eastAsia="SimSun"/>
          <w:szCs w:val="22"/>
          <w:lang w:eastAsia="ja-JP"/>
        </w:rPr>
        <w:t>No tratamento inicial do EP agudo foram administrados 15</w:t>
      </w:r>
      <w:r w:rsidR="00C659F3" w:rsidRPr="0063119B">
        <w:rPr>
          <w:rFonts w:eastAsia="SimSun"/>
          <w:szCs w:val="22"/>
          <w:lang w:eastAsia="ja-JP"/>
        </w:rPr>
        <w:t> </w:t>
      </w:r>
      <w:r w:rsidRPr="0063119B">
        <w:rPr>
          <w:rFonts w:eastAsia="SimSun"/>
          <w:szCs w:val="22"/>
          <w:lang w:eastAsia="ja-JP"/>
        </w:rPr>
        <w:t>mg de rivaroxabano duas vezes por dia durante três semanas. Esta dose foi seguida de 20</w:t>
      </w:r>
      <w:r w:rsidR="00C659F3" w:rsidRPr="0063119B">
        <w:rPr>
          <w:rFonts w:eastAsia="SimSun"/>
          <w:szCs w:val="22"/>
          <w:lang w:eastAsia="ja-JP"/>
        </w:rPr>
        <w:t> </w:t>
      </w:r>
      <w:r w:rsidRPr="0063119B">
        <w:rPr>
          <w:rFonts w:eastAsia="SimSun"/>
          <w:szCs w:val="22"/>
          <w:lang w:eastAsia="ja-JP"/>
        </w:rPr>
        <w:t>mg de rivaroxabano uma vez por dia.</w:t>
      </w:r>
    </w:p>
    <w:p w14:paraId="714C691E" w14:textId="77777777" w:rsidR="005B1C7B" w:rsidRPr="0063119B" w:rsidRDefault="005B1C7B" w:rsidP="005B1C7B">
      <w:pPr>
        <w:rPr>
          <w:rFonts w:eastAsia="SimSun"/>
          <w:szCs w:val="22"/>
          <w:lang w:eastAsia="ja-JP"/>
        </w:rPr>
      </w:pPr>
    </w:p>
    <w:p w14:paraId="1B69A168" w14:textId="77777777" w:rsidR="005B1C7B" w:rsidRPr="0063119B" w:rsidRDefault="005B1C7B" w:rsidP="005B1C7B">
      <w:pPr>
        <w:rPr>
          <w:rFonts w:eastAsia="SimSun"/>
          <w:szCs w:val="22"/>
          <w:lang w:eastAsia="ja-JP"/>
        </w:rPr>
      </w:pPr>
      <w:r w:rsidRPr="0063119B">
        <w:rPr>
          <w:rFonts w:eastAsia="SimSun"/>
          <w:szCs w:val="22"/>
          <w:lang w:eastAsia="ja-JP"/>
        </w:rPr>
        <w:t>Em ambos os estudos, Einstein DVT e Einstein PE, o regime de tratamento comparador foi constituído por enoxaparina administrada durante pelo menos 5 dias em associação com um tratamento com um antagonista da vitamina K até que TP/INR estivesse no intervalo terapêutico (</w:t>
      </w:r>
      <w:r w:rsidRPr="0063119B">
        <w:rPr>
          <w:rFonts w:eastAsia="SimSun"/>
          <w:szCs w:val="22"/>
          <w:lang w:eastAsia="ja-JP"/>
        </w:rPr>
        <w:sym w:font="Symbol" w:char="F0B3"/>
      </w:r>
      <w:r w:rsidRPr="0063119B">
        <w:rPr>
          <w:rFonts w:eastAsia="SimSun"/>
          <w:szCs w:val="22"/>
          <w:lang w:eastAsia="ja-JP"/>
        </w:rPr>
        <w:t> 2,0). O tratamento continuou com a dose do antagonista da vitamina K ajustada para manter os valores de TP/INR no intervalo terapêutico de 2,0 a 3,0.</w:t>
      </w:r>
    </w:p>
    <w:p w14:paraId="3E61CFD9" w14:textId="77777777" w:rsidR="005B1C7B" w:rsidRPr="0063119B" w:rsidRDefault="005B1C7B" w:rsidP="005B1C7B">
      <w:pPr>
        <w:rPr>
          <w:rFonts w:eastAsia="SimSun"/>
          <w:szCs w:val="22"/>
          <w:lang w:eastAsia="ja-JP"/>
        </w:rPr>
      </w:pPr>
    </w:p>
    <w:p w14:paraId="496F9318" w14:textId="77777777" w:rsidR="005B1C7B" w:rsidRPr="0063119B" w:rsidRDefault="005B1C7B" w:rsidP="005B1C7B">
      <w:pPr>
        <w:autoSpaceDE w:val="0"/>
        <w:autoSpaceDN w:val="0"/>
        <w:adjustRightInd w:val="0"/>
        <w:rPr>
          <w:rFonts w:eastAsia="SimSun"/>
          <w:szCs w:val="22"/>
          <w:lang w:eastAsia="ja-JP"/>
        </w:rPr>
      </w:pPr>
      <w:r w:rsidRPr="0063119B">
        <w:rPr>
          <w:rFonts w:eastAsia="SimSun"/>
          <w:szCs w:val="22"/>
          <w:lang w:eastAsia="ja-JP"/>
        </w:rPr>
        <w:t xml:space="preserve">No estudo Einstein Extension, 1.197 doentes com TVP ou EP foram estudados na prevenção da TVP recorrente e EP. A duração do tratamento foi de 6 ou 12 meses adicionais nos doentes que completaram 6 a 12 meses de tratamento para o tromboembolismo venoso dependendo do critério clínico do investigador. </w:t>
      </w:r>
      <w:r w:rsidR="00C659F3" w:rsidRPr="0063119B">
        <w:rPr>
          <w:rFonts w:eastAsia="SimSun"/>
          <w:szCs w:val="22"/>
          <w:lang w:eastAsia="ja-JP"/>
        </w:rPr>
        <w:t>O r</w:t>
      </w:r>
      <w:r w:rsidR="00754E0E" w:rsidRPr="0063119B">
        <w:rPr>
          <w:rFonts w:eastAsia="SimSun"/>
          <w:szCs w:val="22"/>
          <w:lang w:eastAsia="ja-JP"/>
        </w:rPr>
        <w:t>ivaroxaban</w:t>
      </w:r>
      <w:r w:rsidR="00C659F3" w:rsidRPr="0063119B">
        <w:rPr>
          <w:rFonts w:eastAsia="SimSun"/>
          <w:szCs w:val="22"/>
          <w:lang w:eastAsia="ja-JP"/>
        </w:rPr>
        <w:t>o</w:t>
      </w:r>
      <w:r w:rsidRPr="0063119B">
        <w:rPr>
          <w:rFonts w:eastAsia="SimSun"/>
          <w:szCs w:val="22"/>
          <w:lang w:eastAsia="ja-JP"/>
        </w:rPr>
        <w:t xml:space="preserve"> na dose de 20 mg uma vez por dia foi comparado com um placebo.</w:t>
      </w:r>
    </w:p>
    <w:p w14:paraId="586AE2B3" w14:textId="77777777" w:rsidR="001E28F4" w:rsidRPr="0063119B" w:rsidRDefault="001E28F4" w:rsidP="005B1C7B">
      <w:pPr>
        <w:autoSpaceDE w:val="0"/>
        <w:autoSpaceDN w:val="0"/>
        <w:adjustRightInd w:val="0"/>
        <w:rPr>
          <w:rFonts w:eastAsia="SimSun"/>
          <w:szCs w:val="22"/>
          <w:lang w:eastAsia="ja-JP"/>
        </w:rPr>
      </w:pPr>
    </w:p>
    <w:p w14:paraId="1787C4D9" w14:textId="77777777" w:rsidR="005B1C7B" w:rsidRPr="0063119B" w:rsidRDefault="009A48E2" w:rsidP="005B1C7B">
      <w:pPr>
        <w:rPr>
          <w:rFonts w:eastAsia="SimSun"/>
          <w:szCs w:val="22"/>
          <w:lang w:eastAsia="ja-JP"/>
        </w:rPr>
      </w:pPr>
      <w:r w:rsidRPr="0063119B">
        <w:rPr>
          <w:rFonts w:eastAsia="SimSun"/>
          <w:szCs w:val="22"/>
          <w:lang w:eastAsia="ja-JP"/>
        </w:rPr>
        <w:t>O</w:t>
      </w:r>
      <w:r w:rsidR="005B1C7B" w:rsidRPr="0063119B">
        <w:rPr>
          <w:rFonts w:eastAsia="SimSun"/>
          <w:szCs w:val="22"/>
          <w:lang w:eastAsia="ja-JP"/>
        </w:rPr>
        <w:t xml:space="preserve">s estudos </w:t>
      </w:r>
      <w:r w:rsidRPr="0063119B">
        <w:rPr>
          <w:rFonts w:eastAsia="SimSun"/>
          <w:szCs w:val="22"/>
          <w:lang w:eastAsia="ja-JP"/>
        </w:rPr>
        <w:t>Einstein DVT, PE e Extension</w:t>
      </w:r>
      <w:r w:rsidR="005B1C7B" w:rsidRPr="0063119B">
        <w:rPr>
          <w:rFonts w:eastAsia="SimSun"/>
          <w:szCs w:val="22"/>
          <w:lang w:eastAsia="ja-JP"/>
        </w:rPr>
        <w:t xml:space="preserve"> utilizaram os mesmos objetivos primários e secundários de avaliação da eficácia pré</w:t>
      </w:r>
      <w:r w:rsidR="005B1C7B" w:rsidRPr="0063119B">
        <w:rPr>
          <w:rFonts w:eastAsia="SimSun"/>
          <w:szCs w:val="22"/>
          <w:lang w:eastAsia="ja-JP"/>
        </w:rPr>
        <w:noBreakHyphen/>
        <w:t>definidos. O objetivo primário da eficácia consistiu no TEV sintomático recorrente, definido como composto da TVP recorrente ou do EP fatal ou não-fatal. O objetivo secundário da eficácia foi definido como composto da TVP recorrente, EP não-fatal e mortalidade por todas as causas.</w:t>
      </w:r>
    </w:p>
    <w:p w14:paraId="4E9767D0" w14:textId="77777777" w:rsidR="005B1C7B" w:rsidRPr="0063119B" w:rsidRDefault="005B1C7B" w:rsidP="005B1C7B">
      <w:pPr>
        <w:autoSpaceDE w:val="0"/>
        <w:autoSpaceDN w:val="0"/>
        <w:adjustRightInd w:val="0"/>
        <w:rPr>
          <w:szCs w:val="22"/>
        </w:rPr>
      </w:pPr>
    </w:p>
    <w:p w14:paraId="21766C22" w14:textId="77777777" w:rsidR="008E7EA4" w:rsidRPr="0063119B" w:rsidRDefault="008E7EA4" w:rsidP="008E7EA4">
      <w:pPr>
        <w:pStyle w:val="Default"/>
        <w:rPr>
          <w:color w:val="auto"/>
          <w:sz w:val="22"/>
          <w:szCs w:val="22"/>
          <w:lang w:val="pt-PT"/>
        </w:rPr>
      </w:pPr>
      <w:r w:rsidRPr="0063119B">
        <w:rPr>
          <w:color w:val="auto"/>
          <w:sz w:val="22"/>
          <w:szCs w:val="22"/>
          <w:lang w:val="pt-PT"/>
        </w:rPr>
        <w:t>No estudo Einstein Choice, foram estudados 3.396 doentes com TVP e/ou EP sintomático, confirmado, que completaram 6-12 meses de tratamento anticoagulante para a prevenção do EP fatal ou EP ou TVP não fatal, sintomático, recorrente. Os doentes com indicação para anticoagulação com do</w:t>
      </w:r>
      <w:r w:rsidR="009C1655" w:rsidRPr="0063119B">
        <w:rPr>
          <w:color w:val="auto"/>
          <w:sz w:val="22"/>
          <w:szCs w:val="22"/>
          <w:lang w:val="pt-PT"/>
        </w:rPr>
        <w:t>se</w:t>
      </w:r>
      <w:r w:rsidRPr="0063119B">
        <w:rPr>
          <w:color w:val="auto"/>
          <w:sz w:val="22"/>
          <w:szCs w:val="22"/>
          <w:lang w:val="pt-PT"/>
        </w:rPr>
        <w:t xml:space="preserve"> terapêutica </w:t>
      </w:r>
      <w:r w:rsidR="00D743DE" w:rsidRPr="0063119B">
        <w:rPr>
          <w:color w:val="auto"/>
          <w:sz w:val="22"/>
          <w:szCs w:val="22"/>
          <w:lang w:val="pt-PT"/>
        </w:rPr>
        <w:t xml:space="preserve">continuada </w:t>
      </w:r>
      <w:r w:rsidRPr="0063119B">
        <w:rPr>
          <w:color w:val="auto"/>
          <w:sz w:val="22"/>
          <w:szCs w:val="22"/>
          <w:lang w:val="pt-PT"/>
        </w:rPr>
        <w:t xml:space="preserve">foram excluídos do estudo. A duração do tratamento foi de até 12 meses conforme a data individual de aleatorização (mediana: 351 dias). Comparou-se </w:t>
      </w:r>
      <w:r w:rsidR="00C659F3" w:rsidRPr="0063119B">
        <w:rPr>
          <w:color w:val="auto"/>
          <w:sz w:val="22"/>
          <w:szCs w:val="22"/>
          <w:lang w:val="pt-PT"/>
        </w:rPr>
        <w:t>o r</w:t>
      </w:r>
      <w:r w:rsidR="00754E0E" w:rsidRPr="0063119B">
        <w:rPr>
          <w:color w:val="auto"/>
          <w:sz w:val="22"/>
          <w:szCs w:val="22"/>
          <w:lang w:val="pt-PT"/>
        </w:rPr>
        <w:t>ivaroxaban</w:t>
      </w:r>
      <w:r w:rsidR="00C659F3" w:rsidRPr="0063119B">
        <w:rPr>
          <w:color w:val="auto"/>
          <w:sz w:val="22"/>
          <w:szCs w:val="22"/>
          <w:lang w:val="pt-PT"/>
        </w:rPr>
        <w:t>o na dose de</w:t>
      </w:r>
      <w:r w:rsidRPr="0063119B">
        <w:rPr>
          <w:color w:val="auto"/>
          <w:sz w:val="22"/>
          <w:szCs w:val="22"/>
          <w:lang w:val="pt-PT"/>
        </w:rPr>
        <w:t xml:space="preserve"> 20 mg uma vez por dia e </w:t>
      </w:r>
      <w:r w:rsidR="00BE763C" w:rsidRPr="0063119B">
        <w:rPr>
          <w:color w:val="auto"/>
          <w:sz w:val="22"/>
          <w:szCs w:val="22"/>
          <w:lang w:val="pt-PT"/>
        </w:rPr>
        <w:t>o r</w:t>
      </w:r>
      <w:r w:rsidR="00754E0E" w:rsidRPr="0063119B">
        <w:rPr>
          <w:color w:val="auto"/>
          <w:sz w:val="22"/>
          <w:szCs w:val="22"/>
          <w:lang w:val="pt-PT"/>
        </w:rPr>
        <w:t>ivaroxaban</w:t>
      </w:r>
      <w:r w:rsidR="00BE763C" w:rsidRPr="0063119B">
        <w:rPr>
          <w:color w:val="auto"/>
          <w:sz w:val="22"/>
          <w:szCs w:val="22"/>
          <w:lang w:val="pt-PT"/>
        </w:rPr>
        <w:t>o na dose de</w:t>
      </w:r>
      <w:r w:rsidR="00754E0E" w:rsidRPr="0063119B">
        <w:rPr>
          <w:color w:val="auto"/>
          <w:sz w:val="22"/>
          <w:szCs w:val="22"/>
          <w:lang w:val="pt-PT"/>
        </w:rPr>
        <w:t>rd</w:t>
      </w:r>
      <w:r w:rsidRPr="0063119B">
        <w:rPr>
          <w:color w:val="auto"/>
          <w:sz w:val="22"/>
          <w:szCs w:val="22"/>
          <w:lang w:val="pt-PT"/>
        </w:rPr>
        <w:t xml:space="preserve"> 10 mg </w:t>
      </w:r>
      <w:r w:rsidR="00F2145E" w:rsidRPr="0063119B">
        <w:rPr>
          <w:color w:val="auto"/>
          <w:sz w:val="22"/>
          <w:szCs w:val="22"/>
          <w:lang w:val="pt-PT"/>
        </w:rPr>
        <w:t>uma vez por dia</w:t>
      </w:r>
      <w:r w:rsidRPr="0063119B">
        <w:rPr>
          <w:color w:val="auto"/>
          <w:sz w:val="22"/>
          <w:szCs w:val="22"/>
          <w:lang w:val="pt-PT"/>
        </w:rPr>
        <w:t xml:space="preserve"> com 100 mg de ácido acetilsalicílico uma vez por dia.</w:t>
      </w:r>
    </w:p>
    <w:p w14:paraId="571F1876" w14:textId="77777777" w:rsidR="008E7EA4" w:rsidRPr="0063119B" w:rsidRDefault="008E7EA4" w:rsidP="008E7EA4">
      <w:pPr>
        <w:autoSpaceDE w:val="0"/>
        <w:autoSpaceDN w:val="0"/>
        <w:adjustRightInd w:val="0"/>
        <w:rPr>
          <w:rFonts w:eastAsia="SimSun"/>
          <w:szCs w:val="22"/>
          <w:lang w:eastAsia="ja-JP"/>
        </w:rPr>
      </w:pPr>
      <w:r w:rsidRPr="0063119B">
        <w:rPr>
          <w:rFonts w:eastAsia="SimSun"/>
          <w:szCs w:val="22"/>
          <w:lang w:eastAsia="ja-JP"/>
        </w:rPr>
        <w:t xml:space="preserve">O objetivo primário da eficácia foi </w:t>
      </w:r>
      <w:r w:rsidR="009C1655" w:rsidRPr="0063119B">
        <w:rPr>
          <w:rFonts w:eastAsia="SimSun"/>
          <w:szCs w:val="22"/>
          <w:lang w:eastAsia="ja-JP"/>
        </w:rPr>
        <w:t>o</w:t>
      </w:r>
      <w:r w:rsidRPr="0063119B">
        <w:rPr>
          <w:rFonts w:eastAsia="SimSun"/>
          <w:szCs w:val="22"/>
          <w:lang w:eastAsia="ja-JP"/>
        </w:rPr>
        <w:t xml:space="preserve"> TEV recorrente, sintomátic</w:t>
      </w:r>
      <w:r w:rsidR="009C1655" w:rsidRPr="0063119B">
        <w:rPr>
          <w:rFonts w:eastAsia="SimSun"/>
          <w:szCs w:val="22"/>
          <w:lang w:eastAsia="ja-JP"/>
        </w:rPr>
        <w:t>o</w:t>
      </w:r>
      <w:r w:rsidRPr="0063119B">
        <w:rPr>
          <w:rFonts w:eastAsia="SimSun"/>
          <w:szCs w:val="22"/>
          <w:lang w:eastAsia="ja-JP"/>
        </w:rPr>
        <w:t>, definido como composto da TVP recorrente, EP fatal ou não fatal.</w:t>
      </w:r>
    </w:p>
    <w:p w14:paraId="5EFA44FA" w14:textId="77777777" w:rsidR="008E7EA4" w:rsidRPr="0063119B" w:rsidRDefault="008E7EA4" w:rsidP="005B1C7B">
      <w:pPr>
        <w:autoSpaceDE w:val="0"/>
        <w:autoSpaceDN w:val="0"/>
        <w:adjustRightInd w:val="0"/>
        <w:rPr>
          <w:szCs w:val="22"/>
        </w:rPr>
      </w:pPr>
    </w:p>
    <w:p w14:paraId="42350A0E" w14:textId="77777777" w:rsidR="005B1C7B" w:rsidRPr="0063119B" w:rsidRDefault="005B1C7B" w:rsidP="005B1C7B">
      <w:pPr>
        <w:autoSpaceDE w:val="0"/>
        <w:autoSpaceDN w:val="0"/>
        <w:adjustRightInd w:val="0"/>
        <w:rPr>
          <w:rFonts w:eastAsia="MS Mincho"/>
          <w:bCs/>
          <w:szCs w:val="22"/>
          <w:lang w:eastAsia="ja-JP"/>
        </w:rPr>
      </w:pPr>
      <w:r w:rsidRPr="0063119B">
        <w:rPr>
          <w:szCs w:val="22"/>
        </w:rPr>
        <w:t>No estudo Einstein DVT (ver Quadro </w:t>
      </w:r>
      <w:r w:rsidR="009A48E2" w:rsidRPr="0063119B">
        <w:rPr>
          <w:szCs w:val="22"/>
        </w:rPr>
        <w:t>4</w:t>
      </w:r>
      <w:r w:rsidRPr="0063119B">
        <w:rPr>
          <w:szCs w:val="22"/>
        </w:rPr>
        <w:t>), o rivaroxabano demonstrou ser não inferior à enoxaparina/AVK em relação ao objetivo primário da eficácia (p &lt; 0,0001 (teste de não</w:t>
      </w:r>
      <w:r w:rsidRPr="0063119B">
        <w:rPr>
          <w:szCs w:val="22"/>
        </w:rPr>
        <w:noBreakHyphen/>
        <w:t xml:space="preserve">inferioridade); </w:t>
      </w:r>
      <w:r w:rsidR="00BB04BB">
        <w:rPr>
          <w:szCs w:val="22"/>
        </w:rPr>
        <w:t>Razão de Risco (</w:t>
      </w:r>
      <w:r w:rsidR="00822F6C" w:rsidRPr="0063119B">
        <w:rPr>
          <w:szCs w:val="22"/>
        </w:rPr>
        <w:t>RR</w:t>
      </w:r>
      <w:r w:rsidR="00BB04BB">
        <w:rPr>
          <w:szCs w:val="22"/>
        </w:rPr>
        <w:t>)</w:t>
      </w:r>
      <w:r w:rsidRPr="0063119B">
        <w:rPr>
          <w:szCs w:val="22"/>
        </w:rPr>
        <w:t xml:space="preserve">: </w:t>
      </w:r>
      <w:r w:rsidRPr="0063119B">
        <w:rPr>
          <w:iCs/>
          <w:szCs w:val="22"/>
        </w:rPr>
        <w:t>0,680 (0,443 </w:t>
      </w:r>
      <w:r w:rsidRPr="0063119B">
        <w:rPr>
          <w:iCs/>
          <w:szCs w:val="22"/>
        </w:rPr>
        <w:noBreakHyphen/>
        <w:t> 1,042), p = 0,076 (teste de superioridade)).</w:t>
      </w:r>
      <w:r w:rsidRPr="0063119B">
        <w:rPr>
          <w:rFonts w:eastAsia="MS Mincho"/>
          <w:bCs/>
          <w:szCs w:val="22"/>
          <w:lang w:eastAsia="ja-JP"/>
        </w:rPr>
        <w:t xml:space="preserve"> O benefício clínico efetivo pré</w:t>
      </w:r>
      <w:r w:rsidRPr="0063119B">
        <w:rPr>
          <w:rFonts w:eastAsia="MS Mincho"/>
          <w:bCs/>
          <w:szCs w:val="22"/>
          <w:lang w:eastAsia="ja-JP"/>
        </w:rPr>
        <w:noBreakHyphen/>
        <w:t xml:space="preserve">especificado (objetivo primário da eficácia mais acontecimentos hemorrágicos principais) foi notificado com uma </w:t>
      </w:r>
      <w:r w:rsidR="00822F6C" w:rsidRPr="0063119B">
        <w:rPr>
          <w:szCs w:val="22"/>
        </w:rPr>
        <w:t>RR</w:t>
      </w:r>
      <w:r w:rsidRPr="0063119B">
        <w:rPr>
          <w:rFonts w:eastAsia="MS Mincho"/>
          <w:bCs/>
          <w:szCs w:val="22"/>
          <w:lang w:eastAsia="ja-JP"/>
        </w:rPr>
        <w:t xml:space="preserve"> de 0,67 ((IC 95%: 0,47 </w:t>
      </w:r>
      <w:r w:rsidRPr="0063119B">
        <w:rPr>
          <w:rFonts w:eastAsia="MS Mincho"/>
          <w:bCs/>
          <w:szCs w:val="22"/>
          <w:lang w:eastAsia="ja-JP"/>
        </w:rPr>
        <w:noBreakHyphen/>
        <w:t xml:space="preserve"> 0,95), valor-p nominal com p=0,027) a favor do rivaroxabano. Os valores de INR foram no intervalo terapêutico uma média de 60,3% do tempo para uma duração média de tratamento de 189 dias, e 55,4%, 60,1% e 62,8% do tempo nos grupos de duração de tratamento previsto de 3, 6 e 12 meses, respetivamente. No grupo enoxaparina/AVK, não </w:t>
      </w:r>
      <w:r w:rsidRPr="0063119B">
        <w:rPr>
          <w:rFonts w:eastAsia="MS Mincho"/>
          <w:bCs/>
          <w:szCs w:val="22"/>
          <w:lang w:eastAsia="ja-JP"/>
        </w:rPr>
        <w:lastRenderedPageBreak/>
        <w:t xml:space="preserve">existe uma relação clara entre o nível do centro TTR médio (Tempo no Intervalo do INR Alvo de 2,0 a 3,0) em tercis de igual tamanho e a incidência de TEV recorrente (P=0,932 para interação). No maior tercil de acordo com o centro, a </w:t>
      </w:r>
      <w:r w:rsidR="00822F6C" w:rsidRPr="0063119B">
        <w:rPr>
          <w:szCs w:val="22"/>
        </w:rPr>
        <w:t>RR</w:t>
      </w:r>
      <w:r w:rsidRPr="0063119B">
        <w:rPr>
          <w:rFonts w:eastAsia="MS Mincho"/>
          <w:bCs/>
          <w:szCs w:val="22"/>
          <w:lang w:eastAsia="ja-JP"/>
        </w:rPr>
        <w:t xml:space="preserve"> com rivaroxabano versus varfarina foi de 0,69 (IC 95%: 0,35 </w:t>
      </w:r>
      <w:r w:rsidR="00377739" w:rsidRPr="0063119B">
        <w:rPr>
          <w:rFonts w:eastAsia="MS Mincho"/>
          <w:bCs/>
          <w:szCs w:val="22"/>
          <w:lang w:eastAsia="ja-JP"/>
        </w:rPr>
        <w:t>-</w:t>
      </w:r>
      <w:r w:rsidRPr="0063119B">
        <w:rPr>
          <w:rFonts w:eastAsia="MS Mincho"/>
          <w:bCs/>
          <w:szCs w:val="22"/>
          <w:lang w:eastAsia="ja-JP"/>
        </w:rPr>
        <w:t xml:space="preserve"> 1,35).</w:t>
      </w:r>
    </w:p>
    <w:p w14:paraId="07CF8FC2" w14:textId="77777777" w:rsidR="005B1C7B" w:rsidRPr="0063119B" w:rsidRDefault="005B1C7B" w:rsidP="005B1C7B">
      <w:pPr>
        <w:autoSpaceDE w:val="0"/>
        <w:autoSpaceDN w:val="0"/>
        <w:adjustRightInd w:val="0"/>
        <w:rPr>
          <w:rFonts w:eastAsia="MS Mincho"/>
          <w:bCs/>
          <w:szCs w:val="22"/>
          <w:lang w:eastAsia="ja-JP"/>
        </w:rPr>
      </w:pPr>
    </w:p>
    <w:p w14:paraId="40CAC2B1" w14:textId="77777777" w:rsidR="005B1C7B" w:rsidRPr="0063119B" w:rsidRDefault="005B1C7B" w:rsidP="005B1C7B">
      <w:pPr>
        <w:rPr>
          <w:szCs w:val="22"/>
        </w:rPr>
      </w:pPr>
      <w:r w:rsidRPr="0063119B">
        <w:rPr>
          <w:szCs w:val="22"/>
        </w:rPr>
        <w:t>As taxas de incidência do objetivo primário de segurança (acontecimentos hemorrágicos principais e não principais clinicamente relevantes) assim como do objetivo secundário de segurança (acontecimentos hemorrágicos principais) foram semelhantes nos dois grupos de tratamento.</w:t>
      </w:r>
    </w:p>
    <w:p w14:paraId="3D9BE980" w14:textId="77777777" w:rsidR="005B1C7B" w:rsidRPr="0063119B" w:rsidRDefault="005B1C7B" w:rsidP="005B1C7B">
      <w:pPr>
        <w:pStyle w:val="Default"/>
        <w:rPr>
          <w:color w:val="auto"/>
          <w:sz w:val="22"/>
          <w:szCs w:val="22"/>
          <w:lang w:val="pt-PT"/>
        </w:rPr>
      </w:pPr>
    </w:p>
    <w:p w14:paraId="2159AE3E" w14:textId="77777777" w:rsidR="005B1C7B" w:rsidRPr="0063119B" w:rsidRDefault="005B1C7B" w:rsidP="001F10F8">
      <w:pPr>
        <w:pStyle w:val="Default"/>
        <w:keepNext/>
        <w:keepLines/>
        <w:rPr>
          <w:b/>
          <w:color w:val="auto"/>
          <w:sz w:val="22"/>
          <w:szCs w:val="22"/>
          <w:lang w:val="pt-PT"/>
        </w:rPr>
      </w:pPr>
      <w:r w:rsidRPr="0063119B">
        <w:rPr>
          <w:b/>
          <w:color w:val="auto"/>
          <w:sz w:val="22"/>
          <w:szCs w:val="22"/>
          <w:lang w:val="pt-PT"/>
        </w:rPr>
        <w:t>Quadro </w:t>
      </w:r>
      <w:r w:rsidR="009A48E2" w:rsidRPr="0063119B">
        <w:rPr>
          <w:b/>
          <w:color w:val="auto"/>
          <w:sz w:val="22"/>
          <w:szCs w:val="22"/>
          <w:lang w:val="pt-PT"/>
        </w:rPr>
        <w:t>4</w:t>
      </w:r>
      <w:r w:rsidRPr="0063119B">
        <w:rPr>
          <w:b/>
          <w:color w:val="auto"/>
          <w:sz w:val="22"/>
          <w:szCs w:val="22"/>
          <w:lang w:val="pt-PT"/>
        </w:rPr>
        <w:t>: Resultados de eficácia e segurança do estudo de fase III Einstein DVT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20"/>
        <w:gridCol w:w="230"/>
      </w:tblGrid>
      <w:tr w:rsidR="005B1C7B" w:rsidRPr="0063119B" w14:paraId="26A258BC" w14:textId="77777777" w:rsidTr="00A17B2C">
        <w:tc>
          <w:tcPr>
            <w:tcW w:w="3360" w:type="dxa"/>
          </w:tcPr>
          <w:p w14:paraId="087E32BB" w14:textId="77777777" w:rsidR="005B1C7B" w:rsidRPr="001B6FEC" w:rsidRDefault="005B1C7B" w:rsidP="001F10F8">
            <w:pPr>
              <w:keepNext/>
              <w:keepLines/>
              <w:rPr>
                <w:b/>
                <w:bCs/>
                <w:szCs w:val="22"/>
              </w:rPr>
            </w:pPr>
            <w:r w:rsidRPr="001B6FEC">
              <w:rPr>
                <w:b/>
                <w:bCs/>
                <w:szCs w:val="22"/>
              </w:rPr>
              <w:t>População do estudo</w:t>
            </w:r>
          </w:p>
        </w:tc>
        <w:tc>
          <w:tcPr>
            <w:tcW w:w="6000" w:type="dxa"/>
            <w:gridSpan w:val="3"/>
          </w:tcPr>
          <w:p w14:paraId="6C6CD7DE" w14:textId="77777777" w:rsidR="005B1C7B" w:rsidRPr="001B6FEC" w:rsidRDefault="005B1C7B" w:rsidP="001F10F8">
            <w:pPr>
              <w:keepNext/>
              <w:keepLines/>
              <w:rPr>
                <w:b/>
                <w:bCs/>
                <w:szCs w:val="22"/>
              </w:rPr>
            </w:pPr>
            <w:r w:rsidRPr="001B6FEC">
              <w:rPr>
                <w:b/>
                <w:bCs/>
                <w:szCs w:val="22"/>
              </w:rPr>
              <w:t>3.449 doentes com trombose venosa profunda sintomática aguda</w:t>
            </w:r>
          </w:p>
        </w:tc>
      </w:tr>
      <w:tr w:rsidR="005B1C7B" w:rsidRPr="0063119B" w14:paraId="6959CCBC" w14:textId="77777777" w:rsidTr="00A17B2C">
        <w:tc>
          <w:tcPr>
            <w:tcW w:w="3360" w:type="dxa"/>
            <w:vAlign w:val="center"/>
          </w:tcPr>
          <w:p w14:paraId="3D32EC27" w14:textId="77777777" w:rsidR="005B1C7B" w:rsidRPr="001B6FEC" w:rsidRDefault="005B1C7B" w:rsidP="001F10F8">
            <w:pPr>
              <w:keepNext/>
              <w:keepLines/>
              <w:spacing w:line="260" w:lineRule="exact"/>
              <w:rPr>
                <w:b/>
                <w:bCs/>
                <w:szCs w:val="22"/>
              </w:rPr>
            </w:pPr>
            <w:r w:rsidRPr="001B6FEC">
              <w:rPr>
                <w:b/>
                <w:bCs/>
                <w:szCs w:val="22"/>
              </w:rPr>
              <w:t>Doses e duração do tratamento</w:t>
            </w:r>
          </w:p>
        </w:tc>
        <w:tc>
          <w:tcPr>
            <w:tcW w:w="3120" w:type="dxa"/>
          </w:tcPr>
          <w:p w14:paraId="659A756C" w14:textId="77777777" w:rsidR="005B1C7B" w:rsidRPr="001B6FEC" w:rsidRDefault="00754E0E" w:rsidP="001F10F8">
            <w:pPr>
              <w:keepNext/>
              <w:keepLines/>
              <w:spacing w:line="260" w:lineRule="exact"/>
              <w:rPr>
                <w:b/>
                <w:bCs/>
                <w:szCs w:val="22"/>
                <w:vertAlign w:val="superscript"/>
              </w:rPr>
            </w:pPr>
            <w:r w:rsidRPr="001B6FEC">
              <w:rPr>
                <w:b/>
                <w:bCs/>
                <w:szCs w:val="22"/>
              </w:rPr>
              <w:t>Rivaroxaban</w:t>
            </w:r>
            <w:r w:rsidR="00BE763C" w:rsidRPr="001B6FEC">
              <w:rPr>
                <w:b/>
                <w:bCs/>
                <w:szCs w:val="22"/>
              </w:rPr>
              <w:t>o</w:t>
            </w:r>
            <w:r w:rsidR="005B1C7B" w:rsidRPr="001B6FEC">
              <w:rPr>
                <w:b/>
                <w:bCs/>
                <w:szCs w:val="22"/>
                <w:vertAlign w:val="superscript"/>
              </w:rPr>
              <w:t>a)</w:t>
            </w:r>
          </w:p>
          <w:p w14:paraId="7197A798" w14:textId="77777777" w:rsidR="005B1C7B" w:rsidRPr="001B6FEC" w:rsidRDefault="005B1C7B" w:rsidP="001F10F8">
            <w:pPr>
              <w:keepNext/>
              <w:keepLines/>
              <w:spacing w:line="260" w:lineRule="exact"/>
              <w:rPr>
                <w:b/>
                <w:bCs/>
                <w:szCs w:val="22"/>
              </w:rPr>
            </w:pPr>
            <w:r w:rsidRPr="001B6FEC">
              <w:rPr>
                <w:b/>
                <w:bCs/>
                <w:szCs w:val="22"/>
              </w:rPr>
              <w:t>3, 6 ou 12 meses</w:t>
            </w:r>
          </w:p>
          <w:p w14:paraId="6205599E" w14:textId="77777777" w:rsidR="005B1C7B" w:rsidRPr="001B6FEC" w:rsidRDefault="005B1C7B" w:rsidP="001F10F8">
            <w:pPr>
              <w:keepNext/>
              <w:keepLines/>
              <w:spacing w:line="260" w:lineRule="exact"/>
              <w:rPr>
                <w:b/>
                <w:bCs/>
                <w:szCs w:val="22"/>
              </w:rPr>
            </w:pPr>
            <w:r w:rsidRPr="001B6FEC">
              <w:rPr>
                <w:b/>
                <w:bCs/>
                <w:szCs w:val="22"/>
              </w:rPr>
              <w:t>N=1.731</w:t>
            </w:r>
          </w:p>
        </w:tc>
        <w:tc>
          <w:tcPr>
            <w:tcW w:w="2880" w:type="dxa"/>
            <w:gridSpan w:val="2"/>
          </w:tcPr>
          <w:p w14:paraId="024BF5B8" w14:textId="77777777" w:rsidR="005B1C7B" w:rsidRPr="001B6FEC" w:rsidRDefault="005B1C7B" w:rsidP="001F10F8">
            <w:pPr>
              <w:keepNext/>
              <w:keepLines/>
              <w:spacing w:line="260" w:lineRule="exact"/>
              <w:rPr>
                <w:b/>
                <w:bCs/>
                <w:szCs w:val="22"/>
              </w:rPr>
            </w:pPr>
            <w:r w:rsidRPr="001B6FEC">
              <w:rPr>
                <w:b/>
                <w:bCs/>
                <w:szCs w:val="22"/>
              </w:rPr>
              <w:t>Enoxaparina/AVK</w:t>
            </w:r>
            <w:r w:rsidRPr="001B6FEC">
              <w:rPr>
                <w:b/>
                <w:bCs/>
                <w:szCs w:val="22"/>
                <w:vertAlign w:val="superscript"/>
              </w:rPr>
              <w:t>b)</w:t>
            </w:r>
          </w:p>
          <w:p w14:paraId="371E35DD" w14:textId="77777777" w:rsidR="005B1C7B" w:rsidRPr="001B6FEC" w:rsidRDefault="005B1C7B" w:rsidP="001F10F8">
            <w:pPr>
              <w:keepNext/>
              <w:keepLines/>
              <w:spacing w:line="260" w:lineRule="exact"/>
              <w:rPr>
                <w:b/>
                <w:bCs/>
                <w:szCs w:val="22"/>
              </w:rPr>
            </w:pPr>
            <w:r w:rsidRPr="001B6FEC">
              <w:rPr>
                <w:b/>
                <w:bCs/>
                <w:szCs w:val="22"/>
              </w:rPr>
              <w:t>3, 6 ou 12 meses</w:t>
            </w:r>
          </w:p>
          <w:p w14:paraId="1D052499" w14:textId="77777777" w:rsidR="005B1C7B" w:rsidRPr="001B6FEC" w:rsidRDefault="005B1C7B" w:rsidP="001F10F8">
            <w:pPr>
              <w:keepNext/>
              <w:keepLines/>
              <w:spacing w:line="260" w:lineRule="exact"/>
              <w:rPr>
                <w:b/>
                <w:bCs/>
                <w:szCs w:val="22"/>
              </w:rPr>
            </w:pPr>
            <w:r w:rsidRPr="001B6FEC">
              <w:rPr>
                <w:b/>
                <w:bCs/>
                <w:szCs w:val="22"/>
              </w:rPr>
              <w:t>N=1.718</w:t>
            </w:r>
          </w:p>
        </w:tc>
      </w:tr>
      <w:tr w:rsidR="005B1C7B" w:rsidRPr="0063119B" w14:paraId="7A54018B" w14:textId="77777777" w:rsidTr="00A17B2C">
        <w:tc>
          <w:tcPr>
            <w:tcW w:w="3360" w:type="dxa"/>
          </w:tcPr>
          <w:p w14:paraId="35102941" w14:textId="77777777" w:rsidR="005B1C7B" w:rsidRPr="0063119B" w:rsidRDefault="005B1C7B" w:rsidP="001F10F8">
            <w:pPr>
              <w:keepNext/>
              <w:keepLines/>
              <w:spacing w:line="260" w:lineRule="exact"/>
              <w:rPr>
                <w:szCs w:val="22"/>
              </w:rPr>
            </w:pPr>
            <w:r w:rsidRPr="0063119B">
              <w:rPr>
                <w:szCs w:val="22"/>
              </w:rPr>
              <w:t>TEV sintomático recorrente*</w:t>
            </w:r>
          </w:p>
        </w:tc>
        <w:tc>
          <w:tcPr>
            <w:tcW w:w="3120" w:type="dxa"/>
          </w:tcPr>
          <w:p w14:paraId="480B7E1A" w14:textId="77777777" w:rsidR="005B1C7B" w:rsidRPr="0063119B" w:rsidRDefault="005B1C7B" w:rsidP="001F10F8">
            <w:pPr>
              <w:keepNext/>
              <w:keepLines/>
              <w:spacing w:line="260" w:lineRule="exact"/>
              <w:rPr>
                <w:szCs w:val="22"/>
              </w:rPr>
            </w:pPr>
            <w:r w:rsidRPr="0063119B">
              <w:rPr>
                <w:szCs w:val="22"/>
              </w:rPr>
              <w:t>36</w:t>
            </w:r>
            <w:r w:rsidRPr="0063119B">
              <w:rPr>
                <w:szCs w:val="22"/>
              </w:rPr>
              <w:br/>
              <w:t>(2,1%)</w:t>
            </w:r>
          </w:p>
        </w:tc>
        <w:tc>
          <w:tcPr>
            <w:tcW w:w="2880" w:type="dxa"/>
            <w:gridSpan w:val="2"/>
          </w:tcPr>
          <w:p w14:paraId="7BF17CF7" w14:textId="77777777" w:rsidR="005B1C7B" w:rsidRPr="0063119B" w:rsidRDefault="005B1C7B" w:rsidP="001F10F8">
            <w:pPr>
              <w:keepNext/>
              <w:keepLines/>
              <w:spacing w:line="260" w:lineRule="exact"/>
              <w:rPr>
                <w:szCs w:val="22"/>
              </w:rPr>
            </w:pPr>
            <w:r w:rsidRPr="0063119B">
              <w:rPr>
                <w:szCs w:val="22"/>
              </w:rPr>
              <w:t>51</w:t>
            </w:r>
            <w:r w:rsidRPr="0063119B">
              <w:rPr>
                <w:szCs w:val="22"/>
              </w:rPr>
              <w:br/>
              <w:t>(3,0%)</w:t>
            </w:r>
          </w:p>
        </w:tc>
      </w:tr>
      <w:tr w:rsidR="005B1C7B" w:rsidRPr="0063119B" w14:paraId="27AFAD11" w14:textId="77777777" w:rsidTr="00A17B2C">
        <w:tc>
          <w:tcPr>
            <w:tcW w:w="3360" w:type="dxa"/>
          </w:tcPr>
          <w:p w14:paraId="03CC2E68" w14:textId="77777777" w:rsidR="005B1C7B" w:rsidRPr="0063119B" w:rsidRDefault="005B1C7B" w:rsidP="00A17B2C">
            <w:pPr>
              <w:spacing w:line="260" w:lineRule="exact"/>
              <w:rPr>
                <w:szCs w:val="22"/>
              </w:rPr>
            </w:pPr>
            <w:r w:rsidRPr="0063119B">
              <w:rPr>
                <w:szCs w:val="22"/>
              </w:rPr>
              <w:t xml:space="preserve">      EP sintomático recorrente</w:t>
            </w:r>
          </w:p>
        </w:tc>
        <w:tc>
          <w:tcPr>
            <w:tcW w:w="3120" w:type="dxa"/>
          </w:tcPr>
          <w:p w14:paraId="4B1CF777" w14:textId="77777777" w:rsidR="005B1C7B" w:rsidRPr="0063119B" w:rsidRDefault="005B1C7B" w:rsidP="00A17B2C">
            <w:pPr>
              <w:spacing w:line="260" w:lineRule="exact"/>
              <w:rPr>
                <w:szCs w:val="22"/>
              </w:rPr>
            </w:pPr>
            <w:r w:rsidRPr="0063119B">
              <w:rPr>
                <w:szCs w:val="22"/>
              </w:rPr>
              <w:t>20</w:t>
            </w:r>
            <w:r w:rsidRPr="0063119B">
              <w:rPr>
                <w:szCs w:val="22"/>
              </w:rPr>
              <w:br/>
              <w:t>(1,2%)</w:t>
            </w:r>
          </w:p>
        </w:tc>
        <w:tc>
          <w:tcPr>
            <w:tcW w:w="2880" w:type="dxa"/>
            <w:gridSpan w:val="2"/>
          </w:tcPr>
          <w:p w14:paraId="314E6619" w14:textId="77777777" w:rsidR="005B1C7B" w:rsidRPr="0063119B" w:rsidRDefault="005B1C7B" w:rsidP="00A17B2C">
            <w:pPr>
              <w:spacing w:line="260" w:lineRule="exact"/>
              <w:rPr>
                <w:szCs w:val="22"/>
              </w:rPr>
            </w:pPr>
            <w:r w:rsidRPr="0063119B">
              <w:rPr>
                <w:szCs w:val="22"/>
              </w:rPr>
              <w:t>18</w:t>
            </w:r>
            <w:r w:rsidRPr="0063119B">
              <w:rPr>
                <w:szCs w:val="22"/>
              </w:rPr>
              <w:br/>
              <w:t>(1,0%)</w:t>
            </w:r>
          </w:p>
        </w:tc>
      </w:tr>
      <w:tr w:rsidR="005B1C7B" w:rsidRPr="0063119B" w14:paraId="45E985A1" w14:textId="77777777" w:rsidTr="00A17B2C">
        <w:tc>
          <w:tcPr>
            <w:tcW w:w="3360" w:type="dxa"/>
          </w:tcPr>
          <w:p w14:paraId="198F32CE" w14:textId="77777777" w:rsidR="005B1C7B" w:rsidRPr="0063119B" w:rsidRDefault="005B1C7B" w:rsidP="00A17B2C">
            <w:pPr>
              <w:spacing w:line="260" w:lineRule="exact"/>
              <w:rPr>
                <w:szCs w:val="22"/>
              </w:rPr>
            </w:pPr>
            <w:r w:rsidRPr="0063119B">
              <w:rPr>
                <w:szCs w:val="22"/>
              </w:rPr>
              <w:t xml:space="preserve">     TVP sintomática recorrente</w:t>
            </w:r>
          </w:p>
        </w:tc>
        <w:tc>
          <w:tcPr>
            <w:tcW w:w="3120" w:type="dxa"/>
          </w:tcPr>
          <w:p w14:paraId="259CC335" w14:textId="77777777" w:rsidR="005B1C7B" w:rsidRPr="0063119B" w:rsidRDefault="005B1C7B" w:rsidP="00A17B2C">
            <w:pPr>
              <w:spacing w:line="260" w:lineRule="exact"/>
              <w:rPr>
                <w:szCs w:val="22"/>
              </w:rPr>
            </w:pPr>
            <w:r w:rsidRPr="0063119B">
              <w:rPr>
                <w:szCs w:val="22"/>
              </w:rPr>
              <w:t>14</w:t>
            </w:r>
            <w:r w:rsidRPr="0063119B">
              <w:rPr>
                <w:szCs w:val="22"/>
              </w:rPr>
              <w:br/>
              <w:t>(0,8%)</w:t>
            </w:r>
          </w:p>
        </w:tc>
        <w:tc>
          <w:tcPr>
            <w:tcW w:w="2880" w:type="dxa"/>
            <w:gridSpan w:val="2"/>
          </w:tcPr>
          <w:p w14:paraId="09F98ED7" w14:textId="77777777" w:rsidR="005B1C7B" w:rsidRPr="0063119B" w:rsidRDefault="005B1C7B" w:rsidP="00A17B2C">
            <w:pPr>
              <w:spacing w:line="260" w:lineRule="exact"/>
              <w:rPr>
                <w:szCs w:val="22"/>
              </w:rPr>
            </w:pPr>
            <w:r w:rsidRPr="0063119B">
              <w:rPr>
                <w:szCs w:val="22"/>
              </w:rPr>
              <w:t>28</w:t>
            </w:r>
            <w:r w:rsidRPr="0063119B">
              <w:rPr>
                <w:szCs w:val="22"/>
              </w:rPr>
              <w:br/>
              <w:t>(1,6%)</w:t>
            </w:r>
          </w:p>
        </w:tc>
      </w:tr>
      <w:tr w:rsidR="005B1C7B" w:rsidRPr="0063119B" w14:paraId="3F9034A3" w14:textId="77777777" w:rsidTr="00A17B2C">
        <w:tc>
          <w:tcPr>
            <w:tcW w:w="3360" w:type="dxa"/>
          </w:tcPr>
          <w:p w14:paraId="2AB83BD2" w14:textId="77777777" w:rsidR="005B1C7B" w:rsidRPr="0063119B" w:rsidRDefault="005B1C7B" w:rsidP="00A17B2C">
            <w:pPr>
              <w:spacing w:line="260" w:lineRule="exact"/>
              <w:rPr>
                <w:szCs w:val="22"/>
              </w:rPr>
            </w:pPr>
            <w:r w:rsidRPr="0063119B">
              <w:rPr>
                <w:szCs w:val="22"/>
              </w:rPr>
              <w:t xml:space="preserve">     EP e TVP sintomáticos</w:t>
            </w:r>
          </w:p>
        </w:tc>
        <w:tc>
          <w:tcPr>
            <w:tcW w:w="3120" w:type="dxa"/>
          </w:tcPr>
          <w:p w14:paraId="78DBA1F4" w14:textId="77777777" w:rsidR="005B1C7B" w:rsidRPr="0063119B" w:rsidRDefault="005B1C7B" w:rsidP="00A17B2C">
            <w:pPr>
              <w:spacing w:line="260" w:lineRule="exact"/>
              <w:rPr>
                <w:szCs w:val="22"/>
              </w:rPr>
            </w:pPr>
            <w:r w:rsidRPr="0063119B">
              <w:rPr>
                <w:szCs w:val="22"/>
              </w:rPr>
              <w:t>1</w:t>
            </w:r>
          </w:p>
          <w:p w14:paraId="1CE11676" w14:textId="77777777" w:rsidR="005B1C7B" w:rsidRPr="0063119B" w:rsidRDefault="005B1C7B" w:rsidP="00A17B2C">
            <w:pPr>
              <w:spacing w:line="260" w:lineRule="exact"/>
              <w:rPr>
                <w:szCs w:val="22"/>
              </w:rPr>
            </w:pPr>
            <w:r w:rsidRPr="0063119B">
              <w:rPr>
                <w:szCs w:val="22"/>
              </w:rPr>
              <w:t>(0,1%)</w:t>
            </w:r>
          </w:p>
        </w:tc>
        <w:tc>
          <w:tcPr>
            <w:tcW w:w="2880" w:type="dxa"/>
            <w:gridSpan w:val="2"/>
          </w:tcPr>
          <w:p w14:paraId="02277A6C" w14:textId="77777777" w:rsidR="005B1C7B" w:rsidRPr="0063119B" w:rsidRDefault="005B1C7B" w:rsidP="00A17B2C">
            <w:pPr>
              <w:spacing w:line="260" w:lineRule="exact"/>
              <w:rPr>
                <w:szCs w:val="22"/>
              </w:rPr>
            </w:pPr>
            <w:r w:rsidRPr="0063119B">
              <w:rPr>
                <w:szCs w:val="22"/>
              </w:rPr>
              <w:t>0</w:t>
            </w:r>
          </w:p>
        </w:tc>
      </w:tr>
      <w:tr w:rsidR="005B1C7B" w:rsidRPr="0063119B" w14:paraId="43D4B659" w14:textId="77777777" w:rsidTr="00A17B2C">
        <w:tc>
          <w:tcPr>
            <w:tcW w:w="3360" w:type="dxa"/>
          </w:tcPr>
          <w:p w14:paraId="1A401BEC" w14:textId="77777777" w:rsidR="005B1C7B" w:rsidRPr="0063119B" w:rsidRDefault="005B1C7B" w:rsidP="00A17B2C">
            <w:pPr>
              <w:spacing w:line="260" w:lineRule="exact"/>
              <w:ind w:left="284" w:hanging="34"/>
              <w:rPr>
                <w:szCs w:val="22"/>
              </w:rPr>
            </w:pPr>
            <w:r w:rsidRPr="0063119B">
              <w:rPr>
                <w:szCs w:val="22"/>
              </w:rPr>
              <w:t>EP fatal/</w:t>
            </w:r>
            <w:r w:rsidR="00822F6C" w:rsidRPr="0063119B">
              <w:rPr>
                <w:szCs w:val="22"/>
              </w:rPr>
              <w:t>m</w:t>
            </w:r>
            <w:r w:rsidRPr="0063119B">
              <w:rPr>
                <w:szCs w:val="22"/>
              </w:rPr>
              <w:t>orte na qual não se pode excluir EP</w:t>
            </w:r>
          </w:p>
        </w:tc>
        <w:tc>
          <w:tcPr>
            <w:tcW w:w="3120" w:type="dxa"/>
          </w:tcPr>
          <w:p w14:paraId="287BFAE3" w14:textId="77777777" w:rsidR="005B1C7B" w:rsidRPr="0063119B" w:rsidRDefault="005B1C7B" w:rsidP="00A17B2C">
            <w:pPr>
              <w:spacing w:line="260" w:lineRule="exact"/>
              <w:rPr>
                <w:szCs w:val="22"/>
              </w:rPr>
            </w:pPr>
            <w:r w:rsidRPr="0063119B">
              <w:rPr>
                <w:szCs w:val="22"/>
              </w:rPr>
              <w:t>4</w:t>
            </w:r>
            <w:r w:rsidRPr="0063119B">
              <w:rPr>
                <w:szCs w:val="22"/>
              </w:rPr>
              <w:br/>
              <w:t>(0,2%)</w:t>
            </w:r>
          </w:p>
        </w:tc>
        <w:tc>
          <w:tcPr>
            <w:tcW w:w="2880" w:type="dxa"/>
            <w:gridSpan w:val="2"/>
          </w:tcPr>
          <w:p w14:paraId="37549B40" w14:textId="77777777" w:rsidR="005B1C7B" w:rsidRPr="0063119B" w:rsidRDefault="005B1C7B" w:rsidP="00A17B2C">
            <w:pPr>
              <w:spacing w:line="260" w:lineRule="exact"/>
              <w:rPr>
                <w:szCs w:val="22"/>
              </w:rPr>
            </w:pPr>
            <w:r w:rsidRPr="0063119B">
              <w:rPr>
                <w:szCs w:val="22"/>
              </w:rPr>
              <w:t>6</w:t>
            </w:r>
            <w:r w:rsidRPr="0063119B">
              <w:rPr>
                <w:szCs w:val="22"/>
              </w:rPr>
              <w:br/>
              <w:t>(0,3%)</w:t>
            </w:r>
          </w:p>
        </w:tc>
      </w:tr>
      <w:tr w:rsidR="005B1C7B" w:rsidRPr="0063119B" w14:paraId="730104A7" w14:textId="77777777" w:rsidTr="00A17B2C">
        <w:tc>
          <w:tcPr>
            <w:tcW w:w="3360" w:type="dxa"/>
          </w:tcPr>
          <w:p w14:paraId="526454D7" w14:textId="77777777" w:rsidR="005B1C7B" w:rsidRPr="0063119B" w:rsidRDefault="005B1C7B" w:rsidP="00A17B2C">
            <w:pPr>
              <w:spacing w:line="260" w:lineRule="exact"/>
              <w:rPr>
                <w:szCs w:val="22"/>
              </w:rPr>
            </w:pPr>
            <w:r w:rsidRPr="0063119B">
              <w:rPr>
                <w:szCs w:val="22"/>
              </w:rPr>
              <w:t>Hemorragia principal ou não principal clinicamente relevante</w:t>
            </w:r>
          </w:p>
        </w:tc>
        <w:tc>
          <w:tcPr>
            <w:tcW w:w="3120" w:type="dxa"/>
          </w:tcPr>
          <w:p w14:paraId="6E179425" w14:textId="77777777" w:rsidR="005B1C7B" w:rsidRPr="0063119B" w:rsidRDefault="005B1C7B" w:rsidP="00A17B2C">
            <w:pPr>
              <w:spacing w:line="260" w:lineRule="exact"/>
              <w:rPr>
                <w:szCs w:val="22"/>
              </w:rPr>
            </w:pPr>
            <w:r w:rsidRPr="0063119B">
              <w:rPr>
                <w:szCs w:val="22"/>
              </w:rPr>
              <w:t>139</w:t>
            </w:r>
            <w:r w:rsidRPr="0063119B">
              <w:rPr>
                <w:szCs w:val="22"/>
              </w:rPr>
              <w:br/>
              <w:t>(8,1%)</w:t>
            </w:r>
          </w:p>
        </w:tc>
        <w:tc>
          <w:tcPr>
            <w:tcW w:w="2880" w:type="dxa"/>
            <w:gridSpan w:val="2"/>
          </w:tcPr>
          <w:p w14:paraId="199B39B1" w14:textId="77777777" w:rsidR="005B1C7B" w:rsidRPr="0063119B" w:rsidRDefault="005B1C7B" w:rsidP="00A17B2C">
            <w:pPr>
              <w:spacing w:line="260" w:lineRule="exact"/>
              <w:rPr>
                <w:szCs w:val="22"/>
              </w:rPr>
            </w:pPr>
            <w:r w:rsidRPr="0063119B">
              <w:rPr>
                <w:szCs w:val="22"/>
              </w:rPr>
              <w:t>138</w:t>
            </w:r>
            <w:r w:rsidRPr="0063119B">
              <w:rPr>
                <w:szCs w:val="22"/>
              </w:rPr>
              <w:br/>
              <w:t>(8,1%)</w:t>
            </w:r>
          </w:p>
        </w:tc>
      </w:tr>
      <w:tr w:rsidR="005B1C7B" w:rsidRPr="0063119B" w14:paraId="348BCBB1" w14:textId="77777777" w:rsidTr="00A17B2C">
        <w:tc>
          <w:tcPr>
            <w:tcW w:w="3360" w:type="dxa"/>
          </w:tcPr>
          <w:p w14:paraId="091C7435" w14:textId="77777777" w:rsidR="005B1C7B" w:rsidRPr="0063119B" w:rsidRDefault="005B1C7B" w:rsidP="00A17B2C">
            <w:pPr>
              <w:spacing w:line="260" w:lineRule="exact"/>
              <w:rPr>
                <w:szCs w:val="22"/>
              </w:rPr>
            </w:pPr>
            <w:r w:rsidRPr="0063119B">
              <w:rPr>
                <w:szCs w:val="22"/>
              </w:rPr>
              <w:t>Acontecimentos hemorrágicos principais</w:t>
            </w:r>
          </w:p>
        </w:tc>
        <w:tc>
          <w:tcPr>
            <w:tcW w:w="3120" w:type="dxa"/>
          </w:tcPr>
          <w:p w14:paraId="23A2BA58" w14:textId="77777777" w:rsidR="005B1C7B" w:rsidRPr="0063119B" w:rsidRDefault="005B1C7B" w:rsidP="00A17B2C">
            <w:pPr>
              <w:spacing w:line="260" w:lineRule="exact"/>
              <w:rPr>
                <w:szCs w:val="22"/>
              </w:rPr>
            </w:pPr>
            <w:r w:rsidRPr="0063119B">
              <w:rPr>
                <w:szCs w:val="22"/>
              </w:rPr>
              <w:t>14</w:t>
            </w:r>
            <w:r w:rsidRPr="0063119B">
              <w:rPr>
                <w:szCs w:val="22"/>
              </w:rPr>
              <w:br/>
              <w:t>(0,8%)</w:t>
            </w:r>
          </w:p>
        </w:tc>
        <w:tc>
          <w:tcPr>
            <w:tcW w:w="2880" w:type="dxa"/>
            <w:gridSpan w:val="2"/>
          </w:tcPr>
          <w:p w14:paraId="34D39870" w14:textId="77777777" w:rsidR="005B1C7B" w:rsidRPr="0063119B" w:rsidRDefault="005B1C7B" w:rsidP="00A17B2C">
            <w:pPr>
              <w:spacing w:line="260" w:lineRule="exact"/>
              <w:rPr>
                <w:szCs w:val="22"/>
              </w:rPr>
            </w:pPr>
            <w:r w:rsidRPr="0063119B">
              <w:rPr>
                <w:szCs w:val="22"/>
              </w:rPr>
              <w:t>20</w:t>
            </w:r>
            <w:r w:rsidRPr="0063119B">
              <w:rPr>
                <w:szCs w:val="22"/>
              </w:rPr>
              <w:br/>
              <w:t>(1,2%)</w:t>
            </w:r>
          </w:p>
        </w:tc>
      </w:tr>
      <w:tr w:rsidR="005B1C7B" w:rsidRPr="0063119B" w14:paraId="676A54B8" w14:textId="77777777" w:rsidTr="00A17B2C">
        <w:trPr>
          <w:gridAfter w:val="1"/>
          <w:wAfter w:w="230" w:type="dxa"/>
        </w:trPr>
        <w:tc>
          <w:tcPr>
            <w:tcW w:w="9200" w:type="dxa"/>
            <w:gridSpan w:val="3"/>
            <w:tcBorders>
              <w:top w:val="nil"/>
              <w:left w:val="nil"/>
              <w:bottom w:val="nil"/>
              <w:right w:val="nil"/>
            </w:tcBorders>
          </w:tcPr>
          <w:p w14:paraId="72121852" w14:textId="77777777" w:rsidR="005B1C7B" w:rsidRPr="0063119B" w:rsidRDefault="005B1C7B" w:rsidP="00A17B2C">
            <w:pPr>
              <w:tabs>
                <w:tab w:val="left" w:pos="567"/>
              </w:tabs>
              <w:rPr>
                <w:szCs w:val="22"/>
              </w:rPr>
            </w:pPr>
            <w:r w:rsidRPr="0063119B">
              <w:rPr>
                <w:szCs w:val="22"/>
              </w:rPr>
              <w:t>a)</w:t>
            </w:r>
            <w:r w:rsidRPr="0063119B">
              <w:rPr>
                <w:szCs w:val="22"/>
              </w:rPr>
              <w:tab/>
              <w:t>Rivaroxabano 15 mg duas vezes por dia durante 3 semanas seguido de 20 mg uma vez por dia</w:t>
            </w:r>
          </w:p>
          <w:p w14:paraId="3B3BE585" w14:textId="77777777" w:rsidR="005B1C7B" w:rsidRPr="0063119B" w:rsidRDefault="005B1C7B" w:rsidP="00A17B2C">
            <w:pPr>
              <w:tabs>
                <w:tab w:val="left" w:pos="567"/>
              </w:tabs>
              <w:ind w:left="567" w:hanging="567"/>
              <w:rPr>
                <w:szCs w:val="22"/>
              </w:rPr>
            </w:pPr>
            <w:r w:rsidRPr="0063119B">
              <w:rPr>
                <w:szCs w:val="22"/>
              </w:rPr>
              <w:t>b)</w:t>
            </w:r>
            <w:r w:rsidRPr="0063119B">
              <w:rPr>
                <w:szCs w:val="22"/>
              </w:rPr>
              <w:tab/>
              <w:t>Enoxaparina durante pelo menos 5 dias, sobreposta com e seguida de AVK</w:t>
            </w:r>
          </w:p>
          <w:p w14:paraId="03E0F02B" w14:textId="77777777" w:rsidR="005B1C7B" w:rsidRPr="0063119B" w:rsidRDefault="005B1C7B" w:rsidP="00A17B2C">
            <w:pPr>
              <w:tabs>
                <w:tab w:val="left" w:pos="567"/>
              </w:tabs>
              <w:ind w:left="567" w:hanging="567"/>
              <w:rPr>
                <w:vanish/>
                <w:szCs w:val="22"/>
              </w:rPr>
            </w:pPr>
            <w:r w:rsidRPr="0063119B">
              <w:rPr>
                <w:b/>
                <w:szCs w:val="22"/>
              </w:rPr>
              <w:t>*</w:t>
            </w:r>
            <w:r w:rsidRPr="0063119B">
              <w:rPr>
                <w:szCs w:val="22"/>
              </w:rPr>
              <w:tab/>
              <w:t xml:space="preserve">p &lt; 0,0001 (não inferioridade para uma </w:t>
            </w:r>
            <w:r w:rsidR="00822F6C" w:rsidRPr="0063119B">
              <w:rPr>
                <w:szCs w:val="22"/>
              </w:rPr>
              <w:t>RR</w:t>
            </w:r>
            <w:r w:rsidRPr="0063119B">
              <w:rPr>
                <w:szCs w:val="22"/>
              </w:rPr>
              <w:t xml:space="preserve"> pré-especificada de 2,0); </w:t>
            </w:r>
            <w:r w:rsidR="00822F6C" w:rsidRPr="0063119B">
              <w:rPr>
                <w:szCs w:val="22"/>
              </w:rPr>
              <w:t>RR</w:t>
            </w:r>
            <w:r w:rsidRPr="0063119B">
              <w:rPr>
                <w:szCs w:val="22"/>
              </w:rPr>
              <w:t>: 0,680 (0,443 </w:t>
            </w:r>
            <w:r w:rsidRPr="0063119B">
              <w:rPr>
                <w:szCs w:val="22"/>
              </w:rPr>
              <w:noBreakHyphen/>
              <w:t> 1,042), p = 0,076 (superioridade)</w:t>
            </w:r>
          </w:p>
        </w:tc>
      </w:tr>
    </w:tbl>
    <w:p w14:paraId="75411266" w14:textId="77777777" w:rsidR="005B1C7B" w:rsidRPr="0063119B" w:rsidRDefault="005B1C7B" w:rsidP="005B1C7B">
      <w:pPr>
        <w:autoSpaceDE w:val="0"/>
        <w:autoSpaceDN w:val="0"/>
        <w:adjustRightInd w:val="0"/>
        <w:rPr>
          <w:szCs w:val="22"/>
        </w:rPr>
      </w:pPr>
    </w:p>
    <w:p w14:paraId="5C6BC10C" w14:textId="77777777" w:rsidR="005B1C7B" w:rsidRPr="0063119B" w:rsidRDefault="005B1C7B" w:rsidP="005B1C7B">
      <w:pPr>
        <w:autoSpaceDE w:val="0"/>
        <w:autoSpaceDN w:val="0"/>
        <w:adjustRightInd w:val="0"/>
        <w:rPr>
          <w:rFonts w:eastAsia="MS Mincho"/>
          <w:bCs/>
          <w:szCs w:val="22"/>
          <w:lang w:eastAsia="ja-JP"/>
        </w:rPr>
      </w:pPr>
      <w:r w:rsidRPr="0063119B">
        <w:rPr>
          <w:szCs w:val="22"/>
        </w:rPr>
        <w:t>No estudo Einstein PE (ver Quadro</w:t>
      </w:r>
      <w:r w:rsidR="00B310DB" w:rsidRPr="0063119B">
        <w:rPr>
          <w:szCs w:val="22"/>
        </w:rPr>
        <w:t> 5</w:t>
      </w:r>
      <w:r w:rsidRPr="0063119B">
        <w:rPr>
          <w:szCs w:val="22"/>
        </w:rPr>
        <w:t>) o rivaroxabano demonstrou ser não inferior à enoxaparina/AVK em relação ao objetivo primário da eficácia (p=0,0026 (teste de não</w:t>
      </w:r>
      <w:r w:rsidRPr="0063119B">
        <w:rPr>
          <w:szCs w:val="22"/>
        </w:rPr>
        <w:noBreakHyphen/>
        <w:t xml:space="preserve">inferioridade); </w:t>
      </w:r>
      <w:r w:rsidR="00BE763C" w:rsidRPr="0063119B">
        <w:rPr>
          <w:szCs w:val="22"/>
        </w:rPr>
        <w:t>razão de risco (RR)</w:t>
      </w:r>
      <w:r w:rsidRPr="0063119B">
        <w:rPr>
          <w:szCs w:val="22"/>
        </w:rPr>
        <w:t xml:space="preserve">: </w:t>
      </w:r>
      <w:r w:rsidRPr="0063119B">
        <w:rPr>
          <w:iCs/>
          <w:szCs w:val="22"/>
        </w:rPr>
        <w:t>1,123 (0,749 </w:t>
      </w:r>
      <w:r w:rsidRPr="0063119B">
        <w:rPr>
          <w:iCs/>
          <w:szCs w:val="22"/>
        </w:rPr>
        <w:noBreakHyphen/>
        <w:t> 1,684)).</w:t>
      </w:r>
      <w:r w:rsidRPr="0063119B">
        <w:rPr>
          <w:rFonts w:eastAsia="MS Mincho"/>
          <w:bCs/>
          <w:szCs w:val="22"/>
          <w:lang w:eastAsia="ja-JP"/>
        </w:rPr>
        <w:t xml:space="preserve"> O benefício clínico efetivo pré</w:t>
      </w:r>
      <w:r w:rsidRPr="0063119B">
        <w:rPr>
          <w:rFonts w:eastAsia="MS Mincho"/>
          <w:bCs/>
          <w:szCs w:val="22"/>
          <w:lang w:eastAsia="ja-JP"/>
        </w:rPr>
        <w:noBreakHyphen/>
        <w:t xml:space="preserve">especificado (objetivo primário da eficácia mais acontecimentos hemorrágicos principais) foi notificado com uma </w:t>
      </w:r>
      <w:r w:rsidR="00822F6C" w:rsidRPr="0063119B">
        <w:rPr>
          <w:szCs w:val="22"/>
        </w:rPr>
        <w:t>RR</w:t>
      </w:r>
      <w:r w:rsidRPr="0063119B">
        <w:rPr>
          <w:rFonts w:eastAsia="MS Mincho"/>
          <w:bCs/>
          <w:szCs w:val="22"/>
          <w:lang w:eastAsia="ja-JP"/>
        </w:rPr>
        <w:t xml:space="preserve"> de 0,849 ((IC 95%: 0,633 </w:t>
      </w:r>
      <w:r w:rsidRPr="0063119B">
        <w:rPr>
          <w:rFonts w:eastAsia="MS Mincho"/>
          <w:bCs/>
          <w:szCs w:val="22"/>
          <w:lang w:eastAsia="ja-JP"/>
        </w:rPr>
        <w:noBreakHyphen/>
        <w:t xml:space="preserve"> 1,139), valor-p nominal com p=0,275). Os valores de INR foram no intervalo terapêutico uma média de 63% do tempo para uma duração média de tratamento de 215 dias, e 57%, 62% e 65% do tempo nos grupos de duração de tratamento previsto de 3, 6 e 12 meses, respetivamente. No grupo enoxaparina/AVK, não existe uma relação clara entre o nível do centro TTR médio (Tempo no Intervalo do INR Alvo de 2,0 a 3,0) em tercis de igual tamanho e a incidência de TEV recorrente (p=0,082 para interação). No maior tercil de acordo com o centro, a </w:t>
      </w:r>
      <w:r w:rsidR="00822F6C" w:rsidRPr="0063119B">
        <w:rPr>
          <w:szCs w:val="22"/>
        </w:rPr>
        <w:t>RR</w:t>
      </w:r>
      <w:r w:rsidRPr="0063119B">
        <w:rPr>
          <w:rFonts w:eastAsia="MS Mincho"/>
          <w:bCs/>
          <w:szCs w:val="22"/>
          <w:lang w:eastAsia="ja-JP"/>
        </w:rPr>
        <w:t xml:space="preserve"> com rivaroxabano versus varfarina foi de 0,642 (IC 95%: 0,277 </w:t>
      </w:r>
      <w:r w:rsidR="00377739" w:rsidRPr="0063119B">
        <w:rPr>
          <w:rFonts w:eastAsia="MS Mincho"/>
          <w:bCs/>
          <w:szCs w:val="22"/>
          <w:lang w:eastAsia="ja-JP"/>
        </w:rPr>
        <w:t>-</w:t>
      </w:r>
      <w:r w:rsidRPr="0063119B">
        <w:rPr>
          <w:rFonts w:eastAsia="MS Mincho"/>
          <w:bCs/>
          <w:szCs w:val="22"/>
          <w:lang w:eastAsia="ja-JP"/>
        </w:rPr>
        <w:t xml:space="preserve"> 1,484).</w:t>
      </w:r>
    </w:p>
    <w:p w14:paraId="2CD9DC13" w14:textId="77777777" w:rsidR="005B1C7B" w:rsidRPr="0063119B" w:rsidRDefault="005B1C7B" w:rsidP="005B1C7B">
      <w:pPr>
        <w:autoSpaceDE w:val="0"/>
        <w:autoSpaceDN w:val="0"/>
        <w:adjustRightInd w:val="0"/>
        <w:rPr>
          <w:rFonts w:eastAsia="MS Mincho"/>
          <w:bCs/>
          <w:szCs w:val="22"/>
          <w:lang w:eastAsia="ja-JP"/>
        </w:rPr>
      </w:pPr>
    </w:p>
    <w:p w14:paraId="3CDCA243" w14:textId="77777777" w:rsidR="005B1C7B" w:rsidRPr="0063119B" w:rsidRDefault="005B1C7B" w:rsidP="005B1C7B">
      <w:pPr>
        <w:rPr>
          <w:szCs w:val="22"/>
        </w:rPr>
      </w:pPr>
      <w:r w:rsidRPr="0063119B">
        <w:rPr>
          <w:szCs w:val="22"/>
        </w:rPr>
        <w:t xml:space="preserve">As taxas de incidência do objetivo primário de segurança (acontecimentos hemorrágicos principais e não principais clinicamente relevantes) foram ligeiramente inferiores no grupo de tratamento do rivaroxabano (10,3% (249/2412)) do que no grupo de tratamento enoxaparina/AVK (11,4% (274/2405)). A incidência do objetivo secundário de segurança (acontecimentos hemorrágicos principais) foi inferior no grupo do rivaroxabano (1,1% (26/2412)) do que no grupo de tratamento enoxaparina/AVK (2,2% (52/2405)) com uma </w:t>
      </w:r>
      <w:r w:rsidR="00822F6C" w:rsidRPr="0063119B">
        <w:rPr>
          <w:szCs w:val="22"/>
        </w:rPr>
        <w:t>RR</w:t>
      </w:r>
      <w:r w:rsidRPr="0063119B">
        <w:rPr>
          <w:szCs w:val="22"/>
        </w:rPr>
        <w:t xml:space="preserve"> de 0,493 </w:t>
      </w:r>
      <w:r w:rsidRPr="0063119B">
        <w:rPr>
          <w:rFonts w:eastAsia="MS Mincho"/>
          <w:bCs/>
          <w:szCs w:val="22"/>
          <w:lang w:eastAsia="ja-JP"/>
        </w:rPr>
        <w:t xml:space="preserve">(IC 95%: 0,308 </w:t>
      </w:r>
      <w:r w:rsidR="00377739" w:rsidRPr="0063119B">
        <w:rPr>
          <w:rFonts w:eastAsia="MS Mincho"/>
          <w:bCs/>
          <w:szCs w:val="22"/>
          <w:lang w:eastAsia="ja-JP"/>
        </w:rPr>
        <w:t>-</w:t>
      </w:r>
      <w:r w:rsidRPr="0063119B">
        <w:rPr>
          <w:rFonts w:eastAsia="MS Mincho"/>
          <w:bCs/>
          <w:szCs w:val="22"/>
          <w:lang w:eastAsia="ja-JP"/>
        </w:rPr>
        <w:t xml:space="preserve"> 0,789).</w:t>
      </w:r>
    </w:p>
    <w:p w14:paraId="7749CA9D" w14:textId="77777777" w:rsidR="005B1C7B" w:rsidRPr="0063119B" w:rsidRDefault="005B1C7B" w:rsidP="005B1C7B">
      <w:pPr>
        <w:pStyle w:val="Default"/>
        <w:rPr>
          <w:color w:val="auto"/>
          <w:sz w:val="22"/>
          <w:szCs w:val="22"/>
          <w:lang w:val="pt-PT"/>
        </w:rPr>
      </w:pPr>
    </w:p>
    <w:p w14:paraId="64EEE6EA" w14:textId="77777777" w:rsidR="005B1C7B" w:rsidRPr="0063119B" w:rsidRDefault="005B1C7B" w:rsidP="001F10F8">
      <w:pPr>
        <w:pStyle w:val="Default"/>
        <w:keepNext/>
        <w:keepLines/>
        <w:rPr>
          <w:b/>
          <w:color w:val="auto"/>
          <w:sz w:val="22"/>
          <w:szCs w:val="22"/>
          <w:lang w:val="pt-PT"/>
        </w:rPr>
      </w:pPr>
      <w:r w:rsidRPr="0063119B">
        <w:rPr>
          <w:b/>
          <w:color w:val="auto"/>
          <w:sz w:val="22"/>
          <w:szCs w:val="22"/>
          <w:lang w:val="pt-PT"/>
        </w:rPr>
        <w:lastRenderedPageBreak/>
        <w:t>Quadro </w:t>
      </w:r>
      <w:r w:rsidR="00B310DB" w:rsidRPr="0063119B">
        <w:rPr>
          <w:b/>
          <w:color w:val="auto"/>
          <w:sz w:val="22"/>
          <w:szCs w:val="22"/>
          <w:lang w:val="pt-PT"/>
        </w:rPr>
        <w:t>5</w:t>
      </w:r>
      <w:r w:rsidRPr="0063119B">
        <w:rPr>
          <w:b/>
          <w:color w:val="auto"/>
          <w:sz w:val="22"/>
          <w:szCs w:val="22"/>
          <w:lang w:val="pt-PT"/>
        </w:rPr>
        <w:t>: Resultados de eficácia e segurança do estudo de fase III Einstein PE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20"/>
        <w:gridCol w:w="230"/>
      </w:tblGrid>
      <w:tr w:rsidR="005B1C7B" w:rsidRPr="0063119B" w14:paraId="2818BB82" w14:textId="77777777" w:rsidTr="00A17B2C">
        <w:tc>
          <w:tcPr>
            <w:tcW w:w="3360" w:type="dxa"/>
          </w:tcPr>
          <w:p w14:paraId="3C1D7ED7" w14:textId="77777777" w:rsidR="005B1C7B" w:rsidRPr="001B6FEC" w:rsidRDefault="005B1C7B" w:rsidP="001F10F8">
            <w:pPr>
              <w:keepNext/>
              <w:keepLines/>
              <w:rPr>
                <w:b/>
                <w:bCs/>
                <w:szCs w:val="22"/>
              </w:rPr>
            </w:pPr>
            <w:r w:rsidRPr="001B6FEC">
              <w:rPr>
                <w:b/>
                <w:bCs/>
                <w:szCs w:val="22"/>
              </w:rPr>
              <w:t>População do estudo</w:t>
            </w:r>
          </w:p>
        </w:tc>
        <w:tc>
          <w:tcPr>
            <w:tcW w:w="6000" w:type="dxa"/>
            <w:gridSpan w:val="3"/>
          </w:tcPr>
          <w:p w14:paraId="5297E428" w14:textId="77777777" w:rsidR="005B1C7B" w:rsidRPr="001B6FEC" w:rsidRDefault="005B1C7B" w:rsidP="001F10F8">
            <w:pPr>
              <w:keepNext/>
              <w:keepLines/>
              <w:rPr>
                <w:b/>
                <w:bCs/>
                <w:szCs w:val="22"/>
              </w:rPr>
            </w:pPr>
            <w:r w:rsidRPr="001B6FEC">
              <w:rPr>
                <w:b/>
                <w:bCs/>
                <w:szCs w:val="22"/>
              </w:rPr>
              <w:t>4.832 doentes com EP sintomático agudo</w:t>
            </w:r>
          </w:p>
        </w:tc>
      </w:tr>
      <w:tr w:rsidR="005B1C7B" w:rsidRPr="0063119B" w14:paraId="50372FC9" w14:textId="77777777" w:rsidTr="00A17B2C">
        <w:tc>
          <w:tcPr>
            <w:tcW w:w="3360" w:type="dxa"/>
            <w:vAlign w:val="center"/>
          </w:tcPr>
          <w:p w14:paraId="57DE300F" w14:textId="77777777" w:rsidR="005B1C7B" w:rsidRPr="001B6FEC" w:rsidRDefault="005B1C7B" w:rsidP="001F10F8">
            <w:pPr>
              <w:keepNext/>
              <w:keepLines/>
              <w:spacing w:line="260" w:lineRule="exact"/>
              <w:rPr>
                <w:b/>
                <w:bCs/>
                <w:szCs w:val="22"/>
              </w:rPr>
            </w:pPr>
            <w:r w:rsidRPr="001B6FEC">
              <w:rPr>
                <w:b/>
                <w:bCs/>
                <w:szCs w:val="22"/>
              </w:rPr>
              <w:t>Doses e duração do tratamento</w:t>
            </w:r>
          </w:p>
        </w:tc>
        <w:tc>
          <w:tcPr>
            <w:tcW w:w="3120" w:type="dxa"/>
          </w:tcPr>
          <w:p w14:paraId="01E69462" w14:textId="77777777" w:rsidR="005B1C7B" w:rsidRPr="001B6FEC" w:rsidRDefault="00754E0E" w:rsidP="001F10F8">
            <w:pPr>
              <w:keepNext/>
              <w:keepLines/>
              <w:spacing w:line="260" w:lineRule="exact"/>
              <w:rPr>
                <w:b/>
                <w:bCs/>
                <w:szCs w:val="22"/>
                <w:vertAlign w:val="superscript"/>
              </w:rPr>
            </w:pPr>
            <w:r w:rsidRPr="001B6FEC">
              <w:rPr>
                <w:b/>
                <w:bCs/>
                <w:szCs w:val="22"/>
              </w:rPr>
              <w:t>Rivaroxaban</w:t>
            </w:r>
            <w:r w:rsidR="00BE763C" w:rsidRPr="001B6FEC">
              <w:rPr>
                <w:b/>
                <w:bCs/>
                <w:szCs w:val="22"/>
              </w:rPr>
              <w:t>o</w:t>
            </w:r>
            <w:r w:rsidR="005B1C7B" w:rsidRPr="001B6FEC">
              <w:rPr>
                <w:b/>
                <w:bCs/>
                <w:szCs w:val="22"/>
                <w:vertAlign w:val="superscript"/>
              </w:rPr>
              <w:t>a)</w:t>
            </w:r>
          </w:p>
          <w:p w14:paraId="05D71A6B" w14:textId="77777777" w:rsidR="005B1C7B" w:rsidRPr="001B6FEC" w:rsidRDefault="005B1C7B" w:rsidP="001F10F8">
            <w:pPr>
              <w:keepNext/>
              <w:keepLines/>
              <w:spacing w:line="260" w:lineRule="exact"/>
              <w:rPr>
                <w:b/>
                <w:bCs/>
                <w:szCs w:val="22"/>
              </w:rPr>
            </w:pPr>
            <w:r w:rsidRPr="001B6FEC">
              <w:rPr>
                <w:b/>
                <w:bCs/>
                <w:szCs w:val="22"/>
              </w:rPr>
              <w:t>3, 6 ou 12 meses</w:t>
            </w:r>
          </w:p>
          <w:p w14:paraId="281D31CC" w14:textId="77777777" w:rsidR="005B1C7B" w:rsidRPr="001B6FEC" w:rsidRDefault="005B1C7B" w:rsidP="001F10F8">
            <w:pPr>
              <w:keepNext/>
              <w:keepLines/>
              <w:spacing w:line="260" w:lineRule="exact"/>
              <w:rPr>
                <w:b/>
                <w:bCs/>
                <w:szCs w:val="22"/>
              </w:rPr>
            </w:pPr>
            <w:r w:rsidRPr="001B6FEC">
              <w:rPr>
                <w:b/>
                <w:bCs/>
                <w:szCs w:val="22"/>
              </w:rPr>
              <w:t>N=2.419</w:t>
            </w:r>
          </w:p>
        </w:tc>
        <w:tc>
          <w:tcPr>
            <w:tcW w:w="2880" w:type="dxa"/>
            <w:gridSpan w:val="2"/>
          </w:tcPr>
          <w:p w14:paraId="030C2F0D" w14:textId="77777777" w:rsidR="005B1C7B" w:rsidRPr="001B6FEC" w:rsidRDefault="005B1C7B" w:rsidP="001F10F8">
            <w:pPr>
              <w:keepNext/>
              <w:keepLines/>
              <w:spacing w:line="260" w:lineRule="exact"/>
              <w:rPr>
                <w:b/>
                <w:bCs/>
                <w:szCs w:val="22"/>
              </w:rPr>
            </w:pPr>
            <w:r w:rsidRPr="001B6FEC">
              <w:rPr>
                <w:b/>
                <w:bCs/>
                <w:szCs w:val="22"/>
              </w:rPr>
              <w:t>Enoxaparina/AVK</w:t>
            </w:r>
            <w:r w:rsidRPr="001B6FEC">
              <w:rPr>
                <w:b/>
                <w:bCs/>
                <w:szCs w:val="22"/>
                <w:vertAlign w:val="superscript"/>
              </w:rPr>
              <w:t>b)</w:t>
            </w:r>
          </w:p>
          <w:p w14:paraId="0575C90D" w14:textId="77777777" w:rsidR="005B1C7B" w:rsidRPr="001B6FEC" w:rsidRDefault="005B1C7B" w:rsidP="001F10F8">
            <w:pPr>
              <w:keepNext/>
              <w:keepLines/>
              <w:spacing w:line="260" w:lineRule="exact"/>
              <w:rPr>
                <w:b/>
                <w:bCs/>
                <w:szCs w:val="22"/>
              </w:rPr>
            </w:pPr>
            <w:r w:rsidRPr="001B6FEC">
              <w:rPr>
                <w:b/>
                <w:bCs/>
                <w:szCs w:val="22"/>
              </w:rPr>
              <w:t>3, 6 ou 12 meses</w:t>
            </w:r>
          </w:p>
          <w:p w14:paraId="12AE9FDA" w14:textId="77777777" w:rsidR="005B1C7B" w:rsidRPr="001B6FEC" w:rsidRDefault="005B1C7B" w:rsidP="001F10F8">
            <w:pPr>
              <w:keepNext/>
              <w:keepLines/>
              <w:spacing w:line="260" w:lineRule="exact"/>
              <w:rPr>
                <w:b/>
                <w:bCs/>
                <w:szCs w:val="22"/>
              </w:rPr>
            </w:pPr>
            <w:r w:rsidRPr="001B6FEC">
              <w:rPr>
                <w:b/>
                <w:bCs/>
                <w:szCs w:val="22"/>
              </w:rPr>
              <w:t>N=2.413</w:t>
            </w:r>
          </w:p>
        </w:tc>
      </w:tr>
      <w:tr w:rsidR="005B1C7B" w:rsidRPr="0063119B" w14:paraId="48670448" w14:textId="77777777" w:rsidTr="00A17B2C">
        <w:tc>
          <w:tcPr>
            <w:tcW w:w="3360" w:type="dxa"/>
          </w:tcPr>
          <w:p w14:paraId="703110CD" w14:textId="77777777" w:rsidR="005B1C7B" w:rsidRPr="0063119B" w:rsidRDefault="005B1C7B" w:rsidP="001F10F8">
            <w:pPr>
              <w:keepNext/>
              <w:keepLines/>
              <w:spacing w:line="260" w:lineRule="exact"/>
              <w:rPr>
                <w:szCs w:val="22"/>
              </w:rPr>
            </w:pPr>
            <w:r w:rsidRPr="0063119B">
              <w:rPr>
                <w:szCs w:val="22"/>
              </w:rPr>
              <w:t>TEV sintomático recorrente*</w:t>
            </w:r>
          </w:p>
        </w:tc>
        <w:tc>
          <w:tcPr>
            <w:tcW w:w="3120" w:type="dxa"/>
          </w:tcPr>
          <w:p w14:paraId="255E800F" w14:textId="77777777" w:rsidR="005B1C7B" w:rsidRPr="0063119B" w:rsidRDefault="005B1C7B" w:rsidP="001F10F8">
            <w:pPr>
              <w:keepNext/>
              <w:keepLines/>
              <w:spacing w:line="260" w:lineRule="exact"/>
              <w:rPr>
                <w:szCs w:val="22"/>
              </w:rPr>
            </w:pPr>
            <w:r w:rsidRPr="0063119B">
              <w:rPr>
                <w:szCs w:val="22"/>
              </w:rPr>
              <w:t>50</w:t>
            </w:r>
            <w:r w:rsidRPr="0063119B">
              <w:rPr>
                <w:szCs w:val="22"/>
              </w:rPr>
              <w:br/>
              <w:t>(2,1%)</w:t>
            </w:r>
          </w:p>
        </w:tc>
        <w:tc>
          <w:tcPr>
            <w:tcW w:w="2880" w:type="dxa"/>
            <w:gridSpan w:val="2"/>
          </w:tcPr>
          <w:p w14:paraId="35639565" w14:textId="77777777" w:rsidR="005B1C7B" w:rsidRPr="0063119B" w:rsidRDefault="005B1C7B" w:rsidP="001F10F8">
            <w:pPr>
              <w:keepNext/>
              <w:keepLines/>
              <w:spacing w:line="260" w:lineRule="exact"/>
              <w:rPr>
                <w:szCs w:val="22"/>
              </w:rPr>
            </w:pPr>
            <w:r w:rsidRPr="0063119B">
              <w:rPr>
                <w:szCs w:val="22"/>
              </w:rPr>
              <w:t>44</w:t>
            </w:r>
            <w:r w:rsidRPr="0063119B">
              <w:rPr>
                <w:szCs w:val="22"/>
              </w:rPr>
              <w:br/>
              <w:t>(1,8%)</w:t>
            </w:r>
          </w:p>
        </w:tc>
      </w:tr>
      <w:tr w:rsidR="005B1C7B" w:rsidRPr="0063119B" w14:paraId="34A99F61" w14:textId="77777777" w:rsidTr="00A17B2C">
        <w:tc>
          <w:tcPr>
            <w:tcW w:w="3360" w:type="dxa"/>
          </w:tcPr>
          <w:p w14:paraId="331C07A9" w14:textId="77777777" w:rsidR="005B1C7B" w:rsidRPr="0063119B" w:rsidRDefault="005B1C7B" w:rsidP="001F10F8">
            <w:pPr>
              <w:keepNext/>
              <w:keepLines/>
              <w:spacing w:line="260" w:lineRule="exact"/>
              <w:rPr>
                <w:szCs w:val="22"/>
              </w:rPr>
            </w:pPr>
            <w:r w:rsidRPr="0063119B">
              <w:rPr>
                <w:szCs w:val="22"/>
              </w:rPr>
              <w:t xml:space="preserve">    EP sintomático recorrente</w:t>
            </w:r>
          </w:p>
        </w:tc>
        <w:tc>
          <w:tcPr>
            <w:tcW w:w="3120" w:type="dxa"/>
          </w:tcPr>
          <w:p w14:paraId="555EBF80" w14:textId="77777777" w:rsidR="005B1C7B" w:rsidRPr="0063119B" w:rsidRDefault="005B1C7B" w:rsidP="001F10F8">
            <w:pPr>
              <w:keepNext/>
              <w:keepLines/>
              <w:spacing w:line="260" w:lineRule="exact"/>
              <w:rPr>
                <w:szCs w:val="22"/>
              </w:rPr>
            </w:pPr>
            <w:r w:rsidRPr="0063119B">
              <w:rPr>
                <w:szCs w:val="22"/>
              </w:rPr>
              <w:t>23</w:t>
            </w:r>
            <w:r w:rsidRPr="0063119B">
              <w:rPr>
                <w:szCs w:val="22"/>
              </w:rPr>
              <w:br/>
              <w:t>(1,0%)</w:t>
            </w:r>
          </w:p>
        </w:tc>
        <w:tc>
          <w:tcPr>
            <w:tcW w:w="2880" w:type="dxa"/>
            <w:gridSpan w:val="2"/>
          </w:tcPr>
          <w:p w14:paraId="2EE57AED" w14:textId="77777777" w:rsidR="005B1C7B" w:rsidRPr="0063119B" w:rsidRDefault="005B1C7B" w:rsidP="001F10F8">
            <w:pPr>
              <w:keepNext/>
              <w:keepLines/>
              <w:spacing w:line="260" w:lineRule="exact"/>
              <w:rPr>
                <w:szCs w:val="22"/>
              </w:rPr>
            </w:pPr>
            <w:r w:rsidRPr="0063119B">
              <w:rPr>
                <w:szCs w:val="22"/>
              </w:rPr>
              <w:t>20</w:t>
            </w:r>
            <w:r w:rsidRPr="0063119B">
              <w:rPr>
                <w:szCs w:val="22"/>
              </w:rPr>
              <w:br/>
              <w:t>(0,8%)</w:t>
            </w:r>
          </w:p>
        </w:tc>
      </w:tr>
      <w:tr w:rsidR="005B1C7B" w:rsidRPr="0063119B" w14:paraId="21CC9517" w14:textId="77777777" w:rsidTr="00A17B2C">
        <w:tc>
          <w:tcPr>
            <w:tcW w:w="3360" w:type="dxa"/>
          </w:tcPr>
          <w:p w14:paraId="6A541870" w14:textId="77777777" w:rsidR="005B1C7B" w:rsidRPr="0063119B" w:rsidRDefault="005B1C7B" w:rsidP="001F10F8">
            <w:pPr>
              <w:keepNext/>
              <w:keepLines/>
              <w:spacing w:line="260" w:lineRule="exact"/>
              <w:rPr>
                <w:szCs w:val="22"/>
              </w:rPr>
            </w:pPr>
            <w:r w:rsidRPr="0063119B">
              <w:rPr>
                <w:szCs w:val="22"/>
              </w:rPr>
              <w:t xml:space="preserve">    TVP sintomática recorrente</w:t>
            </w:r>
          </w:p>
        </w:tc>
        <w:tc>
          <w:tcPr>
            <w:tcW w:w="3120" w:type="dxa"/>
          </w:tcPr>
          <w:p w14:paraId="373A767A" w14:textId="77777777" w:rsidR="005B1C7B" w:rsidRPr="0063119B" w:rsidRDefault="005B1C7B" w:rsidP="001F10F8">
            <w:pPr>
              <w:keepNext/>
              <w:keepLines/>
              <w:spacing w:line="260" w:lineRule="exact"/>
              <w:rPr>
                <w:szCs w:val="22"/>
              </w:rPr>
            </w:pPr>
            <w:r w:rsidRPr="0063119B">
              <w:rPr>
                <w:szCs w:val="22"/>
              </w:rPr>
              <w:t>18</w:t>
            </w:r>
            <w:r w:rsidRPr="0063119B">
              <w:rPr>
                <w:szCs w:val="22"/>
              </w:rPr>
              <w:br/>
              <w:t>(0,7%)</w:t>
            </w:r>
          </w:p>
        </w:tc>
        <w:tc>
          <w:tcPr>
            <w:tcW w:w="2880" w:type="dxa"/>
            <w:gridSpan w:val="2"/>
          </w:tcPr>
          <w:p w14:paraId="58DFEE7A" w14:textId="77777777" w:rsidR="005B1C7B" w:rsidRPr="0063119B" w:rsidRDefault="005B1C7B" w:rsidP="001F10F8">
            <w:pPr>
              <w:keepNext/>
              <w:keepLines/>
              <w:spacing w:line="260" w:lineRule="exact"/>
              <w:rPr>
                <w:szCs w:val="22"/>
              </w:rPr>
            </w:pPr>
            <w:r w:rsidRPr="0063119B">
              <w:rPr>
                <w:szCs w:val="22"/>
              </w:rPr>
              <w:t>17</w:t>
            </w:r>
            <w:r w:rsidRPr="0063119B">
              <w:rPr>
                <w:szCs w:val="22"/>
              </w:rPr>
              <w:br/>
              <w:t>(0,7%)</w:t>
            </w:r>
          </w:p>
        </w:tc>
      </w:tr>
      <w:tr w:rsidR="005B1C7B" w:rsidRPr="0063119B" w14:paraId="37696DFE" w14:textId="77777777" w:rsidTr="00A17B2C">
        <w:tc>
          <w:tcPr>
            <w:tcW w:w="3360" w:type="dxa"/>
          </w:tcPr>
          <w:p w14:paraId="408053DE" w14:textId="77777777" w:rsidR="005B1C7B" w:rsidRPr="0063119B" w:rsidRDefault="005B1C7B" w:rsidP="001F10F8">
            <w:pPr>
              <w:keepNext/>
              <w:keepLines/>
              <w:spacing w:line="260" w:lineRule="exact"/>
              <w:rPr>
                <w:szCs w:val="22"/>
              </w:rPr>
            </w:pPr>
            <w:r w:rsidRPr="0063119B">
              <w:rPr>
                <w:szCs w:val="22"/>
              </w:rPr>
              <w:t xml:space="preserve">    EP e TVP sintomáticos</w:t>
            </w:r>
          </w:p>
        </w:tc>
        <w:tc>
          <w:tcPr>
            <w:tcW w:w="3120" w:type="dxa"/>
          </w:tcPr>
          <w:p w14:paraId="161E548D" w14:textId="77777777" w:rsidR="005B1C7B" w:rsidRPr="0063119B" w:rsidRDefault="005B1C7B" w:rsidP="001F10F8">
            <w:pPr>
              <w:keepNext/>
              <w:keepLines/>
              <w:spacing w:line="260" w:lineRule="exact"/>
              <w:rPr>
                <w:szCs w:val="22"/>
              </w:rPr>
            </w:pPr>
            <w:r w:rsidRPr="0063119B">
              <w:rPr>
                <w:szCs w:val="22"/>
              </w:rPr>
              <w:t>0</w:t>
            </w:r>
          </w:p>
          <w:p w14:paraId="249E6417" w14:textId="77777777" w:rsidR="005B1C7B" w:rsidRPr="0063119B" w:rsidRDefault="005B1C7B" w:rsidP="001F10F8">
            <w:pPr>
              <w:keepNext/>
              <w:keepLines/>
              <w:spacing w:line="260" w:lineRule="exact"/>
              <w:rPr>
                <w:szCs w:val="22"/>
              </w:rPr>
            </w:pPr>
          </w:p>
        </w:tc>
        <w:tc>
          <w:tcPr>
            <w:tcW w:w="2880" w:type="dxa"/>
            <w:gridSpan w:val="2"/>
          </w:tcPr>
          <w:p w14:paraId="6B72890A" w14:textId="77777777" w:rsidR="005B1C7B" w:rsidRPr="0063119B" w:rsidRDefault="005B1C7B" w:rsidP="001F10F8">
            <w:pPr>
              <w:keepNext/>
              <w:keepLines/>
              <w:spacing w:line="260" w:lineRule="exact"/>
              <w:rPr>
                <w:szCs w:val="22"/>
              </w:rPr>
            </w:pPr>
            <w:r w:rsidRPr="0063119B">
              <w:rPr>
                <w:szCs w:val="22"/>
              </w:rPr>
              <w:t>2</w:t>
            </w:r>
          </w:p>
          <w:p w14:paraId="240037CD" w14:textId="77777777" w:rsidR="005B1C7B" w:rsidRPr="0063119B" w:rsidRDefault="005B1C7B" w:rsidP="001F10F8">
            <w:pPr>
              <w:keepNext/>
              <w:keepLines/>
              <w:spacing w:line="260" w:lineRule="exact"/>
              <w:rPr>
                <w:szCs w:val="22"/>
              </w:rPr>
            </w:pPr>
            <w:r w:rsidRPr="0063119B">
              <w:rPr>
                <w:szCs w:val="22"/>
              </w:rPr>
              <w:t>(&lt;0,1%)</w:t>
            </w:r>
          </w:p>
        </w:tc>
      </w:tr>
      <w:tr w:rsidR="005B1C7B" w:rsidRPr="0063119B" w14:paraId="54BC34C5" w14:textId="77777777" w:rsidTr="00A17B2C">
        <w:tc>
          <w:tcPr>
            <w:tcW w:w="3360" w:type="dxa"/>
          </w:tcPr>
          <w:p w14:paraId="62AD7DCA" w14:textId="77777777" w:rsidR="005B1C7B" w:rsidRPr="0063119B" w:rsidRDefault="005B1C7B" w:rsidP="00A17B2C">
            <w:pPr>
              <w:spacing w:line="260" w:lineRule="exact"/>
              <w:ind w:left="284" w:hanging="34"/>
              <w:rPr>
                <w:szCs w:val="22"/>
              </w:rPr>
            </w:pPr>
            <w:r w:rsidRPr="0063119B">
              <w:rPr>
                <w:szCs w:val="22"/>
              </w:rPr>
              <w:t>EP fatal/</w:t>
            </w:r>
            <w:r w:rsidR="00822F6C" w:rsidRPr="0063119B">
              <w:rPr>
                <w:szCs w:val="22"/>
              </w:rPr>
              <w:t>m</w:t>
            </w:r>
            <w:r w:rsidRPr="0063119B">
              <w:rPr>
                <w:szCs w:val="22"/>
              </w:rPr>
              <w:t>orte na qual não se pode excluir EP</w:t>
            </w:r>
          </w:p>
        </w:tc>
        <w:tc>
          <w:tcPr>
            <w:tcW w:w="3120" w:type="dxa"/>
          </w:tcPr>
          <w:p w14:paraId="34BFAA64" w14:textId="77777777" w:rsidR="005B1C7B" w:rsidRPr="0063119B" w:rsidRDefault="005B1C7B" w:rsidP="00A17B2C">
            <w:pPr>
              <w:spacing w:line="260" w:lineRule="exact"/>
              <w:rPr>
                <w:szCs w:val="22"/>
              </w:rPr>
            </w:pPr>
            <w:r w:rsidRPr="0063119B">
              <w:rPr>
                <w:szCs w:val="22"/>
              </w:rPr>
              <w:t>11</w:t>
            </w:r>
            <w:r w:rsidRPr="0063119B">
              <w:rPr>
                <w:szCs w:val="22"/>
              </w:rPr>
              <w:br/>
              <w:t>(0,5%)</w:t>
            </w:r>
          </w:p>
        </w:tc>
        <w:tc>
          <w:tcPr>
            <w:tcW w:w="2880" w:type="dxa"/>
            <w:gridSpan w:val="2"/>
          </w:tcPr>
          <w:p w14:paraId="37F88968" w14:textId="77777777" w:rsidR="005B1C7B" w:rsidRPr="0063119B" w:rsidRDefault="005B1C7B" w:rsidP="00A17B2C">
            <w:pPr>
              <w:spacing w:line="260" w:lineRule="exact"/>
              <w:rPr>
                <w:szCs w:val="22"/>
              </w:rPr>
            </w:pPr>
            <w:r w:rsidRPr="0063119B">
              <w:rPr>
                <w:szCs w:val="22"/>
              </w:rPr>
              <w:t>7</w:t>
            </w:r>
            <w:r w:rsidRPr="0063119B">
              <w:rPr>
                <w:szCs w:val="22"/>
              </w:rPr>
              <w:br/>
              <w:t>(0,3%)</w:t>
            </w:r>
          </w:p>
        </w:tc>
      </w:tr>
      <w:tr w:rsidR="005B1C7B" w:rsidRPr="0063119B" w14:paraId="5FC8EC3E" w14:textId="77777777" w:rsidTr="00A17B2C">
        <w:tc>
          <w:tcPr>
            <w:tcW w:w="3360" w:type="dxa"/>
          </w:tcPr>
          <w:p w14:paraId="5341492D" w14:textId="77777777" w:rsidR="005B1C7B" w:rsidRPr="0063119B" w:rsidRDefault="005B1C7B" w:rsidP="00A17B2C">
            <w:pPr>
              <w:spacing w:line="260" w:lineRule="exact"/>
              <w:rPr>
                <w:szCs w:val="22"/>
              </w:rPr>
            </w:pPr>
            <w:r w:rsidRPr="0063119B">
              <w:rPr>
                <w:szCs w:val="22"/>
              </w:rPr>
              <w:t>Hemorragia principal ou não principal clinicamente relevante</w:t>
            </w:r>
          </w:p>
        </w:tc>
        <w:tc>
          <w:tcPr>
            <w:tcW w:w="3120" w:type="dxa"/>
          </w:tcPr>
          <w:p w14:paraId="0AA11480" w14:textId="77777777" w:rsidR="005B1C7B" w:rsidRPr="0063119B" w:rsidRDefault="005B1C7B" w:rsidP="00A17B2C">
            <w:pPr>
              <w:spacing w:line="260" w:lineRule="exact"/>
              <w:rPr>
                <w:szCs w:val="22"/>
              </w:rPr>
            </w:pPr>
            <w:r w:rsidRPr="0063119B">
              <w:rPr>
                <w:szCs w:val="22"/>
              </w:rPr>
              <w:t>249</w:t>
            </w:r>
            <w:r w:rsidRPr="0063119B">
              <w:rPr>
                <w:szCs w:val="22"/>
              </w:rPr>
              <w:br/>
              <w:t>(10,3%)</w:t>
            </w:r>
          </w:p>
        </w:tc>
        <w:tc>
          <w:tcPr>
            <w:tcW w:w="2880" w:type="dxa"/>
            <w:gridSpan w:val="2"/>
          </w:tcPr>
          <w:p w14:paraId="609C1B1C" w14:textId="77777777" w:rsidR="005B1C7B" w:rsidRPr="0063119B" w:rsidRDefault="005B1C7B" w:rsidP="00A17B2C">
            <w:pPr>
              <w:spacing w:line="260" w:lineRule="exact"/>
              <w:rPr>
                <w:szCs w:val="22"/>
              </w:rPr>
            </w:pPr>
            <w:r w:rsidRPr="0063119B">
              <w:rPr>
                <w:szCs w:val="22"/>
              </w:rPr>
              <w:t>274</w:t>
            </w:r>
            <w:r w:rsidRPr="0063119B">
              <w:rPr>
                <w:szCs w:val="22"/>
              </w:rPr>
              <w:br/>
              <w:t>(11,4%)</w:t>
            </w:r>
          </w:p>
        </w:tc>
      </w:tr>
      <w:tr w:rsidR="005B1C7B" w:rsidRPr="0063119B" w14:paraId="41CED004" w14:textId="77777777" w:rsidTr="00A17B2C">
        <w:tc>
          <w:tcPr>
            <w:tcW w:w="3360" w:type="dxa"/>
          </w:tcPr>
          <w:p w14:paraId="3A1BF604" w14:textId="77777777" w:rsidR="005B1C7B" w:rsidRPr="0063119B" w:rsidRDefault="005B1C7B" w:rsidP="00A17B2C">
            <w:pPr>
              <w:spacing w:line="260" w:lineRule="exact"/>
              <w:rPr>
                <w:szCs w:val="22"/>
              </w:rPr>
            </w:pPr>
            <w:r w:rsidRPr="0063119B">
              <w:rPr>
                <w:szCs w:val="22"/>
              </w:rPr>
              <w:t>Acontecimentos hemorrágicos principais</w:t>
            </w:r>
          </w:p>
        </w:tc>
        <w:tc>
          <w:tcPr>
            <w:tcW w:w="3120" w:type="dxa"/>
          </w:tcPr>
          <w:p w14:paraId="5DB9DC15" w14:textId="77777777" w:rsidR="005B1C7B" w:rsidRPr="0063119B" w:rsidRDefault="005B1C7B" w:rsidP="00A17B2C">
            <w:pPr>
              <w:spacing w:line="260" w:lineRule="exact"/>
              <w:rPr>
                <w:szCs w:val="22"/>
              </w:rPr>
            </w:pPr>
            <w:r w:rsidRPr="0063119B">
              <w:rPr>
                <w:szCs w:val="22"/>
              </w:rPr>
              <w:t>26</w:t>
            </w:r>
            <w:r w:rsidRPr="0063119B">
              <w:rPr>
                <w:szCs w:val="22"/>
              </w:rPr>
              <w:br/>
              <w:t>(1,1%)</w:t>
            </w:r>
          </w:p>
        </w:tc>
        <w:tc>
          <w:tcPr>
            <w:tcW w:w="2880" w:type="dxa"/>
            <w:gridSpan w:val="2"/>
          </w:tcPr>
          <w:p w14:paraId="3E3CE94C" w14:textId="77777777" w:rsidR="005B1C7B" w:rsidRPr="0063119B" w:rsidRDefault="005B1C7B" w:rsidP="00A17B2C">
            <w:pPr>
              <w:spacing w:line="260" w:lineRule="exact"/>
              <w:rPr>
                <w:szCs w:val="22"/>
              </w:rPr>
            </w:pPr>
            <w:r w:rsidRPr="0063119B">
              <w:rPr>
                <w:szCs w:val="22"/>
              </w:rPr>
              <w:t>52</w:t>
            </w:r>
            <w:r w:rsidRPr="0063119B">
              <w:rPr>
                <w:szCs w:val="22"/>
              </w:rPr>
              <w:br/>
              <w:t>(2,2%)</w:t>
            </w:r>
          </w:p>
        </w:tc>
      </w:tr>
      <w:tr w:rsidR="005B1C7B" w:rsidRPr="0063119B" w14:paraId="08A87EF7" w14:textId="77777777" w:rsidTr="00A17B2C">
        <w:trPr>
          <w:gridAfter w:val="1"/>
          <w:wAfter w:w="230" w:type="dxa"/>
        </w:trPr>
        <w:tc>
          <w:tcPr>
            <w:tcW w:w="9200" w:type="dxa"/>
            <w:gridSpan w:val="3"/>
            <w:tcBorders>
              <w:top w:val="nil"/>
              <w:left w:val="nil"/>
              <w:bottom w:val="nil"/>
              <w:right w:val="nil"/>
            </w:tcBorders>
          </w:tcPr>
          <w:p w14:paraId="360F0744" w14:textId="77777777" w:rsidR="005B1C7B" w:rsidRPr="0063119B" w:rsidRDefault="005B1C7B" w:rsidP="00A17B2C">
            <w:pPr>
              <w:tabs>
                <w:tab w:val="left" w:pos="567"/>
              </w:tabs>
              <w:rPr>
                <w:szCs w:val="22"/>
              </w:rPr>
            </w:pPr>
            <w:r w:rsidRPr="0063119B">
              <w:rPr>
                <w:szCs w:val="22"/>
              </w:rPr>
              <w:t>a)</w:t>
            </w:r>
            <w:r w:rsidRPr="0063119B">
              <w:rPr>
                <w:szCs w:val="22"/>
              </w:rPr>
              <w:tab/>
              <w:t>Rivaroxabano 15 mg duas vezes por dia durante 3 semanas seguido de 20 mg uma vez por dia</w:t>
            </w:r>
          </w:p>
          <w:p w14:paraId="79967F0F" w14:textId="77777777" w:rsidR="005B1C7B" w:rsidRPr="0063119B" w:rsidRDefault="005B1C7B" w:rsidP="00A17B2C">
            <w:pPr>
              <w:tabs>
                <w:tab w:val="left" w:pos="567"/>
              </w:tabs>
              <w:ind w:left="567" w:hanging="567"/>
              <w:rPr>
                <w:szCs w:val="22"/>
              </w:rPr>
            </w:pPr>
            <w:r w:rsidRPr="0063119B">
              <w:rPr>
                <w:szCs w:val="22"/>
              </w:rPr>
              <w:t>b)</w:t>
            </w:r>
            <w:r w:rsidRPr="0063119B">
              <w:rPr>
                <w:szCs w:val="22"/>
              </w:rPr>
              <w:tab/>
              <w:t>Enoxaparina durante pelo menos 5 dias, sobreposta com e seguida de AVK</w:t>
            </w:r>
          </w:p>
          <w:p w14:paraId="1D956DF8" w14:textId="77777777" w:rsidR="005B1C7B" w:rsidRPr="0063119B" w:rsidRDefault="005B1C7B" w:rsidP="00A17B2C">
            <w:pPr>
              <w:tabs>
                <w:tab w:val="left" w:pos="567"/>
              </w:tabs>
              <w:ind w:left="567" w:hanging="567"/>
              <w:rPr>
                <w:vanish/>
                <w:szCs w:val="22"/>
              </w:rPr>
            </w:pPr>
            <w:r w:rsidRPr="0063119B">
              <w:rPr>
                <w:b/>
                <w:szCs w:val="22"/>
              </w:rPr>
              <w:t>*</w:t>
            </w:r>
            <w:r w:rsidRPr="0063119B">
              <w:rPr>
                <w:szCs w:val="22"/>
              </w:rPr>
              <w:tab/>
              <w:t xml:space="preserve">p &lt; 0,0026 (não inferioridade para uma </w:t>
            </w:r>
            <w:r w:rsidR="00822F6C" w:rsidRPr="0063119B">
              <w:rPr>
                <w:szCs w:val="22"/>
              </w:rPr>
              <w:t>RR</w:t>
            </w:r>
            <w:r w:rsidRPr="0063119B">
              <w:rPr>
                <w:szCs w:val="22"/>
              </w:rPr>
              <w:t xml:space="preserve"> pré-especificada de 2,0); </w:t>
            </w:r>
            <w:r w:rsidR="00822F6C" w:rsidRPr="0063119B">
              <w:rPr>
                <w:szCs w:val="22"/>
              </w:rPr>
              <w:t>RR</w:t>
            </w:r>
            <w:r w:rsidRPr="0063119B">
              <w:rPr>
                <w:szCs w:val="22"/>
              </w:rPr>
              <w:t>: 1,123 (0,749 </w:t>
            </w:r>
            <w:r w:rsidRPr="0063119B">
              <w:rPr>
                <w:szCs w:val="22"/>
              </w:rPr>
              <w:noBreakHyphen/>
              <w:t> 1,624)</w:t>
            </w:r>
          </w:p>
        </w:tc>
      </w:tr>
    </w:tbl>
    <w:p w14:paraId="431B823A" w14:textId="77777777" w:rsidR="005B1C7B" w:rsidRPr="0063119B" w:rsidRDefault="005B1C7B" w:rsidP="005B1C7B">
      <w:pPr>
        <w:pStyle w:val="Default"/>
        <w:rPr>
          <w:color w:val="auto"/>
          <w:sz w:val="22"/>
          <w:szCs w:val="22"/>
          <w:lang w:val="pt-PT"/>
        </w:rPr>
      </w:pPr>
    </w:p>
    <w:p w14:paraId="115FC344" w14:textId="77777777" w:rsidR="005B1C7B" w:rsidRPr="0063119B" w:rsidRDefault="005B1C7B" w:rsidP="005B1C7B">
      <w:pPr>
        <w:pStyle w:val="Default"/>
        <w:rPr>
          <w:color w:val="auto"/>
          <w:sz w:val="22"/>
          <w:szCs w:val="22"/>
          <w:lang w:val="pt-PT"/>
        </w:rPr>
      </w:pPr>
      <w:r w:rsidRPr="0063119B">
        <w:rPr>
          <w:color w:val="auto"/>
          <w:sz w:val="22"/>
          <w:szCs w:val="22"/>
          <w:lang w:val="pt-PT"/>
        </w:rPr>
        <w:t>Foi realizada uma análise agrupada pré-especificada do resultado dos estudos Einstein DVT e PE (ver Quadro</w:t>
      </w:r>
      <w:r w:rsidR="00F215B4" w:rsidRPr="0063119B">
        <w:rPr>
          <w:color w:val="auto"/>
          <w:sz w:val="22"/>
          <w:szCs w:val="22"/>
          <w:lang w:val="pt-PT"/>
        </w:rPr>
        <w:t> </w:t>
      </w:r>
      <w:r w:rsidR="00B310DB" w:rsidRPr="0063119B">
        <w:rPr>
          <w:color w:val="auto"/>
          <w:sz w:val="22"/>
          <w:szCs w:val="22"/>
          <w:lang w:val="pt-PT"/>
        </w:rPr>
        <w:t>6</w:t>
      </w:r>
      <w:r w:rsidRPr="0063119B">
        <w:rPr>
          <w:color w:val="auto"/>
          <w:sz w:val="22"/>
          <w:szCs w:val="22"/>
          <w:lang w:val="pt-PT"/>
        </w:rPr>
        <w:t>).</w:t>
      </w:r>
    </w:p>
    <w:p w14:paraId="21D2B32A" w14:textId="77777777" w:rsidR="005B1C7B" w:rsidRPr="0063119B" w:rsidRDefault="005B1C7B" w:rsidP="005B1C7B">
      <w:pPr>
        <w:pStyle w:val="Default"/>
        <w:rPr>
          <w:color w:val="auto"/>
          <w:sz w:val="22"/>
          <w:szCs w:val="22"/>
          <w:lang w:val="pt-PT"/>
        </w:rPr>
      </w:pPr>
    </w:p>
    <w:p w14:paraId="2B301339" w14:textId="77777777" w:rsidR="005B1C7B" w:rsidRPr="0063119B" w:rsidRDefault="005B1C7B" w:rsidP="001E28F4">
      <w:pPr>
        <w:pStyle w:val="Default"/>
        <w:keepNext/>
        <w:rPr>
          <w:b/>
          <w:color w:val="auto"/>
          <w:sz w:val="22"/>
          <w:szCs w:val="22"/>
          <w:lang w:val="pt-PT"/>
        </w:rPr>
      </w:pPr>
      <w:r w:rsidRPr="0063119B">
        <w:rPr>
          <w:b/>
          <w:color w:val="auto"/>
          <w:sz w:val="22"/>
          <w:szCs w:val="22"/>
          <w:lang w:val="pt-PT"/>
        </w:rPr>
        <w:t>Quadro </w:t>
      </w:r>
      <w:r w:rsidR="00B310DB" w:rsidRPr="0063119B">
        <w:rPr>
          <w:b/>
          <w:color w:val="auto"/>
          <w:sz w:val="22"/>
          <w:szCs w:val="22"/>
          <w:lang w:val="pt-PT"/>
        </w:rPr>
        <w:t>6</w:t>
      </w:r>
      <w:r w:rsidRPr="0063119B">
        <w:rPr>
          <w:b/>
          <w:color w:val="auto"/>
          <w:sz w:val="22"/>
          <w:szCs w:val="22"/>
          <w:lang w:val="pt-PT"/>
        </w:rPr>
        <w:t>: Resultados de eficácia e segurança da análise agrupada do estudos de fase</w:t>
      </w:r>
      <w:r w:rsidR="0000492E" w:rsidRPr="0063119B">
        <w:rPr>
          <w:b/>
          <w:color w:val="auto"/>
          <w:sz w:val="22"/>
          <w:szCs w:val="22"/>
          <w:lang w:val="pt-PT"/>
        </w:rPr>
        <w:t> III Einstein </w:t>
      </w:r>
      <w:r w:rsidRPr="0063119B">
        <w:rPr>
          <w:b/>
          <w:color w:val="auto"/>
          <w:sz w:val="22"/>
          <w:szCs w:val="22"/>
          <w:lang w:val="pt-PT"/>
        </w:rPr>
        <w:t>DVT e Einstein</w:t>
      </w:r>
      <w:r w:rsidR="0000492E" w:rsidRPr="0063119B">
        <w:rPr>
          <w:b/>
          <w:color w:val="auto"/>
          <w:sz w:val="22"/>
          <w:szCs w:val="22"/>
          <w:lang w:val="pt-PT"/>
        </w:rPr>
        <w:t> </w:t>
      </w:r>
      <w:r w:rsidRPr="0063119B">
        <w:rPr>
          <w:b/>
          <w:color w:val="auto"/>
          <w:sz w:val="22"/>
          <w:szCs w:val="22"/>
          <w:lang w:val="pt-PT"/>
        </w:rPr>
        <w:t>PE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720"/>
        <w:gridCol w:w="230"/>
      </w:tblGrid>
      <w:tr w:rsidR="005B1C7B" w:rsidRPr="0063119B" w14:paraId="0E349CD9" w14:textId="77777777" w:rsidTr="00A17B2C">
        <w:tc>
          <w:tcPr>
            <w:tcW w:w="3360" w:type="dxa"/>
          </w:tcPr>
          <w:p w14:paraId="6E5E37B0" w14:textId="77777777" w:rsidR="005B1C7B" w:rsidRPr="001B6FEC" w:rsidRDefault="005B1C7B" w:rsidP="001E28F4">
            <w:pPr>
              <w:keepNext/>
              <w:rPr>
                <w:b/>
                <w:bCs/>
                <w:szCs w:val="22"/>
              </w:rPr>
            </w:pPr>
            <w:r w:rsidRPr="001B6FEC">
              <w:rPr>
                <w:b/>
                <w:bCs/>
                <w:szCs w:val="22"/>
              </w:rPr>
              <w:t>População do estudo</w:t>
            </w:r>
          </w:p>
        </w:tc>
        <w:tc>
          <w:tcPr>
            <w:tcW w:w="6000" w:type="dxa"/>
            <w:gridSpan w:val="3"/>
          </w:tcPr>
          <w:p w14:paraId="2F8B4DCE" w14:textId="77777777" w:rsidR="005B1C7B" w:rsidRPr="001B6FEC" w:rsidRDefault="005B1C7B" w:rsidP="001E28F4">
            <w:pPr>
              <w:keepNext/>
              <w:rPr>
                <w:b/>
                <w:bCs/>
                <w:szCs w:val="22"/>
              </w:rPr>
            </w:pPr>
            <w:r w:rsidRPr="001B6FEC">
              <w:rPr>
                <w:b/>
                <w:bCs/>
                <w:szCs w:val="22"/>
              </w:rPr>
              <w:t>8.281 doentes com TVP sintomática aguda ou EP</w:t>
            </w:r>
          </w:p>
        </w:tc>
      </w:tr>
      <w:tr w:rsidR="005B1C7B" w:rsidRPr="0063119B" w14:paraId="165BEE6E" w14:textId="77777777" w:rsidTr="00A17B2C">
        <w:tc>
          <w:tcPr>
            <w:tcW w:w="3360" w:type="dxa"/>
            <w:vAlign w:val="center"/>
          </w:tcPr>
          <w:p w14:paraId="1371EF7A" w14:textId="77777777" w:rsidR="005B1C7B" w:rsidRPr="001B6FEC" w:rsidRDefault="005B1C7B" w:rsidP="001E28F4">
            <w:pPr>
              <w:keepNext/>
              <w:spacing w:line="260" w:lineRule="exact"/>
              <w:rPr>
                <w:b/>
                <w:bCs/>
                <w:szCs w:val="22"/>
              </w:rPr>
            </w:pPr>
            <w:r w:rsidRPr="001B6FEC">
              <w:rPr>
                <w:b/>
                <w:bCs/>
                <w:szCs w:val="22"/>
              </w:rPr>
              <w:t>Doses e duração do tratamento</w:t>
            </w:r>
          </w:p>
        </w:tc>
        <w:tc>
          <w:tcPr>
            <w:tcW w:w="3120" w:type="dxa"/>
          </w:tcPr>
          <w:p w14:paraId="14FCC91B" w14:textId="77777777" w:rsidR="005B1C7B" w:rsidRPr="001B6FEC" w:rsidRDefault="00754E0E" w:rsidP="001E28F4">
            <w:pPr>
              <w:keepNext/>
              <w:spacing w:line="260" w:lineRule="exact"/>
              <w:rPr>
                <w:b/>
                <w:bCs/>
                <w:szCs w:val="22"/>
                <w:vertAlign w:val="superscript"/>
              </w:rPr>
            </w:pPr>
            <w:r w:rsidRPr="001B6FEC">
              <w:rPr>
                <w:b/>
                <w:bCs/>
                <w:szCs w:val="22"/>
              </w:rPr>
              <w:t>Rivaroxaban</w:t>
            </w:r>
            <w:r w:rsidR="00BE763C" w:rsidRPr="001B6FEC">
              <w:rPr>
                <w:b/>
                <w:bCs/>
                <w:szCs w:val="22"/>
              </w:rPr>
              <w:t>o</w:t>
            </w:r>
            <w:r w:rsidR="005B1C7B" w:rsidRPr="001B6FEC">
              <w:rPr>
                <w:b/>
                <w:bCs/>
                <w:szCs w:val="22"/>
                <w:vertAlign w:val="superscript"/>
              </w:rPr>
              <w:t>a)</w:t>
            </w:r>
          </w:p>
          <w:p w14:paraId="40BBC39C" w14:textId="77777777" w:rsidR="005B1C7B" w:rsidRPr="001B6FEC" w:rsidRDefault="005B1C7B" w:rsidP="001E28F4">
            <w:pPr>
              <w:keepNext/>
              <w:spacing w:line="260" w:lineRule="exact"/>
              <w:rPr>
                <w:b/>
                <w:bCs/>
                <w:szCs w:val="22"/>
              </w:rPr>
            </w:pPr>
            <w:r w:rsidRPr="001B6FEC">
              <w:rPr>
                <w:b/>
                <w:bCs/>
                <w:szCs w:val="22"/>
              </w:rPr>
              <w:t>3, 6 ou 12 meses</w:t>
            </w:r>
          </w:p>
          <w:p w14:paraId="7E4C175A" w14:textId="77777777" w:rsidR="005B1C7B" w:rsidRPr="001B6FEC" w:rsidRDefault="005B1C7B" w:rsidP="001E28F4">
            <w:pPr>
              <w:keepNext/>
              <w:spacing w:line="260" w:lineRule="exact"/>
              <w:rPr>
                <w:b/>
                <w:bCs/>
                <w:szCs w:val="22"/>
              </w:rPr>
            </w:pPr>
            <w:r w:rsidRPr="001B6FEC">
              <w:rPr>
                <w:b/>
                <w:bCs/>
                <w:szCs w:val="22"/>
              </w:rPr>
              <w:t>N=4.150</w:t>
            </w:r>
          </w:p>
        </w:tc>
        <w:tc>
          <w:tcPr>
            <w:tcW w:w="2880" w:type="dxa"/>
            <w:gridSpan w:val="2"/>
          </w:tcPr>
          <w:p w14:paraId="4828D62D" w14:textId="77777777" w:rsidR="005B1C7B" w:rsidRPr="001B6FEC" w:rsidRDefault="005B1C7B" w:rsidP="001E28F4">
            <w:pPr>
              <w:keepNext/>
              <w:spacing w:line="260" w:lineRule="exact"/>
              <w:rPr>
                <w:b/>
                <w:bCs/>
                <w:szCs w:val="22"/>
              </w:rPr>
            </w:pPr>
            <w:r w:rsidRPr="001B6FEC">
              <w:rPr>
                <w:b/>
                <w:bCs/>
                <w:szCs w:val="22"/>
              </w:rPr>
              <w:t>Enoxaparina/AVK</w:t>
            </w:r>
            <w:r w:rsidRPr="001B6FEC">
              <w:rPr>
                <w:b/>
                <w:bCs/>
                <w:szCs w:val="22"/>
                <w:vertAlign w:val="superscript"/>
              </w:rPr>
              <w:t>b)</w:t>
            </w:r>
          </w:p>
          <w:p w14:paraId="61AD4733" w14:textId="77777777" w:rsidR="005B1C7B" w:rsidRPr="001B6FEC" w:rsidRDefault="005B1C7B" w:rsidP="001E28F4">
            <w:pPr>
              <w:keepNext/>
              <w:spacing w:line="260" w:lineRule="exact"/>
              <w:rPr>
                <w:b/>
                <w:bCs/>
                <w:szCs w:val="22"/>
              </w:rPr>
            </w:pPr>
            <w:r w:rsidRPr="001B6FEC">
              <w:rPr>
                <w:b/>
                <w:bCs/>
                <w:szCs w:val="22"/>
              </w:rPr>
              <w:t>3, 6 ou 12 meses</w:t>
            </w:r>
          </w:p>
          <w:p w14:paraId="4F915AF9" w14:textId="77777777" w:rsidR="005B1C7B" w:rsidRPr="001B6FEC" w:rsidRDefault="005B1C7B" w:rsidP="001E28F4">
            <w:pPr>
              <w:keepNext/>
              <w:spacing w:line="260" w:lineRule="exact"/>
              <w:rPr>
                <w:b/>
                <w:bCs/>
                <w:szCs w:val="22"/>
              </w:rPr>
            </w:pPr>
            <w:r w:rsidRPr="001B6FEC">
              <w:rPr>
                <w:b/>
                <w:bCs/>
                <w:szCs w:val="22"/>
              </w:rPr>
              <w:t>N=4.131</w:t>
            </w:r>
          </w:p>
        </w:tc>
      </w:tr>
      <w:tr w:rsidR="005B1C7B" w:rsidRPr="0063119B" w14:paraId="6A81540A" w14:textId="77777777" w:rsidTr="00A17B2C">
        <w:tc>
          <w:tcPr>
            <w:tcW w:w="3360" w:type="dxa"/>
          </w:tcPr>
          <w:p w14:paraId="5FD6C1FC" w14:textId="77777777" w:rsidR="005B1C7B" w:rsidRPr="0063119B" w:rsidRDefault="005B1C7B" w:rsidP="001E28F4">
            <w:pPr>
              <w:keepNext/>
              <w:spacing w:line="260" w:lineRule="exact"/>
              <w:rPr>
                <w:szCs w:val="22"/>
              </w:rPr>
            </w:pPr>
            <w:r w:rsidRPr="0063119B">
              <w:rPr>
                <w:szCs w:val="22"/>
              </w:rPr>
              <w:t>TEV sintomático recorrente*</w:t>
            </w:r>
          </w:p>
        </w:tc>
        <w:tc>
          <w:tcPr>
            <w:tcW w:w="3120" w:type="dxa"/>
          </w:tcPr>
          <w:p w14:paraId="4CDCBA16" w14:textId="77777777" w:rsidR="005B1C7B" w:rsidRPr="0063119B" w:rsidRDefault="005B1C7B" w:rsidP="001E28F4">
            <w:pPr>
              <w:keepNext/>
              <w:spacing w:line="260" w:lineRule="exact"/>
              <w:rPr>
                <w:szCs w:val="22"/>
              </w:rPr>
            </w:pPr>
            <w:r w:rsidRPr="0063119B">
              <w:rPr>
                <w:szCs w:val="22"/>
              </w:rPr>
              <w:t>86</w:t>
            </w:r>
            <w:r w:rsidRPr="0063119B">
              <w:rPr>
                <w:szCs w:val="22"/>
              </w:rPr>
              <w:br/>
              <w:t>(2,1%)</w:t>
            </w:r>
          </w:p>
        </w:tc>
        <w:tc>
          <w:tcPr>
            <w:tcW w:w="2880" w:type="dxa"/>
            <w:gridSpan w:val="2"/>
          </w:tcPr>
          <w:p w14:paraId="4ADBBA27" w14:textId="77777777" w:rsidR="005B1C7B" w:rsidRPr="0063119B" w:rsidRDefault="005B1C7B" w:rsidP="001E28F4">
            <w:pPr>
              <w:keepNext/>
              <w:spacing w:line="260" w:lineRule="exact"/>
              <w:rPr>
                <w:szCs w:val="22"/>
              </w:rPr>
            </w:pPr>
            <w:r w:rsidRPr="0063119B">
              <w:rPr>
                <w:szCs w:val="22"/>
              </w:rPr>
              <w:t>95</w:t>
            </w:r>
            <w:r w:rsidRPr="0063119B">
              <w:rPr>
                <w:szCs w:val="22"/>
              </w:rPr>
              <w:br/>
              <w:t>(2,3%)</w:t>
            </w:r>
          </w:p>
        </w:tc>
      </w:tr>
      <w:tr w:rsidR="005B1C7B" w:rsidRPr="0063119B" w14:paraId="51F08B2A" w14:textId="77777777" w:rsidTr="00A17B2C">
        <w:tc>
          <w:tcPr>
            <w:tcW w:w="3360" w:type="dxa"/>
          </w:tcPr>
          <w:p w14:paraId="7E81F6B8" w14:textId="77777777" w:rsidR="005B1C7B" w:rsidRPr="0063119B" w:rsidRDefault="005B1C7B" w:rsidP="001E28F4">
            <w:pPr>
              <w:keepNext/>
              <w:spacing w:line="260" w:lineRule="exact"/>
              <w:rPr>
                <w:szCs w:val="22"/>
              </w:rPr>
            </w:pPr>
            <w:r w:rsidRPr="0063119B">
              <w:rPr>
                <w:szCs w:val="22"/>
              </w:rPr>
              <w:t xml:space="preserve">     EP sintomático recorrente</w:t>
            </w:r>
          </w:p>
        </w:tc>
        <w:tc>
          <w:tcPr>
            <w:tcW w:w="3120" w:type="dxa"/>
          </w:tcPr>
          <w:p w14:paraId="5AE2F10B" w14:textId="77777777" w:rsidR="005B1C7B" w:rsidRPr="0063119B" w:rsidRDefault="005B1C7B" w:rsidP="001E28F4">
            <w:pPr>
              <w:keepNext/>
              <w:spacing w:line="260" w:lineRule="exact"/>
              <w:rPr>
                <w:szCs w:val="22"/>
              </w:rPr>
            </w:pPr>
            <w:r w:rsidRPr="0063119B">
              <w:rPr>
                <w:szCs w:val="22"/>
              </w:rPr>
              <w:t>43</w:t>
            </w:r>
            <w:r w:rsidRPr="0063119B">
              <w:rPr>
                <w:szCs w:val="22"/>
              </w:rPr>
              <w:br/>
              <w:t>(1,0%)</w:t>
            </w:r>
          </w:p>
        </w:tc>
        <w:tc>
          <w:tcPr>
            <w:tcW w:w="2880" w:type="dxa"/>
            <w:gridSpan w:val="2"/>
          </w:tcPr>
          <w:p w14:paraId="4F462B1B" w14:textId="77777777" w:rsidR="005B1C7B" w:rsidRPr="0063119B" w:rsidRDefault="005B1C7B" w:rsidP="001E28F4">
            <w:pPr>
              <w:keepNext/>
              <w:spacing w:line="260" w:lineRule="exact"/>
              <w:rPr>
                <w:szCs w:val="22"/>
              </w:rPr>
            </w:pPr>
            <w:r w:rsidRPr="0063119B">
              <w:rPr>
                <w:szCs w:val="22"/>
              </w:rPr>
              <w:t>38</w:t>
            </w:r>
            <w:r w:rsidRPr="0063119B">
              <w:rPr>
                <w:szCs w:val="22"/>
              </w:rPr>
              <w:br/>
              <w:t>(0,9%)</w:t>
            </w:r>
          </w:p>
        </w:tc>
      </w:tr>
      <w:tr w:rsidR="005B1C7B" w:rsidRPr="0063119B" w14:paraId="03789567" w14:textId="77777777" w:rsidTr="00A17B2C">
        <w:tc>
          <w:tcPr>
            <w:tcW w:w="3360" w:type="dxa"/>
          </w:tcPr>
          <w:p w14:paraId="1417BABA" w14:textId="77777777" w:rsidR="005B1C7B" w:rsidRPr="0063119B" w:rsidRDefault="005B1C7B" w:rsidP="001E28F4">
            <w:pPr>
              <w:keepNext/>
              <w:spacing w:line="260" w:lineRule="exact"/>
              <w:rPr>
                <w:szCs w:val="22"/>
              </w:rPr>
            </w:pPr>
            <w:r w:rsidRPr="0063119B">
              <w:rPr>
                <w:szCs w:val="22"/>
              </w:rPr>
              <w:t xml:space="preserve">     TVP sintomática recorrente</w:t>
            </w:r>
          </w:p>
        </w:tc>
        <w:tc>
          <w:tcPr>
            <w:tcW w:w="3120" w:type="dxa"/>
          </w:tcPr>
          <w:p w14:paraId="6D633DB2" w14:textId="77777777" w:rsidR="005B1C7B" w:rsidRPr="0063119B" w:rsidRDefault="005B1C7B" w:rsidP="001E28F4">
            <w:pPr>
              <w:keepNext/>
              <w:spacing w:line="260" w:lineRule="exact"/>
              <w:rPr>
                <w:szCs w:val="22"/>
              </w:rPr>
            </w:pPr>
            <w:r w:rsidRPr="0063119B">
              <w:rPr>
                <w:szCs w:val="22"/>
              </w:rPr>
              <w:t>32</w:t>
            </w:r>
            <w:r w:rsidRPr="0063119B">
              <w:rPr>
                <w:szCs w:val="22"/>
              </w:rPr>
              <w:br/>
              <w:t>(0,8%)</w:t>
            </w:r>
          </w:p>
        </w:tc>
        <w:tc>
          <w:tcPr>
            <w:tcW w:w="2880" w:type="dxa"/>
            <w:gridSpan w:val="2"/>
          </w:tcPr>
          <w:p w14:paraId="1342C47C" w14:textId="77777777" w:rsidR="005B1C7B" w:rsidRPr="0063119B" w:rsidRDefault="005B1C7B" w:rsidP="001E28F4">
            <w:pPr>
              <w:keepNext/>
              <w:spacing w:line="260" w:lineRule="exact"/>
              <w:rPr>
                <w:szCs w:val="22"/>
              </w:rPr>
            </w:pPr>
            <w:r w:rsidRPr="0063119B">
              <w:rPr>
                <w:szCs w:val="22"/>
              </w:rPr>
              <w:t>45</w:t>
            </w:r>
            <w:r w:rsidRPr="0063119B">
              <w:rPr>
                <w:szCs w:val="22"/>
              </w:rPr>
              <w:br/>
              <w:t>(1,1%)</w:t>
            </w:r>
          </w:p>
        </w:tc>
      </w:tr>
      <w:tr w:rsidR="005B1C7B" w:rsidRPr="0063119B" w14:paraId="004B44C4" w14:textId="77777777" w:rsidTr="00A17B2C">
        <w:tc>
          <w:tcPr>
            <w:tcW w:w="3360" w:type="dxa"/>
          </w:tcPr>
          <w:p w14:paraId="4408476A" w14:textId="77777777" w:rsidR="005B1C7B" w:rsidRPr="0063119B" w:rsidRDefault="005B1C7B" w:rsidP="001E28F4">
            <w:pPr>
              <w:keepNext/>
              <w:spacing w:line="260" w:lineRule="exact"/>
              <w:rPr>
                <w:szCs w:val="22"/>
              </w:rPr>
            </w:pPr>
            <w:r w:rsidRPr="0063119B">
              <w:rPr>
                <w:szCs w:val="22"/>
              </w:rPr>
              <w:t xml:space="preserve">     EP e TVP sintomáticos</w:t>
            </w:r>
          </w:p>
        </w:tc>
        <w:tc>
          <w:tcPr>
            <w:tcW w:w="3120" w:type="dxa"/>
          </w:tcPr>
          <w:p w14:paraId="0CA893CA" w14:textId="77777777" w:rsidR="005B1C7B" w:rsidRPr="0063119B" w:rsidRDefault="005B1C7B" w:rsidP="001E28F4">
            <w:pPr>
              <w:keepNext/>
              <w:spacing w:line="260" w:lineRule="exact"/>
              <w:rPr>
                <w:szCs w:val="22"/>
              </w:rPr>
            </w:pPr>
            <w:r w:rsidRPr="0063119B">
              <w:rPr>
                <w:szCs w:val="22"/>
              </w:rPr>
              <w:t>1</w:t>
            </w:r>
          </w:p>
          <w:p w14:paraId="3A3A5D89" w14:textId="77777777" w:rsidR="005B1C7B" w:rsidRPr="0063119B" w:rsidRDefault="005B1C7B" w:rsidP="001E28F4">
            <w:pPr>
              <w:keepNext/>
              <w:spacing w:line="260" w:lineRule="exact"/>
              <w:rPr>
                <w:szCs w:val="22"/>
              </w:rPr>
            </w:pPr>
            <w:r w:rsidRPr="0063119B">
              <w:rPr>
                <w:szCs w:val="22"/>
              </w:rPr>
              <w:t>(&lt;0,1%)</w:t>
            </w:r>
          </w:p>
        </w:tc>
        <w:tc>
          <w:tcPr>
            <w:tcW w:w="2880" w:type="dxa"/>
            <w:gridSpan w:val="2"/>
          </w:tcPr>
          <w:p w14:paraId="6C23309A" w14:textId="77777777" w:rsidR="005B1C7B" w:rsidRPr="0063119B" w:rsidRDefault="005B1C7B" w:rsidP="001E28F4">
            <w:pPr>
              <w:keepNext/>
              <w:spacing w:line="260" w:lineRule="exact"/>
              <w:rPr>
                <w:szCs w:val="22"/>
              </w:rPr>
            </w:pPr>
            <w:r w:rsidRPr="0063119B">
              <w:rPr>
                <w:szCs w:val="22"/>
              </w:rPr>
              <w:t>2</w:t>
            </w:r>
          </w:p>
          <w:p w14:paraId="1D0C6A00" w14:textId="77777777" w:rsidR="005B1C7B" w:rsidRPr="0063119B" w:rsidRDefault="005B1C7B" w:rsidP="001E28F4">
            <w:pPr>
              <w:keepNext/>
              <w:spacing w:line="260" w:lineRule="exact"/>
              <w:rPr>
                <w:szCs w:val="22"/>
              </w:rPr>
            </w:pPr>
            <w:r w:rsidRPr="0063119B">
              <w:rPr>
                <w:szCs w:val="22"/>
              </w:rPr>
              <w:t>(&lt;0,1%)</w:t>
            </w:r>
          </w:p>
        </w:tc>
      </w:tr>
      <w:tr w:rsidR="005B1C7B" w:rsidRPr="0063119B" w14:paraId="46D293BE" w14:textId="77777777" w:rsidTr="00A17B2C">
        <w:tc>
          <w:tcPr>
            <w:tcW w:w="3360" w:type="dxa"/>
          </w:tcPr>
          <w:p w14:paraId="6299C09C" w14:textId="77777777" w:rsidR="005B1C7B" w:rsidRPr="0063119B" w:rsidRDefault="005B1C7B" w:rsidP="001E28F4">
            <w:pPr>
              <w:keepNext/>
              <w:spacing w:line="260" w:lineRule="exact"/>
              <w:ind w:left="284" w:hanging="34"/>
              <w:rPr>
                <w:szCs w:val="22"/>
              </w:rPr>
            </w:pPr>
            <w:r w:rsidRPr="0063119B">
              <w:rPr>
                <w:szCs w:val="22"/>
              </w:rPr>
              <w:t>EP fatal/</w:t>
            </w:r>
            <w:r w:rsidR="00822F6C" w:rsidRPr="0063119B">
              <w:rPr>
                <w:szCs w:val="22"/>
              </w:rPr>
              <w:t>m</w:t>
            </w:r>
            <w:r w:rsidRPr="0063119B">
              <w:rPr>
                <w:szCs w:val="22"/>
              </w:rPr>
              <w:t>orte na qual não se pode excluir EP</w:t>
            </w:r>
          </w:p>
        </w:tc>
        <w:tc>
          <w:tcPr>
            <w:tcW w:w="3120" w:type="dxa"/>
          </w:tcPr>
          <w:p w14:paraId="3F7EFD5C" w14:textId="77777777" w:rsidR="005B1C7B" w:rsidRPr="0063119B" w:rsidRDefault="005B1C7B" w:rsidP="001E28F4">
            <w:pPr>
              <w:keepNext/>
              <w:spacing w:line="260" w:lineRule="exact"/>
              <w:rPr>
                <w:szCs w:val="22"/>
              </w:rPr>
            </w:pPr>
            <w:r w:rsidRPr="0063119B">
              <w:rPr>
                <w:szCs w:val="22"/>
              </w:rPr>
              <w:t>15</w:t>
            </w:r>
            <w:r w:rsidRPr="0063119B">
              <w:rPr>
                <w:szCs w:val="22"/>
              </w:rPr>
              <w:br/>
              <w:t>(0,4%)</w:t>
            </w:r>
          </w:p>
        </w:tc>
        <w:tc>
          <w:tcPr>
            <w:tcW w:w="2880" w:type="dxa"/>
            <w:gridSpan w:val="2"/>
          </w:tcPr>
          <w:p w14:paraId="05CA8EBD" w14:textId="77777777" w:rsidR="005B1C7B" w:rsidRPr="0063119B" w:rsidRDefault="005B1C7B" w:rsidP="001E28F4">
            <w:pPr>
              <w:keepNext/>
              <w:spacing w:line="260" w:lineRule="exact"/>
              <w:rPr>
                <w:szCs w:val="22"/>
              </w:rPr>
            </w:pPr>
            <w:r w:rsidRPr="0063119B">
              <w:rPr>
                <w:szCs w:val="22"/>
              </w:rPr>
              <w:t>13</w:t>
            </w:r>
            <w:r w:rsidRPr="0063119B">
              <w:rPr>
                <w:szCs w:val="22"/>
              </w:rPr>
              <w:br/>
              <w:t>(0,3%)</w:t>
            </w:r>
          </w:p>
        </w:tc>
      </w:tr>
      <w:tr w:rsidR="005B1C7B" w:rsidRPr="0063119B" w14:paraId="2699A2F2" w14:textId="77777777" w:rsidTr="00A17B2C">
        <w:tc>
          <w:tcPr>
            <w:tcW w:w="3360" w:type="dxa"/>
          </w:tcPr>
          <w:p w14:paraId="177ACAE0" w14:textId="77777777" w:rsidR="005B1C7B" w:rsidRPr="0063119B" w:rsidRDefault="005B1C7B" w:rsidP="001E28F4">
            <w:pPr>
              <w:keepNext/>
              <w:spacing w:line="260" w:lineRule="exact"/>
              <w:rPr>
                <w:szCs w:val="22"/>
              </w:rPr>
            </w:pPr>
            <w:r w:rsidRPr="0063119B">
              <w:rPr>
                <w:szCs w:val="22"/>
              </w:rPr>
              <w:t>Hemorragia principal ou não principal clinicamente relevante</w:t>
            </w:r>
          </w:p>
        </w:tc>
        <w:tc>
          <w:tcPr>
            <w:tcW w:w="3120" w:type="dxa"/>
          </w:tcPr>
          <w:p w14:paraId="5CC5A799" w14:textId="77777777" w:rsidR="005B1C7B" w:rsidRPr="0063119B" w:rsidRDefault="005B1C7B" w:rsidP="001E28F4">
            <w:pPr>
              <w:keepNext/>
              <w:spacing w:line="260" w:lineRule="exact"/>
              <w:rPr>
                <w:szCs w:val="22"/>
              </w:rPr>
            </w:pPr>
            <w:r w:rsidRPr="0063119B">
              <w:rPr>
                <w:szCs w:val="22"/>
              </w:rPr>
              <w:t>388</w:t>
            </w:r>
            <w:r w:rsidRPr="0063119B">
              <w:rPr>
                <w:szCs w:val="22"/>
              </w:rPr>
              <w:br/>
              <w:t>(9,4%)</w:t>
            </w:r>
          </w:p>
        </w:tc>
        <w:tc>
          <w:tcPr>
            <w:tcW w:w="2880" w:type="dxa"/>
            <w:gridSpan w:val="2"/>
          </w:tcPr>
          <w:p w14:paraId="25BB8993" w14:textId="77777777" w:rsidR="005B1C7B" w:rsidRPr="0063119B" w:rsidRDefault="005B1C7B" w:rsidP="001E28F4">
            <w:pPr>
              <w:keepNext/>
              <w:spacing w:line="260" w:lineRule="exact"/>
              <w:rPr>
                <w:szCs w:val="22"/>
              </w:rPr>
            </w:pPr>
            <w:r w:rsidRPr="0063119B">
              <w:rPr>
                <w:szCs w:val="22"/>
              </w:rPr>
              <w:t>412</w:t>
            </w:r>
            <w:r w:rsidRPr="0063119B">
              <w:rPr>
                <w:szCs w:val="22"/>
              </w:rPr>
              <w:br/>
              <w:t>(10,0%)</w:t>
            </w:r>
          </w:p>
        </w:tc>
      </w:tr>
      <w:tr w:rsidR="005B1C7B" w:rsidRPr="0063119B" w14:paraId="08C5D4F4" w14:textId="77777777" w:rsidTr="00A17B2C">
        <w:tc>
          <w:tcPr>
            <w:tcW w:w="3360" w:type="dxa"/>
          </w:tcPr>
          <w:p w14:paraId="6F0CEFE2" w14:textId="77777777" w:rsidR="005B1C7B" w:rsidRPr="0063119B" w:rsidRDefault="005B1C7B" w:rsidP="001E28F4">
            <w:pPr>
              <w:keepNext/>
              <w:spacing w:line="260" w:lineRule="exact"/>
              <w:rPr>
                <w:szCs w:val="22"/>
              </w:rPr>
            </w:pPr>
            <w:r w:rsidRPr="0063119B">
              <w:rPr>
                <w:szCs w:val="22"/>
              </w:rPr>
              <w:t>Acontecimentos hemorrágicos principais</w:t>
            </w:r>
          </w:p>
        </w:tc>
        <w:tc>
          <w:tcPr>
            <w:tcW w:w="3120" w:type="dxa"/>
          </w:tcPr>
          <w:p w14:paraId="5E5BA65D" w14:textId="77777777" w:rsidR="005B1C7B" w:rsidRPr="0063119B" w:rsidRDefault="005B1C7B" w:rsidP="001E28F4">
            <w:pPr>
              <w:keepNext/>
              <w:spacing w:line="260" w:lineRule="exact"/>
              <w:rPr>
                <w:szCs w:val="22"/>
              </w:rPr>
            </w:pPr>
            <w:r w:rsidRPr="0063119B">
              <w:rPr>
                <w:szCs w:val="22"/>
              </w:rPr>
              <w:t>40</w:t>
            </w:r>
            <w:r w:rsidRPr="0063119B">
              <w:rPr>
                <w:szCs w:val="22"/>
              </w:rPr>
              <w:br/>
              <w:t>(1,0%)</w:t>
            </w:r>
          </w:p>
        </w:tc>
        <w:tc>
          <w:tcPr>
            <w:tcW w:w="2880" w:type="dxa"/>
            <w:gridSpan w:val="2"/>
          </w:tcPr>
          <w:p w14:paraId="7D0A21F6" w14:textId="77777777" w:rsidR="005B1C7B" w:rsidRPr="0063119B" w:rsidRDefault="005B1C7B" w:rsidP="001E28F4">
            <w:pPr>
              <w:keepNext/>
              <w:spacing w:line="260" w:lineRule="exact"/>
              <w:rPr>
                <w:szCs w:val="22"/>
              </w:rPr>
            </w:pPr>
            <w:r w:rsidRPr="0063119B">
              <w:rPr>
                <w:szCs w:val="22"/>
              </w:rPr>
              <w:t>72</w:t>
            </w:r>
            <w:r w:rsidRPr="0063119B">
              <w:rPr>
                <w:szCs w:val="22"/>
              </w:rPr>
              <w:br/>
              <w:t>(1,7%)</w:t>
            </w:r>
          </w:p>
        </w:tc>
      </w:tr>
      <w:tr w:rsidR="005B1C7B" w:rsidRPr="0063119B" w14:paraId="3EED6538" w14:textId="77777777" w:rsidTr="00A17B2C">
        <w:trPr>
          <w:gridAfter w:val="1"/>
          <w:wAfter w:w="230" w:type="dxa"/>
        </w:trPr>
        <w:tc>
          <w:tcPr>
            <w:tcW w:w="9200" w:type="dxa"/>
            <w:gridSpan w:val="3"/>
            <w:tcBorders>
              <w:top w:val="nil"/>
              <w:left w:val="nil"/>
              <w:bottom w:val="nil"/>
              <w:right w:val="nil"/>
            </w:tcBorders>
          </w:tcPr>
          <w:p w14:paraId="28874E69" w14:textId="77777777" w:rsidR="005B1C7B" w:rsidRPr="0063119B" w:rsidRDefault="005B1C7B" w:rsidP="001E28F4">
            <w:pPr>
              <w:keepNext/>
              <w:tabs>
                <w:tab w:val="left" w:pos="567"/>
              </w:tabs>
              <w:rPr>
                <w:szCs w:val="22"/>
              </w:rPr>
            </w:pPr>
            <w:r w:rsidRPr="0063119B">
              <w:rPr>
                <w:szCs w:val="22"/>
              </w:rPr>
              <w:t>a)</w:t>
            </w:r>
            <w:r w:rsidRPr="0063119B">
              <w:rPr>
                <w:szCs w:val="22"/>
              </w:rPr>
              <w:tab/>
              <w:t>Rivaroxabano 15 mg duas vezes por dia durante 3 semanas seguido de 20 mg uma vez por dia</w:t>
            </w:r>
          </w:p>
          <w:p w14:paraId="69D7EDB4" w14:textId="77777777" w:rsidR="005B1C7B" w:rsidRPr="0063119B" w:rsidRDefault="005B1C7B" w:rsidP="001E28F4">
            <w:pPr>
              <w:keepNext/>
              <w:tabs>
                <w:tab w:val="left" w:pos="567"/>
              </w:tabs>
              <w:ind w:left="567" w:hanging="567"/>
              <w:rPr>
                <w:szCs w:val="22"/>
              </w:rPr>
            </w:pPr>
            <w:r w:rsidRPr="0063119B">
              <w:rPr>
                <w:szCs w:val="22"/>
              </w:rPr>
              <w:t>b)</w:t>
            </w:r>
            <w:r w:rsidRPr="0063119B">
              <w:rPr>
                <w:szCs w:val="22"/>
              </w:rPr>
              <w:tab/>
              <w:t>Enoxaparina durante pelo menos 5 dias, sobreposta com e seguida de AVK</w:t>
            </w:r>
          </w:p>
          <w:p w14:paraId="1BC7113F" w14:textId="77777777" w:rsidR="005B1C7B" w:rsidRPr="0063119B" w:rsidRDefault="005B1C7B" w:rsidP="001E28F4">
            <w:pPr>
              <w:keepNext/>
              <w:tabs>
                <w:tab w:val="left" w:pos="567"/>
              </w:tabs>
              <w:ind w:left="567" w:hanging="567"/>
              <w:rPr>
                <w:vanish/>
                <w:szCs w:val="22"/>
              </w:rPr>
            </w:pPr>
            <w:r w:rsidRPr="0063119B">
              <w:rPr>
                <w:b/>
                <w:szCs w:val="22"/>
              </w:rPr>
              <w:t>*</w:t>
            </w:r>
            <w:r w:rsidRPr="0063119B">
              <w:rPr>
                <w:szCs w:val="22"/>
              </w:rPr>
              <w:tab/>
              <w:t xml:space="preserve">p &lt; 0,0001 (não inferioridade para uma </w:t>
            </w:r>
            <w:r w:rsidR="00822F6C" w:rsidRPr="0063119B">
              <w:rPr>
                <w:szCs w:val="22"/>
              </w:rPr>
              <w:t>RR</w:t>
            </w:r>
            <w:r w:rsidRPr="0063119B">
              <w:rPr>
                <w:szCs w:val="22"/>
              </w:rPr>
              <w:t xml:space="preserve"> pré-especificada de 1,75); </w:t>
            </w:r>
            <w:r w:rsidR="00822F6C" w:rsidRPr="0063119B">
              <w:rPr>
                <w:szCs w:val="22"/>
              </w:rPr>
              <w:t>RR</w:t>
            </w:r>
            <w:r w:rsidRPr="0063119B">
              <w:rPr>
                <w:szCs w:val="22"/>
              </w:rPr>
              <w:t>: 0,886 (0,661 </w:t>
            </w:r>
            <w:r w:rsidRPr="0063119B">
              <w:rPr>
                <w:szCs w:val="22"/>
              </w:rPr>
              <w:noBreakHyphen/>
              <w:t> 1,186)</w:t>
            </w:r>
          </w:p>
        </w:tc>
      </w:tr>
    </w:tbl>
    <w:p w14:paraId="3450EC30" w14:textId="77777777" w:rsidR="005B1C7B" w:rsidRPr="0063119B" w:rsidRDefault="005B1C7B" w:rsidP="005B1C7B">
      <w:pPr>
        <w:pStyle w:val="Default"/>
        <w:rPr>
          <w:color w:val="auto"/>
          <w:sz w:val="22"/>
          <w:szCs w:val="22"/>
          <w:lang w:val="pt-PT"/>
        </w:rPr>
      </w:pPr>
    </w:p>
    <w:p w14:paraId="1F81B4EC" w14:textId="77777777" w:rsidR="005B1C7B" w:rsidRPr="0063119B" w:rsidRDefault="005B1C7B" w:rsidP="005B1C7B">
      <w:pPr>
        <w:pStyle w:val="Default"/>
        <w:rPr>
          <w:color w:val="auto"/>
          <w:sz w:val="22"/>
          <w:szCs w:val="22"/>
          <w:lang w:val="pt-PT"/>
        </w:rPr>
      </w:pPr>
      <w:r w:rsidRPr="0063119B">
        <w:rPr>
          <w:color w:val="auto"/>
          <w:sz w:val="22"/>
          <w:szCs w:val="22"/>
          <w:lang w:val="pt-PT"/>
        </w:rPr>
        <w:t>O benefício clínico efetivo pré</w:t>
      </w:r>
      <w:r w:rsidRPr="0063119B">
        <w:rPr>
          <w:color w:val="auto"/>
          <w:sz w:val="22"/>
          <w:szCs w:val="22"/>
          <w:lang w:val="pt-PT"/>
        </w:rPr>
        <w:noBreakHyphen/>
        <w:t xml:space="preserve">especificado (objetivo primário da eficácia mais acontecimentos hemorrágicos principais) de uma análise agrupada foi notificado com uma </w:t>
      </w:r>
      <w:r w:rsidR="00822F6C" w:rsidRPr="0063119B">
        <w:rPr>
          <w:sz w:val="22"/>
          <w:szCs w:val="22"/>
          <w:lang w:val="pt-PT"/>
        </w:rPr>
        <w:t>RR</w:t>
      </w:r>
      <w:r w:rsidRPr="0063119B">
        <w:rPr>
          <w:color w:val="auto"/>
          <w:sz w:val="22"/>
          <w:szCs w:val="22"/>
          <w:lang w:val="pt-PT"/>
        </w:rPr>
        <w:t xml:space="preserve"> de 0,771 ((IC 95%: 0,614 </w:t>
      </w:r>
      <w:r w:rsidRPr="0063119B">
        <w:rPr>
          <w:color w:val="auto"/>
          <w:sz w:val="22"/>
          <w:szCs w:val="22"/>
          <w:lang w:val="pt-PT"/>
        </w:rPr>
        <w:noBreakHyphen/>
        <w:t xml:space="preserve"> 0,967), valor-p nominal com p</w:t>
      </w:r>
      <w:r w:rsidR="00A32A6D" w:rsidRPr="0063119B">
        <w:rPr>
          <w:color w:val="auto"/>
          <w:sz w:val="22"/>
          <w:szCs w:val="22"/>
          <w:lang w:val="pt-PT"/>
        </w:rPr>
        <w:t> </w:t>
      </w:r>
      <w:r w:rsidRPr="0063119B">
        <w:rPr>
          <w:color w:val="auto"/>
          <w:sz w:val="22"/>
          <w:szCs w:val="22"/>
          <w:lang w:val="pt-PT"/>
        </w:rPr>
        <w:t>=</w:t>
      </w:r>
      <w:r w:rsidR="00A32A6D" w:rsidRPr="0063119B">
        <w:rPr>
          <w:color w:val="auto"/>
          <w:sz w:val="22"/>
          <w:szCs w:val="22"/>
          <w:lang w:val="pt-PT"/>
        </w:rPr>
        <w:t> </w:t>
      </w:r>
      <w:r w:rsidRPr="0063119B">
        <w:rPr>
          <w:color w:val="auto"/>
          <w:sz w:val="22"/>
          <w:szCs w:val="22"/>
          <w:lang w:val="pt-PT"/>
        </w:rPr>
        <w:t>0,0244).</w:t>
      </w:r>
    </w:p>
    <w:p w14:paraId="4E068026" w14:textId="77777777" w:rsidR="005B1C7B" w:rsidRPr="0063119B" w:rsidRDefault="005B1C7B" w:rsidP="005B1C7B">
      <w:pPr>
        <w:pStyle w:val="Default"/>
        <w:rPr>
          <w:color w:val="auto"/>
          <w:sz w:val="22"/>
          <w:szCs w:val="22"/>
          <w:lang w:val="pt-PT"/>
        </w:rPr>
      </w:pPr>
    </w:p>
    <w:p w14:paraId="6A6F1768" w14:textId="77777777" w:rsidR="005B1C7B" w:rsidRPr="0063119B" w:rsidRDefault="005B1C7B" w:rsidP="005B1C7B">
      <w:pPr>
        <w:pStyle w:val="Default"/>
        <w:rPr>
          <w:iCs/>
          <w:color w:val="auto"/>
          <w:sz w:val="22"/>
          <w:szCs w:val="22"/>
          <w:lang w:val="pt-PT"/>
        </w:rPr>
      </w:pPr>
      <w:r w:rsidRPr="0063119B">
        <w:rPr>
          <w:color w:val="auto"/>
          <w:sz w:val="22"/>
          <w:szCs w:val="22"/>
          <w:lang w:val="pt-PT"/>
        </w:rPr>
        <w:lastRenderedPageBreak/>
        <w:t>No estudo Einstein Extension (ver Quadro </w:t>
      </w:r>
      <w:r w:rsidR="00B310DB" w:rsidRPr="0063119B">
        <w:rPr>
          <w:color w:val="auto"/>
          <w:sz w:val="22"/>
          <w:szCs w:val="22"/>
          <w:lang w:val="pt-PT"/>
        </w:rPr>
        <w:t>7</w:t>
      </w:r>
      <w:r w:rsidRPr="0063119B">
        <w:rPr>
          <w:color w:val="auto"/>
          <w:sz w:val="22"/>
          <w:szCs w:val="22"/>
          <w:lang w:val="pt-PT"/>
        </w:rPr>
        <w:t xml:space="preserve">) o rivaroxabano foi superior ao placebo no que respeita aos objetivos primários e secundários da eficácia. </w:t>
      </w:r>
      <w:r w:rsidRPr="0063119B">
        <w:rPr>
          <w:iCs/>
          <w:color w:val="auto"/>
          <w:sz w:val="22"/>
          <w:szCs w:val="22"/>
          <w:lang w:val="pt-PT"/>
        </w:rPr>
        <w:t>Em relação ao objetivo primário de segurança (acontecimentos hemorrágicos principais) verificou</w:t>
      </w:r>
      <w:r w:rsidRPr="0063119B">
        <w:rPr>
          <w:iCs/>
          <w:color w:val="auto"/>
          <w:sz w:val="22"/>
          <w:szCs w:val="22"/>
          <w:lang w:val="pt-PT"/>
        </w:rPr>
        <w:noBreakHyphen/>
        <w:t>se uma taxa de incidência numericamente mais elevada não significativa em doentes tratados com 20 mg de rivaroxabano uma vez por dia em comparação com o placebo. O objetivo secundário de segurança (acontecimentos hemorrágicos principais ou não principais clinicamente relevantes) apresentou taxas mais elevadas em doentes tratados com 20 mg de rivaroxabano uma vez por dia em comparação com o placebo.</w:t>
      </w:r>
    </w:p>
    <w:p w14:paraId="42E1D64F" w14:textId="77777777" w:rsidR="005B1C7B" w:rsidRPr="0063119B" w:rsidRDefault="005B1C7B" w:rsidP="005B1C7B">
      <w:pPr>
        <w:pStyle w:val="Default"/>
        <w:rPr>
          <w:color w:val="auto"/>
          <w:sz w:val="22"/>
          <w:szCs w:val="22"/>
          <w:lang w:val="pt-PT"/>
        </w:rPr>
      </w:pPr>
    </w:p>
    <w:p w14:paraId="6CE77342" w14:textId="77777777" w:rsidR="005B1C7B" w:rsidRPr="0063119B" w:rsidRDefault="005B1C7B" w:rsidP="005B1C7B">
      <w:pPr>
        <w:keepNext/>
        <w:rPr>
          <w:vanish/>
          <w:szCs w:val="22"/>
        </w:rPr>
      </w:pPr>
      <w:r w:rsidRPr="0063119B">
        <w:rPr>
          <w:b/>
          <w:szCs w:val="22"/>
        </w:rPr>
        <w:t>Quadro </w:t>
      </w:r>
      <w:r w:rsidR="00B310DB" w:rsidRPr="0063119B">
        <w:rPr>
          <w:b/>
          <w:szCs w:val="22"/>
        </w:rPr>
        <w:t>7</w:t>
      </w:r>
      <w:r w:rsidRPr="0063119B">
        <w:rPr>
          <w:b/>
          <w:szCs w:val="22"/>
        </w:rPr>
        <w:t>: Resultados de eficácia e segurança do estudo de fase III Einstein Extension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2842"/>
      </w:tblGrid>
      <w:tr w:rsidR="005B1C7B" w:rsidRPr="0063119B" w14:paraId="2896D0F1" w14:textId="77777777" w:rsidTr="00DA6697">
        <w:tc>
          <w:tcPr>
            <w:tcW w:w="3360" w:type="dxa"/>
          </w:tcPr>
          <w:p w14:paraId="063D8DA9" w14:textId="77777777" w:rsidR="005B1C7B" w:rsidRPr="001B6FEC" w:rsidRDefault="005B1C7B" w:rsidP="00A17B2C">
            <w:pPr>
              <w:keepNext/>
              <w:spacing w:line="260" w:lineRule="exact"/>
              <w:rPr>
                <w:b/>
                <w:bCs/>
                <w:szCs w:val="22"/>
              </w:rPr>
            </w:pPr>
            <w:r w:rsidRPr="001B6FEC">
              <w:rPr>
                <w:b/>
                <w:bCs/>
                <w:szCs w:val="22"/>
              </w:rPr>
              <w:t>População do estudo</w:t>
            </w:r>
          </w:p>
        </w:tc>
        <w:tc>
          <w:tcPr>
            <w:tcW w:w="5962" w:type="dxa"/>
            <w:gridSpan w:val="2"/>
          </w:tcPr>
          <w:p w14:paraId="0270486B" w14:textId="77777777" w:rsidR="005B1C7B" w:rsidRPr="001B6FEC" w:rsidRDefault="005B1C7B" w:rsidP="00A17B2C">
            <w:pPr>
              <w:keepNext/>
              <w:spacing w:line="260" w:lineRule="exact"/>
              <w:rPr>
                <w:b/>
                <w:bCs/>
                <w:iCs/>
                <w:szCs w:val="22"/>
              </w:rPr>
            </w:pPr>
            <w:r w:rsidRPr="001B6FEC">
              <w:rPr>
                <w:b/>
                <w:bCs/>
                <w:szCs w:val="22"/>
              </w:rPr>
              <w:t xml:space="preserve">1.197 doentes submetidos a tratamento continuado e prevenção </w:t>
            </w:r>
            <w:r w:rsidRPr="001B6FEC">
              <w:rPr>
                <w:b/>
                <w:bCs/>
                <w:iCs/>
                <w:szCs w:val="22"/>
              </w:rPr>
              <w:t>do tromboembolismo venoso recorrente</w:t>
            </w:r>
          </w:p>
        </w:tc>
      </w:tr>
      <w:tr w:rsidR="005B1C7B" w:rsidRPr="0063119B" w14:paraId="37388337" w14:textId="77777777" w:rsidTr="00DA6697">
        <w:tc>
          <w:tcPr>
            <w:tcW w:w="3360" w:type="dxa"/>
            <w:vAlign w:val="center"/>
          </w:tcPr>
          <w:p w14:paraId="3CDA7D81" w14:textId="77777777" w:rsidR="005B1C7B" w:rsidRPr="001B6FEC" w:rsidRDefault="005B1C7B" w:rsidP="00A17B2C">
            <w:pPr>
              <w:keepNext/>
              <w:spacing w:line="260" w:lineRule="exact"/>
              <w:rPr>
                <w:b/>
                <w:bCs/>
                <w:szCs w:val="22"/>
              </w:rPr>
            </w:pPr>
            <w:r w:rsidRPr="001B6FEC">
              <w:rPr>
                <w:b/>
                <w:bCs/>
                <w:szCs w:val="22"/>
              </w:rPr>
              <w:t>Doses e duração do tratamento</w:t>
            </w:r>
          </w:p>
        </w:tc>
        <w:tc>
          <w:tcPr>
            <w:tcW w:w="3120" w:type="dxa"/>
          </w:tcPr>
          <w:p w14:paraId="250D8113" w14:textId="77777777" w:rsidR="005B1C7B" w:rsidRPr="001B6FEC" w:rsidRDefault="00754E0E" w:rsidP="00A17B2C">
            <w:pPr>
              <w:keepNext/>
              <w:spacing w:line="260" w:lineRule="exact"/>
              <w:rPr>
                <w:b/>
                <w:bCs/>
                <w:szCs w:val="22"/>
              </w:rPr>
            </w:pPr>
            <w:r w:rsidRPr="001B6FEC">
              <w:rPr>
                <w:b/>
                <w:bCs/>
                <w:szCs w:val="22"/>
              </w:rPr>
              <w:t>Rivaroxaban</w:t>
            </w:r>
            <w:r w:rsidR="00BE763C" w:rsidRPr="001B6FEC">
              <w:rPr>
                <w:b/>
                <w:bCs/>
                <w:szCs w:val="22"/>
              </w:rPr>
              <w:t>o</w:t>
            </w:r>
            <w:r w:rsidR="005B1C7B" w:rsidRPr="001B6FEC">
              <w:rPr>
                <w:b/>
                <w:bCs/>
                <w:szCs w:val="22"/>
                <w:vertAlign w:val="superscript"/>
              </w:rPr>
              <w:t>a)</w:t>
            </w:r>
            <w:r w:rsidR="005B1C7B" w:rsidRPr="001B6FEC">
              <w:rPr>
                <w:b/>
                <w:bCs/>
                <w:szCs w:val="22"/>
              </w:rPr>
              <w:t xml:space="preserve"> </w:t>
            </w:r>
            <w:r w:rsidR="005B1C7B" w:rsidRPr="001B6FEC">
              <w:rPr>
                <w:b/>
                <w:bCs/>
                <w:szCs w:val="22"/>
              </w:rPr>
              <w:br/>
              <w:t>6 ou 12 meses</w:t>
            </w:r>
          </w:p>
          <w:p w14:paraId="121D8D1F" w14:textId="77777777" w:rsidR="005B1C7B" w:rsidRPr="001B6FEC" w:rsidRDefault="005B1C7B" w:rsidP="00A17B2C">
            <w:pPr>
              <w:keepNext/>
              <w:spacing w:line="260" w:lineRule="exact"/>
              <w:rPr>
                <w:b/>
                <w:bCs/>
                <w:szCs w:val="22"/>
              </w:rPr>
            </w:pPr>
            <w:r w:rsidRPr="001B6FEC">
              <w:rPr>
                <w:b/>
                <w:bCs/>
                <w:szCs w:val="22"/>
              </w:rPr>
              <w:t>N=602</w:t>
            </w:r>
          </w:p>
        </w:tc>
        <w:tc>
          <w:tcPr>
            <w:tcW w:w="2842" w:type="dxa"/>
          </w:tcPr>
          <w:p w14:paraId="12BBA23A" w14:textId="77777777" w:rsidR="005B1C7B" w:rsidRPr="001B6FEC" w:rsidRDefault="005B1C7B" w:rsidP="00A17B2C">
            <w:pPr>
              <w:keepNext/>
              <w:spacing w:line="260" w:lineRule="exact"/>
              <w:rPr>
                <w:b/>
                <w:bCs/>
                <w:szCs w:val="22"/>
              </w:rPr>
            </w:pPr>
            <w:r w:rsidRPr="001B6FEC">
              <w:rPr>
                <w:b/>
                <w:bCs/>
                <w:szCs w:val="22"/>
              </w:rPr>
              <w:t>Placebo</w:t>
            </w:r>
            <w:r w:rsidRPr="001B6FEC">
              <w:rPr>
                <w:b/>
                <w:bCs/>
                <w:szCs w:val="22"/>
              </w:rPr>
              <w:br/>
              <w:t>6 ou 12 meses</w:t>
            </w:r>
          </w:p>
          <w:p w14:paraId="434B34E1" w14:textId="77777777" w:rsidR="005B1C7B" w:rsidRPr="001B6FEC" w:rsidRDefault="005B1C7B" w:rsidP="00A17B2C">
            <w:pPr>
              <w:keepNext/>
              <w:spacing w:line="260" w:lineRule="exact"/>
              <w:rPr>
                <w:b/>
                <w:bCs/>
                <w:szCs w:val="22"/>
              </w:rPr>
            </w:pPr>
            <w:r w:rsidRPr="001B6FEC">
              <w:rPr>
                <w:b/>
                <w:bCs/>
                <w:szCs w:val="22"/>
              </w:rPr>
              <w:t>N=594</w:t>
            </w:r>
          </w:p>
        </w:tc>
      </w:tr>
      <w:tr w:rsidR="005B1C7B" w:rsidRPr="0063119B" w14:paraId="7F93F5AE" w14:textId="77777777" w:rsidTr="00DA6697">
        <w:tc>
          <w:tcPr>
            <w:tcW w:w="3360" w:type="dxa"/>
          </w:tcPr>
          <w:p w14:paraId="0E0EA8E7" w14:textId="77777777" w:rsidR="005B1C7B" w:rsidRPr="0063119B" w:rsidRDefault="005B1C7B" w:rsidP="00A17B2C">
            <w:pPr>
              <w:keepNext/>
              <w:spacing w:line="260" w:lineRule="exact"/>
              <w:rPr>
                <w:szCs w:val="22"/>
              </w:rPr>
            </w:pPr>
            <w:r w:rsidRPr="0063119B">
              <w:rPr>
                <w:szCs w:val="22"/>
              </w:rPr>
              <w:t>TEV sintomático recorrente*</w:t>
            </w:r>
          </w:p>
        </w:tc>
        <w:tc>
          <w:tcPr>
            <w:tcW w:w="3120" w:type="dxa"/>
          </w:tcPr>
          <w:p w14:paraId="63726A2D" w14:textId="77777777" w:rsidR="005B1C7B" w:rsidRPr="0063119B" w:rsidRDefault="005B1C7B" w:rsidP="00A17B2C">
            <w:pPr>
              <w:keepNext/>
              <w:spacing w:line="260" w:lineRule="exact"/>
              <w:rPr>
                <w:szCs w:val="22"/>
              </w:rPr>
            </w:pPr>
            <w:r w:rsidRPr="0063119B">
              <w:rPr>
                <w:szCs w:val="22"/>
              </w:rPr>
              <w:t>8</w:t>
            </w:r>
            <w:r w:rsidRPr="0063119B">
              <w:rPr>
                <w:szCs w:val="22"/>
              </w:rPr>
              <w:br/>
              <w:t>(1,3%)</w:t>
            </w:r>
          </w:p>
        </w:tc>
        <w:tc>
          <w:tcPr>
            <w:tcW w:w="2842" w:type="dxa"/>
          </w:tcPr>
          <w:p w14:paraId="37602C65" w14:textId="77777777" w:rsidR="005B1C7B" w:rsidRPr="0063119B" w:rsidRDefault="005B1C7B" w:rsidP="00A17B2C">
            <w:pPr>
              <w:keepNext/>
              <w:spacing w:line="260" w:lineRule="exact"/>
              <w:rPr>
                <w:szCs w:val="22"/>
              </w:rPr>
            </w:pPr>
            <w:r w:rsidRPr="0063119B">
              <w:rPr>
                <w:szCs w:val="22"/>
              </w:rPr>
              <w:t>42</w:t>
            </w:r>
            <w:r w:rsidRPr="0063119B">
              <w:rPr>
                <w:szCs w:val="22"/>
              </w:rPr>
              <w:br/>
              <w:t>(7,1%)</w:t>
            </w:r>
          </w:p>
        </w:tc>
      </w:tr>
      <w:tr w:rsidR="005B1C7B" w:rsidRPr="0063119B" w14:paraId="6A40F5DB" w14:textId="77777777" w:rsidTr="00DA6697">
        <w:tc>
          <w:tcPr>
            <w:tcW w:w="3360" w:type="dxa"/>
          </w:tcPr>
          <w:p w14:paraId="6A450FFD" w14:textId="77777777" w:rsidR="005B1C7B" w:rsidRPr="0063119B" w:rsidRDefault="005B1C7B" w:rsidP="00A17B2C">
            <w:pPr>
              <w:keepNext/>
              <w:spacing w:line="260" w:lineRule="exact"/>
              <w:rPr>
                <w:szCs w:val="22"/>
              </w:rPr>
            </w:pPr>
            <w:r w:rsidRPr="0063119B">
              <w:rPr>
                <w:szCs w:val="22"/>
              </w:rPr>
              <w:t xml:space="preserve">      EP sintomático recorrente</w:t>
            </w:r>
          </w:p>
        </w:tc>
        <w:tc>
          <w:tcPr>
            <w:tcW w:w="3120" w:type="dxa"/>
          </w:tcPr>
          <w:p w14:paraId="76835FCF" w14:textId="77777777" w:rsidR="005B1C7B" w:rsidRPr="0063119B" w:rsidRDefault="005B1C7B" w:rsidP="00A17B2C">
            <w:pPr>
              <w:keepNext/>
              <w:spacing w:line="260" w:lineRule="exact"/>
              <w:rPr>
                <w:szCs w:val="22"/>
              </w:rPr>
            </w:pPr>
            <w:r w:rsidRPr="0063119B">
              <w:rPr>
                <w:szCs w:val="22"/>
              </w:rPr>
              <w:t>2</w:t>
            </w:r>
            <w:r w:rsidRPr="0063119B">
              <w:rPr>
                <w:szCs w:val="22"/>
              </w:rPr>
              <w:br/>
              <w:t>(0,3%)</w:t>
            </w:r>
          </w:p>
        </w:tc>
        <w:tc>
          <w:tcPr>
            <w:tcW w:w="2842" w:type="dxa"/>
          </w:tcPr>
          <w:p w14:paraId="28FF6E8E" w14:textId="77777777" w:rsidR="005B1C7B" w:rsidRPr="0063119B" w:rsidRDefault="005B1C7B" w:rsidP="00A17B2C">
            <w:pPr>
              <w:keepNext/>
              <w:spacing w:line="260" w:lineRule="exact"/>
              <w:rPr>
                <w:szCs w:val="22"/>
              </w:rPr>
            </w:pPr>
            <w:r w:rsidRPr="0063119B">
              <w:rPr>
                <w:szCs w:val="22"/>
              </w:rPr>
              <w:t>13</w:t>
            </w:r>
            <w:r w:rsidRPr="0063119B">
              <w:rPr>
                <w:szCs w:val="22"/>
              </w:rPr>
              <w:br/>
              <w:t>(2,2%)</w:t>
            </w:r>
          </w:p>
        </w:tc>
      </w:tr>
      <w:tr w:rsidR="005B1C7B" w:rsidRPr="0063119B" w14:paraId="528C6460" w14:textId="77777777" w:rsidTr="00DA6697">
        <w:tc>
          <w:tcPr>
            <w:tcW w:w="3360" w:type="dxa"/>
          </w:tcPr>
          <w:p w14:paraId="5924BC35" w14:textId="77777777" w:rsidR="005B1C7B" w:rsidRPr="0063119B" w:rsidRDefault="005B1C7B" w:rsidP="00A17B2C">
            <w:pPr>
              <w:keepNext/>
              <w:spacing w:line="260" w:lineRule="exact"/>
              <w:rPr>
                <w:szCs w:val="22"/>
              </w:rPr>
            </w:pPr>
            <w:r w:rsidRPr="0063119B">
              <w:rPr>
                <w:szCs w:val="22"/>
              </w:rPr>
              <w:t xml:space="preserve">     TVP sintomática recorrente</w:t>
            </w:r>
          </w:p>
        </w:tc>
        <w:tc>
          <w:tcPr>
            <w:tcW w:w="3120" w:type="dxa"/>
          </w:tcPr>
          <w:p w14:paraId="71551B70" w14:textId="77777777" w:rsidR="005B1C7B" w:rsidRPr="0063119B" w:rsidRDefault="005B1C7B" w:rsidP="00A17B2C">
            <w:pPr>
              <w:keepNext/>
              <w:spacing w:line="260" w:lineRule="exact"/>
              <w:rPr>
                <w:szCs w:val="22"/>
              </w:rPr>
            </w:pPr>
            <w:r w:rsidRPr="0063119B">
              <w:rPr>
                <w:szCs w:val="22"/>
              </w:rPr>
              <w:t>5</w:t>
            </w:r>
            <w:r w:rsidRPr="0063119B">
              <w:rPr>
                <w:szCs w:val="22"/>
              </w:rPr>
              <w:br/>
              <w:t>(0,8%)</w:t>
            </w:r>
          </w:p>
        </w:tc>
        <w:tc>
          <w:tcPr>
            <w:tcW w:w="2842" w:type="dxa"/>
          </w:tcPr>
          <w:p w14:paraId="690A7DE3" w14:textId="77777777" w:rsidR="005B1C7B" w:rsidRPr="0063119B" w:rsidRDefault="005B1C7B" w:rsidP="00A17B2C">
            <w:pPr>
              <w:keepNext/>
              <w:spacing w:line="260" w:lineRule="exact"/>
              <w:rPr>
                <w:szCs w:val="22"/>
              </w:rPr>
            </w:pPr>
            <w:r w:rsidRPr="0063119B">
              <w:rPr>
                <w:szCs w:val="22"/>
              </w:rPr>
              <w:t>31</w:t>
            </w:r>
            <w:r w:rsidRPr="0063119B">
              <w:rPr>
                <w:szCs w:val="22"/>
              </w:rPr>
              <w:br/>
              <w:t>(5,2%)</w:t>
            </w:r>
          </w:p>
        </w:tc>
      </w:tr>
      <w:tr w:rsidR="005B1C7B" w:rsidRPr="0063119B" w14:paraId="58D60656" w14:textId="77777777" w:rsidTr="00DA6697">
        <w:tc>
          <w:tcPr>
            <w:tcW w:w="3360" w:type="dxa"/>
          </w:tcPr>
          <w:p w14:paraId="6EF39AD4" w14:textId="77777777" w:rsidR="005B1C7B" w:rsidRPr="0063119B" w:rsidRDefault="005B1C7B" w:rsidP="00A17B2C">
            <w:pPr>
              <w:keepNext/>
              <w:spacing w:line="260" w:lineRule="exact"/>
              <w:ind w:left="252" w:hanging="252"/>
              <w:rPr>
                <w:szCs w:val="22"/>
              </w:rPr>
            </w:pPr>
            <w:r w:rsidRPr="0063119B">
              <w:rPr>
                <w:szCs w:val="22"/>
              </w:rPr>
              <w:t xml:space="preserve">      EP fatal/</w:t>
            </w:r>
            <w:r w:rsidR="00822F6C" w:rsidRPr="0063119B">
              <w:rPr>
                <w:szCs w:val="22"/>
              </w:rPr>
              <w:t>m</w:t>
            </w:r>
            <w:r w:rsidRPr="0063119B">
              <w:rPr>
                <w:szCs w:val="22"/>
              </w:rPr>
              <w:t xml:space="preserve">orte na qual não se </w:t>
            </w:r>
          </w:p>
          <w:p w14:paraId="12879CB2" w14:textId="77777777" w:rsidR="005B1C7B" w:rsidRPr="0063119B" w:rsidRDefault="005B1C7B" w:rsidP="00A17B2C">
            <w:pPr>
              <w:keepNext/>
              <w:spacing w:line="260" w:lineRule="exact"/>
              <w:ind w:left="284"/>
              <w:rPr>
                <w:szCs w:val="22"/>
              </w:rPr>
            </w:pPr>
            <w:r w:rsidRPr="0063119B">
              <w:rPr>
                <w:szCs w:val="22"/>
              </w:rPr>
              <w:t xml:space="preserve"> pode excluir EP</w:t>
            </w:r>
          </w:p>
        </w:tc>
        <w:tc>
          <w:tcPr>
            <w:tcW w:w="3120" w:type="dxa"/>
          </w:tcPr>
          <w:p w14:paraId="77931EDE" w14:textId="77777777" w:rsidR="005B1C7B" w:rsidRPr="0063119B" w:rsidRDefault="005B1C7B" w:rsidP="00A17B2C">
            <w:pPr>
              <w:keepNext/>
              <w:spacing w:line="260" w:lineRule="exact"/>
              <w:rPr>
                <w:szCs w:val="22"/>
              </w:rPr>
            </w:pPr>
            <w:r w:rsidRPr="0063119B">
              <w:rPr>
                <w:szCs w:val="22"/>
              </w:rPr>
              <w:t>1</w:t>
            </w:r>
          </w:p>
          <w:p w14:paraId="6214326B" w14:textId="77777777" w:rsidR="005B1C7B" w:rsidRPr="0063119B" w:rsidRDefault="005B1C7B" w:rsidP="00A17B2C">
            <w:pPr>
              <w:keepNext/>
              <w:spacing w:line="260" w:lineRule="exact"/>
              <w:rPr>
                <w:szCs w:val="22"/>
              </w:rPr>
            </w:pPr>
            <w:r w:rsidRPr="0063119B">
              <w:rPr>
                <w:szCs w:val="22"/>
              </w:rPr>
              <w:t>(0,2%)</w:t>
            </w:r>
          </w:p>
        </w:tc>
        <w:tc>
          <w:tcPr>
            <w:tcW w:w="2842" w:type="dxa"/>
          </w:tcPr>
          <w:p w14:paraId="3BDF11CE" w14:textId="77777777" w:rsidR="005B1C7B" w:rsidRPr="0063119B" w:rsidRDefault="005B1C7B" w:rsidP="00A17B2C">
            <w:pPr>
              <w:keepNext/>
              <w:spacing w:line="260" w:lineRule="exact"/>
              <w:rPr>
                <w:szCs w:val="22"/>
              </w:rPr>
            </w:pPr>
            <w:r w:rsidRPr="0063119B">
              <w:rPr>
                <w:szCs w:val="22"/>
              </w:rPr>
              <w:t>1</w:t>
            </w:r>
          </w:p>
          <w:p w14:paraId="77BAEAFE" w14:textId="77777777" w:rsidR="005B1C7B" w:rsidRPr="0063119B" w:rsidRDefault="005B1C7B" w:rsidP="00A17B2C">
            <w:pPr>
              <w:keepNext/>
              <w:spacing w:line="260" w:lineRule="exact"/>
              <w:rPr>
                <w:szCs w:val="22"/>
              </w:rPr>
            </w:pPr>
            <w:r w:rsidRPr="0063119B">
              <w:rPr>
                <w:szCs w:val="22"/>
              </w:rPr>
              <w:t>(0,2%)</w:t>
            </w:r>
          </w:p>
        </w:tc>
      </w:tr>
      <w:tr w:rsidR="005B1C7B" w:rsidRPr="0063119B" w14:paraId="164C80BA" w14:textId="77777777" w:rsidTr="00DA6697">
        <w:tc>
          <w:tcPr>
            <w:tcW w:w="3360" w:type="dxa"/>
          </w:tcPr>
          <w:p w14:paraId="25BDF905" w14:textId="77777777" w:rsidR="005B1C7B" w:rsidRPr="0063119B" w:rsidRDefault="005B1C7B" w:rsidP="00A17B2C">
            <w:pPr>
              <w:keepNext/>
              <w:spacing w:line="260" w:lineRule="exact"/>
              <w:rPr>
                <w:szCs w:val="22"/>
              </w:rPr>
            </w:pPr>
            <w:r w:rsidRPr="0063119B">
              <w:rPr>
                <w:szCs w:val="22"/>
              </w:rPr>
              <w:t>Acontecimentos hemorrágicos principais</w:t>
            </w:r>
          </w:p>
        </w:tc>
        <w:tc>
          <w:tcPr>
            <w:tcW w:w="3120" w:type="dxa"/>
          </w:tcPr>
          <w:p w14:paraId="0406FE40" w14:textId="77777777" w:rsidR="005B1C7B" w:rsidRPr="0063119B" w:rsidRDefault="005B1C7B" w:rsidP="00A17B2C">
            <w:pPr>
              <w:keepNext/>
              <w:spacing w:line="260" w:lineRule="exact"/>
              <w:rPr>
                <w:szCs w:val="22"/>
              </w:rPr>
            </w:pPr>
            <w:r w:rsidRPr="0063119B">
              <w:rPr>
                <w:szCs w:val="22"/>
              </w:rPr>
              <w:t>4</w:t>
            </w:r>
            <w:r w:rsidRPr="0063119B">
              <w:rPr>
                <w:szCs w:val="22"/>
              </w:rPr>
              <w:br/>
              <w:t>(0,7%)</w:t>
            </w:r>
          </w:p>
        </w:tc>
        <w:tc>
          <w:tcPr>
            <w:tcW w:w="2842" w:type="dxa"/>
          </w:tcPr>
          <w:p w14:paraId="1B549107" w14:textId="77777777" w:rsidR="005B1C7B" w:rsidRPr="0063119B" w:rsidRDefault="005B1C7B" w:rsidP="00A17B2C">
            <w:pPr>
              <w:keepNext/>
              <w:spacing w:line="260" w:lineRule="exact"/>
              <w:rPr>
                <w:szCs w:val="22"/>
              </w:rPr>
            </w:pPr>
            <w:r w:rsidRPr="0063119B">
              <w:rPr>
                <w:szCs w:val="22"/>
              </w:rPr>
              <w:t>0</w:t>
            </w:r>
            <w:r w:rsidRPr="0063119B">
              <w:rPr>
                <w:szCs w:val="22"/>
              </w:rPr>
              <w:br/>
              <w:t>(0,0%)</w:t>
            </w:r>
          </w:p>
        </w:tc>
      </w:tr>
      <w:tr w:rsidR="005B1C7B" w:rsidRPr="0063119B" w14:paraId="7EF394E6" w14:textId="77777777" w:rsidTr="00DA6697">
        <w:tc>
          <w:tcPr>
            <w:tcW w:w="3360" w:type="dxa"/>
          </w:tcPr>
          <w:p w14:paraId="0FF3287B" w14:textId="77777777" w:rsidR="005B1C7B" w:rsidRPr="0063119B" w:rsidRDefault="005B1C7B" w:rsidP="00A17B2C">
            <w:pPr>
              <w:keepNext/>
              <w:spacing w:line="260" w:lineRule="exact"/>
              <w:rPr>
                <w:szCs w:val="22"/>
              </w:rPr>
            </w:pPr>
            <w:r w:rsidRPr="0063119B">
              <w:rPr>
                <w:szCs w:val="22"/>
              </w:rPr>
              <w:t>Hemorragia principal ou não principal clinicamente relevante</w:t>
            </w:r>
          </w:p>
        </w:tc>
        <w:tc>
          <w:tcPr>
            <w:tcW w:w="3120" w:type="dxa"/>
          </w:tcPr>
          <w:p w14:paraId="7E64A00A" w14:textId="77777777" w:rsidR="005B1C7B" w:rsidRPr="0063119B" w:rsidRDefault="005B1C7B" w:rsidP="00A17B2C">
            <w:pPr>
              <w:keepNext/>
              <w:spacing w:line="260" w:lineRule="exact"/>
              <w:rPr>
                <w:szCs w:val="22"/>
              </w:rPr>
            </w:pPr>
            <w:r w:rsidRPr="0063119B">
              <w:rPr>
                <w:szCs w:val="22"/>
              </w:rPr>
              <w:t>32</w:t>
            </w:r>
            <w:r w:rsidRPr="0063119B">
              <w:rPr>
                <w:szCs w:val="22"/>
              </w:rPr>
              <w:br/>
              <w:t>(5,4%)</w:t>
            </w:r>
          </w:p>
        </w:tc>
        <w:tc>
          <w:tcPr>
            <w:tcW w:w="2842" w:type="dxa"/>
          </w:tcPr>
          <w:p w14:paraId="755CAA06" w14:textId="77777777" w:rsidR="005B1C7B" w:rsidRPr="0063119B" w:rsidRDefault="005B1C7B" w:rsidP="00A17B2C">
            <w:pPr>
              <w:keepNext/>
              <w:spacing w:line="260" w:lineRule="exact"/>
              <w:rPr>
                <w:szCs w:val="22"/>
              </w:rPr>
            </w:pPr>
            <w:r w:rsidRPr="0063119B">
              <w:rPr>
                <w:szCs w:val="22"/>
              </w:rPr>
              <w:t>7</w:t>
            </w:r>
            <w:r w:rsidRPr="0063119B">
              <w:rPr>
                <w:szCs w:val="22"/>
              </w:rPr>
              <w:br/>
              <w:t>(1,2%)</w:t>
            </w:r>
          </w:p>
        </w:tc>
      </w:tr>
      <w:tr w:rsidR="005B1C7B" w:rsidRPr="0063119B" w14:paraId="2B49C35F" w14:textId="77777777" w:rsidTr="00DA6697">
        <w:tc>
          <w:tcPr>
            <w:tcW w:w="9322" w:type="dxa"/>
            <w:gridSpan w:val="3"/>
            <w:tcBorders>
              <w:top w:val="nil"/>
              <w:left w:val="nil"/>
              <w:bottom w:val="nil"/>
              <w:right w:val="nil"/>
            </w:tcBorders>
          </w:tcPr>
          <w:p w14:paraId="61A42AF9" w14:textId="77777777" w:rsidR="005B1C7B" w:rsidRPr="0063119B" w:rsidRDefault="005B1C7B" w:rsidP="00A17B2C">
            <w:pPr>
              <w:keepNext/>
              <w:tabs>
                <w:tab w:val="left" w:pos="567"/>
              </w:tabs>
              <w:rPr>
                <w:szCs w:val="22"/>
              </w:rPr>
            </w:pPr>
            <w:r w:rsidRPr="0063119B">
              <w:rPr>
                <w:szCs w:val="22"/>
              </w:rPr>
              <w:t>a)</w:t>
            </w:r>
            <w:r w:rsidRPr="0063119B">
              <w:rPr>
                <w:szCs w:val="22"/>
              </w:rPr>
              <w:tab/>
              <w:t>Rivaroxabano 20 mg uma vez por dia</w:t>
            </w:r>
          </w:p>
          <w:p w14:paraId="72117031" w14:textId="77777777" w:rsidR="005B1C7B" w:rsidRPr="0063119B" w:rsidRDefault="005B1C7B" w:rsidP="00A17B2C">
            <w:pPr>
              <w:keepNext/>
              <w:tabs>
                <w:tab w:val="left" w:pos="567"/>
              </w:tabs>
              <w:rPr>
                <w:szCs w:val="22"/>
              </w:rPr>
            </w:pPr>
            <w:r w:rsidRPr="0063119B">
              <w:rPr>
                <w:b/>
                <w:szCs w:val="22"/>
              </w:rPr>
              <w:t>*</w:t>
            </w:r>
            <w:r w:rsidRPr="0063119B">
              <w:rPr>
                <w:szCs w:val="22"/>
              </w:rPr>
              <w:tab/>
              <w:t xml:space="preserve">p &lt; 0,0001 (superioridade); </w:t>
            </w:r>
            <w:r w:rsidR="00822F6C" w:rsidRPr="0063119B">
              <w:rPr>
                <w:szCs w:val="22"/>
              </w:rPr>
              <w:t>RR</w:t>
            </w:r>
            <w:r w:rsidRPr="0063119B">
              <w:rPr>
                <w:szCs w:val="22"/>
              </w:rPr>
              <w:t xml:space="preserve">: 0,185 (0,087 </w:t>
            </w:r>
            <w:r w:rsidRPr="0063119B">
              <w:rPr>
                <w:szCs w:val="22"/>
              </w:rPr>
              <w:noBreakHyphen/>
              <w:t> 0,393)</w:t>
            </w:r>
          </w:p>
          <w:p w14:paraId="2209EA8F" w14:textId="77777777" w:rsidR="008B73C3" w:rsidRPr="0063119B" w:rsidRDefault="008B73C3" w:rsidP="00A17B2C">
            <w:pPr>
              <w:keepNext/>
              <w:tabs>
                <w:tab w:val="left" w:pos="567"/>
              </w:tabs>
              <w:rPr>
                <w:szCs w:val="22"/>
              </w:rPr>
            </w:pPr>
          </w:p>
          <w:p w14:paraId="71783302" w14:textId="77777777" w:rsidR="008B73C3" w:rsidRPr="0063119B" w:rsidRDefault="00E67357" w:rsidP="00DA6697">
            <w:pPr>
              <w:suppressAutoHyphens/>
              <w:rPr>
                <w:vanish/>
                <w:szCs w:val="22"/>
              </w:rPr>
            </w:pPr>
            <w:r w:rsidRPr="0063119B">
              <w:rPr>
                <w:rFonts w:eastAsia="PMingLiU"/>
                <w:szCs w:val="22"/>
                <w:lang w:eastAsia="zh-TW"/>
              </w:rPr>
              <w:t>No estudo Einstein Choice (</w:t>
            </w:r>
            <w:r w:rsidR="00B310DB" w:rsidRPr="0063119B">
              <w:rPr>
                <w:rFonts w:eastAsia="PMingLiU"/>
                <w:szCs w:val="22"/>
                <w:lang w:eastAsia="zh-TW"/>
              </w:rPr>
              <w:t>ver Quadro 8</w:t>
            </w:r>
            <w:r w:rsidRPr="0063119B">
              <w:rPr>
                <w:rFonts w:eastAsia="PMingLiU"/>
                <w:szCs w:val="22"/>
                <w:lang w:eastAsia="zh-TW"/>
              </w:rPr>
              <w:t xml:space="preserve">), </w:t>
            </w:r>
            <w:r w:rsidR="00BE763C" w:rsidRPr="0063119B">
              <w:rPr>
                <w:rFonts w:eastAsia="PMingLiU"/>
                <w:szCs w:val="22"/>
                <w:lang w:eastAsia="zh-TW"/>
              </w:rPr>
              <w:t>as doses de</w:t>
            </w:r>
            <w:r w:rsidRPr="0063119B">
              <w:rPr>
                <w:rFonts w:eastAsia="PMingLiU"/>
                <w:szCs w:val="22"/>
                <w:lang w:eastAsia="zh-TW"/>
              </w:rPr>
              <w:t xml:space="preserve"> 20 mg e 10 mg </w:t>
            </w:r>
            <w:r w:rsidR="00BE763C" w:rsidRPr="0063119B">
              <w:rPr>
                <w:rFonts w:eastAsia="PMingLiU"/>
                <w:szCs w:val="22"/>
                <w:lang w:eastAsia="zh-TW"/>
              </w:rPr>
              <w:t xml:space="preserve">de </w:t>
            </w:r>
            <w:r w:rsidR="00BE763C" w:rsidRPr="0063119B">
              <w:rPr>
                <w:szCs w:val="22"/>
              </w:rPr>
              <w:t>rivaroxabano</w:t>
            </w:r>
            <w:r w:rsidR="00BE763C" w:rsidRPr="0063119B">
              <w:rPr>
                <w:rFonts w:eastAsia="PMingLiU"/>
                <w:szCs w:val="22"/>
                <w:lang w:eastAsia="zh-TW"/>
              </w:rPr>
              <w:t xml:space="preserve"> </w:t>
            </w:r>
            <w:r w:rsidRPr="0063119B">
              <w:rPr>
                <w:rFonts w:eastAsia="PMingLiU"/>
                <w:szCs w:val="22"/>
                <w:lang w:eastAsia="zh-TW"/>
              </w:rPr>
              <w:t>foram amb</w:t>
            </w:r>
            <w:r w:rsidR="00BE763C" w:rsidRPr="0063119B">
              <w:rPr>
                <w:rFonts w:eastAsia="PMingLiU"/>
                <w:szCs w:val="22"/>
                <w:lang w:eastAsia="zh-TW"/>
              </w:rPr>
              <w:t>a</w:t>
            </w:r>
            <w:r w:rsidRPr="0063119B">
              <w:rPr>
                <w:rFonts w:eastAsia="PMingLiU"/>
                <w:szCs w:val="22"/>
                <w:lang w:eastAsia="zh-TW"/>
              </w:rPr>
              <w:t>s superior</w:t>
            </w:r>
            <w:r w:rsidR="00BE763C" w:rsidRPr="0063119B">
              <w:rPr>
                <w:rFonts w:eastAsia="PMingLiU"/>
                <w:szCs w:val="22"/>
                <w:lang w:eastAsia="zh-TW"/>
              </w:rPr>
              <w:t>es</w:t>
            </w:r>
            <w:r w:rsidRPr="0063119B">
              <w:rPr>
                <w:rFonts w:eastAsia="PMingLiU"/>
                <w:szCs w:val="22"/>
                <w:lang w:eastAsia="zh-TW"/>
              </w:rPr>
              <w:t xml:space="preserve"> aos 100 mg de ácido acetilsalicílico para o objetivo primário da eficácia. O objetivo principal da segurança (acontecimentos hemorrágicos </w:t>
            </w:r>
            <w:r w:rsidR="00417496" w:rsidRPr="0063119B">
              <w:rPr>
                <w:rFonts w:eastAsia="PMingLiU"/>
                <w:szCs w:val="22"/>
                <w:lang w:eastAsia="zh-TW"/>
              </w:rPr>
              <w:t>principais</w:t>
            </w:r>
            <w:r w:rsidRPr="0063119B">
              <w:rPr>
                <w:rFonts w:eastAsia="PMingLiU"/>
                <w:szCs w:val="22"/>
                <w:lang w:eastAsia="zh-TW"/>
              </w:rPr>
              <w:t xml:space="preserve">) foi semelhante para os doentes tratados com </w:t>
            </w:r>
            <w:r w:rsidR="00BE763C" w:rsidRPr="0063119B">
              <w:rPr>
                <w:rFonts w:eastAsia="PMingLiU"/>
                <w:szCs w:val="22"/>
                <w:lang w:eastAsia="zh-TW"/>
              </w:rPr>
              <w:t>r</w:t>
            </w:r>
            <w:r w:rsidR="00754E0E" w:rsidRPr="0063119B">
              <w:rPr>
                <w:rFonts w:eastAsia="PMingLiU"/>
                <w:szCs w:val="22"/>
                <w:lang w:eastAsia="zh-TW"/>
              </w:rPr>
              <w:t>ivaroxaban</w:t>
            </w:r>
            <w:r w:rsidR="00BE763C" w:rsidRPr="0063119B">
              <w:rPr>
                <w:rFonts w:eastAsia="PMingLiU"/>
                <w:szCs w:val="22"/>
                <w:lang w:eastAsia="zh-TW"/>
              </w:rPr>
              <w:t>o nas doses de</w:t>
            </w:r>
            <w:r w:rsidRPr="0063119B">
              <w:rPr>
                <w:rFonts w:eastAsia="PMingLiU"/>
                <w:szCs w:val="22"/>
                <w:lang w:eastAsia="zh-TW"/>
              </w:rPr>
              <w:t xml:space="preserve"> 20 mg e 10 mg uma vez por dia, em comparação com 100 mg de ácido acetilsalicílico.</w:t>
            </w:r>
          </w:p>
        </w:tc>
      </w:tr>
    </w:tbl>
    <w:p w14:paraId="47D8DFDD" w14:textId="77777777" w:rsidR="005B1C7B" w:rsidRPr="0063119B" w:rsidRDefault="005B1C7B" w:rsidP="005B1C7B">
      <w:pPr>
        <w:suppressAutoHyphens/>
        <w:rPr>
          <w:noProof/>
          <w:szCs w:val="22"/>
        </w:rPr>
      </w:pPr>
    </w:p>
    <w:tbl>
      <w:tblPr>
        <w:tblW w:w="9214" w:type="dxa"/>
        <w:tblInd w:w="108" w:type="dxa"/>
        <w:tblLayout w:type="fixed"/>
        <w:tblLook w:val="01E0" w:firstRow="1" w:lastRow="1" w:firstColumn="1" w:lastColumn="1" w:noHBand="0" w:noVBand="0"/>
      </w:tblPr>
      <w:tblGrid>
        <w:gridCol w:w="2767"/>
        <w:gridCol w:w="2185"/>
        <w:gridCol w:w="2069"/>
        <w:gridCol w:w="2193"/>
      </w:tblGrid>
      <w:tr w:rsidR="00DA6697" w:rsidRPr="0063119B" w14:paraId="3505E638" w14:textId="77777777" w:rsidTr="00DA6697">
        <w:tc>
          <w:tcPr>
            <w:tcW w:w="9214" w:type="dxa"/>
            <w:gridSpan w:val="4"/>
          </w:tcPr>
          <w:p w14:paraId="6610FEA5" w14:textId="77777777" w:rsidR="00DA6697" w:rsidRPr="0063119B" w:rsidRDefault="00DA6697" w:rsidP="00C7421C">
            <w:pPr>
              <w:pStyle w:val="Caption"/>
              <w:ind w:left="0"/>
              <w:jc w:val="both"/>
              <w:rPr>
                <w:szCs w:val="22"/>
                <w:lang w:val="pt-PT"/>
              </w:rPr>
            </w:pPr>
            <w:r w:rsidRPr="0063119B">
              <w:rPr>
                <w:szCs w:val="22"/>
                <w:lang w:val="pt-PT"/>
              </w:rPr>
              <w:lastRenderedPageBreak/>
              <w:t>Quadro 8: Resultados da eficácia e segurança do estudo de fase III Einstein Choice</w:t>
            </w:r>
          </w:p>
        </w:tc>
      </w:tr>
      <w:tr w:rsidR="00DA6697" w:rsidRPr="0063119B" w14:paraId="74C2BE2A"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7" w:type="dxa"/>
            <w:vAlign w:val="center"/>
          </w:tcPr>
          <w:p w14:paraId="3E5DC9DC" w14:textId="77777777" w:rsidR="00DA6697" w:rsidRPr="0063119B" w:rsidRDefault="00A61392" w:rsidP="001B6FEC">
            <w:pPr>
              <w:pStyle w:val="Caption"/>
              <w:ind w:left="0"/>
              <w:jc w:val="both"/>
              <w:rPr>
                <w:bCs/>
                <w:szCs w:val="22"/>
                <w:lang w:val="pt-PT"/>
              </w:rPr>
            </w:pPr>
            <w:r w:rsidRPr="001B6FEC">
              <w:rPr>
                <w:szCs w:val="22"/>
                <w:lang w:val="pt-PT"/>
              </w:rPr>
              <w:t>População do estudo</w:t>
            </w:r>
          </w:p>
        </w:tc>
        <w:tc>
          <w:tcPr>
            <w:tcW w:w="6447" w:type="dxa"/>
            <w:gridSpan w:val="3"/>
          </w:tcPr>
          <w:p w14:paraId="2F15DCC2" w14:textId="77777777" w:rsidR="00DA6697" w:rsidRPr="0063119B" w:rsidRDefault="00A61392" w:rsidP="00C7421C">
            <w:pPr>
              <w:pStyle w:val="BayerTableColumnHeadings"/>
              <w:jc w:val="left"/>
              <w:rPr>
                <w:bCs/>
                <w:szCs w:val="22"/>
                <w:lang w:val="pt-PT"/>
              </w:rPr>
            </w:pPr>
            <w:r w:rsidRPr="00A61392">
              <w:rPr>
                <w:bCs/>
                <w:szCs w:val="22"/>
                <w:lang w:val="pt-PT"/>
              </w:rPr>
              <w:t>3.396</w:t>
            </w:r>
            <w:r w:rsidR="007069F5">
              <w:rPr>
                <w:bCs/>
                <w:szCs w:val="22"/>
                <w:lang w:val="pt-PT"/>
              </w:rPr>
              <w:t xml:space="preserve"> </w:t>
            </w:r>
            <w:r w:rsidRPr="00A61392">
              <w:rPr>
                <w:bCs/>
                <w:szCs w:val="22"/>
                <w:lang w:val="pt-PT"/>
              </w:rPr>
              <w:t>doentes continuaram a fazer prevenção do tromboembolismo venoso recorrente</w:t>
            </w:r>
          </w:p>
        </w:tc>
      </w:tr>
      <w:tr w:rsidR="00DA6697" w:rsidRPr="0063119B" w14:paraId="5D050AA1"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7" w:type="dxa"/>
            <w:vAlign w:val="center"/>
          </w:tcPr>
          <w:p w14:paraId="6E063A3B" w14:textId="77777777" w:rsidR="00DA6697" w:rsidRPr="0063119B" w:rsidRDefault="00A61392" w:rsidP="00C7421C">
            <w:pPr>
              <w:pStyle w:val="BayerTableRowHeadings"/>
              <w:spacing w:before="60" w:after="60"/>
              <w:ind w:left="34"/>
              <w:rPr>
                <w:b/>
                <w:bCs/>
                <w:szCs w:val="22"/>
                <w:lang w:val="pt-PT"/>
              </w:rPr>
            </w:pPr>
            <w:r>
              <w:rPr>
                <w:b/>
                <w:bCs/>
                <w:szCs w:val="22"/>
                <w:lang w:val="pt-PT"/>
              </w:rPr>
              <w:t>Doses do tratamento</w:t>
            </w:r>
          </w:p>
        </w:tc>
        <w:tc>
          <w:tcPr>
            <w:tcW w:w="2185" w:type="dxa"/>
            <w:vAlign w:val="center"/>
          </w:tcPr>
          <w:p w14:paraId="7FF4D5B4" w14:textId="77777777" w:rsidR="00DA6697" w:rsidRDefault="007069F5" w:rsidP="00C7421C">
            <w:pPr>
              <w:pStyle w:val="BayerBodyTextFull"/>
              <w:keepNext/>
              <w:spacing w:before="60" w:after="60"/>
              <w:ind w:left="12"/>
              <w:rPr>
                <w:b/>
                <w:bCs/>
                <w:sz w:val="22"/>
                <w:szCs w:val="22"/>
                <w:lang w:val="pt-PT"/>
              </w:rPr>
            </w:pPr>
            <w:r>
              <w:rPr>
                <w:b/>
                <w:bCs/>
                <w:sz w:val="22"/>
                <w:szCs w:val="22"/>
                <w:lang w:val="pt-PT"/>
              </w:rPr>
              <w:t>Rivaroxabano 20 mg uma vez por dia</w:t>
            </w:r>
          </w:p>
          <w:p w14:paraId="6EB7465C" w14:textId="77777777" w:rsidR="007069F5" w:rsidRPr="0063119B" w:rsidRDefault="007069F5" w:rsidP="00C7421C">
            <w:pPr>
              <w:pStyle w:val="BayerBodyTextFull"/>
              <w:keepNext/>
              <w:spacing w:before="60" w:after="60"/>
              <w:ind w:left="12"/>
              <w:rPr>
                <w:b/>
                <w:bCs/>
                <w:sz w:val="22"/>
                <w:szCs w:val="22"/>
                <w:lang w:val="pt-PT"/>
              </w:rPr>
            </w:pPr>
            <w:r>
              <w:rPr>
                <w:b/>
                <w:bCs/>
                <w:sz w:val="22"/>
                <w:szCs w:val="22"/>
                <w:lang w:val="pt-PT"/>
              </w:rPr>
              <w:t>N=1.107</w:t>
            </w:r>
          </w:p>
        </w:tc>
        <w:tc>
          <w:tcPr>
            <w:tcW w:w="2069" w:type="dxa"/>
            <w:vAlign w:val="center"/>
          </w:tcPr>
          <w:p w14:paraId="08132DE3" w14:textId="77777777" w:rsidR="007069F5" w:rsidRDefault="007069F5" w:rsidP="007069F5">
            <w:pPr>
              <w:pStyle w:val="BayerBodyTextFull"/>
              <w:keepNext/>
              <w:spacing w:before="60" w:after="60"/>
              <w:ind w:left="12"/>
              <w:rPr>
                <w:b/>
                <w:bCs/>
                <w:sz w:val="22"/>
                <w:szCs w:val="22"/>
                <w:lang w:val="pt-PT"/>
              </w:rPr>
            </w:pPr>
            <w:r>
              <w:rPr>
                <w:b/>
                <w:bCs/>
                <w:sz w:val="22"/>
                <w:szCs w:val="22"/>
                <w:lang w:val="pt-PT"/>
              </w:rPr>
              <w:t>Rivaroxabano 10 mg uma vez por dia</w:t>
            </w:r>
          </w:p>
          <w:p w14:paraId="62D417AF" w14:textId="77777777" w:rsidR="00DA6697" w:rsidRPr="0063119B" w:rsidRDefault="007069F5" w:rsidP="007069F5">
            <w:pPr>
              <w:pStyle w:val="BayerBodyTextFull"/>
              <w:keepNext/>
              <w:spacing w:before="60" w:after="60"/>
              <w:ind w:left="12"/>
              <w:rPr>
                <w:b/>
                <w:bCs/>
                <w:sz w:val="22"/>
                <w:szCs w:val="22"/>
                <w:lang w:val="pt-PT"/>
              </w:rPr>
            </w:pPr>
            <w:r>
              <w:rPr>
                <w:b/>
                <w:bCs/>
                <w:sz w:val="22"/>
                <w:szCs w:val="22"/>
                <w:lang w:val="pt-PT"/>
              </w:rPr>
              <w:t>N=1.127</w:t>
            </w:r>
          </w:p>
        </w:tc>
        <w:tc>
          <w:tcPr>
            <w:tcW w:w="2193" w:type="dxa"/>
            <w:vAlign w:val="center"/>
          </w:tcPr>
          <w:p w14:paraId="7D9D7394" w14:textId="77777777" w:rsidR="007069F5" w:rsidRDefault="007069F5" w:rsidP="007069F5">
            <w:pPr>
              <w:pStyle w:val="BayerBodyTextFull"/>
              <w:keepNext/>
              <w:spacing w:before="60" w:after="60"/>
              <w:ind w:left="12"/>
              <w:rPr>
                <w:b/>
                <w:bCs/>
                <w:sz w:val="22"/>
                <w:szCs w:val="22"/>
                <w:lang w:val="pt-PT"/>
              </w:rPr>
            </w:pPr>
            <w:r>
              <w:rPr>
                <w:b/>
                <w:bCs/>
                <w:sz w:val="22"/>
                <w:szCs w:val="22"/>
                <w:lang w:val="pt-PT"/>
              </w:rPr>
              <w:t>AAS 100 mg uma vez por dia</w:t>
            </w:r>
          </w:p>
          <w:p w14:paraId="1C680142" w14:textId="77777777" w:rsidR="00DA6697" w:rsidRPr="0063119B" w:rsidRDefault="007069F5" w:rsidP="007069F5">
            <w:pPr>
              <w:pStyle w:val="BayerBodyTextFull"/>
              <w:keepNext/>
              <w:spacing w:before="60" w:after="60"/>
              <w:ind w:left="12"/>
              <w:rPr>
                <w:b/>
                <w:bCs/>
                <w:sz w:val="22"/>
                <w:szCs w:val="22"/>
                <w:lang w:val="pt-PT"/>
              </w:rPr>
            </w:pPr>
            <w:r>
              <w:rPr>
                <w:b/>
                <w:bCs/>
                <w:sz w:val="22"/>
                <w:szCs w:val="22"/>
                <w:lang w:val="pt-PT"/>
              </w:rPr>
              <w:t>N=1.131</w:t>
            </w:r>
          </w:p>
        </w:tc>
      </w:tr>
      <w:tr w:rsidR="00DA6697" w:rsidRPr="0063119B" w14:paraId="6F8CD0B3"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2575B189" w14:textId="77777777" w:rsidR="00DA6697" w:rsidRPr="0063119B" w:rsidRDefault="00DA6697" w:rsidP="00C7421C">
            <w:pPr>
              <w:pStyle w:val="BayerTableRowHeadings"/>
              <w:spacing w:before="60" w:after="60"/>
              <w:ind w:left="34"/>
              <w:rPr>
                <w:szCs w:val="22"/>
                <w:lang w:val="pt-PT"/>
              </w:rPr>
            </w:pPr>
            <w:r w:rsidRPr="0063119B">
              <w:rPr>
                <w:szCs w:val="22"/>
                <w:lang w:val="pt-PT"/>
              </w:rPr>
              <w:t>Duração mediana do tratamento [intervalo interquartil]</w:t>
            </w:r>
          </w:p>
        </w:tc>
        <w:tc>
          <w:tcPr>
            <w:tcW w:w="2185" w:type="dxa"/>
            <w:vAlign w:val="center"/>
          </w:tcPr>
          <w:p w14:paraId="2F288F97" w14:textId="77777777" w:rsidR="00DA6697" w:rsidRPr="0063119B" w:rsidRDefault="00DA6697" w:rsidP="00C7421C">
            <w:pPr>
              <w:pStyle w:val="BayerBodyTextFull"/>
              <w:keepNext/>
              <w:spacing w:before="60" w:after="60"/>
              <w:ind w:left="12"/>
              <w:rPr>
                <w:sz w:val="22"/>
                <w:szCs w:val="22"/>
              </w:rPr>
            </w:pPr>
            <w:r w:rsidRPr="0063119B">
              <w:rPr>
                <w:sz w:val="22"/>
                <w:szCs w:val="22"/>
              </w:rPr>
              <w:t>349 [189-362] </w:t>
            </w:r>
            <w:proofErr w:type="spellStart"/>
            <w:r w:rsidRPr="0063119B">
              <w:rPr>
                <w:sz w:val="22"/>
                <w:szCs w:val="22"/>
              </w:rPr>
              <w:t>dias</w:t>
            </w:r>
            <w:proofErr w:type="spellEnd"/>
          </w:p>
        </w:tc>
        <w:tc>
          <w:tcPr>
            <w:tcW w:w="2069" w:type="dxa"/>
            <w:vAlign w:val="center"/>
          </w:tcPr>
          <w:p w14:paraId="42195DE3" w14:textId="77777777" w:rsidR="00DA6697" w:rsidRPr="0063119B" w:rsidRDefault="00DA6697" w:rsidP="00C7421C">
            <w:pPr>
              <w:pStyle w:val="BayerBodyTextFull"/>
              <w:keepNext/>
              <w:spacing w:before="60" w:after="60"/>
              <w:ind w:left="12"/>
              <w:rPr>
                <w:sz w:val="22"/>
                <w:szCs w:val="22"/>
              </w:rPr>
            </w:pPr>
            <w:r w:rsidRPr="0063119B">
              <w:rPr>
                <w:sz w:val="22"/>
                <w:szCs w:val="22"/>
              </w:rPr>
              <w:t>353 [190-362] </w:t>
            </w:r>
            <w:proofErr w:type="spellStart"/>
            <w:r w:rsidRPr="0063119B">
              <w:rPr>
                <w:sz w:val="22"/>
                <w:szCs w:val="22"/>
              </w:rPr>
              <w:t>dias</w:t>
            </w:r>
            <w:proofErr w:type="spellEnd"/>
          </w:p>
        </w:tc>
        <w:tc>
          <w:tcPr>
            <w:tcW w:w="2193" w:type="dxa"/>
            <w:vAlign w:val="center"/>
          </w:tcPr>
          <w:p w14:paraId="6233929F" w14:textId="77777777" w:rsidR="00DA6697" w:rsidRPr="0063119B" w:rsidRDefault="00DA6697" w:rsidP="00C7421C">
            <w:pPr>
              <w:pStyle w:val="BayerBodyTextFull"/>
              <w:keepNext/>
              <w:spacing w:before="60" w:after="60"/>
              <w:ind w:left="12"/>
              <w:rPr>
                <w:sz w:val="22"/>
                <w:szCs w:val="22"/>
              </w:rPr>
            </w:pPr>
            <w:r w:rsidRPr="0063119B">
              <w:rPr>
                <w:sz w:val="22"/>
                <w:szCs w:val="22"/>
              </w:rPr>
              <w:t>350 [186-362] </w:t>
            </w:r>
            <w:proofErr w:type="spellStart"/>
            <w:r w:rsidRPr="0063119B">
              <w:rPr>
                <w:sz w:val="22"/>
                <w:szCs w:val="22"/>
              </w:rPr>
              <w:t>dias</w:t>
            </w:r>
            <w:proofErr w:type="spellEnd"/>
          </w:p>
        </w:tc>
      </w:tr>
      <w:tr w:rsidR="00DA6697" w:rsidRPr="0063119B" w14:paraId="1F40E470"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082F554C" w14:textId="77777777" w:rsidR="00DA6697" w:rsidRPr="0063119B" w:rsidRDefault="00DA6697" w:rsidP="00C7421C">
            <w:pPr>
              <w:pStyle w:val="BayerTableRowHeadings"/>
              <w:spacing w:before="60" w:after="60"/>
              <w:ind w:left="34"/>
              <w:rPr>
                <w:szCs w:val="22"/>
              </w:rPr>
            </w:pPr>
            <w:r w:rsidRPr="0063119B">
              <w:rPr>
                <w:szCs w:val="22"/>
              </w:rPr>
              <w:t xml:space="preserve">TEV </w:t>
            </w:r>
            <w:proofErr w:type="spellStart"/>
            <w:r w:rsidRPr="0063119B">
              <w:rPr>
                <w:szCs w:val="22"/>
              </w:rPr>
              <w:t>sintomático</w:t>
            </w:r>
            <w:proofErr w:type="spellEnd"/>
            <w:r w:rsidRPr="0063119B">
              <w:rPr>
                <w:szCs w:val="22"/>
              </w:rPr>
              <w:t xml:space="preserve"> </w:t>
            </w:r>
            <w:proofErr w:type="spellStart"/>
            <w:r w:rsidRPr="0063119B">
              <w:rPr>
                <w:szCs w:val="22"/>
              </w:rPr>
              <w:t>recorrente</w:t>
            </w:r>
            <w:proofErr w:type="spellEnd"/>
          </w:p>
        </w:tc>
        <w:tc>
          <w:tcPr>
            <w:tcW w:w="2185" w:type="dxa"/>
            <w:vAlign w:val="center"/>
          </w:tcPr>
          <w:p w14:paraId="1AE7F83D" w14:textId="77777777" w:rsidR="00DA6697" w:rsidRPr="0063119B" w:rsidRDefault="00DA6697" w:rsidP="00C7421C">
            <w:pPr>
              <w:pStyle w:val="BayerBodyTextFull"/>
              <w:keepNext/>
              <w:spacing w:before="60" w:after="60"/>
              <w:ind w:left="12"/>
              <w:rPr>
                <w:sz w:val="22"/>
                <w:szCs w:val="22"/>
              </w:rPr>
            </w:pPr>
            <w:r w:rsidRPr="0063119B">
              <w:rPr>
                <w:sz w:val="22"/>
                <w:szCs w:val="22"/>
              </w:rPr>
              <w:t>17</w:t>
            </w:r>
            <w:r w:rsidRPr="0063119B">
              <w:rPr>
                <w:sz w:val="22"/>
                <w:szCs w:val="22"/>
              </w:rPr>
              <w:br/>
              <w:t>(1,5</w:t>
            </w:r>
            <w:proofErr w:type="gramStart"/>
            <w:r w:rsidRPr="0063119B">
              <w:rPr>
                <w:sz w:val="22"/>
                <w:szCs w:val="22"/>
              </w:rPr>
              <w:t>%)*</w:t>
            </w:r>
            <w:proofErr w:type="gramEnd"/>
          </w:p>
        </w:tc>
        <w:tc>
          <w:tcPr>
            <w:tcW w:w="2069" w:type="dxa"/>
            <w:vAlign w:val="center"/>
          </w:tcPr>
          <w:p w14:paraId="502AF568" w14:textId="77777777" w:rsidR="00DA6697" w:rsidRPr="0063119B" w:rsidRDefault="00DA6697" w:rsidP="00C7421C">
            <w:pPr>
              <w:pStyle w:val="BayerBodyTextFull"/>
              <w:keepNext/>
              <w:spacing w:before="60" w:after="60"/>
              <w:ind w:left="12"/>
              <w:rPr>
                <w:sz w:val="22"/>
                <w:szCs w:val="22"/>
              </w:rPr>
            </w:pPr>
            <w:r w:rsidRPr="0063119B">
              <w:rPr>
                <w:sz w:val="22"/>
                <w:szCs w:val="22"/>
              </w:rPr>
              <w:t>13</w:t>
            </w:r>
            <w:r w:rsidRPr="0063119B">
              <w:rPr>
                <w:sz w:val="22"/>
                <w:szCs w:val="22"/>
              </w:rPr>
              <w:br/>
              <w:t>(1,2</w:t>
            </w:r>
            <w:proofErr w:type="gramStart"/>
            <w:r w:rsidRPr="0063119B">
              <w:rPr>
                <w:sz w:val="22"/>
                <w:szCs w:val="22"/>
              </w:rPr>
              <w:t>%)*</w:t>
            </w:r>
            <w:proofErr w:type="gramEnd"/>
            <w:r w:rsidRPr="0063119B">
              <w:rPr>
                <w:sz w:val="22"/>
                <w:szCs w:val="22"/>
              </w:rPr>
              <w:t>*</w:t>
            </w:r>
          </w:p>
        </w:tc>
        <w:tc>
          <w:tcPr>
            <w:tcW w:w="2193" w:type="dxa"/>
            <w:vAlign w:val="center"/>
          </w:tcPr>
          <w:p w14:paraId="1B1567EE" w14:textId="77777777" w:rsidR="00DA6697" w:rsidRPr="0063119B" w:rsidRDefault="00DA6697" w:rsidP="00C7421C">
            <w:pPr>
              <w:pStyle w:val="BayerBodyTextFull"/>
              <w:keepNext/>
              <w:spacing w:before="60" w:after="60"/>
              <w:ind w:left="12"/>
              <w:rPr>
                <w:sz w:val="22"/>
                <w:szCs w:val="22"/>
              </w:rPr>
            </w:pPr>
            <w:r w:rsidRPr="0063119B">
              <w:rPr>
                <w:sz w:val="22"/>
                <w:szCs w:val="22"/>
              </w:rPr>
              <w:t>50</w:t>
            </w:r>
            <w:r w:rsidRPr="0063119B">
              <w:rPr>
                <w:sz w:val="22"/>
                <w:szCs w:val="22"/>
              </w:rPr>
              <w:br/>
              <w:t>(4,4%)</w:t>
            </w:r>
          </w:p>
        </w:tc>
      </w:tr>
      <w:tr w:rsidR="00DA6697" w:rsidRPr="0063119B" w14:paraId="2DA025DB"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17886166" w14:textId="77777777" w:rsidR="00DA6697" w:rsidRPr="0063119B" w:rsidRDefault="00DA6697" w:rsidP="00C7421C">
            <w:pPr>
              <w:pStyle w:val="BayerTableRowHeadings"/>
              <w:tabs>
                <w:tab w:val="left" w:pos="372"/>
              </w:tabs>
              <w:spacing w:before="60" w:after="60"/>
              <w:ind w:left="318"/>
              <w:rPr>
                <w:szCs w:val="22"/>
              </w:rPr>
            </w:pPr>
            <w:r w:rsidRPr="0063119B">
              <w:rPr>
                <w:szCs w:val="22"/>
              </w:rPr>
              <w:t xml:space="preserve">EP </w:t>
            </w:r>
            <w:proofErr w:type="spellStart"/>
            <w:r w:rsidRPr="0063119B">
              <w:rPr>
                <w:szCs w:val="22"/>
              </w:rPr>
              <w:t>sintomático</w:t>
            </w:r>
            <w:proofErr w:type="spellEnd"/>
            <w:r w:rsidRPr="0063119B">
              <w:rPr>
                <w:szCs w:val="22"/>
              </w:rPr>
              <w:t xml:space="preserve"> </w:t>
            </w:r>
            <w:proofErr w:type="spellStart"/>
            <w:r w:rsidRPr="0063119B">
              <w:rPr>
                <w:szCs w:val="22"/>
              </w:rPr>
              <w:t>recorrente</w:t>
            </w:r>
            <w:proofErr w:type="spellEnd"/>
          </w:p>
        </w:tc>
        <w:tc>
          <w:tcPr>
            <w:tcW w:w="2185" w:type="dxa"/>
            <w:vAlign w:val="center"/>
          </w:tcPr>
          <w:p w14:paraId="660D4F2F" w14:textId="77777777" w:rsidR="00DA6697" w:rsidRPr="0063119B" w:rsidRDefault="00DA6697" w:rsidP="00C7421C">
            <w:pPr>
              <w:pStyle w:val="BayerBodyTextFull"/>
              <w:keepNext/>
              <w:spacing w:before="60" w:after="60"/>
              <w:ind w:left="12"/>
              <w:rPr>
                <w:sz w:val="22"/>
                <w:szCs w:val="22"/>
              </w:rPr>
            </w:pPr>
            <w:r w:rsidRPr="0063119B">
              <w:rPr>
                <w:sz w:val="22"/>
                <w:szCs w:val="22"/>
              </w:rPr>
              <w:t>6</w:t>
            </w:r>
            <w:r w:rsidRPr="0063119B">
              <w:rPr>
                <w:sz w:val="22"/>
                <w:szCs w:val="22"/>
              </w:rPr>
              <w:br/>
              <w:t>(0,5%)</w:t>
            </w:r>
          </w:p>
        </w:tc>
        <w:tc>
          <w:tcPr>
            <w:tcW w:w="2069" w:type="dxa"/>
            <w:vAlign w:val="center"/>
          </w:tcPr>
          <w:p w14:paraId="27A3A2B4" w14:textId="77777777" w:rsidR="00DA6697" w:rsidRPr="0063119B" w:rsidRDefault="00DA6697" w:rsidP="00C7421C">
            <w:pPr>
              <w:pStyle w:val="BayerBodyTextFull"/>
              <w:keepNext/>
              <w:spacing w:before="60" w:after="60"/>
              <w:ind w:left="12"/>
              <w:rPr>
                <w:sz w:val="22"/>
                <w:szCs w:val="22"/>
              </w:rPr>
            </w:pPr>
            <w:r w:rsidRPr="0063119B">
              <w:rPr>
                <w:sz w:val="22"/>
                <w:szCs w:val="22"/>
              </w:rPr>
              <w:t>6</w:t>
            </w:r>
            <w:r w:rsidRPr="0063119B">
              <w:rPr>
                <w:sz w:val="22"/>
                <w:szCs w:val="22"/>
              </w:rPr>
              <w:br/>
              <w:t>(0,5%)</w:t>
            </w:r>
          </w:p>
        </w:tc>
        <w:tc>
          <w:tcPr>
            <w:tcW w:w="2193" w:type="dxa"/>
            <w:vAlign w:val="center"/>
          </w:tcPr>
          <w:p w14:paraId="4BA5AB0E" w14:textId="77777777" w:rsidR="00DA6697" w:rsidRPr="0063119B" w:rsidRDefault="00DA6697" w:rsidP="00C7421C">
            <w:pPr>
              <w:pStyle w:val="BayerBodyTextFull"/>
              <w:keepNext/>
              <w:spacing w:before="60" w:after="60"/>
              <w:ind w:left="12"/>
              <w:rPr>
                <w:sz w:val="22"/>
                <w:szCs w:val="22"/>
              </w:rPr>
            </w:pPr>
            <w:r w:rsidRPr="0063119B">
              <w:rPr>
                <w:sz w:val="22"/>
                <w:szCs w:val="22"/>
              </w:rPr>
              <w:t>19</w:t>
            </w:r>
            <w:r w:rsidRPr="0063119B">
              <w:rPr>
                <w:sz w:val="22"/>
                <w:szCs w:val="22"/>
              </w:rPr>
              <w:br/>
              <w:t>(1,7%)</w:t>
            </w:r>
          </w:p>
        </w:tc>
      </w:tr>
      <w:tr w:rsidR="00DA6697" w:rsidRPr="0063119B" w14:paraId="2C57684A"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73D9205E" w14:textId="77777777" w:rsidR="00DA6697" w:rsidRPr="0063119B" w:rsidRDefault="00DA6697" w:rsidP="00C7421C">
            <w:pPr>
              <w:pStyle w:val="BayerTableRowHeadings"/>
              <w:tabs>
                <w:tab w:val="left" w:pos="-108"/>
              </w:tabs>
              <w:spacing w:before="60" w:after="60"/>
              <w:ind w:left="318"/>
              <w:rPr>
                <w:szCs w:val="22"/>
              </w:rPr>
            </w:pPr>
            <w:r w:rsidRPr="0063119B">
              <w:rPr>
                <w:szCs w:val="22"/>
              </w:rPr>
              <w:t xml:space="preserve">TVP </w:t>
            </w:r>
            <w:proofErr w:type="spellStart"/>
            <w:r w:rsidRPr="0063119B">
              <w:rPr>
                <w:szCs w:val="22"/>
              </w:rPr>
              <w:t>sintomática</w:t>
            </w:r>
            <w:proofErr w:type="spellEnd"/>
            <w:r w:rsidRPr="0063119B">
              <w:rPr>
                <w:szCs w:val="22"/>
              </w:rPr>
              <w:t xml:space="preserve"> </w:t>
            </w:r>
            <w:proofErr w:type="spellStart"/>
            <w:r w:rsidRPr="0063119B">
              <w:rPr>
                <w:szCs w:val="22"/>
              </w:rPr>
              <w:t>recorrente</w:t>
            </w:r>
            <w:proofErr w:type="spellEnd"/>
          </w:p>
        </w:tc>
        <w:tc>
          <w:tcPr>
            <w:tcW w:w="2185" w:type="dxa"/>
            <w:vAlign w:val="center"/>
          </w:tcPr>
          <w:p w14:paraId="6BBB9FDF" w14:textId="77777777" w:rsidR="00DA6697" w:rsidRPr="0063119B" w:rsidRDefault="00DA6697" w:rsidP="00C7421C">
            <w:pPr>
              <w:pStyle w:val="BayerBodyTextFull"/>
              <w:keepNext/>
              <w:spacing w:before="60" w:after="60"/>
              <w:ind w:left="12"/>
              <w:rPr>
                <w:sz w:val="22"/>
                <w:szCs w:val="22"/>
              </w:rPr>
            </w:pPr>
            <w:r w:rsidRPr="0063119B">
              <w:rPr>
                <w:sz w:val="22"/>
                <w:szCs w:val="22"/>
              </w:rPr>
              <w:t>9</w:t>
            </w:r>
            <w:r w:rsidRPr="0063119B">
              <w:rPr>
                <w:sz w:val="22"/>
                <w:szCs w:val="22"/>
              </w:rPr>
              <w:br/>
              <w:t>(0,8%)</w:t>
            </w:r>
          </w:p>
        </w:tc>
        <w:tc>
          <w:tcPr>
            <w:tcW w:w="2069" w:type="dxa"/>
            <w:vAlign w:val="center"/>
          </w:tcPr>
          <w:p w14:paraId="17F1133E" w14:textId="77777777" w:rsidR="00DA6697" w:rsidRPr="0063119B" w:rsidRDefault="00DA6697" w:rsidP="00C7421C">
            <w:pPr>
              <w:pStyle w:val="BayerBodyTextFull"/>
              <w:keepNext/>
              <w:spacing w:before="60" w:after="60"/>
              <w:ind w:left="12"/>
              <w:rPr>
                <w:sz w:val="22"/>
                <w:szCs w:val="22"/>
              </w:rPr>
            </w:pPr>
            <w:r w:rsidRPr="0063119B">
              <w:rPr>
                <w:sz w:val="22"/>
                <w:szCs w:val="22"/>
              </w:rPr>
              <w:t>8</w:t>
            </w:r>
            <w:r w:rsidRPr="0063119B">
              <w:rPr>
                <w:sz w:val="22"/>
                <w:szCs w:val="22"/>
              </w:rPr>
              <w:br/>
              <w:t>(0,7%)</w:t>
            </w:r>
          </w:p>
        </w:tc>
        <w:tc>
          <w:tcPr>
            <w:tcW w:w="2193" w:type="dxa"/>
            <w:vAlign w:val="center"/>
          </w:tcPr>
          <w:p w14:paraId="167BF44A" w14:textId="77777777" w:rsidR="00DA6697" w:rsidRPr="0063119B" w:rsidRDefault="00DA6697" w:rsidP="00C7421C">
            <w:pPr>
              <w:pStyle w:val="BayerBodyTextFull"/>
              <w:keepNext/>
              <w:spacing w:before="60" w:after="60"/>
              <w:ind w:left="12"/>
              <w:rPr>
                <w:sz w:val="22"/>
                <w:szCs w:val="22"/>
              </w:rPr>
            </w:pPr>
            <w:r w:rsidRPr="0063119B">
              <w:rPr>
                <w:sz w:val="22"/>
                <w:szCs w:val="22"/>
              </w:rPr>
              <w:t>30</w:t>
            </w:r>
            <w:r w:rsidRPr="0063119B">
              <w:rPr>
                <w:sz w:val="22"/>
                <w:szCs w:val="22"/>
              </w:rPr>
              <w:br/>
              <w:t>(2,7%)</w:t>
            </w:r>
          </w:p>
        </w:tc>
      </w:tr>
      <w:tr w:rsidR="00DA6697" w:rsidRPr="0063119B" w14:paraId="158864A1"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3048BB92" w14:textId="77777777" w:rsidR="00DA6697" w:rsidRPr="0063119B" w:rsidRDefault="00DA6697" w:rsidP="00C7421C">
            <w:pPr>
              <w:pStyle w:val="BayerTableRowHeadings"/>
              <w:tabs>
                <w:tab w:val="left" w:pos="-1242"/>
              </w:tabs>
              <w:spacing w:before="60" w:after="60"/>
              <w:ind w:left="318"/>
              <w:rPr>
                <w:szCs w:val="22"/>
                <w:lang w:val="pt-PT"/>
              </w:rPr>
            </w:pPr>
            <w:r w:rsidRPr="0063119B">
              <w:rPr>
                <w:szCs w:val="22"/>
                <w:lang w:val="pt-PT"/>
              </w:rPr>
              <w:t>EP fatal/morte na qual não se pode excluir EP</w:t>
            </w:r>
          </w:p>
        </w:tc>
        <w:tc>
          <w:tcPr>
            <w:tcW w:w="2185" w:type="dxa"/>
            <w:vAlign w:val="center"/>
          </w:tcPr>
          <w:p w14:paraId="71509DF6" w14:textId="77777777" w:rsidR="00DA6697" w:rsidRPr="0063119B" w:rsidRDefault="00DA6697" w:rsidP="00C7421C">
            <w:pPr>
              <w:pStyle w:val="BayerBodyTextFull"/>
              <w:keepNext/>
              <w:spacing w:before="60" w:after="60"/>
              <w:ind w:left="12"/>
              <w:rPr>
                <w:sz w:val="22"/>
                <w:szCs w:val="22"/>
              </w:rPr>
            </w:pPr>
            <w:r w:rsidRPr="0063119B">
              <w:rPr>
                <w:sz w:val="22"/>
                <w:szCs w:val="22"/>
              </w:rPr>
              <w:t>2</w:t>
            </w:r>
            <w:r w:rsidRPr="0063119B">
              <w:rPr>
                <w:sz w:val="22"/>
                <w:szCs w:val="22"/>
              </w:rPr>
              <w:br/>
              <w:t>(0,2%)</w:t>
            </w:r>
          </w:p>
        </w:tc>
        <w:tc>
          <w:tcPr>
            <w:tcW w:w="2069" w:type="dxa"/>
            <w:vAlign w:val="center"/>
          </w:tcPr>
          <w:p w14:paraId="3CC8E2F9" w14:textId="77777777" w:rsidR="00DA6697" w:rsidRPr="0063119B" w:rsidRDefault="00DA6697" w:rsidP="00C7421C">
            <w:pPr>
              <w:pStyle w:val="BayerBodyTextFull"/>
              <w:keepNext/>
              <w:spacing w:before="60" w:after="60"/>
              <w:ind w:left="12"/>
              <w:rPr>
                <w:sz w:val="22"/>
                <w:szCs w:val="22"/>
              </w:rPr>
            </w:pPr>
            <w:r w:rsidRPr="0063119B">
              <w:rPr>
                <w:sz w:val="22"/>
                <w:szCs w:val="22"/>
              </w:rPr>
              <w:t>0</w:t>
            </w:r>
            <w:r w:rsidRPr="0063119B">
              <w:rPr>
                <w:sz w:val="22"/>
                <w:szCs w:val="22"/>
              </w:rPr>
              <w:br/>
            </w:r>
          </w:p>
        </w:tc>
        <w:tc>
          <w:tcPr>
            <w:tcW w:w="2193" w:type="dxa"/>
            <w:vAlign w:val="center"/>
          </w:tcPr>
          <w:p w14:paraId="01B846FF" w14:textId="77777777" w:rsidR="00DA6697" w:rsidRPr="0063119B" w:rsidRDefault="00DA6697" w:rsidP="00C7421C">
            <w:pPr>
              <w:pStyle w:val="BayerBodyTextFull"/>
              <w:keepNext/>
              <w:spacing w:before="60" w:after="60"/>
              <w:ind w:left="12"/>
              <w:rPr>
                <w:sz w:val="22"/>
                <w:szCs w:val="22"/>
              </w:rPr>
            </w:pPr>
            <w:r w:rsidRPr="0063119B">
              <w:rPr>
                <w:sz w:val="22"/>
                <w:szCs w:val="22"/>
              </w:rPr>
              <w:t>2</w:t>
            </w:r>
            <w:r w:rsidRPr="0063119B">
              <w:rPr>
                <w:sz w:val="22"/>
                <w:szCs w:val="22"/>
              </w:rPr>
              <w:br/>
              <w:t>(0,2%)</w:t>
            </w:r>
          </w:p>
        </w:tc>
      </w:tr>
      <w:tr w:rsidR="00DA6697" w:rsidRPr="0063119B" w14:paraId="5D3AA78D"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2C892C9D" w14:textId="77777777" w:rsidR="00DA6697" w:rsidRPr="0063119B" w:rsidRDefault="00DA6697" w:rsidP="00C7421C">
            <w:pPr>
              <w:pStyle w:val="BayerTableRowHeadings"/>
              <w:spacing w:before="60" w:after="60"/>
              <w:ind w:left="34"/>
              <w:rPr>
                <w:szCs w:val="22"/>
                <w:lang w:val="pt-PT"/>
              </w:rPr>
            </w:pPr>
            <w:r w:rsidRPr="0063119B">
              <w:rPr>
                <w:szCs w:val="22"/>
                <w:lang w:val="pt-PT"/>
              </w:rPr>
              <w:t>TEV sintomático recorrente, EM, AVC ou embolismo sistémico não do SNC</w:t>
            </w:r>
          </w:p>
        </w:tc>
        <w:tc>
          <w:tcPr>
            <w:tcW w:w="2185" w:type="dxa"/>
            <w:vAlign w:val="center"/>
          </w:tcPr>
          <w:p w14:paraId="25814F64" w14:textId="77777777" w:rsidR="00DA6697" w:rsidRPr="0063119B" w:rsidRDefault="00DA6697" w:rsidP="00C7421C">
            <w:pPr>
              <w:pStyle w:val="BayerBodyTextFull"/>
              <w:keepNext/>
              <w:spacing w:before="60" w:after="60"/>
              <w:ind w:left="12"/>
              <w:rPr>
                <w:sz w:val="22"/>
                <w:szCs w:val="22"/>
              </w:rPr>
            </w:pPr>
            <w:r w:rsidRPr="0063119B">
              <w:rPr>
                <w:sz w:val="22"/>
                <w:szCs w:val="22"/>
              </w:rPr>
              <w:t>19</w:t>
            </w:r>
            <w:r w:rsidRPr="0063119B">
              <w:rPr>
                <w:sz w:val="22"/>
                <w:szCs w:val="22"/>
              </w:rPr>
              <w:br/>
              <w:t>(1,7%)</w:t>
            </w:r>
          </w:p>
        </w:tc>
        <w:tc>
          <w:tcPr>
            <w:tcW w:w="2069" w:type="dxa"/>
            <w:vAlign w:val="center"/>
          </w:tcPr>
          <w:p w14:paraId="6CCF6653" w14:textId="77777777" w:rsidR="00DA6697" w:rsidRPr="0063119B" w:rsidRDefault="00DA6697" w:rsidP="00C7421C">
            <w:pPr>
              <w:pStyle w:val="BayerBodyTextFull"/>
              <w:keepNext/>
              <w:spacing w:before="60" w:after="60"/>
              <w:ind w:left="12"/>
              <w:rPr>
                <w:sz w:val="22"/>
                <w:szCs w:val="22"/>
              </w:rPr>
            </w:pPr>
            <w:r w:rsidRPr="0063119B">
              <w:rPr>
                <w:sz w:val="22"/>
                <w:szCs w:val="22"/>
              </w:rPr>
              <w:t>18</w:t>
            </w:r>
            <w:r w:rsidRPr="0063119B">
              <w:rPr>
                <w:sz w:val="22"/>
                <w:szCs w:val="22"/>
              </w:rPr>
              <w:br/>
              <w:t>(1,6%)</w:t>
            </w:r>
          </w:p>
        </w:tc>
        <w:tc>
          <w:tcPr>
            <w:tcW w:w="2193" w:type="dxa"/>
            <w:vAlign w:val="center"/>
          </w:tcPr>
          <w:p w14:paraId="6B95646D" w14:textId="77777777" w:rsidR="00DA6697" w:rsidRPr="0063119B" w:rsidRDefault="00DA6697" w:rsidP="00C7421C">
            <w:pPr>
              <w:pStyle w:val="BayerBodyTextFull"/>
              <w:keepNext/>
              <w:spacing w:before="60" w:after="60"/>
              <w:ind w:left="12"/>
              <w:rPr>
                <w:sz w:val="22"/>
                <w:szCs w:val="22"/>
              </w:rPr>
            </w:pPr>
            <w:r w:rsidRPr="0063119B">
              <w:rPr>
                <w:sz w:val="22"/>
                <w:szCs w:val="22"/>
              </w:rPr>
              <w:t>56</w:t>
            </w:r>
            <w:r w:rsidRPr="0063119B">
              <w:rPr>
                <w:sz w:val="22"/>
                <w:szCs w:val="22"/>
              </w:rPr>
              <w:br/>
              <w:t>(5,0%)</w:t>
            </w:r>
          </w:p>
        </w:tc>
      </w:tr>
      <w:tr w:rsidR="00DA6697" w:rsidRPr="0063119B" w14:paraId="4258B3F7"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2E3AB31A" w14:textId="77777777" w:rsidR="00DA6697" w:rsidRPr="0063119B" w:rsidRDefault="00DA6697" w:rsidP="00C7421C">
            <w:pPr>
              <w:pStyle w:val="BayerTableRowHeadings"/>
              <w:spacing w:before="60" w:after="60"/>
              <w:ind w:left="34"/>
              <w:rPr>
                <w:szCs w:val="22"/>
              </w:rPr>
            </w:pPr>
            <w:proofErr w:type="spellStart"/>
            <w:r w:rsidRPr="0063119B">
              <w:rPr>
                <w:szCs w:val="22"/>
              </w:rPr>
              <w:t>Acontecimentos</w:t>
            </w:r>
            <w:proofErr w:type="spellEnd"/>
            <w:r w:rsidRPr="0063119B">
              <w:rPr>
                <w:szCs w:val="22"/>
              </w:rPr>
              <w:t xml:space="preserve"> </w:t>
            </w:r>
            <w:proofErr w:type="spellStart"/>
            <w:r w:rsidRPr="0063119B">
              <w:rPr>
                <w:szCs w:val="22"/>
              </w:rPr>
              <w:t>hemorrágicos</w:t>
            </w:r>
            <w:proofErr w:type="spellEnd"/>
            <w:r w:rsidRPr="0063119B">
              <w:rPr>
                <w:szCs w:val="22"/>
              </w:rPr>
              <w:t xml:space="preserve"> </w:t>
            </w:r>
            <w:proofErr w:type="spellStart"/>
            <w:r w:rsidRPr="0063119B">
              <w:rPr>
                <w:szCs w:val="22"/>
              </w:rPr>
              <w:t>principais</w:t>
            </w:r>
            <w:proofErr w:type="spellEnd"/>
          </w:p>
        </w:tc>
        <w:tc>
          <w:tcPr>
            <w:tcW w:w="2185" w:type="dxa"/>
            <w:vAlign w:val="center"/>
          </w:tcPr>
          <w:p w14:paraId="1CF5AEFC" w14:textId="77777777" w:rsidR="00DA6697" w:rsidRPr="0063119B" w:rsidRDefault="00DA6697" w:rsidP="00C7421C">
            <w:pPr>
              <w:pStyle w:val="BayerBodyTextFull"/>
              <w:keepNext/>
              <w:spacing w:before="60" w:after="60"/>
              <w:ind w:left="12"/>
              <w:rPr>
                <w:sz w:val="22"/>
                <w:szCs w:val="22"/>
              </w:rPr>
            </w:pPr>
            <w:r w:rsidRPr="0063119B">
              <w:rPr>
                <w:sz w:val="22"/>
                <w:szCs w:val="22"/>
              </w:rPr>
              <w:t>6</w:t>
            </w:r>
            <w:r w:rsidRPr="0063119B">
              <w:rPr>
                <w:sz w:val="22"/>
                <w:szCs w:val="22"/>
              </w:rPr>
              <w:br/>
              <w:t>(0,5%)</w:t>
            </w:r>
          </w:p>
        </w:tc>
        <w:tc>
          <w:tcPr>
            <w:tcW w:w="2069" w:type="dxa"/>
            <w:vAlign w:val="center"/>
          </w:tcPr>
          <w:p w14:paraId="1846B86A" w14:textId="77777777" w:rsidR="00DA6697" w:rsidRPr="0063119B" w:rsidRDefault="00DA6697" w:rsidP="00C7421C">
            <w:pPr>
              <w:pStyle w:val="BayerBodyTextFull"/>
              <w:keepNext/>
              <w:spacing w:before="60" w:after="60"/>
              <w:ind w:left="12"/>
              <w:rPr>
                <w:sz w:val="22"/>
                <w:szCs w:val="22"/>
              </w:rPr>
            </w:pPr>
            <w:r w:rsidRPr="0063119B">
              <w:rPr>
                <w:sz w:val="22"/>
                <w:szCs w:val="22"/>
              </w:rPr>
              <w:t>5</w:t>
            </w:r>
            <w:r w:rsidRPr="0063119B">
              <w:rPr>
                <w:sz w:val="22"/>
                <w:szCs w:val="22"/>
              </w:rPr>
              <w:br/>
              <w:t>(0,4%)</w:t>
            </w:r>
          </w:p>
        </w:tc>
        <w:tc>
          <w:tcPr>
            <w:tcW w:w="2193" w:type="dxa"/>
            <w:vAlign w:val="center"/>
          </w:tcPr>
          <w:p w14:paraId="6C1D7D31" w14:textId="77777777" w:rsidR="00DA6697" w:rsidRPr="0063119B" w:rsidRDefault="00DA6697" w:rsidP="00C7421C">
            <w:pPr>
              <w:pStyle w:val="BayerBodyTextFull"/>
              <w:keepNext/>
              <w:spacing w:before="60" w:after="60"/>
              <w:ind w:left="12"/>
              <w:rPr>
                <w:sz w:val="22"/>
                <w:szCs w:val="22"/>
              </w:rPr>
            </w:pPr>
            <w:r w:rsidRPr="0063119B">
              <w:rPr>
                <w:sz w:val="22"/>
                <w:szCs w:val="22"/>
              </w:rPr>
              <w:t>3</w:t>
            </w:r>
            <w:r w:rsidRPr="0063119B">
              <w:rPr>
                <w:sz w:val="22"/>
                <w:szCs w:val="22"/>
              </w:rPr>
              <w:br/>
              <w:t>(0,3%)</w:t>
            </w:r>
          </w:p>
        </w:tc>
      </w:tr>
      <w:tr w:rsidR="00DA6697" w:rsidRPr="0063119B" w14:paraId="3810BC94"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5FFCEB9C" w14:textId="77777777" w:rsidR="00DA6697" w:rsidRPr="0063119B" w:rsidRDefault="00DA6697" w:rsidP="00C7421C">
            <w:pPr>
              <w:pStyle w:val="BayerTableRowHeadings"/>
              <w:spacing w:before="60" w:after="60"/>
              <w:rPr>
                <w:szCs w:val="22"/>
                <w:lang w:val="pt-PT"/>
              </w:rPr>
            </w:pPr>
            <w:r w:rsidRPr="0063119B">
              <w:rPr>
                <w:szCs w:val="22"/>
                <w:lang w:val="pt-PT"/>
              </w:rPr>
              <w:t>Hemorragia não principal clinicamente relevante</w:t>
            </w:r>
          </w:p>
        </w:tc>
        <w:tc>
          <w:tcPr>
            <w:tcW w:w="2185" w:type="dxa"/>
            <w:vAlign w:val="center"/>
          </w:tcPr>
          <w:p w14:paraId="04E7BA8F" w14:textId="77777777" w:rsidR="00DA6697" w:rsidRPr="0063119B" w:rsidRDefault="00DA6697" w:rsidP="00C7421C">
            <w:pPr>
              <w:pStyle w:val="BayerBodyTextFull"/>
              <w:keepNext/>
              <w:spacing w:before="60" w:after="60"/>
              <w:ind w:left="12"/>
              <w:rPr>
                <w:sz w:val="22"/>
                <w:szCs w:val="22"/>
              </w:rPr>
            </w:pPr>
            <w:r w:rsidRPr="0063119B">
              <w:rPr>
                <w:sz w:val="22"/>
                <w:szCs w:val="22"/>
              </w:rPr>
              <w:t xml:space="preserve">30 </w:t>
            </w:r>
            <w:r w:rsidRPr="0063119B">
              <w:rPr>
                <w:sz w:val="22"/>
                <w:szCs w:val="22"/>
              </w:rPr>
              <w:br/>
              <w:t>(2,7%)</w:t>
            </w:r>
          </w:p>
        </w:tc>
        <w:tc>
          <w:tcPr>
            <w:tcW w:w="2069" w:type="dxa"/>
            <w:vAlign w:val="center"/>
          </w:tcPr>
          <w:p w14:paraId="48ECAF3B" w14:textId="77777777" w:rsidR="00DA6697" w:rsidRPr="0063119B" w:rsidRDefault="00DA6697" w:rsidP="00C7421C">
            <w:pPr>
              <w:pStyle w:val="BayerBodyTextFull"/>
              <w:keepNext/>
              <w:spacing w:before="60" w:after="60"/>
              <w:ind w:left="12"/>
              <w:rPr>
                <w:sz w:val="22"/>
                <w:szCs w:val="22"/>
              </w:rPr>
            </w:pPr>
            <w:r w:rsidRPr="0063119B">
              <w:rPr>
                <w:sz w:val="22"/>
                <w:szCs w:val="22"/>
              </w:rPr>
              <w:t xml:space="preserve">22 </w:t>
            </w:r>
            <w:r w:rsidRPr="0063119B">
              <w:rPr>
                <w:sz w:val="22"/>
                <w:szCs w:val="22"/>
              </w:rPr>
              <w:br/>
              <w:t>(2,0%)</w:t>
            </w:r>
          </w:p>
        </w:tc>
        <w:tc>
          <w:tcPr>
            <w:tcW w:w="2193" w:type="dxa"/>
            <w:vAlign w:val="center"/>
          </w:tcPr>
          <w:p w14:paraId="3B0B3583" w14:textId="77777777" w:rsidR="00DA6697" w:rsidRPr="0063119B" w:rsidRDefault="00DA6697" w:rsidP="00C7421C">
            <w:pPr>
              <w:pStyle w:val="BayerBodyTextFull"/>
              <w:keepNext/>
              <w:spacing w:before="60" w:after="60"/>
              <w:ind w:left="12"/>
              <w:rPr>
                <w:sz w:val="22"/>
                <w:szCs w:val="22"/>
              </w:rPr>
            </w:pPr>
            <w:r w:rsidRPr="0063119B">
              <w:rPr>
                <w:sz w:val="22"/>
                <w:szCs w:val="22"/>
              </w:rPr>
              <w:t>20</w:t>
            </w:r>
            <w:r w:rsidRPr="0063119B">
              <w:rPr>
                <w:sz w:val="22"/>
                <w:szCs w:val="22"/>
              </w:rPr>
              <w:br/>
              <w:t>(1,8%)</w:t>
            </w:r>
          </w:p>
        </w:tc>
      </w:tr>
      <w:tr w:rsidR="00DA6697" w:rsidRPr="0063119B" w14:paraId="0F121EB3" w14:textId="77777777" w:rsidTr="00DA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7" w:type="dxa"/>
            <w:vAlign w:val="center"/>
          </w:tcPr>
          <w:p w14:paraId="751F595F" w14:textId="77777777" w:rsidR="00DA6697" w:rsidRPr="0063119B" w:rsidRDefault="00DA6697" w:rsidP="00C7421C">
            <w:pPr>
              <w:pStyle w:val="BayerTableRowHeadings"/>
              <w:spacing w:before="60" w:after="60"/>
              <w:rPr>
                <w:szCs w:val="22"/>
                <w:lang w:val="pt-PT"/>
              </w:rPr>
            </w:pPr>
            <w:r w:rsidRPr="0063119B">
              <w:rPr>
                <w:szCs w:val="22"/>
                <w:lang w:val="pt-PT"/>
              </w:rPr>
              <w:t>TEV sintomático recorrente ou hemorragia principal (benefício clínico efetivo)</w:t>
            </w:r>
          </w:p>
        </w:tc>
        <w:tc>
          <w:tcPr>
            <w:tcW w:w="2185" w:type="dxa"/>
            <w:vAlign w:val="center"/>
          </w:tcPr>
          <w:p w14:paraId="4EB48906" w14:textId="77777777" w:rsidR="00DA6697" w:rsidRPr="0063119B" w:rsidRDefault="00DA6697" w:rsidP="00C7421C">
            <w:pPr>
              <w:pStyle w:val="BayerBodyTextFull"/>
              <w:keepNext/>
              <w:spacing w:before="60" w:after="60"/>
              <w:ind w:left="12"/>
              <w:rPr>
                <w:sz w:val="22"/>
                <w:szCs w:val="22"/>
              </w:rPr>
            </w:pPr>
            <w:r w:rsidRPr="0063119B">
              <w:rPr>
                <w:sz w:val="22"/>
                <w:szCs w:val="22"/>
              </w:rPr>
              <w:t>23</w:t>
            </w:r>
            <w:r w:rsidRPr="0063119B">
              <w:rPr>
                <w:sz w:val="22"/>
                <w:szCs w:val="22"/>
              </w:rPr>
              <w:br/>
              <w:t>(2,1</w:t>
            </w:r>
            <w:proofErr w:type="gramStart"/>
            <w:r w:rsidRPr="0063119B">
              <w:rPr>
                <w:sz w:val="22"/>
                <w:szCs w:val="22"/>
              </w:rPr>
              <w:t>%)</w:t>
            </w:r>
            <w:r w:rsidRPr="0063119B">
              <w:rPr>
                <w:sz w:val="22"/>
                <w:szCs w:val="22"/>
                <w:vertAlign w:val="superscript"/>
              </w:rPr>
              <w:t>+</w:t>
            </w:r>
            <w:proofErr w:type="gramEnd"/>
          </w:p>
        </w:tc>
        <w:tc>
          <w:tcPr>
            <w:tcW w:w="2069" w:type="dxa"/>
            <w:vAlign w:val="center"/>
          </w:tcPr>
          <w:p w14:paraId="7EF97A3A" w14:textId="77777777" w:rsidR="00DA6697" w:rsidRPr="0063119B" w:rsidRDefault="00DA6697" w:rsidP="00C7421C">
            <w:pPr>
              <w:pStyle w:val="BayerBodyTextFull"/>
              <w:keepNext/>
              <w:spacing w:before="60" w:after="60"/>
              <w:ind w:left="12"/>
              <w:rPr>
                <w:sz w:val="22"/>
                <w:szCs w:val="22"/>
              </w:rPr>
            </w:pPr>
            <w:r w:rsidRPr="0063119B">
              <w:rPr>
                <w:sz w:val="22"/>
                <w:szCs w:val="22"/>
              </w:rPr>
              <w:t xml:space="preserve">17 </w:t>
            </w:r>
            <w:r w:rsidRPr="0063119B">
              <w:rPr>
                <w:sz w:val="22"/>
                <w:szCs w:val="22"/>
              </w:rPr>
              <w:br/>
              <w:t>(1,5</w:t>
            </w:r>
            <w:proofErr w:type="gramStart"/>
            <w:r w:rsidRPr="0063119B">
              <w:rPr>
                <w:sz w:val="22"/>
                <w:szCs w:val="22"/>
              </w:rPr>
              <w:t>%)</w:t>
            </w:r>
            <w:r w:rsidRPr="0063119B">
              <w:rPr>
                <w:sz w:val="22"/>
                <w:szCs w:val="22"/>
                <w:vertAlign w:val="superscript"/>
              </w:rPr>
              <w:t>+</w:t>
            </w:r>
            <w:proofErr w:type="gramEnd"/>
            <w:r w:rsidRPr="0063119B">
              <w:rPr>
                <w:sz w:val="22"/>
                <w:szCs w:val="22"/>
                <w:vertAlign w:val="superscript"/>
              </w:rPr>
              <w:t>+</w:t>
            </w:r>
          </w:p>
        </w:tc>
        <w:tc>
          <w:tcPr>
            <w:tcW w:w="2193" w:type="dxa"/>
            <w:vAlign w:val="center"/>
          </w:tcPr>
          <w:p w14:paraId="43D2F51C" w14:textId="77777777" w:rsidR="00DA6697" w:rsidRPr="0063119B" w:rsidRDefault="00DA6697" w:rsidP="00C7421C">
            <w:pPr>
              <w:pStyle w:val="BayerBodyTextFull"/>
              <w:keepNext/>
              <w:spacing w:before="60" w:after="60"/>
              <w:ind w:left="12"/>
              <w:rPr>
                <w:sz w:val="22"/>
                <w:szCs w:val="22"/>
              </w:rPr>
            </w:pPr>
            <w:r w:rsidRPr="0063119B">
              <w:rPr>
                <w:sz w:val="22"/>
                <w:szCs w:val="22"/>
              </w:rPr>
              <w:t xml:space="preserve">53 </w:t>
            </w:r>
            <w:r w:rsidRPr="0063119B">
              <w:rPr>
                <w:sz w:val="22"/>
                <w:szCs w:val="22"/>
              </w:rPr>
              <w:br/>
              <w:t>(4,7%)</w:t>
            </w:r>
          </w:p>
        </w:tc>
      </w:tr>
      <w:tr w:rsidR="00DA6697" w:rsidRPr="0063119B" w14:paraId="6BEFE2B3" w14:textId="77777777" w:rsidTr="00DA6697">
        <w:tc>
          <w:tcPr>
            <w:tcW w:w="9214" w:type="dxa"/>
            <w:gridSpan w:val="4"/>
          </w:tcPr>
          <w:p w14:paraId="45305F3E" w14:textId="77777777" w:rsidR="00DA6697" w:rsidRPr="0063119B" w:rsidRDefault="00DA6697" w:rsidP="00C7421C">
            <w:pPr>
              <w:pStyle w:val="BayerTableFootnote"/>
              <w:tabs>
                <w:tab w:val="right" w:pos="480"/>
                <w:tab w:val="left" w:pos="600"/>
              </w:tabs>
              <w:spacing w:after="0"/>
              <w:ind w:left="0" w:firstLine="0"/>
              <w:rPr>
                <w:szCs w:val="22"/>
                <w:lang w:val="pt-PT"/>
              </w:rPr>
            </w:pPr>
            <w:r w:rsidRPr="0063119B">
              <w:rPr>
                <w:szCs w:val="22"/>
                <w:lang w:val="pt-PT"/>
              </w:rPr>
              <w:t xml:space="preserve">* </w:t>
            </w:r>
            <w:r w:rsidRPr="0063119B">
              <w:rPr>
                <w:szCs w:val="22"/>
                <w:lang w:val="pt-PT"/>
              </w:rPr>
              <w:tab/>
              <w:t xml:space="preserve">p&lt;0,001 (superioridade) </w:t>
            </w:r>
            <w:r w:rsidR="00BE763C" w:rsidRPr="0063119B">
              <w:rPr>
                <w:szCs w:val="22"/>
                <w:lang w:val="pt-PT"/>
              </w:rPr>
              <w:t>r</w:t>
            </w:r>
            <w:r w:rsidR="00754E0E" w:rsidRPr="0063119B">
              <w:rPr>
                <w:szCs w:val="22"/>
                <w:lang w:val="pt-PT"/>
              </w:rPr>
              <w:t>ivaroxaban</w:t>
            </w:r>
            <w:r w:rsidR="00BE763C" w:rsidRPr="0063119B">
              <w:rPr>
                <w:szCs w:val="22"/>
                <w:lang w:val="pt-PT"/>
              </w:rPr>
              <w:t>o</w:t>
            </w:r>
            <w:r w:rsidRPr="0063119B">
              <w:rPr>
                <w:szCs w:val="22"/>
                <w:lang w:val="pt-PT"/>
              </w:rPr>
              <w:t xml:space="preserve"> 20 mg uma vez por dia vs AAS 100 mg uma vez por dia; RR=0,34 (0,20-0,59)</w:t>
            </w:r>
          </w:p>
          <w:p w14:paraId="6BC2996C" w14:textId="77777777" w:rsidR="00DA6697" w:rsidRPr="0063119B" w:rsidRDefault="00DA6697" w:rsidP="00C7421C">
            <w:pPr>
              <w:pStyle w:val="BayerTableFootnote"/>
              <w:tabs>
                <w:tab w:val="right" w:pos="480"/>
                <w:tab w:val="left" w:pos="600"/>
              </w:tabs>
              <w:spacing w:after="0"/>
              <w:ind w:left="0" w:firstLine="0"/>
              <w:rPr>
                <w:szCs w:val="22"/>
                <w:lang w:val="pt-PT"/>
              </w:rPr>
            </w:pPr>
            <w:r w:rsidRPr="0063119B">
              <w:rPr>
                <w:szCs w:val="22"/>
                <w:lang w:val="pt-PT"/>
              </w:rPr>
              <w:t xml:space="preserve">** p&lt;0,001 (superioridade) </w:t>
            </w:r>
            <w:r w:rsidR="00BE763C" w:rsidRPr="0063119B">
              <w:rPr>
                <w:szCs w:val="22"/>
                <w:lang w:val="pt-PT"/>
              </w:rPr>
              <w:t>r</w:t>
            </w:r>
            <w:r w:rsidR="00754E0E" w:rsidRPr="0063119B">
              <w:rPr>
                <w:szCs w:val="22"/>
                <w:lang w:val="pt-PT"/>
              </w:rPr>
              <w:t>ivaroxaban</w:t>
            </w:r>
            <w:r w:rsidR="00BE763C" w:rsidRPr="0063119B">
              <w:rPr>
                <w:szCs w:val="22"/>
                <w:lang w:val="pt-PT"/>
              </w:rPr>
              <w:t>o</w:t>
            </w:r>
            <w:r w:rsidRPr="0063119B">
              <w:rPr>
                <w:szCs w:val="22"/>
                <w:lang w:val="pt-PT"/>
              </w:rPr>
              <w:t xml:space="preserve"> 10 mg uma vez por dia vs AAS 100 mg uma vez por dia; RR=0,26 (0,14-0,47)</w:t>
            </w:r>
          </w:p>
          <w:p w14:paraId="2384C483" w14:textId="77777777" w:rsidR="00DA6697" w:rsidRPr="0063119B" w:rsidRDefault="00DA6697" w:rsidP="00C7421C">
            <w:pPr>
              <w:rPr>
                <w:szCs w:val="22"/>
              </w:rPr>
            </w:pPr>
            <w:r w:rsidRPr="0063119B">
              <w:rPr>
                <w:szCs w:val="22"/>
                <w:vertAlign w:val="superscript"/>
              </w:rPr>
              <w:t xml:space="preserve">+ </w:t>
            </w:r>
            <w:r w:rsidR="00BE763C" w:rsidRPr="0063119B">
              <w:rPr>
                <w:szCs w:val="22"/>
              </w:rPr>
              <w:t>R</w:t>
            </w:r>
            <w:r w:rsidR="00754E0E" w:rsidRPr="0063119B">
              <w:rPr>
                <w:szCs w:val="22"/>
              </w:rPr>
              <w:t>ivaroxaban</w:t>
            </w:r>
            <w:r w:rsidR="00BE763C" w:rsidRPr="0063119B">
              <w:rPr>
                <w:szCs w:val="22"/>
              </w:rPr>
              <w:t>o</w:t>
            </w:r>
            <w:r w:rsidRPr="0063119B">
              <w:rPr>
                <w:szCs w:val="22"/>
              </w:rPr>
              <w:t xml:space="preserve"> 20 mg uma vez por dia vs. AAS 100 mg uma vez por dia; RR=0,44 (0,27-0,71), p=0,0009 (nominal) </w:t>
            </w:r>
          </w:p>
          <w:p w14:paraId="3773AE3B" w14:textId="77777777" w:rsidR="00DA6697" w:rsidRPr="0063119B" w:rsidRDefault="00DA6697" w:rsidP="00C7421C">
            <w:pPr>
              <w:pStyle w:val="BayerTableFootnote"/>
              <w:tabs>
                <w:tab w:val="right" w:pos="480"/>
                <w:tab w:val="left" w:pos="600"/>
              </w:tabs>
              <w:ind w:left="0" w:firstLine="0"/>
              <w:rPr>
                <w:szCs w:val="22"/>
                <w:lang w:val="pt-PT"/>
              </w:rPr>
            </w:pPr>
            <w:r w:rsidRPr="0063119B">
              <w:rPr>
                <w:szCs w:val="22"/>
                <w:vertAlign w:val="superscript"/>
                <w:lang w:val="pt-PT"/>
              </w:rPr>
              <w:t>++</w:t>
            </w:r>
            <w:r w:rsidRPr="0063119B">
              <w:rPr>
                <w:szCs w:val="22"/>
                <w:lang w:val="pt-PT"/>
              </w:rPr>
              <w:t xml:space="preserve"> </w:t>
            </w:r>
            <w:r w:rsidR="00754E0E" w:rsidRPr="0063119B">
              <w:rPr>
                <w:szCs w:val="22"/>
                <w:lang w:val="pt-PT"/>
              </w:rPr>
              <w:t>Rivaroxaban</w:t>
            </w:r>
            <w:r w:rsidR="00BE763C" w:rsidRPr="0063119B">
              <w:rPr>
                <w:szCs w:val="22"/>
                <w:lang w:val="pt-PT"/>
              </w:rPr>
              <w:t>o</w:t>
            </w:r>
            <w:r w:rsidRPr="0063119B">
              <w:rPr>
                <w:szCs w:val="22"/>
                <w:lang w:val="pt-PT"/>
              </w:rPr>
              <w:t xml:space="preserve"> 10 mg uma vez por dia vs. AAS 100 mg uma vez por dia; RR=0,32 (0,18-0,55), p&lt;0,0001 (nominal)</w:t>
            </w:r>
          </w:p>
        </w:tc>
      </w:tr>
    </w:tbl>
    <w:p w14:paraId="6CD8E1FD" w14:textId="77777777" w:rsidR="00DA6697" w:rsidRPr="0063119B" w:rsidRDefault="00DA6697" w:rsidP="00DA6697">
      <w:pPr>
        <w:keepNext/>
        <w:tabs>
          <w:tab w:val="left" w:pos="567"/>
        </w:tabs>
        <w:rPr>
          <w:szCs w:val="22"/>
        </w:rPr>
      </w:pPr>
    </w:p>
    <w:p w14:paraId="57629594" w14:textId="77777777" w:rsidR="00DA6697" w:rsidRPr="0063119B" w:rsidRDefault="00DA6697" w:rsidP="00DA6697">
      <w:pPr>
        <w:rPr>
          <w:szCs w:val="22"/>
        </w:rPr>
      </w:pPr>
      <w:r w:rsidRPr="0063119B">
        <w:rPr>
          <w:szCs w:val="22"/>
        </w:rPr>
        <w:t xml:space="preserve">Adicionalmente ao programa de fase III EINSTEIN, foi realizado um estudo de coorte prospectivo, não intervencional, aberto (XALIA) com adjudicação central do resultado incluindo TEV recorrente, acontecimentos hemorrágicos principais e morte. Foram incluídos 5,142 doentes com TVP aguda para investigar a segurança a longo prazo do rivaroxabano comparado com a terapêutica anticoagulante padrão na prática clínica. As taxas de acontecimentos hemorrágicos principais, TEV recorrente e mortalidade de todas as causas para o rivaroxabano foram de 0,7%, 1,4% e 0,5% respectivamente. Houve diferenças nas características basais dos doentes incluindo idade, cancro e compromisso renal. Uma análise pré-especificada e estratificada por </w:t>
      </w:r>
      <w:r w:rsidRPr="0063119B">
        <w:rPr>
          <w:i/>
          <w:szCs w:val="22"/>
        </w:rPr>
        <w:t xml:space="preserve">propensity score </w:t>
      </w:r>
      <w:r w:rsidRPr="0063119B">
        <w:rPr>
          <w:szCs w:val="22"/>
        </w:rPr>
        <w:t>foi utilizada para ajustar as diferenças basais quantificadas mas o confundimento residual pode, apesar disso, influenciar os resultados. As RR</w:t>
      </w:r>
      <w:r w:rsidRPr="0063119B" w:rsidDel="00822F6C">
        <w:rPr>
          <w:szCs w:val="22"/>
        </w:rPr>
        <w:t xml:space="preserve"> </w:t>
      </w:r>
      <w:r w:rsidRPr="0063119B">
        <w:rPr>
          <w:szCs w:val="22"/>
        </w:rPr>
        <w:t>ajustadas comparando rivaroxabano e a terapêutica padrão para acontecimentos hemorrágicos principais, TEV recorrente e mortalidade de todas as causas foram de 0,77 (IC 95% 0,40 - 1,50), 0,91 (IC 95% 0,54 - 1,54) e 0,51 (IC 95% 0,24 - 1,07), respectivamente.</w:t>
      </w:r>
    </w:p>
    <w:p w14:paraId="7C11338A" w14:textId="77777777" w:rsidR="00DA6697" w:rsidRPr="0063119B" w:rsidRDefault="00DA6697" w:rsidP="00DA6697">
      <w:pPr>
        <w:rPr>
          <w:szCs w:val="22"/>
        </w:rPr>
      </w:pPr>
      <w:r w:rsidRPr="0063119B">
        <w:rPr>
          <w:szCs w:val="22"/>
        </w:rPr>
        <w:lastRenderedPageBreak/>
        <w:t>Estes resultados observados em doentes na prática clínica são consistentes com o perfil de segurança estabelecido para esta indicação.</w:t>
      </w:r>
    </w:p>
    <w:p w14:paraId="3AF34119" w14:textId="3DC43185" w:rsidR="00DA6697" w:rsidRDefault="00DA6697" w:rsidP="005B1C7B">
      <w:pPr>
        <w:suppressAutoHyphens/>
        <w:rPr>
          <w:noProof/>
          <w:szCs w:val="22"/>
        </w:rPr>
      </w:pPr>
    </w:p>
    <w:p w14:paraId="2AAC82BA" w14:textId="090BD4DB" w:rsidR="006A28A3" w:rsidRDefault="006A28A3" w:rsidP="005B1C7B">
      <w:pPr>
        <w:suppressAutoHyphens/>
      </w:pPr>
      <w:r>
        <w:t>Num estudo pós-autorização, não intervencional em mais de 40.000 doentes oriundos de quatro países, sem história de cancro, o rivaroxabano foi prescrito para o tratamento ou prevenção do TVP e EP. As taxas de acontecimentos por 100 doentes-ano, para os acontecimentos tromboembólicos/TEV sintomáticos/clinicamente aparentes, que levaram à hospitalização variaram de 0,64 (IC 95% 0,40 - 0,97) no Reino Unido a 2,30 (IC 95% 2,11 - 2,51) para a Alemanha. As hemorragias resultando em hospitalização ocorreram em taxas de acontecimentos por 100 doentes-ano de 0,31 (IC 95% 0,23 - 0,42) para a hemorragia intracraniana, 0,89 (IC 95% 0,67 - 1,17) para a hemorragia gastrointestinal, 0,44 (IC 95% 0,26 - 0,74) para a hemorragia urogenital e 0,41 (IC 95% 0,31 - 0,54) para outras hemorragias.</w:t>
      </w:r>
    </w:p>
    <w:p w14:paraId="25F18D75" w14:textId="77777777" w:rsidR="006A28A3" w:rsidRPr="0063119B" w:rsidRDefault="006A28A3" w:rsidP="005B1C7B">
      <w:pPr>
        <w:suppressAutoHyphens/>
        <w:rPr>
          <w:noProof/>
          <w:szCs w:val="22"/>
        </w:rPr>
      </w:pPr>
    </w:p>
    <w:p w14:paraId="2115419D" w14:textId="77777777" w:rsidR="00FB50D4" w:rsidRDefault="00FB50D4" w:rsidP="00FB50D4">
      <w:pPr>
        <w:keepNext/>
        <w:suppressAutoHyphens/>
        <w:rPr>
          <w:noProof/>
          <w:szCs w:val="22"/>
          <w:u w:val="single"/>
        </w:rPr>
      </w:pPr>
      <w:r w:rsidRPr="0063119B">
        <w:rPr>
          <w:noProof/>
          <w:szCs w:val="22"/>
          <w:u w:val="single"/>
        </w:rPr>
        <w:t>Doentes de alto risco com síndrome antifosfolipídica triplo positivos</w:t>
      </w:r>
    </w:p>
    <w:p w14:paraId="4782DC3B" w14:textId="77777777" w:rsidR="007069F5" w:rsidRPr="0063119B" w:rsidRDefault="007069F5" w:rsidP="00FB50D4">
      <w:pPr>
        <w:keepNext/>
        <w:suppressAutoHyphens/>
        <w:rPr>
          <w:noProof/>
          <w:szCs w:val="22"/>
          <w:u w:val="single"/>
        </w:rPr>
      </w:pPr>
    </w:p>
    <w:p w14:paraId="0247A61E" w14:textId="77777777" w:rsidR="00FB50D4" w:rsidRPr="0063119B" w:rsidRDefault="00FB50D4" w:rsidP="00FB50D4">
      <w:pPr>
        <w:rPr>
          <w:noProof/>
          <w:szCs w:val="22"/>
        </w:rPr>
      </w:pPr>
      <w:r w:rsidRPr="0063119B">
        <w:rPr>
          <w:noProof/>
          <w:szCs w:val="22"/>
        </w:rPr>
        <w:t>Foi realizado um estudo multicêntrico, aleatorizado, sem ocultação, promovido pelo investigador, com avaliação em ocultação do parâmetro de avaliação final para comparar o rivaroxabano com a varfarina em doentes com antecedentes de trombose, diagnosticados com síndrome antifosfolipídica e com risco elevado de acontecimentos tromboembólicos (positivos para a presença dos 3 anticorpos antifosfolípidos: anticoagulante lúpico, anticorpos anticardiolipina e anticorpos anti-beta2 glicoproteína-I). Após o recrutamento de 120 doentes o estudo foi prematuramente terminado devido a um excesso de acontecimentos entre os doentes no braço do rivaroxabano. O tempo de seguimento médio do estudo foi de 569 dias. Foram aleatorizados 59 doentes para o tratamento com 20 mg de rivaroxabano (15 mg para doentes com depuração da creatinina (CrCl) &lt;50 ml/min) e 61 doentes para o tratamento com varfarina (INR 2,0-3,0). Ocorreram acontecimentos tromboembólicos (4 acidentes vasculares cerebrais isquémicos e 3 enfartes do miocárdio) em 12% dos doentes aleatorizados para o tratamento com rivaroxabano. Não foram notificados acontecimentos nos doentes aleatorizados para o tratamento com varfarina. Ocorreram hemorragias graves em 4 doentes (7%) do grupo do rivaroxabano e em 2 doentes (3%) do grupo da varfarina.</w:t>
      </w:r>
    </w:p>
    <w:p w14:paraId="11BC88D8" w14:textId="77777777" w:rsidR="00FB50D4" w:rsidRPr="0063119B" w:rsidRDefault="00FB50D4" w:rsidP="005B1C7B">
      <w:pPr>
        <w:suppressAutoHyphens/>
        <w:rPr>
          <w:noProof/>
          <w:szCs w:val="22"/>
        </w:rPr>
      </w:pPr>
    </w:p>
    <w:p w14:paraId="08DA85F0" w14:textId="77777777" w:rsidR="005B1C7B" w:rsidRDefault="005B1C7B" w:rsidP="005B1C7B">
      <w:pPr>
        <w:suppressAutoHyphens/>
        <w:rPr>
          <w:noProof/>
          <w:szCs w:val="22"/>
          <w:u w:val="single"/>
        </w:rPr>
      </w:pPr>
      <w:r w:rsidRPr="0063119B">
        <w:rPr>
          <w:noProof/>
          <w:szCs w:val="22"/>
          <w:u w:val="single"/>
        </w:rPr>
        <w:t>População pediátrica</w:t>
      </w:r>
    </w:p>
    <w:p w14:paraId="42510CE6" w14:textId="77777777" w:rsidR="007069F5" w:rsidRPr="0063119B" w:rsidRDefault="007069F5" w:rsidP="005B1C7B">
      <w:pPr>
        <w:suppressAutoHyphens/>
        <w:rPr>
          <w:noProof/>
          <w:szCs w:val="22"/>
          <w:u w:val="single"/>
        </w:rPr>
      </w:pPr>
    </w:p>
    <w:p w14:paraId="3A689CAF" w14:textId="77777777" w:rsidR="005B1C7B" w:rsidRPr="0063119B" w:rsidRDefault="00BB04BB" w:rsidP="005B1C7B">
      <w:pPr>
        <w:suppressAutoHyphens/>
        <w:rPr>
          <w:rFonts w:eastAsia="SimSun"/>
          <w:szCs w:val="22"/>
          <w:lang w:eastAsia="zh-CN"/>
        </w:rPr>
      </w:pPr>
      <w:r>
        <w:rPr>
          <w:szCs w:val="22"/>
        </w:rPr>
        <w:t>A embalagem de tratamento inicial de Rivaroxabano Accord foi concebida especificamente para o tratamento de doentes adultos e não é apropriada para utilização em doentes pediátricos</w:t>
      </w:r>
      <w:r w:rsidR="005B1C7B" w:rsidRPr="0063119B">
        <w:rPr>
          <w:rFonts w:eastAsia="SimSun"/>
          <w:szCs w:val="22"/>
          <w:lang w:eastAsia="zh-CN"/>
        </w:rPr>
        <w:t>.</w:t>
      </w:r>
    </w:p>
    <w:p w14:paraId="5A4FCA34" w14:textId="77777777" w:rsidR="005B1C7B" w:rsidRPr="0063119B" w:rsidRDefault="005B1C7B" w:rsidP="005B1C7B">
      <w:pPr>
        <w:suppressAutoHyphens/>
        <w:ind w:left="567" w:hanging="567"/>
        <w:rPr>
          <w:b/>
          <w:noProof/>
          <w:szCs w:val="22"/>
        </w:rPr>
      </w:pPr>
    </w:p>
    <w:p w14:paraId="420D048F" w14:textId="77777777" w:rsidR="005B1C7B" w:rsidRPr="0063119B" w:rsidRDefault="005B1C7B" w:rsidP="001F10F8">
      <w:pPr>
        <w:keepNext/>
        <w:keepLines/>
        <w:suppressAutoHyphens/>
        <w:ind w:left="567" w:hanging="567"/>
        <w:rPr>
          <w:noProof/>
          <w:szCs w:val="22"/>
        </w:rPr>
      </w:pPr>
      <w:r w:rsidRPr="0063119B">
        <w:rPr>
          <w:b/>
          <w:noProof/>
          <w:szCs w:val="22"/>
        </w:rPr>
        <w:t>5.2</w:t>
      </w:r>
      <w:r w:rsidRPr="0063119B">
        <w:rPr>
          <w:b/>
          <w:noProof/>
          <w:szCs w:val="22"/>
        </w:rPr>
        <w:tab/>
        <w:t>Propriedades farmacocinéticas</w:t>
      </w:r>
    </w:p>
    <w:p w14:paraId="0874A95C" w14:textId="77777777" w:rsidR="005B1C7B" w:rsidRPr="0063119B" w:rsidRDefault="005B1C7B" w:rsidP="001F10F8">
      <w:pPr>
        <w:keepNext/>
        <w:keepLines/>
        <w:suppressAutoHyphens/>
        <w:rPr>
          <w:noProof/>
          <w:szCs w:val="22"/>
        </w:rPr>
      </w:pPr>
    </w:p>
    <w:p w14:paraId="7E91E5DE" w14:textId="77777777" w:rsidR="005B1C7B" w:rsidRPr="0063119B" w:rsidRDefault="005B1C7B" w:rsidP="001F10F8">
      <w:pPr>
        <w:keepNext/>
        <w:keepLines/>
        <w:rPr>
          <w:noProof/>
          <w:szCs w:val="22"/>
          <w:u w:val="single"/>
        </w:rPr>
      </w:pPr>
      <w:r w:rsidRPr="0063119B">
        <w:rPr>
          <w:noProof/>
          <w:szCs w:val="22"/>
          <w:u w:val="single"/>
        </w:rPr>
        <w:t>Absorção</w:t>
      </w:r>
    </w:p>
    <w:p w14:paraId="3E2C5F5F" w14:textId="77777777" w:rsidR="00FE3820" w:rsidRPr="0063119B" w:rsidRDefault="00FE3820" w:rsidP="005B1C7B">
      <w:pPr>
        <w:rPr>
          <w:noProof/>
          <w:szCs w:val="22"/>
        </w:rPr>
      </w:pPr>
    </w:p>
    <w:p w14:paraId="4753A4BD" w14:textId="77777777" w:rsidR="005B1C7B" w:rsidRPr="0063119B" w:rsidRDefault="00FE3820" w:rsidP="005B1C7B">
      <w:pPr>
        <w:rPr>
          <w:noProof/>
          <w:szCs w:val="22"/>
        </w:rPr>
      </w:pPr>
      <w:r w:rsidRPr="0063119B">
        <w:rPr>
          <w:noProof/>
          <w:szCs w:val="22"/>
        </w:rPr>
        <w:t>O r</w:t>
      </w:r>
      <w:r w:rsidR="005B1C7B" w:rsidRPr="0063119B">
        <w:rPr>
          <w:noProof/>
          <w:szCs w:val="22"/>
        </w:rPr>
        <w:t>ivaroxabano é rapidamente absorvido e atinge as concentrações máximas (C</w:t>
      </w:r>
      <w:r w:rsidR="005B1C7B" w:rsidRPr="0063119B">
        <w:rPr>
          <w:noProof/>
          <w:szCs w:val="22"/>
          <w:vertAlign w:val="subscript"/>
        </w:rPr>
        <w:t>max</w:t>
      </w:r>
      <w:r w:rsidR="005B1C7B" w:rsidRPr="0063119B">
        <w:rPr>
          <w:noProof/>
          <w:szCs w:val="22"/>
        </w:rPr>
        <w:t xml:space="preserve">) 2 a 4 horas após a ingestão do comprimido. </w:t>
      </w:r>
    </w:p>
    <w:p w14:paraId="6EE3CFB5" w14:textId="77777777" w:rsidR="005B1C7B" w:rsidRPr="0063119B" w:rsidRDefault="005B1C7B" w:rsidP="005B1C7B">
      <w:pPr>
        <w:rPr>
          <w:noProof/>
          <w:szCs w:val="22"/>
        </w:rPr>
      </w:pPr>
      <w:r w:rsidRPr="0063119B">
        <w:rPr>
          <w:rFonts w:eastAsia="SimSun"/>
          <w:szCs w:val="22"/>
        </w:rPr>
        <w:t>A absorção oral de rivaroxabano é quase completa e a biodisponibilidade oral é elevada (80 </w:t>
      </w:r>
      <w:r w:rsidRPr="0063119B">
        <w:rPr>
          <w:rFonts w:eastAsia="SimSun"/>
          <w:szCs w:val="22"/>
        </w:rPr>
        <w:noBreakHyphen/>
        <w:t> 100%) com o comprimido de 2,5 mg e10 mg independentemente do estado de jejum/pós</w:t>
      </w:r>
      <w:r w:rsidRPr="0063119B">
        <w:rPr>
          <w:rFonts w:eastAsia="SimSun"/>
          <w:szCs w:val="22"/>
        </w:rPr>
        <w:noBreakHyphen/>
        <w:t>prandial.</w:t>
      </w:r>
      <w:r w:rsidRPr="0063119B">
        <w:rPr>
          <w:noProof/>
          <w:szCs w:val="22"/>
        </w:rPr>
        <w:t xml:space="preserve"> A ingestão com alimentos não afeta a AUC ou a C</w:t>
      </w:r>
      <w:r w:rsidRPr="0063119B">
        <w:rPr>
          <w:noProof/>
          <w:szCs w:val="22"/>
          <w:vertAlign w:val="subscript"/>
        </w:rPr>
        <w:t>max</w:t>
      </w:r>
      <w:r w:rsidRPr="0063119B">
        <w:rPr>
          <w:noProof/>
          <w:szCs w:val="22"/>
        </w:rPr>
        <w:t xml:space="preserve"> da dose de 2,5 mg e 10 mg de rivaroxabano. </w:t>
      </w:r>
    </w:p>
    <w:p w14:paraId="34A445EB" w14:textId="77777777" w:rsidR="005B1C7B" w:rsidRPr="0063119B" w:rsidRDefault="005B1C7B" w:rsidP="005B1C7B">
      <w:pPr>
        <w:rPr>
          <w:noProof/>
          <w:szCs w:val="22"/>
        </w:rPr>
      </w:pPr>
      <w:r w:rsidRPr="0063119B">
        <w:rPr>
          <w:rFonts w:eastAsia="SimSun"/>
          <w:szCs w:val="22"/>
        </w:rPr>
        <w:t xml:space="preserve">Devido a uma absorção menos extensa, foi determinada uma biodisponibilidade oral de 66% para o comprimido de 20 mg em jejum. Quando </w:t>
      </w:r>
      <w:r w:rsidR="00FE3820" w:rsidRPr="0063119B">
        <w:rPr>
          <w:rFonts w:eastAsia="SimSun"/>
          <w:szCs w:val="22"/>
        </w:rPr>
        <w:t>o r</w:t>
      </w:r>
      <w:r w:rsidR="00754E0E" w:rsidRPr="0063119B">
        <w:rPr>
          <w:rFonts w:eastAsia="SimSun"/>
          <w:szCs w:val="22"/>
        </w:rPr>
        <w:t>ivaroxaban</w:t>
      </w:r>
      <w:r w:rsidR="00FE3820" w:rsidRPr="0063119B">
        <w:rPr>
          <w:rFonts w:eastAsia="SimSun"/>
          <w:szCs w:val="22"/>
        </w:rPr>
        <w:t>o</w:t>
      </w:r>
      <w:r w:rsidRPr="0063119B">
        <w:rPr>
          <w:rFonts w:eastAsia="SimSun"/>
          <w:szCs w:val="22"/>
        </w:rPr>
        <w:t xml:space="preserve"> 20 mg comprimidos é tomado juntamente com alimentos observou</w:t>
      </w:r>
      <w:r w:rsidRPr="0063119B">
        <w:rPr>
          <w:rFonts w:eastAsia="SimSun"/>
          <w:szCs w:val="22"/>
        </w:rPr>
        <w:noBreakHyphen/>
        <w:t xml:space="preserve">se um aumento da AUC de 39% em comparação com a ingestão do comprimido em jejum, indicando uma absorção quase completa e uma biodisponibilidade oral elevada. Os comprimidos de </w:t>
      </w:r>
      <w:r w:rsidR="00FE3820" w:rsidRPr="0063119B">
        <w:rPr>
          <w:rFonts w:eastAsia="SimSun"/>
          <w:szCs w:val="22"/>
        </w:rPr>
        <w:t>r</w:t>
      </w:r>
      <w:r w:rsidR="00754E0E" w:rsidRPr="0063119B">
        <w:rPr>
          <w:rFonts w:eastAsia="SimSun"/>
          <w:szCs w:val="22"/>
        </w:rPr>
        <w:t>ivaroxaban</w:t>
      </w:r>
      <w:r w:rsidR="00FE3820" w:rsidRPr="0063119B">
        <w:rPr>
          <w:rFonts w:eastAsia="SimSun"/>
          <w:szCs w:val="22"/>
        </w:rPr>
        <w:t>o</w:t>
      </w:r>
      <w:r w:rsidRPr="0063119B">
        <w:rPr>
          <w:rFonts w:eastAsia="SimSun"/>
          <w:szCs w:val="22"/>
        </w:rPr>
        <w:t xml:space="preserve"> de 15 mg e de 20 mg devem ser tomados com alimentos (ver secção 4.2).</w:t>
      </w:r>
    </w:p>
    <w:p w14:paraId="1D1B2941" w14:textId="77777777" w:rsidR="005B1C7B" w:rsidRPr="0063119B" w:rsidRDefault="005B1C7B" w:rsidP="005B1C7B">
      <w:pPr>
        <w:rPr>
          <w:noProof/>
          <w:szCs w:val="22"/>
        </w:rPr>
      </w:pPr>
      <w:r w:rsidRPr="0063119B">
        <w:rPr>
          <w:noProof/>
          <w:szCs w:val="22"/>
        </w:rPr>
        <w:t>A farmacocinética do rivaroxabano é aproximadamente linear até cerca de 15 mg uma vez ao dia no estado de jejum. Em condições pós</w:t>
      </w:r>
      <w:r w:rsidRPr="0063119B">
        <w:rPr>
          <w:noProof/>
          <w:szCs w:val="22"/>
        </w:rPr>
        <w:noBreakHyphen/>
        <w:t xml:space="preserve">prandiais, </w:t>
      </w:r>
      <w:r w:rsidR="00607DE4">
        <w:rPr>
          <w:noProof/>
          <w:szCs w:val="22"/>
        </w:rPr>
        <w:t>Rivaroxabano</w:t>
      </w:r>
      <w:r w:rsidR="00754E0E" w:rsidRPr="0063119B">
        <w:rPr>
          <w:noProof/>
          <w:szCs w:val="22"/>
        </w:rPr>
        <w:t xml:space="preserve"> Accord</w:t>
      </w:r>
      <w:r w:rsidRPr="0063119B">
        <w:rPr>
          <w:noProof/>
          <w:szCs w:val="22"/>
        </w:rPr>
        <w:t xml:space="preserve"> 10 mg, 15 mg e 20 mg comprimidos demonstrou uma proporcionalidade com a dose. Em doses superiores, o rivaroxabano revela uma absorção limitada pela dissolução com uma diminuição da biodisponibilidade e uma diminuição da taxa de absorção com o aumento da dose. </w:t>
      </w:r>
    </w:p>
    <w:p w14:paraId="360A7722" w14:textId="77777777" w:rsidR="005B1C7B" w:rsidRPr="0063119B" w:rsidRDefault="005B1C7B" w:rsidP="005B1C7B">
      <w:pPr>
        <w:rPr>
          <w:noProof/>
          <w:szCs w:val="22"/>
        </w:rPr>
      </w:pPr>
      <w:r w:rsidRPr="0063119B">
        <w:rPr>
          <w:noProof/>
          <w:szCs w:val="22"/>
        </w:rPr>
        <w:t>A variabilidade na farmacocinética do rivaroxabano é moderada com variabilidade interindividual (CV%) variando entre os 30% e os 40%.</w:t>
      </w:r>
    </w:p>
    <w:p w14:paraId="4A8928FF" w14:textId="77777777" w:rsidR="005B1C7B" w:rsidRPr="0063119B" w:rsidRDefault="005B1C7B" w:rsidP="005B1C7B">
      <w:pPr>
        <w:rPr>
          <w:noProof/>
          <w:szCs w:val="22"/>
        </w:rPr>
      </w:pPr>
      <w:r w:rsidRPr="0063119B">
        <w:rPr>
          <w:noProof/>
          <w:szCs w:val="22"/>
        </w:rPr>
        <w:lastRenderedPageBreak/>
        <w:t>A absorção de rivaroxabano depende do local da sua libertação no trato gastrointestinal. Foi notificada uma diminuição de 29% e 56% na AUC e na C</w:t>
      </w:r>
      <w:r w:rsidRPr="0063119B">
        <w:rPr>
          <w:noProof/>
          <w:szCs w:val="22"/>
          <w:vertAlign w:val="subscript"/>
        </w:rPr>
        <w:t>max</w:t>
      </w:r>
      <w:r w:rsidRPr="0063119B">
        <w:rPr>
          <w:noProof/>
          <w:szCs w:val="22"/>
        </w:rPr>
        <w:t xml:space="preserve"> comparativamente com o comprimido quando o rivaroxabano granulado é libertado no intestino delgado proximal. A exposição é ainda mais reduzida quando rivaroxabano é libertado no intestino delgado distal, ou no cólon ascendente. Por isso, a administração de rivaroxabano distal ao estômago deve ser evitada uma vez que pode resultar na absorção reduzida e na relacionada exposição ao rivaroxabano.</w:t>
      </w:r>
    </w:p>
    <w:p w14:paraId="0AF689B8" w14:textId="77777777" w:rsidR="005B1C7B" w:rsidRPr="0063119B" w:rsidRDefault="005B1C7B" w:rsidP="005B1C7B">
      <w:pPr>
        <w:rPr>
          <w:noProof/>
          <w:szCs w:val="22"/>
        </w:rPr>
      </w:pPr>
      <w:r w:rsidRPr="0063119B">
        <w:rPr>
          <w:noProof/>
          <w:szCs w:val="22"/>
        </w:rPr>
        <w:t>A biodisponibilidade (AUC e C</w:t>
      </w:r>
      <w:r w:rsidRPr="0063119B">
        <w:rPr>
          <w:noProof/>
          <w:szCs w:val="22"/>
          <w:vertAlign w:val="subscript"/>
        </w:rPr>
        <w:t>max</w:t>
      </w:r>
      <w:r w:rsidRPr="0063119B">
        <w:rPr>
          <w:noProof/>
          <w:szCs w:val="22"/>
        </w:rPr>
        <w:t>) foi comparável para 20 mg de rivaroxabano administrado por via oral na forma de comprimido esmagado misturado com puré de maçã ou suspenso em água e administrado por meio de sonda gástrica seguido por uma refeição líquida, comparativamente com o comprimido inteiro. Dado o perfil farmacocinético previsível e proporcional à dose de rivaroxabano, os resultados de biodisponibilidade deste estudo são provavelmente aplicáveis a doses mais baixas de rivaroxabano.</w:t>
      </w:r>
    </w:p>
    <w:p w14:paraId="2F0E0B79" w14:textId="77777777" w:rsidR="005B1C7B" w:rsidRPr="0063119B" w:rsidRDefault="005B1C7B" w:rsidP="005B1C7B">
      <w:pPr>
        <w:rPr>
          <w:i/>
          <w:noProof/>
          <w:szCs w:val="22"/>
          <w:u w:val="single"/>
        </w:rPr>
      </w:pPr>
    </w:p>
    <w:p w14:paraId="48DADA34" w14:textId="77777777" w:rsidR="005B1C7B" w:rsidRPr="0063119B" w:rsidRDefault="005B1C7B" w:rsidP="005B1C7B">
      <w:pPr>
        <w:rPr>
          <w:noProof/>
          <w:szCs w:val="22"/>
          <w:u w:val="single"/>
        </w:rPr>
      </w:pPr>
      <w:r w:rsidRPr="0063119B">
        <w:rPr>
          <w:noProof/>
          <w:szCs w:val="22"/>
          <w:u w:val="single"/>
        </w:rPr>
        <w:t>Distribuição</w:t>
      </w:r>
    </w:p>
    <w:p w14:paraId="0EF1CE0B" w14:textId="77777777" w:rsidR="00FE3820" w:rsidRPr="0063119B" w:rsidRDefault="00FE3820" w:rsidP="005B1C7B">
      <w:pPr>
        <w:rPr>
          <w:noProof/>
          <w:szCs w:val="22"/>
        </w:rPr>
      </w:pPr>
    </w:p>
    <w:p w14:paraId="6D7A249B" w14:textId="77777777" w:rsidR="005B1C7B" w:rsidRPr="0063119B" w:rsidRDefault="005B1C7B" w:rsidP="005B1C7B">
      <w:pPr>
        <w:rPr>
          <w:noProof/>
          <w:szCs w:val="22"/>
        </w:rPr>
      </w:pPr>
      <w:r w:rsidRPr="0063119B">
        <w:rPr>
          <w:noProof/>
          <w:szCs w:val="22"/>
        </w:rPr>
        <w:t>A ligação às proteínas plasmáticas no Homem é elevada, de aproximadamente 92% a 95%, sendo a albumina sérica o principal componente de ligação. O volume de distribuição é moderado sendo o V</w:t>
      </w:r>
      <w:r w:rsidRPr="0063119B">
        <w:rPr>
          <w:noProof/>
          <w:szCs w:val="22"/>
          <w:vertAlign w:val="subscript"/>
        </w:rPr>
        <w:t xml:space="preserve">d </w:t>
      </w:r>
      <w:r w:rsidRPr="0063119B">
        <w:rPr>
          <w:noProof/>
          <w:szCs w:val="22"/>
        </w:rPr>
        <w:t>de aproximadamente 50 litros.</w:t>
      </w:r>
    </w:p>
    <w:p w14:paraId="01DB3963" w14:textId="77777777" w:rsidR="005B1C7B" w:rsidRPr="0063119B" w:rsidRDefault="005B1C7B" w:rsidP="005B1C7B">
      <w:pPr>
        <w:rPr>
          <w:noProof/>
          <w:szCs w:val="22"/>
        </w:rPr>
      </w:pPr>
    </w:p>
    <w:p w14:paraId="52352DCE" w14:textId="77777777" w:rsidR="005B1C7B" w:rsidRPr="0063119B" w:rsidRDefault="005B1C7B" w:rsidP="005B1C7B">
      <w:pPr>
        <w:keepNext/>
        <w:rPr>
          <w:noProof/>
          <w:szCs w:val="22"/>
        </w:rPr>
      </w:pPr>
      <w:r w:rsidRPr="0063119B">
        <w:rPr>
          <w:noProof/>
          <w:szCs w:val="22"/>
          <w:u w:val="single"/>
        </w:rPr>
        <w:t>Biotransformação e eliminação</w:t>
      </w:r>
    </w:p>
    <w:p w14:paraId="5D2B236F" w14:textId="77777777" w:rsidR="00FE3820" w:rsidRPr="0063119B" w:rsidRDefault="00FE3820" w:rsidP="005B1C7B">
      <w:pPr>
        <w:keepNext/>
        <w:rPr>
          <w:noProof/>
          <w:szCs w:val="22"/>
        </w:rPr>
      </w:pPr>
    </w:p>
    <w:p w14:paraId="5AFB43DF" w14:textId="77777777" w:rsidR="005B1C7B" w:rsidRPr="0063119B" w:rsidRDefault="005B1C7B" w:rsidP="005B1C7B">
      <w:pPr>
        <w:keepNext/>
        <w:rPr>
          <w:noProof/>
          <w:szCs w:val="22"/>
        </w:rPr>
      </w:pPr>
      <w:r w:rsidRPr="0063119B">
        <w:rPr>
          <w:noProof/>
          <w:szCs w:val="22"/>
        </w:rPr>
        <w:t>Da dose de rivaroxabano administrada, aproximadamente 2/3 sofre degradação metabólica, da qual metade é eliminada por via renal e a outra metade eliminada por via fecal. O 1/3 final da dose administrada sofre excreção renal direta como substância ativa inalterada na urina, principalmente por secreção renal ativa.</w:t>
      </w:r>
    </w:p>
    <w:p w14:paraId="7467A716" w14:textId="77777777" w:rsidR="005B1C7B" w:rsidRPr="0063119B" w:rsidRDefault="005B1C7B" w:rsidP="005B1C7B">
      <w:pPr>
        <w:rPr>
          <w:noProof/>
          <w:szCs w:val="22"/>
        </w:rPr>
      </w:pPr>
      <w:r w:rsidRPr="0063119B">
        <w:rPr>
          <w:noProof/>
          <w:szCs w:val="22"/>
        </w:rPr>
        <w:t xml:space="preserve">O rivaroxabano é metabolizado através do CYP3A4, CYP2J2 e por mecanismos independentes do CYP. Os principais locais de biotransformação são a degradação oxidativa da porção da morfolinona e hidrólise das ligações de amida. Com base em investigações </w:t>
      </w:r>
      <w:r w:rsidRPr="0063119B">
        <w:rPr>
          <w:i/>
          <w:noProof/>
          <w:szCs w:val="22"/>
        </w:rPr>
        <w:t>in vitro,</w:t>
      </w:r>
      <w:r w:rsidRPr="0063119B">
        <w:rPr>
          <w:noProof/>
          <w:szCs w:val="22"/>
        </w:rPr>
        <w:t xml:space="preserve"> o rivaroxabano é um substracto das proteínas transportadoras gp</w:t>
      </w:r>
      <w:r w:rsidRPr="0063119B">
        <w:rPr>
          <w:noProof/>
          <w:szCs w:val="22"/>
        </w:rPr>
        <w:noBreakHyphen/>
        <w:t>P (glicoproteína P) e Bcrp (proteína de resistência do cancro da mama).</w:t>
      </w:r>
    </w:p>
    <w:p w14:paraId="4781F878" w14:textId="77777777" w:rsidR="005B1C7B" w:rsidRPr="0063119B" w:rsidRDefault="005B1C7B" w:rsidP="005B1C7B">
      <w:pPr>
        <w:rPr>
          <w:noProof/>
          <w:szCs w:val="22"/>
        </w:rPr>
      </w:pPr>
      <w:r w:rsidRPr="0063119B">
        <w:rPr>
          <w:noProof/>
          <w:szCs w:val="22"/>
        </w:rPr>
        <w:t>O rivaroxabano inalterado é o composto mais importante no plasma humano, sem que estejam presentes outros metabolitos circulantes ativos ou relevo. Com uma taxa de depuração sistémica de aproximadamente 10</w:t>
      </w:r>
      <w:r w:rsidR="00FE3820" w:rsidRPr="0063119B">
        <w:rPr>
          <w:noProof/>
          <w:szCs w:val="22"/>
        </w:rPr>
        <w:t> </w:t>
      </w:r>
      <w:r w:rsidRPr="0063119B">
        <w:rPr>
          <w:noProof/>
          <w:szCs w:val="22"/>
        </w:rPr>
        <w:t>l/h, o rivaroxabano pode ser classificado como uma substância com baixa taxa de depuração. Após a administração intravenosa de uma dose de 1 mg a semivida de eliminação é de cerca de 4,5</w:t>
      </w:r>
      <w:r w:rsidR="00FE3820" w:rsidRPr="0063119B">
        <w:rPr>
          <w:noProof/>
          <w:szCs w:val="22"/>
        </w:rPr>
        <w:t> </w:t>
      </w:r>
      <w:r w:rsidRPr="0063119B">
        <w:rPr>
          <w:noProof/>
          <w:szCs w:val="22"/>
        </w:rPr>
        <w:t>horas. Após a administração oral, a eliminação torna</w:t>
      </w:r>
      <w:r w:rsidRPr="0063119B">
        <w:rPr>
          <w:noProof/>
          <w:szCs w:val="22"/>
        </w:rPr>
        <w:noBreakHyphen/>
        <w:t>se limitada pela taxa de absorção. A eliminação de rivaroxabano do plasma ocorre com semividas terminais de 5 a 9 horas em indivíduos jovens, e com semividas terminais de 11 a 13 horas nos idosos.</w:t>
      </w:r>
    </w:p>
    <w:p w14:paraId="6025E8A3" w14:textId="77777777" w:rsidR="005B1C7B" w:rsidRPr="0063119B" w:rsidRDefault="005B1C7B" w:rsidP="005B1C7B">
      <w:pPr>
        <w:rPr>
          <w:i/>
          <w:noProof/>
          <w:szCs w:val="22"/>
          <w:u w:val="single"/>
        </w:rPr>
      </w:pPr>
    </w:p>
    <w:p w14:paraId="295A9546" w14:textId="77777777" w:rsidR="005B1C7B" w:rsidRPr="0063119B" w:rsidRDefault="005B1C7B" w:rsidP="001F10F8">
      <w:pPr>
        <w:keepNext/>
        <w:keepLines/>
        <w:rPr>
          <w:noProof/>
          <w:szCs w:val="22"/>
          <w:u w:val="single"/>
        </w:rPr>
      </w:pPr>
      <w:r w:rsidRPr="0063119B">
        <w:rPr>
          <w:noProof/>
          <w:szCs w:val="22"/>
          <w:u w:val="single"/>
        </w:rPr>
        <w:t>Populações especiais</w:t>
      </w:r>
    </w:p>
    <w:p w14:paraId="131D7307" w14:textId="77777777" w:rsidR="00FE3820" w:rsidRPr="0063119B" w:rsidRDefault="00FE3820" w:rsidP="005B1C7B">
      <w:pPr>
        <w:rPr>
          <w:i/>
          <w:noProof/>
          <w:szCs w:val="22"/>
        </w:rPr>
      </w:pPr>
    </w:p>
    <w:p w14:paraId="6BD289CA" w14:textId="77777777" w:rsidR="005B1C7B" w:rsidRPr="0063119B" w:rsidRDefault="005B1C7B" w:rsidP="005B1C7B">
      <w:pPr>
        <w:rPr>
          <w:i/>
          <w:noProof/>
          <w:szCs w:val="22"/>
        </w:rPr>
      </w:pPr>
      <w:r w:rsidRPr="0063119B">
        <w:rPr>
          <w:i/>
          <w:noProof/>
          <w:szCs w:val="22"/>
        </w:rPr>
        <w:t>Sexo</w:t>
      </w:r>
    </w:p>
    <w:p w14:paraId="06FCF7B5" w14:textId="77777777" w:rsidR="005B1C7B" w:rsidRPr="0063119B" w:rsidRDefault="005B1C7B" w:rsidP="005B1C7B">
      <w:pPr>
        <w:rPr>
          <w:noProof/>
          <w:szCs w:val="22"/>
        </w:rPr>
      </w:pPr>
      <w:r w:rsidRPr="0063119B">
        <w:rPr>
          <w:noProof/>
          <w:szCs w:val="22"/>
        </w:rPr>
        <w:t>Não se verificaram diferenças clinicamente relevantes na farmacocinética e farmacodinâmica entre doentes do sexo masculino e feminino.</w:t>
      </w:r>
    </w:p>
    <w:p w14:paraId="31B78ED5" w14:textId="77777777" w:rsidR="005B1C7B" w:rsidRPr="0063119B" w:rsidRDefault="005B1C7B" w:rsidP="005B1C7B">
      <w:pPr>
        <w:rPr>
          <w:noProof/>
          <w:szCs w:val="22"/>
          <w:u w:val="single"/>
        </w:rPr>
      </w:pPr>
    </w:p>
    <w:p w14:paraId="69EF3E12" w14:textId="77777777" w:rsidR="005B1C7B" w:rsidRPr="0063119B" w:rsidRDefault="005B1C7B" w:rsidP="005B1C7B">
      <w:pPr>
        <w:rPr>
          <w:i/>
          <w:noProof/>
          <w:szCs w:val="22"/>
        </w:rPr>
      </w:pPr>
      <w:r w:rsidRPr="0063119B">
        <w:rPr>
          <w:i/>
          <w:noProof/>
          <w:szCs w:val="22"/>
        </w:rPr>
        <w:t>População idosa</w:t>
      </w:r>
    </w:p>
    <w:p w14:paraId="1A2D1753" w14:textId="77777777" w:rsidR="005B1C7B" w:rsidRPr="0063119B" w:rsidRDefault="005B1C7B" w:rsidP="005B1C7B">
      <w:pPr>
        <w:rPr>
          <w:noProof/>
          <w:szCs w:val="22"/>
        </w:rPr>
      </w:pPr>
      <w:r w:rsidRPr="0063119B">
        <w:rPr>
          <w:noProof/>
          <w:szCs w:val="22"/>
        </w:rPr>
        <w:t>Os doentes idosos apresentaram concentrações plasmáticas mais elevadas do que doentes mais jovens, com valores médios de AUC de aproximadamente 1,5 vezes superiores, devido principalmente a uma redução (aparente) na taxa de depuração total e renal. Não são necessários ajustes posológicos.</w:t>
      </w:r>
    </w:p>
    <w:p w14:paraId="4EE49C60" w14:textId="77777777" w:rsidR="005B1C7B" w:rsidRPr="0063119B" w:rsidRDefault="005B1C7B" w:rsidP="005B1C7B">
      <w:pPr>
        <w:rPr>
          <w:i/>
          <w:noProof/>
          <w:szCs w:val="22"/>
        </w:rPr>
      </w:pPr>
    </w:p>
    <w:p w14:paraId="334FE4D2" w14:textId="77777777" w:rsidR="005B1C7B" w:rsidRPr="0063119B" w:rsidRDefault="005B1C7B" w:rsidP="005B1C7B">
      <w:pPr>
        <w:rPr>
          <w:i/>
          <w:noProof/>
          <w:szCs w:val="22"/>
        </w:rPr>
      </w:pPr>
      <w:r w:rsidRPr="0063119B">
        <w:rPr>
          <w:i/>
          <w:noProof/>
          <w:szCs w:val="22"/>
        </w:rPr>
        <w:t>Diferentes categorias de peso</w:t>
      </w:r>
    </w:p>
    <w:p w14:paraId="1B0A0CE1" w14:textId="77777777" w:rsidR="005B1C7B" w:rsidRPr="0063119B" w:rsidRDefault="005B1C7B" w:rsidP="005B1C7B">
      <w:pPr>
        <w:rPr>
          <w:noProof/>
          <w:szCs w:val="22"/>
        </w:rPr>
      </w:pPr>
      <w:r w:rsidRPr="0063119B">
        <w:rPr>
          <w:noProof/>
          <w:szCs w:val="22"/>
        </w:rPr>
        <w:t>Os extremos no peso corporal (&lt; 50 kg ou &gt; 120 kg) tiveram apenas uma pequena influência sobre as concentrações plasmáticas do rivaroxabano (menos de 25%). Não são necessários ajustes posológicos.</w:t>
      </w:r>
    </w:p>
    <w:p w14:paraId="6B9CDD3E" w14:textId="77777777" w:rsidR="005B1C7B" w:rsidRPr="0063119B" w:rsidRDefault="005B1C7B" w:rsidP="005B1C7B">
      <w:pPr>
        <w:rPr>
          <w:i/>
          <w:noProof/>
          <w:szCs w:val="22"/>
          <w:u w:val="single"/>
        </w:rPr>
      </w:pPr>
    </w:p>
    <w:p w14:paraId="7BE074A1" w14:textId="77777777" w:rsidR="005B1C7B" w:rsidRPr="0063119B" w:rsidRDefault="005B1C7B" w:rsidP="005B1C7B">
      <w:pPr>
        <w:rPr>
          <w:i/>
          <w:noProof/>
          <w:szCs w:val="22"/>
        </w:rPr>
      </w:pPr>
      <w:r w:rsidRPr="0063119B">
        <w:rPr>
          <w:i/>
          <w:noProof/>
          <w:szCs w:val="22"/>
        </w:rPr>
        <w:t>Diferenças interétnicas</w:t>
      </w:r>
    </w:p>
    <w:p w14:paraId="6CE72DE9" w14:textId="77777777" w:rsidR="005B1C7B" w:rsidRPr="0063119B" w:rsidRDefault="005B1C7B" w:rsidP="005B1C7B">
      <w:pPr>
        <w:rPr>
          <w:noProof/>
          <w:szCs w:val="22"/>
        </w:rPr>
      </w:pPr>
      <w:r w:rsidRPr="0063119B">
        <w:rPr>
          <w:noProof/>
          <w:szCs w:val="22"/>
        </w:rPr>
        <w:t>Não foram observadas diferenças interétnicas clinicamente relevantes em relação à farmacocinética e farmacodinâmica do rivaroxabano, entre os doentes Caucasianos, Afro</w:t>
      </w:r>
      <w:r w:rsidRPr="0063119B">
        <w:rPr>
          <w:noProof/>
          <w:szCs w:val="22"/>
        </w:rPr>
        <w:noBreakHyphen/>
        <w:t>Americanos, Hispânicos, Japoneses ou Chineses.</w:t>
      </w:r>
    </w:p>
    <w:p w14:paraId="7BD9335C" w14:textId="77777777" w:rsidR="005B1C7B" w:rsidRPr="0063119B" w:rsidRDefault="005B1C7B" w:rsidP="005B1C7B">
      <w:pPr>
        <w:rPr>
          <w:noProof/>
          <w:szCs w:val="22"/>
        </w:rPr>
      </w:pPr>
    </w:p>
    <w:p w14:paraId="56944A08" w14:textId="77777777" w:rsidR="005B1C7B" w:rsidRPr="0063119B" w:rsidRDefault="005B1C7B" w:rsidP="005B1C7B">
      <w:pPr>
        <w:rPr>
          <w:noProof/>
          <w:szCs w:val="22"/>
        </w:rPr>
      </w:pPr>
      <w:r w:rsidRPr="0063119B">
        <w:rPr>
          <w:i/>
          <w:noProof/>
          <w:szCs w:val="22"/>
        </w:rPr>
        <w:t>Compromisso hepático</w:t>
      </w:r>
    </w:p>
    <w:p w14:paraId="11E8E741" w14:textId="77777777" w:rsidR="005B1C7B" w:rsidRPr="0063119B" w:rsidRDefault="005B1C7B" w:rsidP="005B1C7B">
      <w:pPr>
        <w:rPr>
          <w:noProof/>
          <w:szCs w:val="22"/>
        </w:rPr>
      </w:pPr>
      <w:r w:rsidRPr="0063119B">
        <w:rPr>
          <w:noProof/>
          <w:szCs w:val="22"/>
        </w:rPr>
        <w:t>Os doentes com cirrose e com compromisso hepático ligeiro (classificados como Child Pugh A) apresentaram, apenas, pequenas alterações na farmacocinética do rivaroxabano (aumento de 1,2 vezes da AUC do rivaroxabano, em média), quase comparável ao grupo controlo saudável correspondente. Em doentes com cirrose e com compromisso hepático moderado (classificados como Child Pugh B), a média da AUC do rivaroxabano foi significativamente aumentada em 2,3 vezes, em comparação com voluntários saudáveis. A AUC não ligada aumentou 2,6 vezes. Estes doentes tiveram também diminuição da eliminação renal do rivaroxabano, semelhante aos doentes com compromisso renal moderado. Não existem dados em doentes com compromisso hepático grave.</w:t>
      </w:r>
    </w:p>
    <w:p w14:paraId="2EFC73FE" w14:textId="77777777" w:rsidR="005B1C7B" w:rsidRPr="0063119B" w:rsidRDefault="005B1C7B" w:rsidP="005B1C7B">
      <w:pPr>
        <w:rPr>
          <w:noProof/>
          <w:szCs w:val="22"/>
        </w:rPr>
      </w:pPr>
      <w:r w:rsidRPr="0063119B">
        <w:rPr>
          <w:noProof/>
          <w:szCs w:val="22"/>
        </w:rPr>
        <w:t>A inibição da atividade do fator Xa aumentou de um fator de 2,6 em doentes com compromisso hepático moderado em comparação com voluntários saudáveis; de forma semelhante, o prolongamento do TP aumentou de um fator de 2,1. Doentes com compromisso hepático moderado foram mais sensíveis ao rivaroxabano resultando numa relação farmacocinética/farmacodinâmica mais acentuada entre a concentração e o TP.</w:t>
      </w:r>
    </w:p>
    <w:p w14:paraId="25FAA6C6" w14:textId="77777777" w:rsidR="005B1C7B" w:rsidRPr="0063119B" w:rsidRDefault="00FE3820" w:rsidP="005B1C7B">
      <w:pPr>
        <w:rPr>
          <w:noProof/>
          <w:szCs w:val="22"/>
        </w:rPr>
      </w:pPr>
      <w:r w:rsidRPr="0063119B">
        <w:rPr>
          <w:noProof/>
          <w:szCs w:val="22"/>
        </w:rPr>
        <w:t>O r</w:t>
      </w:r>
      <w:r w:rsidR="00754E0E" w:rsidRPr="0063119B">
        <w:rPr>
          <w:noProof/>
          <w:szCs w:val="22"/>
        </w:rPr>
        <w:t>ivaroxaban</w:t>
      </w:r>
      <w:r w:rsidRPr="0063119B">
        <w:rPr>
          <w:noProof/>
          <w:szCs w:val="22"/>
        </w:rPr>
        <w:t>o é</w:t>
      </w:r>
      <w:r w:rsidR="005B1C7B" w:rsidRPr="0063119B">
        <w:rPr>
          <w:noProof/>
          <w:szCs w:val="22"/>
        </w:rPr>
        <w:t xml:space="preserve"> contraindicado em doentes com doença hepática associada a coagulopatia e risco de hemorragia clinicamente relevante, incluindo doentes com cirrose com Child Pugh B e C (ver secção 4.3).</w:t>
      </w:r>
    </w:p>
    <w:p w14:paraId="1BDCC90E" w14:textId="77777777" w:rsidR="005B1C7B" w:rsidRPr="0063119B" w:rsidRDefault="005B1C7B" w:rsidP="005B1C7B">
      <w:pPr>
        <w:rPr>
          <w:i/>
          <w:noProof/>
          <w:szCs w:val="22"/>
          <w:u w:val="single"/>
        </w:rPr>
      </w:pPr>
    </w:p>
    <w:p w14:paraId="0019F0BC" w14:textId="77777777" w:rsidR="005B1C7B" w:rsidRPr="0063119B" w:rsidRDefault="005B1C7B" w:rsidP="005B1C7B">
      <w:pPr>
        <w:keepNext/>
        <w:rPr>
          <w:i/>
          <w:noProof/>
          <w:szCs w:val="22"/>
        </w:rPr>
      </w:pPr>
      <w:r w:rsidRPr="0063119B">
        <w:rPr>
          <w:i/>
          <w:noProof/>
          <w:szCs w:val="22"/>
        </w:rPr>
        <w:t>Compromisso renal</w:t>
      </w:r>
    </w:p>
    <w:p w14:paraId="7E351D2E" w14:textId="77777777" w:rsidR="005B1C7B" w:rsidRPr="0063119B" w:rsidRDefault="005B1C7B" w:rsidP="005B1C7B">
      <w:pPr>
        <w:keepNext/>
        <w:rPr>
          <w:noProof/>
          <w:szCs w:val="22"/>
        </w:rPr>
      </w:pPr>
      <w:r w:rsidRPr="0063119B">
        <w:rPr>
          <w:noProof/>
          <w:szCs w:val="22"/>
        </w:rPr>
        <w:t>Verificou</w:t>
      </w:r>
      <w:r w:rsidRPr="0063119B">
        <w:rPr>
          <w:noProof/>
          <w:szCs w:val="22"/>
        </w:rPr>
        <w:noBreakHyphen/>
        <w:t>se um aumento da exposição a rivaroxabano correlacionado com a diminuição da função renal, avaliada através das determinações da taxa de depuração da creatinina. Nos indivíduos com compromisso renal ligeiro (taxa de depuração da creatinina de 50 </w:t>
      </w:r>
      <w:r w:rsidRPr="0063119B">
        <w:rPr>
          <w:noProof/>
          <w:szCs w:val="22"/>
        </w:rPr>
        <w:noBreakHyphen/>
        <w:t> 80 ml/min), moderado (taxa de depuração da creatinina 30 </w:t>
      </w:r>
      <w:r w:rsidRPr="0063119B">
        <w:rPr>
          <w:noProof/>
          <w:szCs w:val="22"/>
        </w:rPr>
        <w:noBreakHyphen/>
        <w:t> 49 ml/min) e grave (taxa de depuração da creatinina 15 </w:t>
      </w:r>
      <w:r w:rsidRPr="0063119B">
        <w:rPr>
          <w:noProof/>
          <w:szCs w:val="22"/>
        </w:rPr>
        <w:noBreakHyphen/>
        <w:t> 29 ml/min), as concentrações plasmáticas (AUC) de rivaroxabano aumentaram 1,4, 1,5 e 1,6 vezes, respetivamente. Os aumentos correspondentes nos efeitos farmacodinâmicos foram mais acentuados. Em indivíduos com compromisso renal ligeiro, moderado e grave a inibição total da atividade do fator Xa aumentou por um fator de 1,5, 1,9 e 2,0, respetivamente, em comparação com voluntários saudáveis; o prolongamento do TP aumentou, de forma semelhante, por um fator de 1,3, 2,2 e 2,4 respetivamente. Não existem dados em doentes com uma taxa de depuração de creatinina &lt; 15 ml/min.</w:t>
      </w:r>
    </w:p>
    <w:p w14:paraId="56AD7974" w14:textId="77777777" w:rsidR="005B1C7B" w:rsidRPr="0063119B" w:rsidRDefault="005B1C7B" w:rsidP="005B1C7B">
      <w:pPr>
        <w:rPr>
          <w:noProof/>
          <w:szCs w:val="22"/>
        </w:rPr>
      </w:pPr>
      <w:r w:rsidRPr="0063119B">
        <w:rPr>
          <w:noProof/>
          <w:szCs w:val="22"/>
        </w:rPr>
        <w:t>Devido à elevada ligação às proteínas plasmáticas, não se espera que o rivaroxabano seja dialisável.</w:t>
      </w:r>
    </w:p>
    <w:p w14:paraId="58193579" w14:textId="77777777" w:rsidR="005B1C7B" w:rsidRPr="0063119B" w:rsidRDefault="005B1C7B" w:rsidP="005B1C7B">
      <w:pPr>
        <w:rPr>
          <w:noProof/>
          <w:szCs w:val="22"/>
        </w:rPr>
      </w:pPr>
      <w:r w:rsidRPr="0063119B">
        <w:rPr>
          <w:noProof/>
          <w:szCs w:val="22"/>
        </w:rPr>
        <w:t xml:space="preserve">A utilização não é recomendada em doentes com uma taxa de depuração de creatinina &lt; 15 ml/min. </w:t>
      </w:r>
      <w:r w:rsidR="00FE3820" w:rsidRPr="0063119B">
        <w:rPr>
          <w:noProof/>
          <w:szCs w:val="22"/>
        </w:rPr>
        <w:t>O r</w:t>
      </w:r>
      <w:r w:rsidR="00754E0E" w:rsidRPr="0063119B">
        <w:rPr>
          <w:noProof/>
          <w:szCs w:val="22"/>
        </w:rPr>
        <w:t>ivaroxaban</w:t>
      </w:r>
      <w:r w:rsidR="00FE3820" w:rsidRPr="0063119B">
        <w:rPr>
          <w:noProof/>
          <w:szCs w:val="22"/>
        </w:rPr>
        <w:t>o</w:t>
      </w:r>
      <w:r w:rsidRPr="0063119B">
        <w:rPr>
          <w:noProof/>
          <w:szCs w:val="22"/>
        </w:rPr>
        <w:t xml:space="preserve"> deve ser u</w:t>
      </w:r>
      <w:r w:rsidR="00FE3820" w:rsidRPr="0063119B">
        <w:rPr>
          <w:noProof/>
          <w:szCs w:val="22"/>
        </w:rPr>
        <w:t>tiliz</w:t>
      </w:r>
      <w:r w:rsidRPr="0063119B">
        <w:rPr>
          <w:noProof/>
          <w:szCs w:val="22"/>
        </w:rPr>
        <w:t>ado com precaução em doentes com uma taxa de depuração de creatinina entre 15 </w:t>
      </w:r>
      <w:r w:rsidRPr="0063119B">
        <w:rPr>
          <w:noProof/>
          <w:szCs w:val="22"/>
        </w:rPr>
        <w:noBreakHyphen/>
        <w:t> 29 ml/min (ver secção 4.4).</w:t>
      </w:r>
    </w:p>
    <w:p w14:paraId="5A255718" w14:textId="77777777" w:rsidR="005B1C7B" w:rsidRPr="0063119B" w:rsidRDefault="005B1C7B" w:rsidP="005B1C7B">
      <w:pPr>
        <w:rPr>
          <w:noProof/>
          <w:szCs w:val="22"/>
        </w:rPr>
      </w:pPr>
    </w:p>
    <w:p w14:paraId="658B2263" w14:textId="77777777" w:rsidR="005B1C7B" w:rsidRPr="0063119B" w:rsidRDefault="005B1C7B" w:rsidP="005B1C7B">
      <w:pPr>
        <w:rPr>
          <w:szCs w:val="22"/>
        </w:rPr>
      </w:pPr>
      <w:r w:rsidRPr="0063119B">
        <w:rPr>
          <w:szCs w:val="22"/>
          <w:u w:val="single"/>
        </w:rPr>
        <w:t>Dados farmacocinéticos em doentes</w:t>
      </w:r>
    </w:p>
    <w:p w14:paraId="25B314AC" w14:textId="77777777" w:rsidR="00FE3820" w:rsidRPr="0063119B" w:rsidRDefault="00FE3820" w:rsidP="005B1C7B">
      <w:pPr>
        <w:rPr>
          <w:szCs w:val="22"/>
        </w:rPr>
      </w:pPr>
    </w:p>
    <w:p w14:paraId="622CC2C1" w14:textId="77777777" w:rsidR="005B1C7B" w:rsidRPr="0063119B" w:rsidRDefault="005B1C7B" w:rsidP="005B1C7B">
      <w:pPr>
        <w:rPr>
          <w:szCs w:val="22"/>
        </w:rPr>
      </w:pPr>
      <w:r w:rsidRPr="0063119B">
        <w:rPr>
          <w:szCs w:val="22"/>
        </w:rPr>
        <w:t>Nos doentes tratados com 20</w:t>
      </w:r>
      <w:r w:rsidR="00FE3820" w:rsidRPr="0063119B">
        <w:rPr>
          <w:szCs w:val="22"/>
        </w:rPr>
        <w:t> </w:t>
      </w:r>
      <w:r w:rsidRPr="0063119B">
        <w:rPr>
          <w:szCs w:val="22"/>
        </w:rPr>
        <w:t xml:space="preserve">mg, de rivaroxabano, uma vez ao dia, para o tratamento da TVP aguda, a concentração média geométrica (intervalo de previsão de 90%), 2 </w:t>
      </w:r>
      <w:r w:rsidR="00377739" w:rsidRPr="0063119B">
        <w:rPr>
          <w:szCs w:val="22"/>
        </w:rPr>
        <w:t>-</w:t>
      </w:r>
      <w:r w:rsidRPr="0063119B">
        <w:rPr>
          <w:szCs w:val="22"/>
        </w:rPr>
        <w:t xml:space="preserve"> 4</w:t>
      </w:r>
      <w:r w:rsidR="00FE3820" w:rsidRPr="0063119B">
        <w:rPr>
          <w:szCs w:val="22"/>
        </w:rPr>
        <w:t> </w:t>
      </w:r>
      <w:r w:rsidRPr="0063119B">
        <w:rPr>
          <w:szCs w:val="22"/>
        </w:rPr>
        <w:t>h e cerca de 24</w:t>
      </w:r>
      <w:r w:rsidR="00FE3820" w:rsidRPr="0063119B">
        <w:rPr>
          <w:szCs w:val="22"/>
        </w:rPr>
        <w:t> </w:t>
      </w:r>
      <w:r w:rsidRPr="0063119B">
        <w:rPr>
          <w:szCs w:val="22"/>
        </w:rPr>
        <w:t xml:space="preserve">h após a dose (representando, aproximadamente, concentrações máximas e mínimas durante o intervalo de doses) foi de 215 (22 </w:t>
      </w:r>
      <w:r w:rsidR="00377739" w:rsidRPr="0063119B">
        <w:rPr>
          <w:szCs w:val="22"/>
        </w:rPr>
        <w:t>-</w:t>
      </w:r>
      <w:r w:rsidRPr="0063119B">
        <w:rPr>
          <w:szCs w:val="22"/>
        </w:rPr>
        <w:t xml:space="preserve"> 535) e 32 (6 - 239)</w:t>
      </w:r>
      <w:r w:rsidR="00FE3820" w:rsidRPr="0063119B">
        <w:rPr>
          <w:szCs w:val="22"/>
        </w:rPr>
        <w:t> </w:t>
      </w:r>
      <w:r w:rsidR="00377739" w:rsidRPr="0063119B">
        <w:rPr>
          <w:szCs w:val="22"/>
        </w:rPr>
        <w:t>mcg/l</w:t>
      </w:r>
      <w:r w:rsidRPr="0063119B">
        <w:rPr>
          <w:szCs w:val="22"/>
        </w:rPr>
        <w:t>, respetivamente.</w:t>
      </w:r>
    </w:p>
    <w:p w14:paraId="6A384FC3" w14:textId="77777777" w:rsidR="005B1C7B" w:rsidRPr="0063119B" w:rsidRDefault="005B1C7B" w:rsidP="005B1C7B">
      <w:pPr>
        <w:suppressAutoHyphens/>
        <w:ind w:left="567" w:hanging="567"/>
        <w:rPr>
          <w:noProof/>
          <w:szCs w:val="22"/>
          <w:u w:val="single"/>
        </w:rPr>
      </w:pPr>
    </w:p>
    <w:p w14:paraId="0D58CA07" w14:textId="77777777" w:rsidR="005B1C7B" w:rsidRPr="0063119B" w:rsidRDefault="005B1C7B" w:rsidP="005B1C7B">
      <w:pPr>
        <w:suppressAutoHyphens/>
        <w:ind w:left="567" w:hanging="567"/>
        <w:rPr>
          <w:noProof/>
          <w:szCs w:val="22"/>
          <w:u w:val="single"/>
        </w:rPr>
      </w:pPr>
      <w:r w:rsidRPr="0063119B">
        <w:rPr>
          <w:noProof/>
          <w:szCs w:val="22"/>
          <w:u w:val="single"/>
        </w:rPr>
        <w:t>Relação farmacocinética/farmacodinâmica</w:t>
      </w:r>
    </w:p>
    <w:p w14:paraId="224B2E62" w14:textId="77777777" w:rsidR="00FE3820" w:rsidRPr="0063119B" w:rsidRDefault="00FE3820" w:rsidP="005B1C7B">
      <w:pPr>
        <w:suppressAutoHyphens/>
        <w:rPr>
          <w:noProof/>
          <w:szCs w:val="22"/>
        </w:rPr>
      </w:pPr>
    </w:p>
    <w:p w14:paraId="393F3626" w14:textId="77777777" w:rsidR="005B1C7B" w:rsidRPr="0063119B" w:rsidRDefault="005B1C7B" w:rsidP="005B1C7B">
      <w:pPr>
        <w:suppressAutoHyphens/>
        <w:rPr>
          <w:noProof/>
          <w:szCs w:val="22"/>
        </w:rPr>
      </w:pPr>
      <w:r w:rsidRPr="0063119B">
        <w:rPr>
          <w:noProof/>
          <w:szCs w:val="22"/>
        </w:rPr>
        <w:t xml:space="preserve">A relação farmacocinética/farmacodinâmica (PK/PD) entre a concentração plasmática de rivaroxabano e os diversos </w:t>
      </w:r>
      <w:r w:rsidRPr="0063119B">
        <w:rPr>
          <w:i/>
          <w:noProof/>
          <w:szCs w:val="22"/>
        </w:rPr>
        <w:t>endpoints</w:t>
      </w:r>
      <w:r w:rsidRPr="0063119B">
        <w:rPr>
          <w:noProof/>
          <w:szCs w:val="22"/>
        </w:rPr>
        <w:t xml:space="preserve"> farmacodinâmicos (inibição do fator Xa, TP, aPTT, Heptest) têm sido avaliados após a administração de um amplo intervalo de doses (5 </w:t>
      </w:r>
      <w:r w:rsidRPr="0063119B">
        <w:rPr>
          <w:noProof/>
          <w:szCs w:val="22"/>
        </w:rPr>
        <w:noBreakHyphen/>
        <w:t> 30 mg duas vezes ao dia). A relação entre a concentração de rivaroxabano e a atividade do fator Xa foi melhor descrita por um modelo E</w:t>
      </w:r>
      <w:r w:rsidRPr="0063119B">
        <w:rPr>
          <w:noProof/>
          <w:szCs w:val="22"/>
          <w:vertAlign w:val="subscript"/>
        </w:rPr>
        <w:t>max</w:t>
      </w:r>
      <w:r w:rsidRPr="0063119B">
        <w:rPr>
          <w:noProof/>
          <w:szCs w:val="22"/>
        </w:rPr>
        <w:t>. Para TP, os dados são, geralmente, melhor descritos pelo modelo de interseção linear. Dependendo dos diferentes reagentes TP utilizados, o declive diferiu consideravelmente. Quando foi utilizado o TP da Neoplastin, o TP no estado basal foi de cerca de 13</w:t>
      </w:r>
      <w:r w:rsidR="00FE3820" w:rsidRPr="0063119B">
        <w:rPr>
          <w:noProof/>
          <w:szCs w:val="22"/>
        </w:rPr>
        <w:t> </w:t>
      </w:r>
      <w:r w:rsidRPr="0063119B">
        <w:rPr>
          <w:noProof/>
          <w:szCs w:val="22"/>
        </w:rPr>
        <w:t>seg. e o declive foi de 3 a 4 seg. (100 </w:t>
      </w:r>
      <w:r w:rsidR="00377739" w:rsidRPr="0063119B">
        <w:rPr>
          <w:noProof/>
          <w:szCs w:val="22"/>
        </w:rPr>
        <w:t>mcg</w:t>
      </w:r>
      <w:r w:rsidRPr="0063119B">
        <w:rPr>
          <w:noProof/>
          <w:szCs w:val="22"/>
        </w:rPr>
        <w:t>/l). Os resultados das análises PK/PD na Fase II e III foram consistentes com os dados estabelecidos nos indivíduos saudáveis.</w:t>
      </w:r>
    </w:p>
    <w:p w14:paraId="490D33C2" w14:textId="77777777" w:rsidR="005B1C7B" w:rsidRPr="0063119B" w:rsidRDefault="005B1C7B" w:rsidP="005B1C7B">
      <w:pPr>
        <w:suppressAutoHyphens/>
        <w:rPr>
          <w:noProof/>
          <w:szCs w:val="22"/>
        </w:rPr>
      </w:pPr>
    </w:p>
    <w:p w14:paraId="1A877F28" w14:textId="77777777" w:rsidR="005B1C7B" w:rsidRPr="0063119B" w:rsidRDefault="005B1C7B" w:rsidP="005B1C7B">
      <w:pPr>
        <w:suppressAutoHyphens/>
        <w:rPr>
          <w:noProof/>
          <w:szCs w:val="22"/>
        </w:rPr>
      </w:pPr>
      <w:r w:rsidRPr="0063119B">
        <w:rPr>
          <w:noProof/>
          <w:szCs w:val="22"/>
          <w:u w:val="single"/>
        </w:rPr>
        <w:t>População pediátrica</w:t>
      </w:r>
    </w:p>
    <w:p w14:paraId="5B25E7AA" w14:textId="77777777" w:rsidR="00FE3820" w:rsidRPr="0063119B" w:rsidRDefault="00FE3820" w:rsidP="005B1C7B">
      <w:pPr>
        <w:suppressAutoHyphens/>
        <w:rPr>
          <w:noProof/>
          <w:szCs w:val="22"/>
        </w:rPr>
      </w:pPr>
    </w:p>
    <w:p w14:paraId="58353F32" w14:textId="77777777" w:rsidR="005B1C7B" w:rsidRPr="0063119B" w:rsidRDefault="00BB04BB" w:rsidP="005B1C7B">
      <w:pPr>
        <w:suppressAutoHyphens/>
        <w:rPr>
          <w:szCs w:val="22"/>
        </w:rPr>
      </w:pPr>
      <w:r>
        <w:rPr>
          <w:szCs w:val="22"/>
        </w:rPr>
        <w:lastRenderedPageBreak/>
        <w:t>A embalagem de tratamento inicial de Rivaroxabano Accord foi concebida especificamente para o tratamento de doentes adultos e não é apropriada para utilização em doentes pediátricos</w:t>
      </w:r>
      <w:r w:rsidR="005B1C7B" w:rsidRPr="0063119B">
        <w:rPr>
          <w:szCs w:val="22"/>
        </w:rPr>
        <w:t>.</w:t>
      </w:r>
    </w:p>
    <w:p w14:paraId="0DC64439" w14:textId="77777777" w:rsidR="005B1C7B" w:rsidRPr="0063119B" w:rsidRDefault="005B1C7B" w:rsidP="005B1C7B">
      <w:pPr>
        <w:suppressAutoHyphens/>
        <w:rPr>
          <w:szCs w:val="22"/>
        </w:rPr>
      </w:pPr>
    </w:p>
    <w:p w14:paraId="0A33F722" w14:textId="77777777" w:rsidR="005B1C7B" w:rsidRPr="0063119B" w:rsidRDefault="005B1C7B" w:rsidP="005B1C7B">
      <w:pPr>
        <w:keepNext/>
        <w:suppressAutoHyphens/>
        <w:ind w:left="567" w:hanging="567"/>
        <w:rPr>
          <w:b/>
          <w:noProof/>
          <w:szCs w:val="22"/>
        </w:rPr>
      </w:pPr>
      <w:r w:rsidRPr="0063119B">
        <w:rPr>
          <w:b/>
          <w:noProof/>
          <w:szCs w:val="22"/>
        </w:rPr>
        <w:t>5.3</w:t>
      </w:r>
      <w:r w:rsidRPr="0063119B">
        <w:rPr>
          <w:b/>
          <w:noProof/>
          <w:szCs w:val="22"/>
        </w:rPr>
        <w:tab/>
        <w:t>Dados de segurança pré</w:t>
      </w:r>
      <w:r w:rsidRPr="0063119B">
        <w:rPr>
          <w:b/>
          <w:noProof/>
          <w:szCs w:val="22"/>
        </w:rPr>
        <w:noBreakHyphen/>
        <w:t>clínica</w:t>
      </w:r>
    </w:p>
    <w:p w14:paraId="069C7E37" w14:textId="77777777" w:rsidR="005B1C7B" w:rsidRPr="0063119B" w:rsidRDefault="005B1C7B" w:rsidP="005B1C7B">
      <w:pPr>
        <w:keepNext/>
        <w:rPr>
          <w:noProof/>
          <w:szCs w:val="22"/>
        </w:rPr>
      </w:pPr>
    </w:p>
    <w:p w14:paraId="3CA2B38F" w14:textId="77777777" w:rsidR="005B1C7B" w:rsidRPr="0063119B" w:rsidRDefault="005B1C7B" w:rsidP="005B1C7B">
      <w:pPr>
        <w:keepNext/>
        <w:rPr>
          <w:noProof/>
          <w:szCs w:val="22"/>
        </w:rPr>
      </w:pPr>
      <w:r w:rsidRPr="0063119B">
        <w:rPr>
          <w:noProof/>
          <w:szCs w:val="22"/>
        </w:rPr>
        <w:t>Os dados não clínicos não revelam riscos especiais para o ser humano, segundo estudos convencionais de farmacologia de segurança, toxicidade de dose única, fototoxicidade, genotoxicidade, potencial carcinogénico e toxicidade juvenil.</w:t>
      </w:r>
    </w:p>
    <w:p w14:paraId="48CF5BE7" w14:textId="77777777" w:rsidR="005B1C7B" w:rsidRPr="0063119B" w:rsidRDefault="005B1C7B" w:rsidP="005B1C7B">
      <w:pPr>
        <w:rPr>
          <w:noProof/>
          <w:szCs w:val="22"/>
        </w:rPr>
      </w:pPr>
      <w:r w:rsidRPr="0063119B">
        <w:rPr>
          <w:noProof/>
          <w:szCs w:val="22"/>
        </w:rPr>
        <w:t>Os efeitos observados em estudos de toxicidade de dose repetida foram devidos principalmente à atividade farmacodinâmica exagerada do rivaroxabano. Nos ratos, o aumento dos níveis plasmáticos de IgG e IgA foram observados em níveis de exposição clinicamente relevantes.</w:t>
      </w:r>
    </w:p>
    <w:p w14:paraId="5605766C" w14:textId="77777777" w:rsidR="005B1C7B" w:rsidRPr="0063119B" w:rsidRDefault="005B1C7B" w:rsidP="005B1C7B">
      <w:pPr>
        <w:rPr>
          <w:noProof/>
          <w:szCs w:val="22"/>
        </w:rPr>
      </w:pPr>
      <w:r w:rsidRPr="0063119B">
        <w:rPr>
          <w:noProof/>
          <w:szCs w:val="22"/>
        </w:rPr>
        <w:t>Não foi observado nenhum efeito sobre a fertilidade masculina ou feminina em ratos. Os estudos em animais demonstraram toxicidade reprodutiva relacionada com o modo de ação farmacológico de rivaroxabano (ex.: complicações hemorrágicas). Em concentrações plasmáticas clinicamente relevantes foram observados toxicidade embrio</w:t>
      </w:r>
      <w:r w:rsidRPr="0063119B">
        <w:rPr>
          <w:noProof/>
          <w:szCs w:val="22"/>
        </w:rPr>
        <w:noBreakHyphen/>
        <w:t>fetal (perda pós</w:t>
      </w:r>
      <w:r w:rsidRPr="0063119B">
        <w:rPr>
          <w:noProof/>
          <w:szCs w:val="22"/>
        </w:rPr>
        <w:noBreakHyphen/>
        <w:t>implantação, ossificação retardada/desenvolvida, múltiplas manchas hepáticas de cor clara) e um aumento da incidência de malformações frequentes, bem como alterações placentárias. No estudo pré</w:t>
      </w:r>
      <w:r w:rsidRPr="0063119B">
        <w:rPr>
          <w:noProof/>
          <w:szCs w:val="22"/>
        </w:rPr>
        <w:noBreakHyphen/>
        <w:t xml:space="preserve"> e pós</w:t>
      </w:r>
      <w:r w:rsidRPr="0063119B">
        <w:rPr>
          <w:noProof/>
          <w:szCs w:val="22"/>
        </w:rPr>
        <w:noBreakHyphen/>
        <w:t>natal em ratos, observou</w:t>
      </w:r>
      <w:r w:rsidRPr="0063119B">
        <w:rPr>
          <w:noProof/>
          <w:szCs w:val="22"/>
        </w:rPr>
        <w:noBreakHyphen/>
        <w:t>se redução da viabilidade da descendência em doses que foram tóxicas para as mães.</w:t>
      </w:r>
    </w:p>
    <w:p w14:paraId="2A9CEE58" w14:textId="77777777" w:rsidR="005B1C7B" w:rsidRPr="0063119B" w:rsidRDefault="005B1C7B" w:rsidP="005B1C7B">
      <w:pPr>
        <w:suppressAutoHyphens/>
        <w:rPr>
          <w:noProof/>
          <w:szCs w:val="22"/>
        </w:rPr>
      </w:pPr>
    </w:p>
    <w:p w14:paraId="61706907" w14:textId="77777777" w:rsidR="005B1C7B" w:rsidRPr="0063119B" w:rsidRDefault="005B1C7B" w:rsidP="005B1C7B">
      <w:pPr>
        <w:suppressAutoHyphens/>
        <w:ind w:left="567" w:hanging="567"/>
        <w:rPr>
          <w:b/>
          <w:noProof/>
          <w:szCs w:val="22"/>
        </w:rPr>
      </w:pPr>
    </w:p>
    <w:p w14:paraId="307A2130" w14:textId="77777777" w:rsidR="005B1C7B" w:rsidRPr="0063119B" w:rsidRDefault="005B1C7B" w:rsidP="005B1C7B">
      <w:pPr>
        <w:keepNext/>
        <w:suppressAutoHyphens/>
        <w:ind w:left="567" w:hanging="567"/>
        <w:rPr>
          <w:noProof/>
          <w:szCs w:val="22"/>
        </w:rPr>
      </w:pPr>
      <w:r w:rsidRPr="0063119B">
        <w:rPr>
          <w:b/>
          <w:noProof/>
          <w:szCs w:val="22"/>
        </w:rPr>
        <w:t>6.</w:t>
      </w:r>
      <w:r w:rsidRPr="0063119B">
        <w:rPr>
          <w:b/>
          <w:noProof/>
          <w:szCs w:val="22"/>
        </w:rPr>
        <w:tab/>
        <w:t>INFORMAÇÕES FARMACÊUTICAS</w:t>
      </w:r>
    </w:p>
    <w:p w14:paraId="5857FAA3" w14:textId="77777777" w:rsidR="005B1C7B" w:rsidRPr="0063119B" w:rsidRDefault="005B1C7B" w:rsidP="005B1C7B">
      <w:pPr>
        <w:keepNext/>
        <w:suppressAutoHyphens/>
        <w:rPr>
          <w:noProof/>
          <w:szCs w:val="22"/>
        </w:rPr>
      </w:pPr>
    </w:p>
    <w:p w14:paraId="42373501" w14:textId="77777777" w:rsidR="005B1C7B" w:rsidRPr="0063119B" w:rsidRDefault="005B1C7B" w:rsidP="005B1C7B">
      <w:pPr>
        <w:keepNext/>
        <w:suppressAutoHyphens/>
        <w:ind w:left="567" w:hanging="567"/>
        <w:rPr>
          <w:noProof/>
          <w:szCs w:val="22"/>
        </w:rPr>
      </w:pPr>
      <w:r w:rsidRPr="0063119B">
        <w:rPr>
          <w:b/>
          <w:noProof/>
          <w:szCs w:val="22"/>
        </w:rPr>
        <w:t>6.1.</w:t>
      </w:r>
      <w:r w:rsidRPr="0063119B">
        <w:rPr>
          <w:b/>
          <w:noProof/>
          <w:szCs w:val="22"/>
        </w:rPr>
        <w:tab/>
        <w:t>Lista dos excipientes</w:t>
      </w:r>
    </w:p>
    <w:p w14:paraId="5AF92F85" w14:textId="77777777" w:rsidR="005B1C7B" w:rsidRPr="0063119B" w:rsidRDefault="005B1C7B" w:rsidP="005B1C7B">
      <w:pPr>
        <w:keepNext/>
        <w:suppressAutoHyphens/>
        <w:rPr>
          <w:noProof/>
          <w:szCs w:val="22"/>
        </w:rPr>
      </w:pPr>
    </w:p>
    <w:p w14:paraId="24A0D816" w14:textId="77777777" w:rsidR="005B1C7B" w:rsidRPr="0063119B" w:rsidRDefault="005B1C7B" w:rsidP="005B1C7B">
      <w:pPr>
        <w:keepNext/>
        <w:suppressAutoHyphens/>
        <w:rPr>
          <w:noProof/>
          <w:szCs w:val="22"/>
          <w:u w:val="single"/>
        </w:rPr>
      </w:pPr>
      <w:r w:rsidRPr="0063119B">
        <w:rPr>
          <w:noProof/>
          <w:szCs w:val="22"/>
          <w:u w:val="single"/>
        </w:rPr>
        <w:t>Núcleo do comprimido</w:t>
      </w:r>
    </w:p>
    <w:p w14:paraId="498E8481" w14:textId="77777777" w:rsidR="00443BAA" w:rsidRPr="0063119B" w:rsidRDefault="00443BAA" w:rsidP="005B1C7B">
      <w:pPr>
        <w:keepNext/>
        <w:suppressAutoHyphens/>
        <w:rPr>
          <w:noProof/>
          <w:szCs w:val="22"/>
        </w:rPr>
      </w:pPr>
    </w:p>
    <w:p w14:paraId="7B7E31C2" w14:textId="77777777" w:rsidR="005B1C7B" w:rsidRPr="0063119B" w:rsidRDefault="005B1C7B" w:rsidP="005B1C7B">
      <w:pPr>
        <w:keepNext/>
        <w:suppressAutoHyphens/>
        <w:rPr>
          <w:noProof/>
          <w:szCs w:val="22"/>
        </w:rPr>
      </w:pPr>
      <w:r w:rsidRPr="0063119B">
        <w:rPr>
          <w:noProof/>
          <w:szCs w:val="22"/>
        </w:rPr>
        <w:t>Lactose mono</w:t>
      </w:r>
      <w:r w:rsidR="00443BAA" w:rsidRPr="0063119B">
        <w:rPr>
          <w:noProof/>
          <w:szCs w:val="22"/>
        </w:rPr>
        <w:t>-</w:t>
      </w:r>
      <w:r w:rsidRPr="0063119B">
        <w:rPr>
          <w:noProof/>
          <w:szCs w:val="22"/>
        </w:rPr>
        <w:t>hidratada</w:t>
      </w:r>
    </w:p>
    <w:p w14:paraId="3347EB12" w14:textId="77777777" w:rsidR="00FE3820" w:rsidRPr="0063119B" w:rsidRDefault="00FE3820" w:rsidP="00FE3820">
      <w:pPr>
        <w:keepNext/>
        <w:suppressAutoHyphens/>
        <w:rPr>
          <w:noProof/>
          <w:szCs w:val="22"/>
        </w:rPr>
      </w:pPr>
      <w:r w:rsidRPr="0063119B">
        <w:rPr>
          <w:noProof/>
          <w:szCs w:val="22"/>
        </w:rPr>
        <w:t>Croscarmelose sódica (E468)</w:t>
      </w:r>
    </w:p>
    <w:p w14:paraId="6911D44C" w14:textId="77777777" w:rsidR="00FE3820" w:rsidRPr="0063119B" w:rsidRDefault="00FE3820" w:rsidP="00FE3820">
      <w:pPr>
        <w:keepNext/>
        <w:suppressAutoHyphens/>
        <w:rPr>
          <w:noProof/>
          <w:szCs w:val="22"/>
        </w:rPr>
      </w:pPr>
      <w:r w:rsidRPr="0063119B">
        <w:rPr>
          <w:noProof/>
          <w:szCs w:val="22"/>
        </w:rPr>
        <w:t>Laurilsulfato de sódio (E487)</w:t>
      </w:r>
    </w:p>
    <w:p w14:paraId="6C0A61BD" w14:textId="77777777" w:rsidR="005B1C7B" w:rsidRPr="0063119B" w:rsidRDefault="005B1C7B" w:rsidP="005B1C7B">
      <w:pPr>
        <w:keepNext/>
        <w:suppressAutoHyphens/>
        <w:rPr>
          <w:noProof/>
          <w:szCs w:val="22"/>
        </w:rPr>
      </w:pPr>
      <w:r w:rsidRPr="0063119B">
        <w:rPr>
          <w:noProof/>
          <w:szCs w:val="22"/>
        </w:rPr>
        <w:t>Hipromelose</w:t>
      </w:r>
      <w:r w:rsidR="000C03A0" w:rsidRPr="0063119B">
        <w:rPr>
          <w:noProof/>
          <w:szCs w:val="22"/>
        </w:rPr>
        <w:t xml:space="preserve"> 2910</w:t>
      </w:r>
      <w:r w:rsidR="00FE3820" w:rsidRPr="0063119B">
        <w:rPr>
          <w:noProof/>
          <w:szCs w:val="22"/>
        </w:rPr>
        <w:t xml:space="preserve"> (viscosidade nominal 5,1 mPa</w:t>
      </w:r>
      <w:r w:rsidR="00052956" w:rsidRPr="0063119B">
        <w:rPr>
          <w:noProof/>
          <w:szCs w:val="22"/>
        </w:rPr>
        <w:t>.</w:t>
      </w:r>
      <w:r w:rsidR="00FE3820" w:rsidRPr="0063119B">
        <w:rPr>
          <w:noProof/>
          <w:szCs w:val="22"/>
        </w:rPr>
        <w:t>S) (E464)</w:t>
      </w:r>
    </w:p>
    <w:p w14:paraId="655492B5" w14:textId="77777777" w:rsidR="00FE3820" w:rsidRPr="0063119B" w:rsidRDefault="00FE3820" w:rsidP="00FE3820">
      <w:pPr>
        <w:keepNext/>
        <w:suppressAutoHyphens/>
        <w:rPr>
          <w:noProof/>
          <w:szCs w:val="22"/>
        </w:rPr>
      </w:pPr>
      <w:r w:rsidRPr="0063119B">
        <w:rPr>
          <w:noProof/>
          <w:szCs w:val="22"/>
        </w:rPr>
        <w:t>Celulose microcristalina (E460)</w:t>
      </w:r>
    </w:p>
    <w:p w14:paraId="788D1E1D" w14:textId="77777777" w:rsidR="00FE3820" w:rsidRPr="0063119B" w:rsidRDefault="00FE3820" w:rsidP="00FE3820">
      <w:pPr>
        <w:keepNext/>
        <w:suppressAutoHyphens/>
        <w:rPr>
          <w:noProof/>
          <w:szCs w:val="22"/>
        </w:rPr>
      </w:pPr>
      <w:r w:rsidRPr="0063119B">
        <w:rPr>
          <w:noProof/>
          <w:szCs w:val="22"/>
        </w:rPr>
        <w:t>Sílica coloidal anidra (E551)</w:t>
      </w:r>
    </w:p>
    <w:p w14:paraId="58C9421C" w14:textId="77777777" w:rsidR="005B1C7B" w:rsidRPr="0063119B" w:rsidRDefault="005B1C7B" w:rsidP="005B1C7B">
      <w:pPr>
        <w:keepNext/>
        <w:suppressAutoHyphens/>
        <w:rPr>
          <w:noProof/>
          <w:szCs w:val="22"/>
        </w:rPr>
      </w:pPr>
      <w:r w:rsidRPr="0063119B">
        <w:rPr>
          <w:noProof/>
          <w:szCs w:val="22"/>
        </w:rPr>
        <w:t>Estearato de magnésio</w:t>
      </w:r>
      <w:r w:rsidR="00FE3820" w:rsidRPr="0063119B">
        <w:rPr>
          <w:noProof/>
          <w:szCs w:val="22"/>
        </w:rPr>
        <w:t xml:space="preserve"> (E572)</w:t>
      </w:r>
    </w:p>
    <w:p w14:paraId="3BFA0483" w14:textId="77777777" w:rsidR="005B1C7B" w:rsidRPr="0063119B" w:rsidRDefault="005B1C7B" w:rsidP="005B1C7B">
      <w:pPr>
        <w:suppressAutoHyphens/>
        <w:rPr>
          <w:noProof/>
          <w:szCs w:val="22"/>
        </w:rPr>
      </w:pPr>
    </w:p>
    <w:p w14:paraId="018BF55A" w14:textId="77777777" w:rsidR="005B1C7B" w:rsidRPr="0063119B" w:rsidRDefault="005B1C7B" w:rsidP="005B1C7B">
      <w:pPr>
        <w:suppressAutoHyphens/>
        <w:rPr>
          <w:noProof/>
          <w:szCs w:val="22"/>
          <w:u w:val="single"/>
        </w:rPr>
      </w:pPr>
      <w:r w:rsidRPr="0063119B">
        <w:rPr>
          <w:noProof/>
          <w:szCs w:val="22"/>
          <w:u w:val="single"/>
        </w:rPr>
        <w:t>Revestimento do comprimido</w:t>
      </w:r>
    </w:p>
    <w:p w14:paraId="7150366A" w14:textId="77777777" w:rsidR="00443BAA" w:rsidRPr="0063119B" w:rsidRDefault="00443BAA" w:rsidP="005B1C7B">
      <w:pPr>
        <w:suppressAutoHyphens/>
        <w:rPr>
          <w:noProof/>
          <w:szCs w:val="22"/>
        </w:rPr>
      </w:pPr>
    </w:p>
    <w:p w14:paraId="2D446D9B" w14:textId="77777777" w:rsidR="005B1C7B" w:rsidRPr="0063119B" w:rsidRDefault="000C03A0" w:rsidP="005B1C7B">
      <w:pPr>
        <w:suppressAutoHyphens/>
        <w:rPr>
          <w:noProof/>
          <w:szCs w:val="22"/>
        </w:rPr>
      </w:pPr>
      <w:r w:rsidRPr="0063119B">
        <w:rPr>
          <w:noProof/>
          <w:szCs w:val="22"/>
        </w:rPr>
        <w:t>Macrog</w:t>
      </w:r>
      <w:r w:rsidR="00443BAA" w:rsidRPr="0063119B">
        <w:rPr>
          <w:noProof/>
          <w:szCs w:val="22"/>
        </w:rPr>
        <w:t>o</w:t>
      </w:r>
      <w:r w:rsidR="004F0D72" w:rsidRPr="0063119B">
        <w:rPr>
          <w:noProof/>
          <w:szCs w:val="22"/>
        </w:rPr>
        <w:t>l</w:t>
      </w:r>
      <w:r w:rsidR="00443BAA" w:rsidRPr="0063119B">
        <w:rPr>
          <w:noProof/>
          <w:szCs w:val="22"/>
        </w:rPr>
        <w:t xml:space="preserve"> 4000 (E1521)</w:t>
      </w:r>
    </w:p>
    <w:p w14:paraId="352DA44F" w14:textId="77777777" w:rsidR="005B1C7B" w:rsidRPr="0063119B" w:rsidRDefault="005B1C7B" w:rsidP="005B1C7B">
      <w:pPr>
        <w:suppressAutoHyphens/>
        <w:rPr>
          <w:noProof/>
          <w:szCs w:val="22"/>
        </w:rPr>
      </w:pPr>
      <w:r w:rsidRPr="0063119B">
        <w:rPr>
          <w:noProof/>
          <w:szCs w:val="22"/>
        </w:rPr>
        <w:t>Hipromelose</w:t>
      </w:r>
      <w:r w:rsidR="000C03A0" w:rsidRPr="0063119B">
        <w:rPr>
          <w:noProof/>
          <w:szCs w:val="22"/>
        </w:rPr>
        <w:t xml:space="preserve"> 2910</w:t>
      </w:r>
      <w:r w:rsidR="00443BAA" w:rsidRPr="0063119B">
        <w:rPr>
          <w:noProof/>
          <w:szCs w:val="22"/>
        </w:rPr>
        <w:t xml:space="preserve"> (viscosidade nominal 5,1 mPa</w:t>
      </w:r>
      <w:r w:rsidR="00052956" w:rsidRPr="0063119B">
        <w:rPr>
          <w:noProof/>
          <w:szCs w:val="22"/>
        </w:rPr>
        <w:t>.</w:t>
      </w:r>
      <w:r w:rsidR="00443BAA" w:rsidRPr="0063119B">
        <w:rPr>
          <w:noProof/>
          <w:szCs w:val="22"/>
        </w:rPr>
        <w:t>S) (E464)</w:t>
      </w:r>
    </w:p>
    <w:p w14:paraId="33052BBD" w14:textId="77777777" w:rsidR="005B1C7B" w:rsidRPr="0063119B" w:rsidRDefault="005B1C7B" w:rsidP="005B1C7B">
      <w:pPr>
        <w:suppressAutoHyphens/>
        <w:rPr>
          <w:noProof/>
          <w:szCs w:val="22"/>
        </w:rPr>
      </w:pPr>
      <w:r w:rsidRPr="0063119B">
        <w:rPr>
          <w:noProof/>
          <w:szCs w:val="22"/>
        </w:rPr>
        <w:t>Dióxido de titânio (E171)</w:t>
      </w:r>
    </w:p>
    <w:p w14:paraId="686BBE9C" w14:textId="77777777" w:rsidR="005B1C7B" w:rsidRPr="0063119B" w:rsidRDefault="005B1C7B" w:rsidP="005B1C7B">
      <w:pPr>
        <w:suppressAutoHyphens/>
        <w:rPr>
          <w:noProof/>
          <w:szCs w:val="22"/>
        </w:rPr>
      </w:pPr>
      <w:r w:rsidRPr="0063119B">
        <w:rPr>
          <w:noProof/>
          <w:szCs w:val="22"/>
        </w:rPr>
        <w:t>Óxido de ferro vermelho (E172)</w:t>
      </w:r>
    </w:p>
    <w:p w14:paraId="087C556B" w14:textId="77777777" w:rsidR="005B1C7B" w:rsidRPr="0063119B" w:rsidRDefault="005B1C7B" w:rsidP="005B1C7B">
      <w:pPr>
        <w:suppressAutoHyphens/>
        <w:rPr>
          <w:noProof/>
          <w:szCs w:val="22"/>
        </w:rPr>
      </w:pPr>
    </w:p>
    <w:p w14:paraId="24E5AF2F" w14:textId="77777777" w:rsidR="005B1C7B" w:rsidRPr="0063119B" w:rsidRDefault="005B1C7B" w:rsidP="005B1C7B">
      <w:pPr>
        <w:keepNext/>
        <w:suppressAutoHyphens/>
        <w:ind w:left="567" w:hanging="567"/>
        <w:rPr>
          <w:b/>
          <w:noProof/>
          <w:szCs w:val="22"/>
        </w:rPr>
      </w:pPr>
      <w:r w:rsidRPr="0063119B">
        <w:rPr>
          <w:b/>
          <w:noProof/>
          <w:szCs w:val="22"/>
        </w:rPr>
        <w:t>6.2</w:t>
      </w:r>
      <w:r w:rsidRPr="0063119B">
        <w:rPr>
          <w:b/>
          <w:noProof/>
          <w:szCs w:val="22"/>
        </w:rPr>
        <w:tab/>
        <w:t>Incompatibilidades</w:t>
      </w:r>
    </w:p>
    <w:p w14:paraId="1A7E523A" w14:textId="77777777" w:rsidR="005B1C7B" w:rsidRPr="0063119B" w:rsidRDefault="005B1C7B" w:rsidP="005B1C7B">
      <w:pPr>
        <w:keepNext/>
        <w:rPr>
          <w:noProof/>
          <w:szCs w:val="22"/>
        </w:rPr>
      </w:pPr>
    </w:p>
    <w:p w14:paraId="7B253EBA" w14:textId="77777777" w:rsidR="005B1C7B" w:rsidRPr="0063119B" w:rsidRDefault="005B1C7B" w:rsidP="005B1C7B">
      <w:pPr>
        <w:keepNext/>
        <w:rPr>
          <w:noProof/>
          <w:szCs w:val="22"/>
        </w:rPr>
      </w:pPr>
      <w:r w:rsidRPr="0063119B">
        <w:rPr>
          <w:noProof/>
          <w:szCs w:val="22"/>
        </w:rPr>
        <w:t>Não aplicável.</w:t>
      </w:r>
    </w:p>
    <w:p w14:paraId="5EE46698" w14:textId="77777777" w:rsidR="005B1C7B" w:rsidRPr="0063119B" w:rsidRDefault="005B1C7B" w:rsidP="005B1C7B">
      <w:pPr>
        <w:suppressAutoHyphens/>
        <w:ind w:left="567" w:hanging="567"/>
        <w:rPr>
          <w:b/>
          <w:noProof/>
          <w:szCs w:val="22"/>
        </w:rPr>
      </w:pPr>
    </w:p>
    <w:p w14:paraId="7B40CD53" w14:textId="77777777" w:rsidR="005B1C7B" w:rsidRPr="0063119B" w:rsidRDefault="005B1C7B" w:rsidP="005B1C7B">
      <w:pPr>
        <w:suppressAutoHyphens/>
        <w:ind w:left="567" w:hanging="567"/>
        <w:rPr>
          <w:noProof/>
          <w:szCs w:val="22"/>
        </w:rPr>
      </w:pPr>
      <w:r w:rsidRPr="0063119B">
        <w:rPr>
          <w:b/>
          <w:noProof/>
          <w:szCs w:val="22"/>
        </w:rPr>
        <w:t>6.3</w:t>
      </w:r>
      <w:r w:rsidRPr="0063119B">
        <w:rPr>
          <w:b/>
          <w:noProof/>
          <w:szCs w:val="22"/>
        </w:rPr>
        <w:tab/>
        <w:t>Prazo de validade</w:t>
      </w:r>
    </w:p>
    <w:p w14:paraId="0011EFE1" w14:textId="77777777" w:rsidR="005B1C7B" w:rsidRPr="0063119B" w:rsidRDefault="005B1C7B" w:rsidP="005B1C7B">
      <w:pPr>
        <w:suppressAutoHyphens/>
        <w:rPr>
          <w:noProof/>
          <w:szCs w:val="22"/>
        </w:rPr>
      </w:pPr>
    </w:p>
    <w:p w14:paraId="4B2C2EA1" w14:textId="77777777" w:rsidR="005B1C7B" w:rsidRPr="0063119B" w:rsidRDefault="00443BAA" w:rsidP="005B1C7B">
      <w:pPr>
        <w:suppressAutoHyphens/>
        <w:rPr>
          <w:noProof/>
          <w:szCs w:val="22"/>
        </w:rPr>
      </w:pPr>
      <w:r w:rsidRPr="0063119B">
        <w:rPr>
          <w:noProof/>
          <w:szCs w:val="22"/>
        </w:rPr>
        <w:t>2 </w:t>
      </w:r>
      <w:r w:rsidR="005B1C7B" w:rsidRPr="0063119B">
        <w:rPr>
          <w:noProof/>
          <w:szCs w:val="22"/>
        </w:rPr>
        <w:t>anos</w:t>
      </w:r>
      <w:r w:rsidR="00932EC8" w:rsidRPr="0063119B">
        <w:rPr>
          <w:noProof/>
          <w:szCs w:val="22"/>
        </w:rPr>
        <w:t>.</w:t>
      </w:r>
    </w:p>
    <w:p w14:paraId="7905B08D" w14:textId="77777777" w:rsidR="005B1C7B" w:rsidRDefault="005B1C7B" w:rsidP="005B1C7B">
      <w:pPr>
        <w:suppressAutoHyphens/>
        <w:rPr>
          <w:noProof/>
          <w:szCs w:val="22"/>
        </w:rPr>
      </w:pPr>
    </w:p>
    <w:p w14:paraId="6A53056F" w14:textId="77777777" w:rsidR="00BB04BB" w:rsidRPr="00BB04BB" w:rsidRDefault="00BB04BB" w:rsidP="00BB04BB">
      <w:pPr>
        <w:autoSpaceDE w:val="0"/>
        <w:autoSpaceDN w:val="0"/>
        <w:adjustRightInd w:val="0"/>
        <w:rPr>
          <w:color w:val="000000"/>
          <w:szCs w:val="22"/>
          <w:lang w:eastAsia="pt-PT"/>
        </w:rPr>
      </w:pPr>
      <w:r w:rsidRPr="00BB04BB">
        <w:rPr>
          <w:color w:val="000000"/>
          <w:szCs w:val="22"/>
          <w:lang w:eastAsia="pt-PT"/>
        </w:rPr>
        <w:t xml:space="preserve">Comprimidos triturados </w:t>
      </w:r>
    </w:p>
    <w:p w14:paraId="0E04690A" w14:textId="77777777" w:rsidR="00BB04BB" w:rsidRDefault="00BB04BB" w:rsidP="00BB04BB">
      <w:pPr>
        <w:suppressAutoHyphens/>
        <w:rPr>
          <w:color w:val="000000"/>
          <w:szCs w:val="22"/>
          <w:lang w:eastAsia="pt-PT"/>
        </w:rPr>
      </w:pPr>
      <w:r w:rsidRPr="00BB04BB">
        <w:rPr>
          <w:color w:val="000000"/>
          <w:szCs w:val="22"/>
          <w:lang w:eastAsia="pt-PT"/>
        </w:rPr>
        <w:t>Os comprimidos triturados de rivaroxabano são estáveis na água e no puré de maçã até 4 horas.</w:t>
      </w:r>
    </w:p>
    <w:p w14:paraId="5A3E65D2" w14:textId="77777777" w:rsidR="00BB04BB" w:rsidRPr="0063119B" w:rsidRDefault="00BB04BB" w:rsidP="00BB04BB">
      <w:pPr>
        <w:suppressAutoHyphens/>
        <w:rPr>
          <w:noProof/>
          <w:szCs w:val="22"/>
        </w:rPr>
      </w:pPr>
    </w:p>
    <w:p w14:paraId="26D5042E" w14:textId="77777777" w:rsidR="005B1C7B" w:rsidRPr="0063119B" w:rsidRDefault="005B1C7B" w:rsidP="005B1C7B">
      <w:pPr>
        <w:suppressAutoHyphens/>
        <w:ind w:left="567" w:hanging="567"/>
        <w:rPr>
          <w:noProof/>
          <w:szCs w:val="22"/>
        </w:rPr>
      </w:pPr>
      <w:r w:rsidRPr="0063119B">
        <w:rPr>
          <w:b/>
          <w:noProof/>
          <w:szCs w:val="22"/>
        </w:rPr>
        <w:t>6.4</w:t>
      </w:r>
      <w:r w:rsidRPr="0063119B">
        <w:rPr>
          <w:b/>
          <w:noProof/>
          <w:szCs w:val="22"/>
        </w:rPr>
        <w:tab/>
        <w:t>Precauções especiais de conservação</w:t>
      </w:r>
    </w:p>
    <w:p w14:paraId="550E18D9" w14:textId="77777777" w:rsidR="005B1C7B" w:rsidRPr="0063119B" w:rsidRDefault="005B1C7B" w:rsidP="005B1C7B">
      <w:pPr>
        <w:suppressAutoHyphens/>
        <w:rPr>
          <w:noProof/>
          <w:szCs w:val="22"/>
        </w:rPr>
      </w:pPr>
    </w:p>
    <w:p w14:paraId="18DC2942" w14:textId="77777777" w:rsidR="005B1C7B" w:rsidRPr="0063119B" w:rsidRDefault="005B1C7B" w:rsidP="005B1C7B">
      <w:pPr>
        <w:suppressAutoHyphens/>
        <w:rPr>
          <w:noProof/>
          <w:szCs w:val="22"/>
        </w:rPr>
      </w:pPr>
      <w:r w:rsidRPr="0063119B">
        <w:rPr>
          <w:noProof/>
          <w:szCs w:val="22"/>
        </w:rPr>
        <w:t>Este medicamento não necessita de condições especiais de conservação.</w:t>
      </w:r>
    </w:p>
    <w:p w14:paraId="51277615" w14:textId="77777777" w:rsidR="005B1C7B" w:rsidRPr="0063119B" w:rsidRDefault="005B1C7B" w:rsidP="005B1C7B">
      <w:pPr>
        <w:suppressAutoHyphens/>
        <w:rPr>
          <w:noProof/>
          <w:szCs w:val="22"/>
        </w:rPr>
      </w:pPr>
    </w:p>
    <w:p w14:paraId="71E9EACD" w14:textId="77777777" w:rsidR="005B1C7B" w:rsidRPr="0063119B" w:rsidRDefault="005B1C7B" w:rsidP="005B1C7B">
      <w:pPr>
        <w:suppressAutoHyphens/>
        <w:ind w:left="567" w:hanging="567"/>
        <w:rPr>
          <w:noProof/>
          <w:szCs w:val="22"/>
        </w:rPr>
      </w:pPr>
      <w:r w:rsidRPr="0063119B">
        <w:rPr>
          <w:b/>
          <w:noProof/>
          <w:szCs w:val="22"/>
        </w:rPr>
        <w:t>6.5</w:t>
      </w:r>
      <w:r w:rsidRPr="0063119B">
        <w:rPr>
          <w:b/>
          <w:noProof/>
          <w:szCs w:val="22"/>
        </w:rPr>
        <w:tab/>
        <w:t>Natureza e conteúdo do recipiente</w:t>
      </w:r>
    </w:p>
    <w:p w14:paraId="35E1BF3F" w14:textId="77777777" w:rsidR="005B1C7B" w:rsidRPr="0063119B" w:rsidRDefault="005B1C7B" w:rsidP="005B1C7B">
      <w:pPr>
        <w:suppressAutoHyphens/>
        <w:rPr>
          <w:noProof/>
          <w:szCs w:val="22"/>
        </w:rPr>
      </w:pPr>
    </w:p>
    <w:p w14:paraId="3072A8A2" w14:textId="77777777" w:rsidR="005B1C7B" w:rsidRPr="0063119B" w:rsidRDefault="005B1C7B" w:rsidP="005B1C7B">
      <w:pPr>
        <w:autoSpaceDE w:val="0"/>
        <w:autoSpaceDN w:val="0"/>
        <w:adjustRightInd w:val="0"/>
        <w:rPr>
          <w:noProof/>
          <w:szCs w:val="22"/>
        </w:rPr>
      </w:pPr>
      <w:r w:rsidRPr="0063119B">
        <w:rPr>
          <w:noProof/>
          <w:szCs w:val="22"/>
        </w:rPr>
        <w:t xml:space="preserve">Embalagem de </w:t>
      </w:r>
      <w:r w:rsidR="00CA5FE3" w:rsidRPr="0063119B">
        <w:rPr>
          <w:noProof/>
          <w:szCs w:val="22"/>
        </w:rPr>
        <w:t xml:space="preserve">tratamento inicial </w:t>
      </w:r>
      <w:r w:rsidRPr="0063119B">
        <w:rPr>
          <w:noProof/>
          <w:szCs w:val="22"/>
        </w:rPr>
        <w:t xml:space="preserve">para </w:t>
      </w:r>
      <w:r w:rsidR="00CA5FE3" w:rsidRPr="0063119B">
        <w:rPr>
          <w:noProof/>
          <w:szCs w:val="22"/>
        </w:rPr>
        <w:t xml:space="preserve">as primeiras </w:t>
      </w:r>
      <w:r w:rsidRPr="0063119B">
        <w:rPr>
          <w:noProof/>
          <w:szCs w:val="22"/>
        </w:rPr>
        <w:t>4</w:t>
      </w:r>
      <w:r w:rsidR="00443BAA" w:rsidRPr="0063119B">
        <w:rPr>
          <w:noProof/>
          <w:szCs w:val="22"/>
        </w:rPr>
        <w:t> </w:t>
      </w:r>
      <w:r w:rsidRPr="0063119B">
        <w:rPr>
          <w:noProof/>
          <w:szCs w:val="22"/>
        </w:rPr>
        <w:t>semanas:</w:t>
      </w:r>
    </w:p>
    <w:p w14:paraId="39BC1309" w14:textId="77777777" w:rsidR="005B1C7B" w:rsidRPr="0063119B" w:rsidRDefault="005B1C7B" w:rsidP="005B1C7B">
      <w:pPr>
        <w:autoSpaceDE w:val="0"/>
        <w:autoSpaceDN w:val="0"/>
        <w:adjustRightInd w:val="0"/>
        <w:rPr>
          <w:noProof/>
          <w:szCs w:val="22"/>
        </w:rPr>
      </w:pPr>
      <w:r w:rsidRPr="0063119B">
        <w:rPr>
          <w:noProof/>
          <w:szCs w:val="22"/>
        </w:rPr>
        <w:t xml:space="preserve">Blisters de </w:t>
      </w:r>
      <w:r w:rsidR="00443BAA" w:rsidRPr="0063119B">
        <w:rPr>
          <w:noProof/>
          <w:szCs w:val="22"/>
        </w:rPr>
        <w:t xml:space="preserve">PVC transparente </w:t>
      </w:r>
      <w:r w:rsidRPr="0063119B">
        <w:rPr>
          <w:noProof/>
          <w:szCs w:val="22"/>
        </w:rPr>
        <w:t>/folha alumínio em carteira de cartão conten</w:t>
      </w:r>
      <w:r w:rsidR="00026CA1" w:rsidRPr="0063119B">
        <w:rPr>
          <w:noProof/>
          <w:szCs w:val="22"/>
        </w:rPr>
        <w:t>d</w:t>
      </w:r>
      <w:r w:rsidRPr="0063119B">
        <w:rPr>
          <w:noProof/>
          <w:szCs w:val="22"/>
        </w:rPr>
        <w:t>o 49</w:t>
      </w:r>
      <w:r w:rsidR="00443BAA" w:rsidRPr="0063119B">
        <w:rPr>
          <w:noProof/>
          <w:szCs w:val="22"/>
        </w:rPr>
        <w:t> </w:t>
      </w:r>
      <w:r w:rsidRPr="0063119B">
        <w:rPr>
          <w:noProof/>
          <w:szCs w:val="22"/>
        </w:rPr>
        <w:t>comprimidos revestidos por película:</w:t>
      </w:r>
    </w:p>
    <w:p w14:paraId="7F332558" w14:textId="77777777" w:rsidR="00443BAA" w:rsidRPr="0063119B" w:rsidRDefault="00443BAA" w:rsidP="005B1C7B">
      <w:pPr>
        <w:autoSpaceDE w:val="0"/>
        <w:autoSpaceDN w:val="0"/>
        <w:adjustRightInd w:val="0"/>
        <w:rPr>
          <w:noProof/>
          <w:szCs w:val="22"/>
        </w:rPr>
      </w:pPr>
    </w:p>
    <w:p w14:paraId="682CA271" w14:textId="77777777" w:rsidR="005B1C7B" w:rsidRPr="0063119B" w:rsidRDefault="005B1C7B" w:rsidP="005B1C7B">
      <w:pPr>
        <w:autoSpaceDE w:val="0"/>
        <w:autoSpaceDN w:val="0"/>
        <w:adjustRightInd w:val="0"/>
        <w:rPr>
          <w:szCs w:val="22"/>
        </w:rPr>
      </w:pPr>
      <w:r w:rsidRPr="0063119B">
        <w:rPr>
          <w:noProof/>
          <w:szCs w:val="22"/>
        </w:rPr>
        <w:t>42</w:t>
      </w:r>
      <w:r w:rsidR="00443BAA" w:rsidRPr="0063119B">
        <w:rPr>
          <w:noProof/>
          <w:szCs w:val="22"/>
        </w:rPr>
        <w:t> </w:t>
      </w:r>
      <w:r w:rsidRPr="0063119B">
        <w:rPr>
          <w:noProof/>
          <w:szCs w:val="22"/>
        </w:rPr>
        <w:t xml:space="preserve">comprimidos revestidos por película </w:t>
      </w:r>
      <w:r w:rsidR="00026CA1" w:rsidRPr="0063119B">
        <w:rPr>
          <w:noProof/>
          <w:szCs w:val="22"/>
        </w:rPr>
        <w:t xml:space="preserve">de </w:t>
      </w:r>
      <w:r w:rsidR="00607DE4">
        <w:rPr>
          <w:noProof/>
          <w:szCs w:val="22"/>
        </w:rPr>
        <w:t>Rivaroxabano</w:t>
      </w:r>
      <w:r w:rsidR="00754E0E" w:rsidRPr="0063119B">
        <w:rPr>
          <w:noProof/>
          <w:szCs w:val="22"/>
        </w:rPr>
        <w:t xml:space="preserve"> Accord</w:t>
      </w:r>
      <w:r w:rsidRPr="0063119B">
        <w:rPr>
          <w:noProof/>
          <w:szCs w:val="22"/>
        </w:rPr>
        <w:t xml:space="preserve"> 15</w:t>
      </w:r>
      <w:r w:rsidR="00443BAA" w:rsidRPr="0063119B">
        <w:rPr>
          <w:noProof/>
          <w:szCs w:val="22"/>
        </w:rPr>
        <w:t> </w:t>
      </w:r>
      <w:r w:rsidRPr="0063119B">
        <w:rPr>
          <w:noProof/>
          <w:szCs w:val="22"/>
        </w:rPr>
        <w:t>mg e 7</w:t>
      </w:r>
      <w:r w:rsidR="00443BAA" w:rsidRPr="0063119B">
        <w:rPr>
          <w:noProof/>
          <w:szCs w:val="22"/>
        </w:rPr>
        <w:t> </w:t>
      </w:r>
      <w:r w:rsidRPr="0063119B">
        <w:rPr>
          <w:noProof/>
          <w:szCs w:val="22"/>
        </w:rPr>
        <w:t xml:space="preserve">comprimidos revestidos por película de </w:t>
      </w:r>
      <w:r w:rsidR="00607DE4">
        <w:rPr>
          <w:noProof/>
          <w:szCs w:val="22"/>
        </w:rPr>
        <w:t>Rivaroxabano</w:t>
      </w:r>
      <w:r w:rsidR="00754E0E" w:rsidRPr="0063119B">
        <w:rPr>
          <w:noProof/>
          <w:szCs w:val="22"/>
        </w:rPr>
        <w:t xml:space="preserve"> Accord</w:t>
      </w:r>
      <w:r w:rsidRPr="0063119B">
        <w:rPr>
          <w:noProof/>
          <w:szCs w:val="22"/>
        </w:rPr>
        <w:t xml:space="preserve"> 20</w:t>
      </w:r>
      <w:r w:rsidR="00443BAA" w:rsidRPr="0063119B">
        <w:rPr>
          <w:noProof/>
          <w:szCs w:val="22"/>
        </w:rPr>
        <w:t> </w:t>
      </w:r>
      <w:r w:rsidRPr="0063119B">
        <w:rPr>
          <w:noProof/>
          <w:szCs w:val="22"/>
        </w:rPr>
        <w:t>mg.</w:t>
      </w:r>
    </w:p>
    <w:p w14:paraId="1360C476" w14:textId="77777777" w:rsidR="005B1C7B" w:rsidRPr="0063119B" w:rsidRDefault="005B1C7B" w:rsidP="005B1C7B">
      <w:pPr>
        <w:suppressAutoHyphens/>
        <w:rPr>
          <w:noProof/>
          <w:szCs w:val="22"/>
        </w:rPr>
      </w:pPr>
    </w:p>
    <w:p w14:paraId="025D9C91" w14:textId="77777777" w:rsidR="00443BAA" w:rsidRPr="0063119B" w:rsidRDefault="005B1C7B" w:rsidP="00443BAA">
      <w:pPr>
        <w:suppressAutoHyphens/>
        <w:rPr>
          <w:noProof/>
          <w:szCs w:val="22"/>
        </w:rPr>
      </w:pPr>
      <w:r w:rsidRPr="0063119B">
        <w:rPr>
          <w:b/>
          <w:noProof/>
          <w:szCs w:val="22"/>
        </w:rPr>
        <w:t>6.6</w:t>
      </w:r>
      <w:r w:rsidRPr="0063119B">
        <w:rPr>
          <w:b/>
          <w:noProof/>
          <w:szCs w:val="22"/>
        </w:rPr>
        <w:tab/>
        <w:t xml:space="preserve">Precauções especiais de eliminação </w:t>
      </w:r>
      <w:r w:rsidR="00443BAA" w:rsidRPr="0063119B">
        <w:rPr>
          <w:b/>
          <w:noProof/>
          <w:szCs w:val="22"/>
        </w:rPr>
        <w:t>e manuseamento</w:t>
      </w:r>
    </w:p>
    <w:p w14:paraId="5C4C14E8" w14:textId="77777777" w:rsidR="005B1C7B" w:rsidRPr="0063119B" w:rsidRDefault="005B1C7B" w:rsidP="005B1C7B">
      <w:pPr>
        <w:suppressAutoHyphens/>
        <w:rPr>
          <w:noProof/>
          <w:szCs w:val="22"/>
        </w:rPr>
      </w:pPr>
    </w:p>
    <w:p w14:paraId="6DCAE4E4" w14:textId="77777777" w:rsidR="005B1C7B" w:rsidRPr="0063119B" w:rsidRDefault="00A32A6D" w:rsidP="005B1C7B">
      <w:pPr>
        <w:suppressAutoHyphens/>
        <w:rPr>
          <w:noProof/>
          <w:szCs w:val="22"/>
        </w:rPr>
      </w:pPr>
      <w:r w:rsidRPr="0063119B">
        <w:rPr>
          <w:noProof/>
          <w:szCs w:val="22"/>
        </w:rPr>
        <w:t>Qualquer medicamento não utilizado ou resíduos devem ser eliminados de acordo com as exigências locais.</w:t>
      </w:r>
    </w:p>
    <w:p w14:paraId="1BBC0327" w14:textId="77777777" w:rsidR="005B1C7B" w:rsidRPr="0063119B" w:rsidRDefault="005B1C7B" w:rsidP="005B1C7B">
      <w:pPr>
        <w:suppressAutoHyphens/>
        <w:rPr>
          <w:noProof/>
          <w:szCs w:val="22"/>
        </w:rPr>
      </w:pPr>
    </w:p>
    <w:p w14:paraId="16D1C09E" w14:textId="77777777" w:rsidR="00BB04BB" w:rsidRPr="00BB04BB" w:rsidRDefault="00BB04BB" w:rsidP="00BB04BB">
      <w:pPr>
        <w:autoSpaceDE w:val="0"/>
        <w:autoSpaceDN w:val="0"/>
        <w:adjustRightInd w:val="0"/>
        <w:rPr>
          <w:color w:val="000000"/>
          <w:szCs w:val="22"/>
          <w:lang w:eastAsia="pt-PT"/>
        </w:rPr>
      </w:pPr>
      <w:r w:rsidRPr="00BB04BB">
        <w:rPr>
          <w:color w:val="000000"/>
          <w:szCs w:val="22"/>
          <w:lang w:eastAsia="pt-PT"/>
        </w:rPr>
        <w:t xml:space="preserve">Trituração dos comprimidos </w:t>
      </w:r>
    </w:p>
    <w:p w14:paraId="07D731E3" w14:textId="77777777" w:rsidR="005B1C7B" w:rsidRDefault="00BB04BB" w:rsidP="00BB04BB">
      <w:pPr>
        <w:suppressAutoHyphens/>
        <w:rPr>
          <w:color w:val="000000"/>
          <w:szCs w:val="22"/>
          <w:lang w:eastAsia="pt-PT"/>
        </w:rPr>
      </w:pPr>
      <w:r w:rsidRPr="00BB04BB">
        <w:rPr>
          <w:color w:val="000000"/>
          <w:szCs w:val="22"/>
          <w:lang w:eastAsia="pt-PT"/>
        </w:rPr>
        <w:t>Os comprimidos de rivaroxabano podem ser esmagados e suspensos em 50 ml de água e administrados através de uma sonda nasogástrica ou uma sonda de alimentação gástrica após confirmação da colocação gástrica da sonda. Em seguida, a sonda deve ser irrigada com água. Uma vez que a absorção do rivaroxabano depende do local de libertação da substância ativa, deverá evitar-se a administração do rivaroxabano em posição distal em relação ao estômago, o que pode resultar numa absorção reduzida e,</w:t>
      </w:r>
      <w:r>
        <w:rPr>
          <w:color w:val="000000"/>
          <w:szCs w:val="22"/>
          <w:lang w:eastAsia="pt-PT"/>
        </w:rPr>
        <w:t xml:space="preserve"> </w:t>
      </w:r>
      <w:r>
        <w:rPr>
          <w:szCs w:val="22"/>
        </w:rPr>
        <w:t>por conseguinte, numa exposição reduzida à substância ativa. Após a administração de um comprimido esmagado de 15 mg ou 20 mg de rivaroxabano, a dose deve ser imediatamente seguida de nutrição entérica.</w:t>
      </w:r>
    </w:p>
    <w:p w14:paraId="65A185B0" w14:textId="77777777" w:rsidR="00BB04BB" w:rsidRPr="0063119B" w:rsidRDefault="00BB04BB" w:rsidP="00BB04BB">
      <w:pPr>
        <w:suppressAutoHyphens/>
        <w:rPr>
          <w:noProof/>
          <w:szCs w:val="22"/>
        </w:rPr>
      </w:pPr>
    </w:p>
    <w:p w14:paraId="0092A1EF" w14:textId="77777777" w:rsidR="005B1C7B" w:rsidRPr="0063119B" w:rsidRDefault="005B1C7B" w:rsidP="005B1C7B">
      <w:pPr>
        <w:suppressAutoHyphens/>
        <w:ind w:left="567" w:hanging="567"/>
        <w:rPr>
          <w:noProof/>
          <w:szCs w:val="22"/>
        </w:rPr>
      </w:pPr>
      <w:r w:rsidRPr="0063119B">
        <w:rPr>
          <w:b/>
          <w:noProof/>
          <w:szCs w:val="22"/>
        </w:rPr>
        <w:t>7.</w:t>
      </w:r>
      <w:r w:rsidRPr="0063119B">
        <w:rPr>
          <w:b/>
          <w:noProof/>
          <w:szCs w:val="22"/>
        </w:rPr>
        <w:tab/>
        <w:t>TITULAR DA AUTORIZAÇÃO DE INTRODUÇÃO NO MERCADO</w:t>
      </w:r>
    </w:p>
    <w:p w14:paraId="145AFE02" w14:textId="77777777" w:rsidR="005B1C7B" w:rsidRPr="0063119B" w:rsidRDefault="005B1C7B" w:rsidP="005B1C7B">
      <w:pPr>
        <w:suppressAutoHyphens/>
        <w:rPr>
          <w:noProof/>
          <w:szCs w:val="22"/>
        </w:rPr>
      </w:pPr>
    </w:p>
    <w:p w14:paraId="01CF3E57" w14:textId="77777777" w:rsidR="00443BAA" w:rsidRPr="0063119B" w:rsidRDefault="00443BAA" w:rsidP="00443BAA">
      <w:pPr>
        <w:rPr>
          <w:szCs w:val="22"/>
          <w:lang w:val="en-GB"/>
        </w:rPr>
      </w:pPr>
      <w:r w:rsidRPr="0063119B">
        <w:rPr>
          <w:szCs w:val="22"/>
          <w:lang w:val="en-GB"/>
        </w:rPr>
        <w:t>Accord Healthcare S.L.U.</w:t>
      </w:r>
    </w:p>
    <w:p w14:paraId="069743A6" w14:textId="77777777" w:rsidR="00443BAA" w:rsidRPr="0063119B" w:rsidRDefault="00443BAA" w:rsidP="00443BAA">
      <w:pPr>
        <w:rPr>
          <w:szCs w:val="22"/>
        </w:rPr>
      </w:pPr>
      <w:r w:rsidRPr="0063119B">
        <w:rPr>
          <w:szCs w:val="22"/>
        </w:rPr>
        <w:t xml:space="preserve">World Trade Center, Moll de Barcelona, s/n, Edifici Est 6ª planta, </w:t>
      </w:r>
    </w:p>
    <w:p w14:paraId="740ADD55" w14:textId="77777777" w:rsidR="00443BAA" w:rsidRPr="0063119B" w:rsidRDefault="00443BAA" w:rsidP="00443BAA">
      <w:pPr>
        <w:rPr>
          <w:szCs w:val="22"/>
        </w:rPr>
      </w:pPr>
      <w:r w:rsidRPr="0063119B">
        <w:rPr>
          <w:szCs w:val="22"/>
        </w:rPr>
        <w:t>Barcelona, 08039</w:t>
      </w:r>
    </w:p>
    <w:p w14:paraId="5FD9EA89" w14:textId="77777777" w:rsidR="00443BAA" w:rsidRPr="0063119B" w:rsidRDefault="00443BAA" w:rsidP="00443BAA">
      <w:pPr>
        <w:rPr>
          <w:szCs w:val="22"/>
        </w:rPr>
      </w:pPr>
      <w:r w:rsidRPr="0063119B">
        <w:rPr>
          <w:szCs w:val="22"/>
        </w:rPr>
        <w:t>Espanha</w:t>
      </w:r>
    </w:p>
    <w:p w14:paraId="460768DA" w14:textId="77777777" w:rsidR="005B1C7B" w:rsidRPr="0063119B" w:rsidRDefault="005B1C7B" w:rsidP="005B1C7B">
      <w:pPr>
        <w:suppressAutoHyphens/>
        <w:rPr>
          <w:noProof/>
          <w:szCs w:val="22"/>
        </w:rPr>
      </w:pPr>
    </w:p>
    <w:p w14:paraId="254E604B" w14:textId="77777777" w:rsidR="005B1C7B" w:rsidRPr="0063119B" w:rsidRDefault="005B1C7B" w:rsidP="005B1C7B">
      <w:pPr>
        <w:suppressAutoHyphens/>
        <w:rPr>
          <w:noProof/>
          <w:szCs w:val="22"/>
        </w:rPr>
      </w:pPr>
    </w:p>
    <w:p w14:paraId="4AD0E2B4" w14:textId="77777777" w:rsidR="005B1C7B" w:rsidRPr="0063119B" w:rsidRDefault="005B1C7B" w:rsidP="005B1C7B">
      <w:pPr>
        <w:suppressAutoHyphens/>
        <w:ind w:left="567" w:hanging="567"/>
        <w:rPr>
          <w:b/>
          <w:noProof/>
          <w:szCs w:val="22"/>
        </w:rPr>
      </w:pPr>
      <w:r w:rsidRPr="0063119B">
        <w:rPr>
          <w:b/>
          <w:noProof/>
          <w:szCs w:val="22"/>
        </w:rPr>
        <w:t>8.</w:t>
      </w:r>
      <w:r w:rsidRPr="0063119B">
        <w:rPr>
          <w:b/>
          <w:noProof/>
          <w:szCs w:val="22"/>
        </w:rPr>
        <w:tab/>
        <w:t>NÚMERO(S) DA AUTORIZAÇÃO DE INTRODUÇÃO NO MERCADO</w:t>
      </w:r>
    </w:p>
    <w:p w14:paraId="4A95FBD7" w14:textId="77777777" w:rsidR="005B1C7B" w:rsidRPr="0063119B" w:rsidRDefault="005B1C7B" w:rsidP="005B1C7B">
      <w:pPr>
        <w:suppressAutoHyphens/>
        <w:rPr>
          <w:noProof/>
          <w:szCs w:val="22"/>
        </w:rPr>
      </w:pPr>
    </w:p>
    <w:p w14:paraId="76EB48E2" w14:textId="77777777" w:rsidR="005B1C7B" w:rsidRDefault="000C03A0" w:rsidP="005B1C7B">
      <w:pPr>
        <w:suppressAutoHyphens/>
        <w:rPr>
          <w:szCs w:val="22"/>
        </w:rPr>
      </w:pPr>
      <w:r w:rsidRPr="0063119B">
        <w:rPr>
          <w:szCs w:val="22"/>
        </w:rPr>
        <w:t>EU/1/20/1488/0</w:t>
      </w:r>
      <w:r w:rsidR="00E033F6" w:rsidRPr="0063119B">
        <w:rPr>
          <w:szCs w:val="22"/>
        </w:rPr>
        <w:t>39</w:t>
      </w:r>
    </w:p>
    <w:p w14:paraId="3B5807E1" w14:textId="77777777" w:rsidR="00453DA7" w:rsidRPr="0063119B" w:rsidRDefault="00453DA7" w:rsidP="005B1C7B">
      <w:pPr>
        <w:suppressAutoHyphens/>
        <w:rPr>
          <w:noProof/>
          <w:szCs w:val="22"/>
        </w:rPr>
      </w:pPr>
    </w:p>
    <w:p w14:paraId="3B330D4B" w14:textId="77777777" w:rsidR="005B1C7B" w:rsidRPr="0063119B" w:rsidRDefault="005B1C7B" w:rsidP="005B1C7B">
      <w:pPr>
        <w:suppressAutoHyphens/>
        <w:rPr>
          <w:noProof/>
          <w:szCs w:val="22"/>
        </w:rPr>
      </w:pPr>
    </w:p>
    <w:p w14:paraId="3091C5D2" w14:textId="77777777" w:rsidR="005B1C7B" w:rsidRPr="0063119B" w:rsidRDefault="005B1C7B" w:rsidP="005B1C7B">
      <w:pPr>
        <w:keepNext/>
        <w:suppressAutoHyphens/>
        <w:ind w:left="567" w:hanging="567"/>
        <w:rPr>
          <w:b/>
          <w:noProof/>
          <w:szCs w:val="22"/>
        </w:rPr>
      </w:pPr>
      <w:r w:rsidRPr="0063119B">
        <w:rPr>
          <w:b/>
          <w:noProof/>
          <w:szCs w:val="22"/>
        </w:rPr>
        <w:t>9.</w:t>
      </w:r>
      <w:r w:rsidRPr="0063119B">
        <w:rPr>
          <w:b/>
          <w:noProof/>
          <w:szCs w:val="22"/>
        </w:rPr>
        <w:tab/>
        <w:t>DATA DA PRIMEIRA AUTORIZAÇÃO/RENOVAÇÃO DA AUTORIZAÇÃO DE INTRODUÇÃO NO MERCADO</w:t>
      </w:r>
    </w:p>
    <w:p w14:paraId="635EDF61" w14:textId="77777777" w:rsidR="005B1C7B" w:rsidRPr="0063119B" w:rsidRDefault="005B1C7B" w:rsidP="005B1C7B">
      <w:pPr>
        <w:keepNext/>
        <w:suppressAutoHyphens/>
        <w:rPr>
          <w:noProof/>
          <w:szCs w:val="22"/>
        </w:rPr>
      </w:pPr>
    </w:p>
    <w:p w14:paraId="49AC8120" w14:textId="77777777" w:rsidR="005B1C7B" w:rsidRDefault="005B1C7B" w:rsidP="000B293C">
      <w:pPr>
        <w:keepNext/>
        <w:suppressAutoHyphens/>
        <w:rPr>
          <w:noProof/>
          <w:szCs w:val="22"/>
        </w:rPr>
      </w:pPr>
      <w:r w:rsidRPr="0063119B">
        <w:rPr>
          <w:noProof/>
          <w:szCs w:val="22"/>
        </w:rPr>
        <w:t xml:space="preserve">Data da primeira autorização: </w:t>
      </w:r>
      <w:r w:rsidR="0004609C" w:rsidRPr="0004609C">
        <w:rPr>
          <w:noProof/>
          <w:szCs w:val="22"/>
        </w:rPr>
        <w:t>16 de novembro de 2020</w:t>
      </w:r>
    </w:p>
    <w:p w14:paraId="3BC9CEBC" w14:textId="03055CD7" w:rsidR="00E01960" w:rsidRPr="0063119B" w:rsidRDefault="00E01960" w:rsidP="000B293C">
      <w:pPr>
        <w:keepNext/>
        <w:suppressAutoHyphens/>
        <w:rPr>
          <w:noProof/>
          <w:szCs w:val="22"/>
        </w:rPr>
      </w:pPr>
      <w:r w:rsidRPr="00E01960">
        <w:rPr>
          <w:noProof/>
          <w:szCs w:val="22"/>
        </w:rPr>
        <w:t>Data da última renovação: 6 de agosto de 2025</w:t>
      </w:r>
    </w:p>
    <w:p w14:paraId="79E2903F" w14:textId="77777777" w:rsidR="001E28F4" w:rsidRPr="0063119B" w:rsidRDefault="001E28F4" w:rsidP="005B1C7B">
      <w:pPr>
        <w:suppressAutoHyphens/>
        <w:rPr>
          <w:noProof/>
          <w:szCs w:val="22"/>
        </w:rPr>
      </w:pPr>
    </w:p>
    <w:p w14:paraId="03C4C91C" w14:textId="77777777" w:rsidR="001E28F4" w:rsidRPr="0063119B" w:rsidRDefault="001E28F4" w:rsidP="005B1C7B">
      <w:pPr>
        <w:suppressAutoHyphens/>
        <w:rPr>
          <w:noProof/>
          <w:szCs w:val="22"/>
        </w:rPr>
      </w:pPr>
    </w:p>
    <w:p w14:paraId="2F63F357" w14:textId="77777777" w:rsidR="005B1C7B" w:rsidRPr="0063119B" w:rsidRDefault="005B1C7B" w:rsidP="005B1C7B">
      <w:pPr>
        <w:suppressAutoHyphens/>
        <w:rPr>
          <w:b/>
          <w:noProof/>
          <w:szCs w:val="22"/>
        </w:rPr>
      </w:pPr>
      <w:r w:rsidRPr="0063119B">
        <w:rPr>
          <w:b/>
          <w:noProof/>
          <w:szCs w:val="22"/>
        </w:rPr>
        <w:t>10.</w:t>
      </w:r>
      <w:r w:rsidRPr="0063119B">
        <w:rPr>
          <w:b/>
          <w:noProof/>
          <w:szCs w:val="22"/>
        </w:rPr>
        <w:tab/>
        <w:t>DATA DA REVISÃO DO TEXTO</w:t>
      </w:r>
    </w:p>
    <w:p w14:paraId="287B24FA" w14:textId="77777777" w:rsidR="005B1C7B" w:rsidRDefault="005B1C7B" w:rsidP="005B1C7B">
      <w:pPr>
        <w:suppressAutoHyphens/>
        <w:ind w:right="14"/>
        <w:rPr>
          <w:noProof/>
          <w:szCs w:val="22"/>
        </w:rPr>
      </w:pPr>
    </w:p>
    <w:p w14:paraId="17465288" w14:textId="77777777" w:rsidR="00453DA7" w:rsidRPr="0063119B" w:rsidRDefault="00453DA7" w:rsidP="005B1C7B">
      <w:pPr>
        <w:suppressAutoHyphens/>
        <w:ind w:right="14"/>
        <w:rPr>
          <w:noProof/>
          <w:szCs w:val="22"/>
        </w:rPr>
      </w:pPr>
    </w:p>
    <w:p w14:paraId="7FD8D85C" w14:textId="77777777" w:rsidR="005B1C7B" w:rsidRPr="0063119B" w:rsidRDefault="005B1C7B" w:rsidP="005B1C7B">
      <w:pPr>
        <w:suppressAutoHyphens/>
        <w:ind w:right="14"/>
        <w:rPr>
          <w:b/>
          <w:noProof/>
          <w:szCs w:val="22"/>
        </w:rPr>
      </w:pPr>
      <w:r w:rsidRPr="0063119B">
        <w:rPr>
          <w:noProof/>
          <w:szCs w:val="22"/>
        </w:rPr>
        <w:t xml:space="preserve">Está disponível informação pormenorizada sobre este medicamento no sítio da internet da Agência Europeia de Medicamentos: </w:t>
      </w:r>
      <w:hyperlink r:id="rId23" w:history="1">
        <w:r w:rsidR="00767D16" w:rsidRPr="0063119B">
          <w:rPr>
            <w:rStyle w:val="Hyperlink"/>
            <w:noProof/>
            <w:szCs w:val="22"/>
          </w:rPr>
          <w:t>http://www.ema.europa.eu</w:t>
        </w:r>
      </w:hyperlink>
      <w:r w:rsidRPr="0063119B">
        <w:rPr>
          <w:noProof/>
          <w:szCs w:val="22"/>
        </w:rPr>
        <w:t>.</w:t>
      </w:r>
    </w:p>
    <w:p w14:paraId="3CF14106" w14:textId="77777777" w:rsidR="00337111" w:rsidRPr="0063119B" w:rsidRDefault="005B1C7B" w:rsidP="00337111">
      <w:pPr>
        <w:suppressAutoHyphens/>
        <w:rPr>
          <w:b/>
          <w:noProof/>
          <w:szCs w:val="22"/>
        </w:rPr>
      </w:pPr>
      <w:r w:rsidRPr="0063119B">
        <w:rPr>
          <w:noProof/>
          <w:szCs w:val="22"/>
        </w:rPr>
        <w:br w:type="page"/>
      </w:r>
    </w:p>
    <w:p w14:paraId="0E5869E9" w14:textId="77777777" w:rsidR="008E2E2E" w:rsidRPr="0063119B" w:rsidRDefault="008E2E2E" w:rsidP="008E2E2E">
      <w:pPr>
        <w:jc w:val="center"/>
        <w:rPr>
          <w:szCs w:val="22"/>
        </w:rPr>
      </w:pPr>
    </w:p>
    <w:p w14:paraId="70E3C43E" w14:textId="77777777" w:rsidR="008E2E2E" w:rsidRPr="0063119B" w:rsidRDefault="008E2E2E" w:rsidP="008E2E2E">
      <w:pPr>
        <w:jc w:val="center"/>
        <w:rPr>
          <w:szCs w:val="22"/>
        </w:rPr>
      </w:pPr>
    </w:p>
    <w:p w14:paraId="6CEC6BFE" w14:textId="77777777" w:rsidR="008E2E2E" w:rsidRPr="0063119B" w:rsidRDefault="008E2E2E" w:rsidP="008E2E2E">
      <w:pPr>
        <w:jc w:val="center"/>
        <w:rPr>
          <w:szCs w:val="22"/>
        </w:rPr>
      </w:pPr>
    </w:p>
    <w:p w14:paraId="44F7D7A6" w14:textId="77777777" w:rsidR="008E2E2E" w:rsidRPr="0063119B" w:rsidRDefault="008E2E2E" w:rsidP="008E2E2E">
      <w:pPr>
        <w:jc w:val="center"/>
        <w:rPr>
          <w:szCs w:val="22"/>
        </w:rPr>
      </w:pPr>
    </w:p>
    <w:p w14:paraId="7318D631" w14:textId="77777777" w:rsidR="008E2E2E" w:rsidRPr="0063119B" w:rsidRDefault="008E2E2E" w:rsidP="008E2E2E">
      <w:pPr>
        <w:jc w:val="center"/>
        <w:rPr>
          <w:szCs w:val="22"/>
        </w:rPr>
      </w:pPr>
    </w:p>
    <w:p w14:paraId="1ADDFC4E" w14:textId="77777777" w:rsidR="008E2E2E" w:rsidRPr="0063119B" w:rsidRDefault="008E2E2E" w:rsidP="008E2E2E">
      <w:pPr>
        <w:jc w:val="center"/>
        <w:rPr>
          <w:szCs w:val="22"/>
        </w:rPr>
      </w:pPr>
    </w:p>
    <w:p w14:paraId="51250265" w14:textId="77777777" w:rsidR="008E2E2E" w:rsidRPr="0063119B" w:rsidRDefault="008E2E2E" w:rsidP="008E2E2E">
      <w:pPr>
        <w:jc w:val="center"/>
        <w:rPr>
          <w:szCs w:val="22"/>
        </w:rPr>
      </w:pPr>
    </w:p>
    <w:p w14:paraId="13D9B02A" w14:textId="77777777" w:rsidR="008E2E2E" w:rsidRPr="0063119B" w:rsidRDefault="008E2E2E" w:rsidP="008E2E2E">
      <w:pPr>
        <w:jc w:val="center"/>
        <w:rPr>
          <w:szCs w:val="22"/>
        </w:rPr>
      </w:pPr>
    </w:p>
    <w:p w14:paraId="2147FC13" w14:textId="77777777" w:rsidR="008E2E2E" w:rsidRPr="0063119B" w:rsidRDefault="008E2E2E" w:rsidP="008E2E2E">
      <w:pPr>
        <w:jc w:val="center"/>
        <w:rPr>
          <w:szCs w:val="22"/>
        </w:rPr>
      </w:pPr>
    </w:p>
    <w:p w14:paraId="619E1CF2" w14:textId="77777777" w:rsidR="008E2E2E" w:rsidRPr="0063119B" w:rsidRDefault="008E2E2E" w:rsidP="008E2E2E">
      <w:pPr>
        <w:jc w:val="center"/>
        <w:rPr>
          <w:szCs w:val="22"/>
        </w:rPr>
      </w:pPr>
    </w:p>
    <w:p w14:paraId="09C96B06" w14:textId="77777777" w:rsidR="008E2E2E" w:rsidRPr="0063119B" w:rsidRDefault="008E2E2E" w:rsidP="008E2E2E">
      <w:pPr>
        <w:jc w:val="center"/>
        <w:rPr>
          <w:szCs w:val="22"/>
        </w:rPr>
      </w:pPr>
    </w:p>
    <w:p w14:paraId="0F1B895E" w14:textId="77777777" w:rsidR="008E2E2E" w:rsidRPr="0063119B" w:rsidRDefault="008E2E2E" w:rsidP="008E2E2E">
      <w:pPr>
        <w:jc w:val="center"/>
        <w:rPr>
          <w:szCs w:val="22"/>
        </w:rPr>
      </w:pPr>
    </w:p>
    <w:p w14:paraId="2E7199DD" w14:textId="77777777" w:rsidR="008E2E2E" w:rsidRPr="0063119B" w:rsidRDefault="008E2E2E" w:rsidP="008E2E2E">
      <w:pPr>
        <w:jc w:val="center"/>
        <w:rPr>
          <w:szCs w:val="22"/>
        </w:rPr>
      </w:pPr>
    </w:p>
    <w:p w14:paraId="57288E66" w14:textId="77777777" w:rsidR="008E2E2E" w:rsidRPr="0063119B" w:rsidRDefault="008E2E2E" w:rsidP="008E2E2E">
      <w:pPr>
        <w:jc w:val="center"/>
        <w:rPr>
          <w:szCs w:val="22"/>
        </w:rPr>
      </w:pPr>
    </w:p>
    <w:p w14:paraId="49EBB419" w14:textId="77777777" w:rsidR="008E2E2E" w:rsidRPr="0063119B" w:rsidRDefault="008E2E2E" w:rsidP="008E2E2E">
      <w:pPr>
        <w:jc w:val="center"/>
        <w:rPr>
          <w:szCs w:val="22"/>
        </w:rPr>
      </w:pPr>
    </w:p>
    <w:p w14:paraId="72690323" w14:textId="77777777" w:rsidR="008E2E2E" w:rsidRPr="0063119B" w:rsidRDefault="008E2E2E" w:rsidP="008E2E2E">
      <w:pPr>
        <w:jc w:val="center"/>
        <w:rPr>
          <w:szCs w:val="22"/>
        </w:rPr>
      </w:pPr>
    </w:p>
    <w:p w14:paraId="41AA50AC" w14:textId="77777777" w:rsidR="008E2E2E" w:rsidRPr="0063119B" w:rsidRDefault="008E2E2E" w:rsidP="008E2E2E">
      <w:pPr>
        <w:jc w:val="center"/>
        <w:rPr>
          <w:szCs w:val="22"/>
        </w:rPr>
      </w:pPr>
    </w:p>
    <w:p w14:paraId="3DE5B32C" w14:textId="77777777" w:rsidR="008E2E2E" w:rsidRPr="0063119B" w:rsidRDefault="008E2E2E" w:rsidP="008E2E2E">
      <w:pPr>
        <w:jc w:val="center"/>
        <w:rPr>
          <w:szCs w:val="22"/>
        </w:rPr>
      </w:pPr>
    </w:p>
    <w:p w14:paraId="30176CE9" w14:textId="77777777" w:rsidR="008E2E2E" w:rsidRPr="0063119B" w:rsidRDefault="008E2E2E" w:rsidP="008E2E2E">
      <w:pPr>
        <w:jc w:val="center"/>
        <w:rPr>
          <w:szCs w:val="22"/>
        </w:rPr>
      </w:pPr>
    </w:p>
    <w:p w14:paraId="0DB9FCE4" w14:textId="77777777" w:rsidR="008E2E2E" w:rsidRPr="0063119B" w:rsidRDefault="008E2E2E" w:rsidP="008E2E2E">
      <w:pPr>
        <w:jc w:val="center"/>
        <w:rPr>
          <w:szCs w:val="22"/>
        </w:rPr>
      </w:pPr>
    </w:p>
    <w:p w14:paraId="33276CED" w14:textId="77777777" w:rsidR="008E2E2E" w:rsidRPr="0063119B" w:rsidRDefault="008E2E2E" w:rsidP="008E2E2E">
      <w:pPr>
        <w:jc w:val="center"/>
        <w:rPr>
          <w:szCs w:val="22"/>
        </w:rPr>
      </w:pPr>
    </w:p>
    <w:p w14:paraId="0A8A9F7C" w14:textId="77777777" w:rsidR="008E2E2E" w:rsidRPr="0063119B" w:rsidRDefault="008E2E2E" w:rsidP="008E2E2E">
      <w:pPr>
        <w:jc w:val="center"/>
        <w:rPr>
          <w:szCs w:val="22"/>
        </w:rPr>
      </w:pPr>
    </w:p>
    <w:p w14:paraId="0315144B" w14:textId="77777777" w:rsidR="001377DA" w:rsidRPr="0063119B" w:rsidRDefault="001377DA" w:rsidP="005500AB">
      <w:pPr>
        <w:suppressAutoHyphens/>
        <w:jc w:val="center"/>
        <w:outlineLvl w:val="0"/>
        <w:rPr>
          <w:noProof/>
          <w:szCs w:val="22"/>
        </w:rPr>
      </w:pPr>
      <w:r w:rsidRPr="0063119B">
        <w:rPr>
          <w:b/>
          <w:noProof/>
          <w:szCs w:val="22"/>
        </w:rPr>
        <w:t>ANEXO II</w:t>
      </w:r>
    </w:p>
    <w:p w14:paraId="5AB83638" w14:textId="77777777" w:rsidR="001377DA" w:rsidRPr="0063119B" w:rsidRDefault="001377DA" w:rsidP="001377DA">
      <w:pPr>
        <w:tabs>
          <w:tab w:val="left" w:pos="-720"/>
        </w:tabs>
        <w:suppressAutoHyphens/>
        <w:ind w:left="1701" w:right="1126" w:hanging="567"/>
        <w:rPr>
          <w:noProof/>
          <w:szCs w:val="22"/>
        </w:rPr>
      </w:pPr>
    </w:p>
    <w:p w14:paraId="6804EC4B" w14:textId="77777777" w:rsidR="001377DA" w:rsidRPr="0063119B" w:rsidRDefault="001377DA" w:rsidP="001377DA">
      <w:pPr>
        <w:tabs>
          <w:tab w:val="left" w:pos="-720"/>
        </w:tabs>
        <w:suppressAutoHyphens/>
        <w:ind w:left="1701" w:right="1126" w:hanging="567"/>
        <w:rPr>
          <w:b/>
          <w:noProof/>
          <w:szCs w:val="22"/>
        </w:rPr>
      </w:pPr>
      <w:r w:rsidRPr="0063119B">
        <w:rPr>
          <w:b/>
          <w:noProof/>
          <w:szCs w:val="22"/>
        </w:rPr>
        <w:t>A.</w:t>
      </w:r>
      <w:r w:rsidRPr="0063119B">
        <w:rPr>
          <w:b/>
          <w:noProof/>
          <w:szCs w:val="22"/>
        </w:rPr>
        <w:tab/>
      </w:r>
      <w:r w:rsidRPr="0063119B">
        <w:rPr>
          <w:b/>
          <w:szCs w:val="22"/>
        </w:rPr>
        <w:t xml:space="preserve">FABRICANTE(S) </w:t>
      </w:r>
      <w:r w:rsidRPr="0063119B">
        <w:rPr>
          <w:b/>
          <w:noProof/>
          <w:szCs w:val="22"/>
        </w:rPr>
        <w:t>RESPONSÁVEL(VEIS) PELA LIBERTAÇÃO DO LOTE</w:t>
      </w:r>
    </w:p>
    <w:p w14:paraId="1FE9E3F2" w14:textId="77777777" w:rsidR="001377DA" w:rsidRPr="0063119B" w:rsidRDefault="001377DA" w:rsidP="001377DA">
      <w:pPr>
        <w:tabs>
          <w:tab w:val="left" w:pos="-720"/>
        </w:tabs>
        <w:suppressAutoHyphens/>
        <w:ind w:left="1701" w:right="1126" w:hanging="567"/>
        <w:rPr>
          <w:noProof/>
          <w:szCs w:val="22"/>
        </w:rPr>
      </w:pPr>
    </w:p>
    <w:p w14:paraId="6ADA8790" w14:textId="77777777" w:rsidR="001377DA" w:rsidRPr="0063119B" w:rsidRDefault="001377DA" w:rsidP="001377DA">
      <w:pPr>
        <w:tabs>
          <w:tab w:val="left" w:pos="-720"/>
        </w:tabs>
        <w:suppressAutoHyphens/>
        <w:ind w:left="1701" w:right="1126" w:hanging="567"/>
        <w:rPr>
          <w:b/>
          <w:noProof/>
          <w:szCs w:val="22"/>
        </w:rPr>
      </w:pPr>
      <w:r w:rsidRPr="0063119B">
        <w:rPr>
          <w:b/>
          <w:noProof/>
          <w:szCs w:val="22"/>
        </w:rPr>
        <w:t>B.</w:t>
      </w:r>
      <w:r w:rsidRPr="0063119B">
        <w:rPr>
          <w:b/>
          <w:noProof/>
          <w:szCs w:val="22"/>
        </w:rPr>
        <w:tab/>
        <w:t xml:space="preserve">CONDIÇÕES </w:t>
      </w:r>
      <w:r w:rsidRPr="0063119B">
        <w:rPr>
          <w:b/>
          <w:szCs w:val="22"/>
        </w:rPr>
        <w:t>OU RESTRIÇÕES RELATIVAS AO FORNECIMENTO E UTILIZAÇÃO</w:t>
      </w:r>
    </w:p>
    <w:p w14:paraId="5C8F988C" w14:textId="77777777" w:rsidR="001377DA" w:rsidRPr="0063119B" w:rsidRDefault="001377DA" w:rsidP="001377DA">
      <w:pPr>
        <w:tabs>
          <w:tab w:val="left" w:pos="-720"/>
        </w:tabs>
        <w:suppressAutoHyphens/>
        <w:ind w:left="1701" w:right="1126" w:hanging="567"/>
        <w:rPr>
          <w:b/>
          <w:noProof/>
          <w:szCs w:val="22"/>
        </w:rPr>
      </w:pPr>
    </w:p>
    <w:p w14:paraId="0BDC08CE" w14:textId="77777777" w:rsidR="001377DA" w:rsidRPr="0063119B" w:rsidRDefault="001377DA" w:rsidP="001377DA">
      <w:pPr>
        <w:tabs>
          <w:tab w:val="left" w:pos="-720"/>
        </w:tabs>
        <w:suppressAutoHyphens/>
        <w:ind w:left="1701" w:right="1126" w:hanging="567"/>
        <w:rPr>
          <w:b/>
          <w:szCs w:val="22"/>
        </w:rPr>
      </w:pPr>
      <w:r w:rsidRPr="0063119B">
        <w:rPr>
          <w:b/>
          <w:noProof/>
          <w:szCs w:val="22"/>
        </w:rPr>
        <w:t>C.</w:t>
      </w:r>
      <w:r w:rsidRPr="0063119B">
        <w:rPr>
          <w:b/>
          <w:noProof/>
          <w:szCs w:val="22"/>
        </w:rPr>
        <w:tab/>
      </w:r>
      <w:r w:rsidRPr="0063119B">
        <w:rPr>
          <w:b/>
          <w:szCs w:val="22"/>
        </w:rPr>
        <w:t>OUTRAS CONDIÇÕES E REQUISITOS DA AUTORIZAÇÃO DE INTRODUÇÃO NO MERCADO</w:t>
      </w:r>
    </w:p>
    <w:p w14:paraId="134A876D" w14:textId="77777777" w:rsidR="001377DA" w:rsidRPr="0063119B" w:rsidRDefault="001377DA" w:rsidP="001377DA">
      <w:pPr>
        <w:tabs>
          <w:tab w:val="left" w:pos="-720"/>
        </w:tabs>
        <w:suppressAutoHyphens/>
        <w:ind w:left="1701" w:right="1126" w:hanging="567"/>
        <w:rPr>
          <w:b/>
          <w:szCs w:val="22"/>
        </w:rPr>
      </w:pPr>
    </w:p>
    <w:p w14:paraId="2D3A2A1B" w14:textId="77777777" w:rsidR="001377DA" w:rsidRPr="0063119B" w:rsidRDefault="001377DA" w:rsidP="001377DA">
      <w:pPr>
        <w:tabs>
          <w:tab w:val="left" w:pos="-720"/>
        </w:tabs>
        <w:suppressAutoHyphens/>
        <w:ind w:left="1701" w:right="1126" w:hanging="567"/>
        <w:rPr>
          <w:b/>
          <w:szCs w:val="22"/>
        </w:rPr>
      </w:pPr>
      <w:r w:rsidRPr="0063119B">
        <w:rPr>
          <w:b/>
          <w:szCs w:val="22"/>
        </w:rPr>
        <w:t>D.</w:t>
      </w:r>
      <w:r w:rsidRPr="0063119B">
        <w:rPr>
          <w:b/>
          <w:szCs w:val="22"/>
        </w:rPr>
        <w:tab/>
      </w:r>
      <w:r w:rsidRPr="0063119B">
        <w:rPr>
          <w:b/>
          <w:caps/>
          <w:szCs w:val="22"/>
        </w:rPr>
        <w:t>Condições ou restrições relativas à utilização segura e eficaz do medicamento</w:t>
      </w:r>
    </w:p>
    <w:p w14:paraId="2B6E088E" w14:textId="77777777" w:rsidR="001377DA" w:rsidRPr="0063119B" w:rsidRDefault="001377DA" w:rsidP="001377DA">
      <w:pPr>
        <w:tabs>
          <w:tab w:val="left" w:pos="-720"/>
        </w:tabs>
        <w:suppressAutoHyphens/>
        <w:ind w:left="1701" w:right="1126" w:hanging="567"/>
        <w:rPr>
          <w:b/>
          <w:noProof/>
          <w:szCs w:val="22"/>
        </w:rPr>
      </w:pPr>
    </w:p>
    <w:p w14:paraId="374AF2A6" w14:textId="77777777" w:rsidR="001377DA" w:rsidRPr="0063119B" w:rsidRDefault="001377DA" w:rsidP="001377DA">
      <w:pPr>
        <w:tabs>
          <w:tab w:val="left" w:pos="-720"/>
        </w:tabs>
        <w:suppressAutoHyphens/>
        <w:ind w:left="1701" w:right="1126" w:hanging="567"/>
        <w:rPr>
          <w:noProof/>
          <w:szCs w:val="22"/>
        </w:rPr>
      </w:pPr>
    </w:p>
    <w:p w14:paraId="514B9395" w14:textId="77777777" w:rsidR="001377DA" w:rsidRPr="0063119B" w:rsidRDefault="001377DA" w:rsidP="001377DA">
      <w:pPr>
        <w:pStyle w:val="TitleB"/>
        <w:rPr>
          <w:color w:val="auto"/>
        </w:rPr>
      </w:pPr>
      <w:r w:rsidRPr="0063119B">
        <w:rPr>
          <w:color w:val="auto"/>
        </w:rPr>
        <w:br w:type="page"/>
      </w:r>
      <w:r w:rsidRPr="0063119B">
        <w:rPr>
          <w:color w:val="auto"/>
        </w:rPr>
        <w:lastRenderedPageBreak/>
        <w:t>A.</w:t>
      </w:r>
      <w:r w:rsidRPr="0063119B">
        <w:rPr>
          <w:color w:val="auto"/>
        </w:rPr>
        <w:tab/>
        <w:t>FABRICANTE(S) RESPONSÁVEL(VEIS) PELA LIBERTAÇÃO DO LOTE</w:t>
      </w:r>
    </w:p>
    <w:p w14:paraId="5B69ADB1" w14:textId="77777777" w:rsidR="001377DA" w:rsidRPr="0063119B" w:rsidRDefault="001377DA" w:rsidP="001377DA">
      <w:pPr>
        <w:suppressAutoHyphens/>
        <w:ind w:right="14"/>
        <w:rPr>
          <w:noProof/>
          <w:szCs w:val="22"/>
        </w:rPr>
      </w:pPr>
    </w:p>
    <w:p w14:paraId="00395518" w14:textId="77777777" w:rsidR="001377DA" w:rsidRPr="0063119B" w:rsidRDefault="001377DA" w:rsidP="001377DA">
      <w:pPr>
        <w:suppressAutoHyphens/>
        <w:ind w:right="14"/>
        <w:rPr>
          <w:noProof/>
          <w:szCs w:val="22"/>
          <w:u w:val="single"/>
        </w:rPr>
      </w:pPr>
      <w:r w:rsidRPr="0063119B">
        <w:rPr>
          <w:noProof/>
          <w:szCs w:val="22"/>
          <w:u w:val="single"/>
        </w:rPr>
        <w:t>Nome e endereço do fabricante  responsável pela libertação do lote</w:t>
      </w:r>
    </w:p>
    <w:p w14:paraId="32821B83" w14:textId="77777777" w:rsidR="001377DA" w:rsidRPr="0063119B" w:rsidRDefault="001377DA" w:rsidP="001377DA">
      <w:pPr>
        <w:suppressAutoHyphens/>
        <w:ind w:right="14"/>
        <w:rPr>
          <w:noProof/>
          <w:szCs w:val="22"/>
        </w:rPr>
      </w:pPr>
    </w:p>
    <w:p w14:paraId="4466475C" w14:textId="77777777" w:rsidR="0013096D" w:rsidRPr="0063119B" w:rsidRDefault="0013096D" w:rsidP="0013096D">
      <w:pPr>
        <w:keepNext/>
        <w:contextualSpacing/>
        <w:rPr>
          <w:szCs w:val="22"/>
          <w:lang w:val="en-GB"/>
        </w:rPr>
      </w:pPr>
      <w:r w:rsidRPr="0063119B">
        <w:rPr>
          <w:szCs w:val="22"/>
          <w:lang w:val="en-GB"/>
        </w:rPr>
        <w:t xml:space="preserve">Accord Healthcare Polska Sp. z </w:t>
      </w:r>
      <w:proofErr w:type="spellStart"/>
      <w:r w:rsidRPr="0063119B">
        <w:rPr>
          <w:szCs w:val="22"/>
          <w:lang w:val="en-GB"/>
        </w:rPr>
        <w:t>o.o.</w:t>
      </w:r>
      <w:proofErr w:type="spellEnd"/>
    </w:p>
    <w:p w14:paraId="22CC6353" w14:textId="77777777" w:rsidR="0013096D" w:rsidRPr="0063119B" w:rsidRDefault="0013096D" w:rsidP="0013096D">
      <w:pPr>
        <w:contextualSpacing/>
        <w:rPr>
          <w:szCs w:val="22"/>
          <w:lang w:val="en-GB"/>
        </w:rPr>
      </w:pPr>
      <w:r w:rsidRPr="0063119B">
        <w:rPr>
          <w:szCs w:val="22"/>
          <w:lang w:val="en-GB"/>
        </w:rPr>
        <w:t xml:space="preserve">Ul. </w:t>
      </w:r>
      <w:proofErr w:type="spellStart"/>
      <w:r w:rsidRPr="0063119B">
        <w:rPr>
          <w:szCs w:val="22"/>
          <w:lang w:val="en-GB"/>
        </w:rPr>
        <w:t>Lutomierska</w:t>
      </w:r>
      <w:proofErr w:type="spellEnd"/>
      <w:r w:rsidRPr="0063119B">
        <w:rPr>
          <w:szCs w:val="22"/>
          <w:lang w:val="en-GB"/>
        </w:rPr>
        <w:t xml:space="preserve"> 50, </w:t>
      </w:r>
    </w:p>
    <w:p w14:paraId="160B24E5" w14:textId="77777777" w:rsidR="0013096D" w:rsidRPr="0063119B" w:rsidRDefault="0013096D" w:rsidP="0013096D">
      <w:pPr>
        <w:contextualSpacing/>
        <w:rPr>
          <w:szCs w:val="22"/>
          <w:lang w:val="en-GB"/>
        </w:rPr>
      </w:pPr>
      <w:r w:rsidRPr="0063119B">
        <w:rPr>
          <w:szCs w:val="22"/>
          <w:lang w:val="en-GB"/>
        </w:rPr>
        <w:t xml:space="preserve">95-200 </w:t>
      </w:r>
      <w:proofErr w:type="spellStart"/>
      <w:r w:rsidRPr="0063119B">
        <w:rPr>
          <w:szCs w:val="22"/>
          <w:lang w:val="en-GB"/>
        </w:rPr>
        <w:t>Pabianice</w:t>
      </w:r>
      <w:proofErr w:type="spellEnd"/>
      <w:r w:rsidRPr="0063119B">
        <w:rPr>
          <w:szCs w:val="22"/>
          <w:lang w:val="en-GB"/>
        </w:rPr>
        <w:t xml:space="preserve">, </w:t>
      </w:r>
      <w:proofErr w:type="spellStart"/>
      <w:r w:rsidRPr="0063119B">
        <w:rPr>
          <w:szCs w:val="22"/>
          <w:lang w:val="en-GB"/>
        </w:rPr>
        <w:t>Polónia</w:t>
      </w:r>
      <w:proofErr w:type="spellEnd"/>
    </w:p>
    <w:p w14:paraId="44933271" w14:textId="77777777" w:rsidR="0013096D" w:rsidRPr="0063119B" w:rsidRDefault="0013096D" w:rsidP="0013096D">
      <w:pPr>
        <w:contextualSpacing/>
        <w:rPr>
          <w:szCs w:val="22"/>
          <w:lang w:val="en-GB"/>
        </w:rPr>
      </w:pPr>
    </w:p>
    <w:p w14:paraId="5E02FD4E" w14:textId="77777777" w:rsidR="0013096D" w:rsidRPr="0063119B" w:rsidRDefault="0013096D" w:rsidP="0013096D">
      <w:pPr>
        <w:contextualSpacing/>
        <w:rPr>
          <w:szCs w:val="22"/>
          <w:lang w:val="en-GB"/>
        </w:rPr>
      </w:pPr>
      <w:proofErr w:type="spellStart"/>
      <w:r w:rsidRPr="0063119B">
        <w:rPr>
          <w:szCs w:val="22"/>
          <w:lang w:val="en-GB"/>
        </w:rPr>
        <w:t>Pharmadox</w:t>
      </w:r>
      <w:proofErr w:type="spellEnd"/>
      <w:r w:rsidRPr="0063119B">
        <w:rPr>
          <w:szCs w:val="22"/>
          <w:lang w:val="en-GB"/>
        </w:rPr>
        <w:t xml:space="preserve"> Healthcare Limited </w:t>
      </w:r>
    </w:p>
    <w:p w14:paraId="33BC7486" w14:textId="77777777" w:rsidR="0013096D" w:rsidRPr="0063119B" w:rsidRDefault="0013096D" w:rsidP="0013096D">
      <w:pPr>
        <w:contextualSpacing/>
        <w:rPr>
          <w:szCs w:val="22"/>
          <w:lang w:val="en-GB"/>
        </w:rPr>
      </w:pPr>
      <w:r w:rsidRPr="0063119B">
        <w:rPr>
          <w:szCs w:val="22"/>
          <w:lang w:val="en-GB"/>
        </w:rPr>
        <w:t xml:space="preserve">KW20A </w:t>
      </w:r>
      <w:proofErr w:type="spellStart"/>
      <w:r w:rsidRPr="0063119B">
        <w:rPr>
          <w:szCs w:val="22"/>
          <w:lang w:val="en-GB"/>
        </w:rPr>
        <w:t>Kordin</w:t>
      </w:r>
      <w:proofErr w:type="spellEnd"/>
      <w:r w:rsidRPr="0063119B">
        <w:rPr>
          <w:szCs w:val="22"/>
          <w:lang w:val="en-GB"/>
        </w:rPr>
        <w:t xml:space="preserve"> Industrial Park, Paola </w:t>
      </w:r>
    </w:p>
    <w:p w14:paraId="5FCF14B1" w14:textId="77777777" w:rsidR="0013096D" w:rsidRPr="0063119B" w:rsidRDefault="0013096D" w:rsidP="0013096D">
      <w:pPr>
        <w:contextualSpacing/>
        <w:rPr>
          <w:szCs w:val="22"/>
          <w:lang w:val="es-ES"/>
        </w:rPr>
      </w:pPr>
      <w:r w:rsidRPr="0063119B">
        <w:rPr>
          <w:szCs w:val="22"/>
          <w:lang w:val="es-ES"/>
        </w:rPr>
        <w:t>PLA 3000, Malta</w:t>
      </w:r>
    </w:p>
    <w:p w14:paraId="2659A63D" w14:textId="77777777" w:rsidR="0013096D" w:rsidRPr="0063119B" w:rsidRDefault="0013096D" w:rsidP="0013096D">
      <w:pPr>
        <w:contextualSpacing/>
        <w:rPr>
          <w:szCs w:val="22"/>
          <w:lang w:val="es-ES"/>
        </w:rPr>
      </w:pPr>
    </w:p>
    <w:p w14:paraId="584B4721" w14:textId="77777777" w:rsidR="0013096D" w:rsidRPr="0063119B" w:rsidRDefault="0013096D" w:rsidP="0013096D">
      <w:pPr>
        <w:contextualSpacing/>
        <w:rPr>
          <w:szCs w:val="22"/>
          <w:lang w:val="es-ES"/>
        </w:rPr>
      </w:pPr>
      <w:proofErr w:type="spellStart"/>
      <w:r w:rsidRPr="0063119B">
        <w:rPr>
          <w:szCs w:val="22"/>
          <w:lang w:val="es-ES"/>
        </w:rPr>
        <w:t>Laboratori</w:t>
      </w:r>
      <w:proofErr w:type="spellEnd"/>
      <w:r w:rsidRPr="0063119B">
        <w:rPr>
          <w:szCs w:val="22"/>
          <w:lang w:val="es-ES"/>
        </w:rPr>
        <w:t xml:space="preserve"> </w:t>
      </w:r>
      <w:proofErr w:type="spellStart"/>
      <w:r w:rsidRPr="0063119B">
        <w:rPr>
          <w:szCs w:val="22"/>
          <w:lang w:val="es-ES"/>
        </w:rPr>
        <w:t>Fundació</w:t>
      </w:r>
      <w:proofErr w:type="spellEnd"/>
      <w:r w:rsidRPr="0063119B">
        <w:rPr>
          <w:szCs w:val="22"/>
          <w:lang w:val="es-ES"/>
        </w:rPr>
        <w:t xml:space="preserve"> DAU</w:t>
      </w:r>
    </w:p>
    <w:p w14:paraId="5AF49614" w14:textId="77777777" w:rsidR="0013096D" w:rsidRPr="0063119B" w:rsidRDefault="0013096D" w:rsidP="0013096D">
      <w:pPr>
        <w:contextualSpacing/>
        <w:rPr>
          <w:szCs w:val="22"/>
        </w:rPr>
      </w:pPr>
      <w:r w:rsidRPr="0063119B">
        <w:rPr>
          <w:szCs w:val="22"/>
          <w:lang w:val="es-ES"/>
        </w:rPr>
        <w:t xml:space="preserve">C/ C, 12-14 Pol. </w:t>
      </w:r>
      <w:proofErr w:type="spellStart"/>
      <w:r w:rsidRPr="0063119B">
        <w:rPr>
          <w:szCs w:val="22"/>
          <w:lang w:val="es-ES"/>
        </w:rPr>
        <w:t>Ind</w:t>
      </w:r>
      <w:proofErr w:type="spellEnd"/>
      <w:r w:rsidRPr="0063119B">
        <w:rPr>
          <w:szCs w:val="22"/>
          <w:lang w:val="es-ES"/>
        </w:rPr>
        <w:t xml:space="preserve">. </w:t>
      </w:r>
      <w:r w:rsidRPr="0063119B">
        <w:rPr>
          <w:szCs w:val="22"/>
        </w:rPr>
        <w:t>Zona Franca,</w:t>
      </w:r>
    </w:p>
    <w:p w14:paraId="742E55FA" w14:textId="77777777" w:rsidR="0013096D" w:rsidRPr="0063119B" w:rsidRDefault="0013096D" w:rsidP="0013096D">
      <w:pPr>
        <w:contextualSpacing/>
        <w:rPr>
          <w:szCs w:val="22"/>
        </w:rPr>
      </w:pPr>
      <w:r w:rsidRPr="0063119B">
        <w:rPr>
          <w:szCs w:val="22"/>
        </w:rPr>
        <w:t>08040 Barcelona, Espanha</w:t>
      </w:r>
    </w:p>
    <w:p w14:paraId="30A55A6C" w14:textId="77777777" w:rsidR="0013096D" w:rsidRPr="0063119B" w:rsidRDefault="0013096D" w:rsidP="0013096D">
      <w:pPr>
        <w:contextualSpacing/>
        <w:rPr>
          <w:szCs w:val="22"/>
        </w:rPr>
      </w:pPr>
    </w:p>
    <w:p w14:paraId="528AABCA" w14:textId="77777777" w:rsidR="0013096D" w:rsidRPr="0063119B" w:rsidRDefault="0013096D" w:rsidP="0013096D">
      <w:pPr>
        <w:rPr>
          <w:noProof/>
          <w:szCs w:val="22"/>
        </w:rPr>
      </w:pPr>
      <w:r w:rsidRPr="0063119B">
        <w:rPr>
          <w:noProof/>
          <w:szCs w:val="22"/>
        </w:rPr>
        <w:t>Accord Healthcare B.V</w:t>
      </w:r>
    </w:p>
    <w:p w14:paraId="2CED33F5" w14:textId="77777777" w:rsidR="0013096D" w:rsidRPr="0063119B" w:rsidRDefault="0013096D" w:rsidP="0013096D">
      <w:pPr>
        <w:rPr>
          <w:noProof/>
          <w:szCs w:val="22"/>
        </w:rPr>
      </w:pPr>
      <w:r w:rsidRPr="0063119B">
        <w:rPr>
          <w:noProof/>
          <w:szCs w:val="22"/>
        </w:rPr>
        <w:t>Winthontlaan 200, 3526KV Utrecht,</w:t>
      </w:r>
    </w:p>
    <w:p w14:paraId="22EF1419" w14:textId="77777777" w:rsidR="0013096D" w:rsidRDefault="0013096D" w:rsidP="0013096D">
      <w:pPr>
        <w:rPr>
          <w:noProof/>
          <w:szCs w:val="22"/>
        </w:rPr>
      </w:pPr>
      <w:r w:rsidRPr="0063119B">
        <w:rPr>
          <w:noProof/>
          <w:szCs w:val="22"/>
        </w:rPr>
        <w:t>Países Baixos</w:t>
      </w:r>
    </w:p>
    <w:p w14:paraId="0DB89330" w14:textId="77777777" w:rsidR="00E63212" w:rsidRDefault="00E63212" w:rsidP="0013096D">
      <w:pPr>
        <w:rPr>
          <w:noProof/>
          <w:szCs w:val="22"/>
        </w:rPr>
      </w:pPr>
    </w:p>
    <w:p w14:paraId="1BB0358A" w14:textId="77777777" w:rsidR="00E63212" w:rsidRPr="00E63212" w:rsidRDefault="00E63212" w:rsidP="00E63212">
      <w:pPr>
        <w:rPr>
          <w:ins w:id="5" w:author="MAH_Review_JV" w:date="2025-08-06T15:46:00Z" w16du:dateUtc="2025-08-06T14:46:00Z"/>
          <w:szCs w:val="22"/>
          <w:lang w:val="en-US"/>
          <w:rPrChange w:id="6" w:author="MAH_Review_JV" w:date="2025-08-06T15:46:00Z" w16du:dateUtc="2025-08-06T14:46:00Z">
            <w:rPr>
              <w:ins w:id="7" w:author="MAH_Review_JV" w:date="2025-08-06T15:46:00Z" w16du:dateUtc="2025-08-06T14:46:00Z"/>
              <w:szCs w:val="22"/>
            </w:rPr>
          </w:rPrChange>
        </w:rPr>
      </w:pPr>
      <w:ins w:id="8" w:author="MAH_Review_JV" w:date="2025-08-06T15:46:00Z" w16du:dateUtc="2025-08-06T14:46:00Z">
        <w:r w:rsidRPr="00E63212">
          <w:rPr>
            <w:szCs w:val="22"/>
            <w:lang w:val="en-US"/>
            <w:rPrChange w:id="9" w:author="MAH_Review_JV" w:date="2025-08-06T15:46:00Z" w16du:dateUtc="2025-08-06T14:46:00Z">
              <w:rPr>
                <w:szCs w:val="22"/>
              </w:rPr>
            </w:rPrChange>
          </w:rPr>
          <w:t xml:space="preserve">Accord Healthcare single member S.A. </w:t>
        </w:r>
      </w:ins>
    </w:p>
    <w:p w14:paraId="5202BE08" w14:textId="77777777" w:rsidR="00E63212" w:rsidRPr="00E63212" w:rsidRDefault="00E63212" w:rsidP="00E63212">
      <w:pPr>
        <w:rPr>
          <w:ins w:id="10" w:author="MAH_Review_JV" w:date="2025-08-06T15:46:00Z" w16du:dateUtc="2025-08-06T14:46:00Z"/>
          <w:szCs w:val="22"/>
          <w:lang w:val="en-US"/>
          <w:rPrChange w:id="11" w:author="MAH_Review_JV" w:date="2025-08-06T15:46:00Z" w16du:dateUtc="2025-08-06T14:46:00Z">
            <w:rPr>
              <w:ins w:id="12" w:author="MAH_Review_JV" w:date="2025-08-06T15:46:00Z" w16du:dateUtc="2025-08-06T14:46:00Z"/>
              <w:szCs w:val="22"/>
            </w:rPr>
          </w:rPrChange>
        </w:rPr>
      </w:pPr>
      <w:ins w:id="13" w:author="MAH_Review_JV" w:date="2025-08-06T15:46:00Z" w16du:dateUtc="2025-08-06T14:46:00Z">
        <w:r w:rsidRPr="00E63212">
          <w:rPr>
            <w:szCs w:val="22"/>
            <w:lang w:val="en-US"/>
            <w:rPrChange w:id="14" w:author="MAH_Review_JV" w:date="2025-08-06T15:46:00Z" w16du:dateUtc="2025-08-06T14:46:00Z">
              <w:rPr>
                <w:szCs w:val="22"/>
              </w:rPr>
            </w:rPrChange>
          </w:rPr>
          <w:t xml:space="preserve">64th Km National Road Athens, </w:t>
        </w:r>
      </w:ins>
    </w:p>
    <w:p w14:paraId="4E411D03" w14:textId="08ACAD55" w:rsidR="00E63212" w:rsidRDefault="00E63212" w:rsidP="00E63212">
      <w:pPr>
        <w:rPr>
          <w:ins w:id="15" w:author="MAH_Review_JV" w:date="2025-08-06T15:46:00Z" w16du:dateUtc="2025-08-06T14:46:00Z"/>
          <w:szCs w:val="22"/>
        </w:rPr>
      </w:pPr>
      <w:ins w:id="16" w:author="MAH_Review_JV" w:date="2025-08-06T15:46:00Z" w16du:dateUtc="2025-08-06T14:46:00Z">
        <w:r w:rsidRPr="00F62DEF">
          <w:rPr>
            <w:szCs w:val="22"/>
          </w:rPr>
          <w:t>Lamia, Schimatari, 32009, Gr</w:t>
        </w:r>
        <w:r>
          <w:rPr>
            <w:szCs w:val="22"/>
          </w:rPr>
          <w:t>écia</w:t>
        </w:r>
      </w:ins>
    </w:p>
    <w:p w14:paraId="1E71ADA3" w14:textId="77777777" w:rsidR="00E63212" w:rsidRPr="0063119B" w:rsidRDefault="00E63212" w:rsidP="0013096D">
      <w:pPr>
        <w:rPr>
          <w:noProof/>
          <w:szCs w:val="22"/>
        </w:rPr>
      </w:pPr>
    </w:p>
    <w:p w14:paraId="48E2D19B" w14:textId="77777777" w:rsidR="001377DA" w:rsidRPr="0063119B" w:rsidRDefault="001377DA" w:rsidP="001377DA">
      <w:pPr>
        <w:suppressAutoHyphens/>
        <w:ind w:right="14"/>
        <w:rPr>
          <w:noProof/>
          <w:szCs w:val="22"/>
          <w:lang w:val="it-IT"/>
        </w:rPr>
      </w:pPr>
    </w:p>
    <w:p w14:paraId="40900EEF" w14:textId="77777777" w:rsidR="001377DA" w:rsidRPr="0063119B" w:rsidRDefault="001377DA" w:rsidP="001377DA">
      <w:pPr>
        <w:suppressAutoHyphens/>
        <w:ind w:right="14"/>
        <w:rPr>
          <w:noProof/>
          <w:szCs w:val="22"/>
        </w:rPr>
      </w:pPr>
      <w:r w:rsidRPr="0063119B">
        <w:rPr>
          <w:noProof/>
          <w:snapToGrid w:val="0"/>
          <w:szCs w:val="22"/>
        </w:rPr>
        <w:t>O folheto informativo que acompanha o medicamento tem de mencionar o nome e endereço do fabricante responsável pela libertação do lote em causa.</w:t>
      </w:r>
    </w:p>
    <w:p w14:paraId="7199C8AE" w14:textId="77777777" w:rsidR="001377DA" w:rsidRPr="0063119B" w:rsidRDefault="001377DA" w:rsidP="001377DA">
      <w:pPr>
        <w:suppressAutoHyphens/>
        <w:ind w:right="14"/>
        <w:rPr>
          <w:noProof/>
          <w:szCs w:val="22"/>
        </w:rPr>
      </w:pPr>
    </w:p>
    <w:p w14:paraId="33B49D98" w14:textId="77777777" w:rsidR="001377DA" w:rsidRPr="0063119B" w:rsidRDefault="001377DA" w:rsidP="001377DA">
      <w:pPr>
        <w:suppressAutoHyphens/>
        <w:ind w:right="14"/>
        <w:rPr>
          <w:noProof/>
          <w:szCs w:val="22"/>
        </w:rPr>
      </w:pPr>
    </w:p>
    <w:p w14:paraId="330E96BA" w14:textId="77777777" w:rsidR="001377DA" w:rsidRPr="0063119B" w:rsidRDefault="001377DA" w:rsidP="001377DA">
      <w:pPr>
        <w:pStyle w:val="TitleB"/>
        <w:rPr>
          <w:color w:val="auto"/>
        </w:rPr>
      </w:pPr>
      <w:r w:rsidRPr="0063119B">
        <w:rPr>
          <w:color w:val="auto"/>
        </w:rPr>
        <w:t>B.</w:t>
      </w:r>
      <w:r w:rsidRPr="0063119B">
        <w:rPr>
          <w:color w:val="auto"/>
        </w:rPr>
        <w:tab/>
        <w:t>CONDIÇÕES OU RESTRIÇÕES RELATIVAS AO FORNECIMENTO E UTILIZAÇÃO</w:t>
      </w:r>
    </w:p>
    <w:p w14:paraId="51B9347D" w14:textId="77777777" w:rsidR="001377DA" w:rsidRPr="0063119B" w:rsidRDefault="001377DA" w:rsidP="001377DA">
      <w:pPr>
        <w:suppressAutoHyphens/>
        <w:ind w:left="567" w:hanging="567"/>
        <w:rPr>
          <w:noProof/>
          <w:szCs w:val="22"/>
        </w:rPr>
      </w:pPr>
    </w:p>
    <w:p w14:paraId="491F6DDC" w14:textId="77777777" w:rsidR="001377DA" w:rsidRPr="0063119B" w:rsidRDefault="001377DA" w:rsidP="001377DA">
      <w:pPr>
        <w:suppressAutoHyphens/>
        <w:ind w:right="14"/>
        <w:rPr>
          <w:noProof/>
          <w:szCs w:val="22"/>
        </w:rPr>
      </w:pPr>
      <w:r w:rsidRPr="0063119B">
        <w:rPr>
          <w:noProof/>
          <w:szCs w:val="22"/>
        </w:rPr>
        <w:t>Medicamento sujeito a receita médica.</w:t>
      </w:r>
    </w:p>
    <w:p w14:paraId="55C67194" w14:textId="77777777" w:rsidR="001377DA" w:rsidRPr="0063119B" w:rsidRDefault="001377DA" w:rsidP="001377DA">
      <w:pPr>
        <w:suppressAutoHyphens/>
        <w:ind w:right="14"/>
        <w:rPr>
          <w:b/>
          <w:noProof/>
          <w:szCs w:val="22"/>
        </w:rPr>
      </w:pPr>
    </w:p>
    <w:p w14:paraId="390020BE" w14:textId="77777777" w:rsidR="001377DA" w:rsidRPr="0063119B" w:rsidRDefault="001377DA" w:rsidP="001377DA">
      <w:pPr>
        <w:suppressAutoHyphens/>
        <w:ind w:right="14"/>
        <w:rPr>
          <w:b/>
          <w:noProof/>
          <w:szCs w:val="22"/>
        </w:rPr>
      </w:pPr>
    </w:p>
    <w:p w14:paraId="54F4FB07" w14:textId="77777777" w:rsidR="001377DA" w:rsidRPr="0063119B" w:rsidRDefault="001377DA" w:rsidP="001377DA">
      <w:pPr>
        <w:pStyle w:val="TitleB"/>
        <w:rPr>
          <w:color w:val="auto"/>
        </w:rPr>
      </w:pPr>
      <w:r w:rsidRPr="0063119B">
        <w:rPr>
          <w:color w:val="auto"/>
        </w:rPr>
        <w:t>C.</w:t>
      </w:r>
      <w:r w:rsidRPr="0063119B">
        <w:rPr>
          <w:color w:val="auto"/>
        </w:rPr>
        <w:tab/>
        <w:t>OUTRAS CONDIÇÕES E REQUISITOS DA AUTORIZAÇÃO DE INTRODUÇÃO NO MERCADO</w:t>
      </w:r>
    </w:p>
    <w:p w14:paraId="554F2BDC" w14:textId="77777777" w:rsidR="001377DA" w:rsidRPr="0063119B" w:rsidRDefault="001377DA" w:rsidP="001377DA">
      <w:pPr>
        <w:suppressAutoHyphens/>
        <w:ind w:right="14"/>
        <w:rPr>
          <w:noProof/>
          <w:szCs w:val="22"/>
        </w:rPr>
      </w:pPr>
    </w:p>
    <w:p w14:paraId="59527B79" w14:textId="77777777" w:rsidR="001377DA" w:rsidRPr="0063119B" w:rsidRDefault="001377DA" w:rsidP="00FF261B">
      <w:pPr>
        <w:numPr>
          <w:ilvl w:val="0"/>
          <w:numId w:val="16"/>
        </w:numPr>
        <w:suppressLineNumbers/>
        <w:tabs>
          <w:tab w:val="left" w:pos="567"/>
        </w:tabs>
        <w:spacing w:line="260" w:lineRule="exact"/>
        <w:ind w:right="-1" w:hanging="720"/>
        <w:rPr>
          <w:b/>
          <w:szCs w:val="22"/>
        </w:rPr>
      </w:pPr>
      <w:r w:rsidRPr="0063119B">
        <w:rPr>
          <w:b/>
          <w:szCs w:val="22"/>
        </w:rPr>
        <w:t xml:space="preserve">Relatórios </w:t>
      </w:r>
      <w:r w:rsidR="005D2334" w:rsidRPr="0063119B">
        <w:rPr>
          <w:b/>
          <w:szCs w:val="22"/>
        </w:rPr>
        <w:t>p</w:t>
      </w:r>
      <w:r w:rsidRPr="0063119B">
        <w:rPr>
          <w:b/>
          <w:szCs w:val="22"/>
        </w:rPr>
        <w:t xml:space="preserve">eriódicos de </w:t>
      </w:r>
      <w:r w:rsidR="005D2334" w:rsidRPr="0063119B">
        <w:rPr>
          <w:b/>
          <w:szCs w:val="22"/>
        </w:rPr>
        <w:t>s</w:t>
      </w:r>
      <w:r w:rsidRPr="0063119B">
        <w:rPr>
          <w:b/>
          <w:szCs w:val="22"/>
        </w:rPr>
        <w:t>egurança</w:t>
      </w:r>
      <w:r w:rsidR="005D2334" w:rsidRPr="0063119B">
        <w:rPr>
          <w:b/>
          <w:szCs w:val="22"/>
        </w:rPr>
        <w:t xml:space="preserve"> (RPS)</w:t>
      </w:r>
    </w:p>
    <w:p w14:paraId="4C57C805" w14:textId="77777777" w:rsidR="001377DA" w:rsidRPr="0063119B" w:rsidRDefault="001377DA" w:rsidP="001377DA">
      <w:pPr>
        <w:suppressLineNumbers/>
        <w:tabs>
          <w:tab w:val="left" w:pos="0"/>
        </w:tabs>
        <w:ind w:right="567"/>
        <w:rPr>
          <w:szCs w:val="22"/>
        </w:rPr>
      </w:pPr>
    </w:p>
    <w:p w14:paraId="5EA13358" w14:textId="77777777" w:rsidR="00F73429" w:rsidRPr="0063119B" w:rsidRDefault="00F73429" w:rsidP="00FB6301">
      <w:pPr>
        <w:tabs>
          <w:tab w:val="left" w:pos="0"/>
        </w:tabs>
        <w:ind w:right="567"/>
        <w:rPr>
          <w:szCs w:val="22"/>
        </w:rPr>
      </w:pPr>
      <w:r w:rsidRPr="0063119B">
        <w:rPr>
          <w:szCs w:val="22"/>
        </w:rPr>
        <w:t xml:space="preserve">Os requisitos para a apresentação de </w:t>
      </w:r>
      <w:r w:rsidR="005D2334" w:rsidRPr="0063119B">
        <w:rPr>
          <w:szCs w:val="22"/>
        </w:rPr>
        <w:t>RPS</w:t>
      </w:r>
      <w:r w:rsidRPr="0063119B">
        <w:rPr>
          <w:szCs w:val="22"/>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693B9467" w14:textId="77777777" w:rsidR="001377DA" w:rsidRPr="0063119B" w:rsidRDefault="001377DA" w:rsidP="001377DA">
      <w:pPr>
        <w:suppressAutoHyphens/>
        <w:ind w:right="14"/>
        <w:rPr>
          <w:noProof/>
          <w:szCs w:val="22"/>
          <w:u w:val="single"/>
        </w:rPr>
      </w:pPr>
    </w:p>
    <w:p w14:paraId="2DB920AA" w14:textId="77777777" w:rsidR="001377DA" w:rsidRPr="0063119B" w:rsidRDefault="001377DA" w:rsidP="001377DA">
      <w:pPr>
        <w:suppressAutoHyphens/>
        <w:ind w:right="14"/>
        <w:rPr>
          <w:noProof/>
          <w:szCs w:val="22"/>
          <w:u w:val="single"/>
        </w:rPr>
      </w:pPr>
    </w:p>
    <w:p w14:paraId="3226ED27" w14:textId="77777777" w:rsidR="001377DA" w:rsidRPr="0063119B" w:rsidRDefault="001377DA" w:rsidP="0067053F">
      <w:pPr>
        <w:pStyle w:val="TitleB"/>
        <w:rPr>
          <w:color w:val="auto"/>
        </w:rPr>
      </w:pPr>
      <w:r w:rsidRPr="0063119B">
        <w:rPr>
          <w:color w:val="auto"/>
        </w:rPr>
        <w:t>D.</w:t>
      </w:r>
      <w:r w:rsidRPr="0063119B">
        <w:rPr>
          <w:color w:val="auto"/>
        </w:rPr>
        <w:tab/>
        <w:t>CONDIÇÕES OU RESTRIÇÕES RELATIVAS À UTILIZAÇÃO SEGURA E EFICAZ DO MEDICAMENTO</w:t>
      </w:r>
    </w:p>
    <w:p w14:paraId="1A64D161" w14:textId="77777777" w:rsidR="001377DA" w:rsidRPr="0063119B" w:rsidRDefault="001377DA" w:rsidP="001377DA">
      <w:pPr>
        <w:suppressAutoHyphens/>
        <w:ind w:right="14"/>
        <w:rPr>
          <w:i/>
          <w:noProof/>
          <w:szCs w:val="22"/>
        </w:rPr>
      </w:pPr>
    </w:p>
    <w:p w14:paraId="28C13268" w14:textId="77777777" w:rsidR="001377DA" w:rsidRPr="0063119B" w:rsidRDefault="001377DA" w:rsidP="0000492E">
      <w:pPr>
        <w:numPr>
          <w:ilvl w:val="0"/>
          <w:numId w:val="16"/>
        </w:numPr>
        <w:suppressLineNumbers/>
        <w:tabs>
          <w:tab w:val="clear" w:pos="720"/>
        </w:tabs>
        <w:spacing w:line="260" w:lineRule="exact"/>
        <w:ind w:left="567" w:hanging="567"/>
        <w:rPr>
          <w:b/>
          <w:szCs w:val="22"/>
        </w:rPr>
      </w:pPr>
      <w:r w:rsidRPr="0063119B">
        <w:rPr>
          <w:b/>
          <w:szCs w:val="22"/>
        </w:rPr>
        <w:t xml:space="preserve">Plano de </w:t>
      </w:r>
      <w:r w:rsidR="005D2334" w:rsidRPr="0063119B">
        <w:rPr>
          <w:b/>
          <w:szCs w:val="22"/>
        </w:rPr>
        <w:t>g</w:t>
      </w:r>
      <w:r w:rsidRPr="0063119B">
        <w:rPr>
          <w:b/>
          <w:szCs w:val="22"/>
        </w:rPr>
        <w:t xml:space="preserve">estão do </w:t>
      </w:r>
      <w:r w:rsidR="005D2334" w:rsidRPr="0063119B">
        <w:rPr>
          <w:b/>
          <w:szCs w:val="22"/>
        </w:rPr>
        <w:t>r</w:t>
      </w:r>
      <w:r w:rsidRPr="0063119B">
        <w:rPr>
          <w:b/>
          <w:szCs w:val="22"/>
        </w:rPr>
        <w:t>isco (PGR)</w:t>
      </w:r>
    </w:p>
    <w:p w14:paraId="16B79427" w14:textId="77777777" w:rsidR="001377DA" w:rsidRPr="0063119B" w:rsidRDefault="001377DA" w:rsidP="001377DA">
      <w:pPr>
        <w:rPr>
          <w:noProof/>
          <w:szCs w:val="22"/>
        </w:rPr>
      </w:pPr>
    </w:p>
    <w:p w14:paraId="1BBB63E0" w14:textId="77777777" w:rsidR="001377DA" w:rsidRPr="0063119B" w:rsidRDefault="001377DA" w:rsidP="001377DA">
      <w:pPr>
        <w:rPr>
          <w:noProof/>
          <w:szCs w:val="22"/>
        </w:rPr>
      </w:pPr>
      <w:r w:rsidRPr="0063119B">
        <w:rPr>
          <w:noProof/>
          <w:szCs w:val="22"/>
        </w:rPr>
        <w:t xml:space="preserve">O Titular da AIM deve efetuar as atividades e </w:t>
      </w:r>
      <w:r w:rsidRPr="0063119B">
        <w:rPr>
          <w:szCs w:val="22"/>
        </w:rPr>
        <w:t xml:space="preserve">as intervenções </w:t>
      </w:r>
      <w:r w:rsidRPr="0063119B">
        <w:rPr>
          <w:noProof/>
          <w:szCs w:val="22"/>
        </w:rPr>
        <w:t xml:space="preserve">de farmacovigilância requeridas e detalhadas no PGR apresentado no Módulo 1.8.2. da </w:t>
      </w:r>
      <w:r w:rsidR="005D2334" w:rsidRPr="0063119B">
        <w:rPr>
          <w:noProof/>
          <w:szCs w:val="22"/>
        </w:rPr>
        <w:t>a</w:t>
      </w:r>
      <w:r w:rsidRPr="0063119B">
        <w:rPr>
          <w:noProof/>
          <w:szCs w:val="22"/>
        </w:rPr>
        <w:t xml:space="preserve">utorização de </w:t>
      </w:r>
      <w:r w:rsidR="005D2334" w:rsidRPr="0063119B">
        <w:rPr>
          <w:noProof/>
          <w:szCs w:val="22"/>
        </w:rPr>
        <w:t>i</w:t>
      </w:r>
      <w:r w:rsidRPr="0063119B">
        <w:rPr>
          <w:noProof/>
          <w:szCs w:val="22"/>
        </w:rPr>
        <w:t xml:space="preserve">ntrodução no </w:t>
      </w:r>
      <w:r w:rsidR="005D2334" w:rsidRPr="0063119B">
        <w:rPr>
          <w:noProof/>
          <w:szCs w:val="22"/>
        </w:rPr>
        <w:t>m</w:t>
      </w:r>
      <w:r w:rsidRPr="0063119B">
        <w:rPr>
          <w:noProof/>
          <w:szCs w:val="22"/>
        </w:rPr>
        <w:t xml:space="preserve">ercado, e quaisquer atualizações subsequentes do PGR </w:t>
      </w:r>
      <w:r w:rsidR="00F73429" w:rsidRPr="0063119B">
        <w:rPr>
          <w:noProof/>
          <w:szCs w:val="22"/>
        </w:rPr>
        <w:t xml:space="preserve">que sejam </w:t>
      </w:r>
      <w:r w:rsidRPr="0063119B">
        <w:rPr>
          <w:noProof/>
          <w:szCs w:val="22"/>
        </w:rPr>
        <w:t>acordadas.</w:t>
      </w:r>
    </w:p>
    <w:p w14:paraId="7EF35BB1" w14:textId="77777777" w:rsidR="001377DA" w:rsidRPr="0063119B" w:rsidRDefault="001377DA" w:rsidP="001377DA">
      <w:pPr>
        <w:suppressAutoHyphens/>
        <w:ind w:right="14"/>
        <w:rPr>
          <w:noProof/>
          <w:szCs w:val="22"/>
        </w:rPr>
      </w:pPr>
    </w:p>
    <w:p w14:paraId="591194E7" w14:textId="77777777" w:rsidR="001377DA" w:rsidRPr="0063119B" w:rsidRDefault="001377DA" w:rsidP="001377DA">
      <w:pPr>
        <w:suppressAutoHyphens/>
        <w:ind w:right="14"/>
        <w:rPr>
          <w:noProof/>
          <w:szCs w:val="22"/>
        </w:rPr>
      </w:pPr>
      <w:r w:rsidRPr="0063119B">
        <w:rPr>
          <w:noProof/>
          <w:szCs w:val="22"/>
        </w:rPr>
        <w:t>Deve ser apresentado um PGR atualizado:</w:t>
      </w:r>
    </w:p>
    <w:p w14:paraId="128A48A6" w14:textId="77777777" w:rsidR="001377DA" w:rsidRPr="0063119B" w:rsidRDefault="001377DA" w:rsidP="00FF261B">
      <w:pPr>
        <w:numPr>
          <w:ilvl w:val="0"/>
          <w:numId w:val="2"/>
        </w:numPr>
        <w:rPr>
          <w:noProof/>
          <w:szCs w:val="22"/>
        </w:rPr>
      </w:pPr>
      <w:r w:rsidRPr="0063119B">
        <w:rPr>
          <w:noProof/>
          <w:szCs w:val="22"/>
        </w:rPr>
        <w:t>A pedido da Agência Europeia de Medicamentos</w:t>
      </w:r>
    </w:p>
    <w:p w14:paraId="5E11BCE7" w14:textId="77777777" w:rsidR="001377DA" w:rsidRPr="0063119B" w:rsidRDefault="001377DA" w:rsidP="00FF261B">
      <w:pPr>
        <w:numPr>
          <w:ilvl w:val="0"/>
          <w:numId w:val="2"/>
        </w:numPr>
        <w:rPr>
          <w:noProof/>
          <w:szCs w:val="22"/>
        </w:rPr>
      </w:pPr>
      <w:r w:rsidRPr="0063119B">
        <w:rPr>
          <w:noProof/>
          <w:szCs w:val="22"/>
        </w:rPr>
        <w:lastRenderedPageBreak/>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6988D763" w14:textId="77777777" w:rsidR="001377DA" w:rsidRPr="0063119B" w:rsidRDefault="001377DA" w:rsidP="001377DA">
      <w:pPr>
        <w:suppressAutoHyphens/>
        <w:ind w:right="14"/>
        <w:rPr>
          <w:noProof/>
          <w:szCs w:val="22"/>
        </w:rPr>
      </w:pPr>
    </w:p>
    <w:p w14:paraId="41BBD944" w14:textId="77777777" w:rsidR="001377DA" w:rsidRPr="0063119B" w:rsidRDefault="001377DA" w:rsidP="00C34956">
      <w:pPr>
        <w:keepNext/>
        <w:numPr>
          <w:ilvl w:val="0"/>
          <w:numId w:val="2"/>
        </w:numPr>
        <w:ind w:left="567" w:hanging="567"/>
        <w:rPr>
          <w:b/>
          <w:szCs w:val="22"/>
        </w:rPr>
      </w:pPr>
      <w:r w:rsidRPr="0063119B">
        <w:rPr>
          <w:b/>
          <w:szCs w:val="22"/>
        </w:rPr>
        <w:t>Medidas adicionais de minimização do risco</w:t>
      </w:r>
    </w:p>
    <w:p w14:paraId="5E8AD98C" w14:textId="77777777" w:rsidR="001377DA" w:rsidRPr="0063119B" w:rsidRDefault="001377DA" w:rsidP="001377DA">
      <w:pPr>
        <w:keepNext/>
        <w:autoSpaceDE w:val="0"/>
        <w:autoSpaceDN w:val="0"/>
        <w:adjustRightInd w:val="0"/>
        <w:rPr>
          <w:szCs w:val="22"/>
        </w:rPr>
      </w:pPr>
    </w:p>
    <w:p w14:paraId="0FC8B384" w14:textId="77777777" w:rsidR="001377DA" w:rsidRPr="0063119B" w:rsidRDefault="001377DA" w:rsidP="001377DA">
      <w:pPr>
        <w:autoSpaceDE w:val="0"/>
        <w:autoSpaceDN w:val="0"/>
        <w:adjustRightInd w:val="0"/>
        <w:rPr>
          <w:szCs w:val="22"/>
        </w:rPr>
      </w:pPr>
      <w:r w:rsidRPr="0063119B">
        <w:rPr>
          <w:szCs w:val="22"/>
        </w:rPr>
        <w:t xml:space="preserve">O Titular da AIM deve disponibilizar um material educacional antes do lançamento, destinado a todos os médicos que poderão prescrever/usar </w:t>
      </w:r>
      <w:r w:rsidR="00607DE4">
        <w:rPr>
          <w:szCs w:val="22"/>
        </w:rPr>
        <w:t>Rivaroxabano</w:t>
      </w:r>
      <w:r w:rsidR="00C32E53" w:rsidRPr="0063119B">
        <w:rPr>
          <w:szCs w:val="22"/>
        </w:rPr>
        <w:t xml:space="preserve"> Accord</w:t>
      </w:r>
      <w:r w:rsidRPr="0063119B">
        <w:rPr>
          <w:szCs w:val="22"/>
        </w:rPr>
        <w:t>.</w:t>
      </w:r>
      <w:r w:rsidRPr="0063119B">
        <w:rPr>
          <w:noProof/>
          <w:szCs w:val="22"/>
        </w:rPr>
        <w:t xml:space="preserve"> O material educacional </w:t>
      </w:r>
      <w:r w:rsidRPr="0063119B">
        <w:rPr>
          <w:szCs w:val="22"/>
        </w:rPr>
        <w:t xml:space="preserve">tem como objetivo aumentar o conhecimento sobre o potencial risco de hemorragia durante o tratamento com </w:t>
      </w:r>
      <w:r w:rsidR="00607DE4">
        <w:rPr>
          <w:szCs w:val="22"/>
        </w:rPr>
        <w:t>Rivaroxabano</w:t>
      </w:r>
      <w:r w:rsidR="00C32E53" w:rsidRPr="0063119B">
        <w:rPr>
          <w:szCs w:val="22"/>
        </w:rPr>
        <w:t xml:space="preserve"> Accord</w:t>
      </w:r>
      <w:r w:rsidRPr="0063119B">
        <w:rPr>
          <w:szCs w:val="22"/>
        </w:rPr>
        <w:t xml:space="preserve"> e disponibilizar orientações sobre como gerir esse risco.</w:t>
      </w:r>
    </w:p>
    <w:p w14:paraId="219B98C2" w14:textId="77777777" w:rsidR="001377DA" w:rsidRPr="0063119B" w:rsidRDefault="001377DA" w:rsidP="001377DA">
      <w:pPr>
        <w:keepNext/>
        <w:autoSpaceDE w:val="0"/>
        <w:autoSpaceDN w:val="0"/>
        <w:adjustRightInd w:val="0"/>
        <w:rPr>
          <w:szCs w:val="22"/>
        </w:rPr>
      </w:pPr>
    </w:p>
    <w:p w14:paraId="69402117" w14:textId="77777777" w:rsidR="001377DA" w:rsidRPr="0063119B" w:rsidRDefault="001377DA" w:rsidP="001F10F8">
      <w:pPr>
        <w:keepNext/>
        <w:keepLines/>
        <w:autoSpaceDE w:val="0"/>
        <w:autoSpaceDN w:val="0"/>
        <w:adjustRightInd w:val="0"/>
        <w:rPr>
          <w:szCs w:val="22"/>
        </w:rPr>
      </w:pPr>
      <w:r w:rsidRPr="0063119B">
        <w:rPr>
          <w:szCs w:val="22"/>
        </w:rPr>
        <w:t>O material educacional médico deve conter:</w:t>
      </w:r>
    </w:p>
    <w:p w14:paraId="5C426EA8" w14:textId="77777777" w:rsidR="001377DA" w:rsidRPr="0063119B" w:rsidRDefault="001377DA" w:rsidP="00FF261B">
      <w:pPr>
        <w:numPr>
          <w:ilvl w:val="0"/>
          <w:numId w:val="11"/>
        </w:numPr>
        <w:autoSpaceDE w:val="0"/>
        <w:autoSpaceDN w:val="0"/>
        <w:adjustRightInd w:val="0"/>
        <w:rPr>
          <w:szCs w:val="22"/>
        </w:rPr>
      </w:pPr>
      <w:r w:rsidRPr="0063119B">
        <w:rPr>
          <w:szCs w:val="22"/>
        </w:rPr>
        <w:t>Resumo das Características do Medicamento</w:t>
      </w:r>
    </w:p>
    <w:p w14:paraId="7B9C142B" w14:textId="77777777" w:rsidR="001377DA" w:rsidRPr="0063119B" w:rsidRDefault="001377DA" w:rsidP="00FF261B">
      <w:pPr>
        <w:numPr>
          <w:ilvl w:val="0"/>
          <w:numId w:val="9"/>
        </w:numPr>
        <w:autoSpaceDE w:val="0"/>
        <w:autoSpaceDN w:val="0"/>
        <w:adjustRightInd w:val="0"/>
        <w:rPr>
          <w:szCs w:val="22"/>
        </w:rPr>
      </w:pPr>
      <w:r w:rsidRPr="0063119B">
        <w:rPr>
          <w:szCs w:val="22"/>
        </w:rPr>
        <w:t>Guia do Prescritor</w:t>
      </w:r>
    </w:p>
    <w:p w14:paraId="2DBEC077" w14:textId="77777777" w:rsidR="001377DA" w:rsidRPr="0063119B" w:rsidRDefault="001377DA" w:rsidP="00FF261B">
      <w:pPr>
        <w:numPr>
          <w:ilvl w:val="0"/>
          <w:numId w:val="9"/>
        </w:numPr>
        <w:autoSpaceDE w:val="0"/>
        <w:autoSpaceDN w:val="0"/>
        <w:adjustRightInd w:val="0"/>
        <w:rPr>
          <w:szCs w:val="22"/>
        </w:rPr>
      </w:pPr>
      <w:r w:rsidRPr="0063119B">
        <w:rPr>
          <w:szCs w:val="22"/>
        </w:rPr>
        <w:t>Cartões de Alerta do Doente [Texto incluído no Anexo III]</w:t>
      </w:r>
    </w:p>
    <w:p w14:paraId="09EA5F0A" w14:textId="77777777" w:rsidR="001377DA" w:rsidRPr="0063119B" w:rsidRDefault="001377DA" w:rsidP="001377DA">
      <w:pPr>
        <w:autoSpaceDE w:val="0"/>
        <w:autoSpaceDN w:val="0"/>
        <w:adjustRightInd w:val="0"/>
        <w:rPr>
          <w:noProof/>
          <w:szCs w:val="22"/>
        </w:rPr>
      </w:pPr>
    </w:p>
    <w:p w14:paraId="7F4CB2E2" w14:textId="77777777" w:rsidR="001377DA" w:rsidRPr="0063119B" w:rsidRDefault="001377DA" w:rsidP="001377DA">
      <w:pPr>
        <w:autoSpaceDE w:val="0"/>
        <w:autoSpaceDN w:val="0"/>
        <w:adjustRightInd w:val="0"/>
        <w:rPr>
          <w:szCs w:val="22"/>
        </w:rPr>
      </w:pPr>
      <w:r w:rsidRPr="0063119B">
        <w:rPr>
          <w:szCs w:val="22"/>
        </w:rPr>
        <w:t>O Titular da AIM deve acordar o conteúdo e o formato do Guia do Prescritor, juntamente com um plano de comunicação, com a autoridade nacional competente em cada Estado Membro, antes da distribuição do material educacional no seu país.</w:t>
      </w:r>
    </w:p>
    <w:p w14:paraId="3C778768" w14:textId="77777777" w:rsidR="001377DA" w:rsidRPr="0063119B" w:rsidRDefault="001377DA" w:rsidP="001377DA">
      <w:pPr>
        <w:autoSpaceDE w:val="0"/>
        <w:autoSpaceDN w:val="0"/>
        <w:adjustRightInd w:val="0"/>
        <w:ind w:left="720"/>
        <w:rPr>
          <w:szCs w:val="22"/>
        </w:rPr>
      </w:pPr>
    </w:p>
    <w:p w14:paraId="50926BA2" w14:textId="77777777" w:rsidR="001377DA" w:rsidRPr="0063119B" w:rsidRDefault="001377DA" w:rsidP="001377DA">
      <w:pPr>
        <w:autoSpaceDE w:val="0"/>
        <w:autoSpaceDN w:val="0"/>
        <w:adjustRightInd w:val="0"/>
        <w:rPr>
          <w:szCs w:val="22"/>
        </w:rPr>
      </w:pPr>
      <w:r w:rsidRPr="0063119B">
        <w:rPr>
          <w:szCs w:val="22"/>
        </w:rPr>
        <w:t>O Guia do Prescritor deve conter as seguintes mensagens de segurança importantes:</w:t>
      </w:r>
    </w:p>
    <w:p w14:paraId="1C38114D" w14:textId="77777777" w:rsidR="001377DA" w:rsidRPr="0063119B" w:rsidRDefault="001377DA" w:rsidP="00FF261B">
      <w:pPr>
        <w:numPr>
          <w:ilvl w:val="0"/>
          <w:numId w:val="10"/>
        </w:numPr>
        <w:autoSpaceDE w:val="0"/>
        <w:autoSpaceDN w:val="0"/>
        <w:adjustRightInd w:val="0"/>
        <w:rPr>
          <w:szCs w:val="22"/>
        </w:rPr>
      </w:pPr>
      <w:r w:rsidRPr="0063119B">
        <w:rPr>
          <w:szCs w:val="22"/>
        </w:rPr>
        <w:t xml:space="preserve"> Detalhes de populações com risco de hemorragia potencialmente aumentado</w:t>
      </w:r>
    </w:p>
    <w:p w14:paraId="2DFC7C95" w14:textId="77777777" w:rsidR="001377DA" w:rsidRPr="0063119B" w:rsidRDefault="001377DA" w:rsidP="00FF261B">
      <w:pPr>
        <w:numPr>
          <w:ilvl w:val="0"/>
          <w:numId w:val="10"/>
        </w:numPr>
        <w:autoSpaceDE w:val="0"/>
        <w:autoSpaceDN w:val="0"/>
        <w:adjustRightInd w:val="0"/>
        <w:rPr>
          <w:szCs w:val="22"/>
        </w:rPr>
      </w:pPr>
      <w:r w:rsidRPr="0063119B">
        <w:rPr>
          <w:szCs w:val="22"/>
        </w:rPr>
        <w:t xml:space="preserve"> Recomendações para redução de dose em populações de risco</w:t>
      </w:r>
    </w:p>
    <w:p w14:paraId="4A443027" w14:textId="77777777" w:rsidR="001377DA" w:rsidRPr="0063119B" w:rsidRDefault="001377DA" w:rsidP="00FF261B">
      <w:pPr>
        <w:numPr>
          <w:ilvl w:val="0"/>
          <w:numId w:val="10"/>
        </w:numPr>
        <w:autoSpaceDE w:val="0"/>
        <w:autoSpaceDN w:val="0"/>
        <w:adjustRightInd w:val="0"/>
        <w:rPr>
          <w:rStyle w:val="Emphasis"/>
          <w:i w:val="0"/>
          <w:iCs w:val="0"/>
          <w:szCs w:val="22"/>
        </w:rPr>
      </w:pPr>
      <w:r w:rsidRPr="0063119B">
        <w:rPr>
          <w:rStyle w:val="Emphasis"/>
          <w:i w:val="0"/>
          <w:szCs w:val="22"/>
        </w:rPr>
        <w:t xml:space="preserve"> Orientações relativas à passagem da, ou para a terapêutica com rivaroxabano</w:t>
      </w:r>
    </w:p>
    <w:p w14:paraId="34F821B5" w14:textId="77777777" w:rsidR="001377DA" w:rsidRPr="0063119B" w:rsidRDefault="001377DA" w:rsidP="00FF261B">
      <w:pPr>
        <w:numPr>
          <w:ilvl w:val="0"/>
          <w:numId w:val="10"/>
        </w:numPr>
        <w:autoSpaceDE w:val="0"/>
        <w:autoSpaceDN w:val="0"/>
        <w:adjustRightInd w:val="0"/>
        <w:rPr>
          <w:szCs w:val="22"/>
        </w:rPr>
      </w:pPr>
      <w:r w:rsidRPr="0063119B">
        <w:rPr>
          <w:rStyle w:val="Emphasis"/>
          <w:i w:val="0"/>
          <w:szCs w:val="22"/>
        </w:rPr>
        <w:t xml:space="preserve"> Necessidade de tomar os comprimidos de 15 mg e 20 mg com alimentos</w:t>
      </w:r>
    </w:p>
    <w:p w14:paraId="2E31F8EB" w14:textId="77777777" w:rsidR="001377DA" w:rsidRPr="0063119B" w:rsidRDefault="001377DA" w:rsidP="00FF261B">
      <w:pPr>
        <w:numPr>
          <w:ilvl w:val="0"/>
          <w:numId w:val="10"/>
        </w:numPr>
        <w:autoSpaceDE w:val="0"/>
        <w:autoSpaceDN w:val="0"/>
        <w:adjustRightInd w:val="0"/>
        <w:rPr>
          <w:szCs w:val="22"/>
        </w:rPr>
      </w:pPr>
      <w:r w:rsidRPr="0063119B">
        <w:rPr>
          <w:szCs w:val="22"/>
        </w:rPr>
        <w:t xml:space="preserve"> Gestão de situações de sobredosagem</w:t>
      </w:r>
    </w:p>
    <w:p w14:paraId="4E2712E2" w14:textId="77777777" w:rsidR="001377DA" w:rsidRPr="0063119B" w:rsidRDefault="001377DA" w:rsidP="00FF261B">
      <w:pPr>
        <w:numPr>
          <w:ilvl w:val="0"/>
          <w:numId w:val="10"/>
        </w:numPr>
        <w:autoSpaceDE w:val="0"/>
        <w:autoSpaceDN w:val="0"/>
        <w:adjustRightInd w:val="0"/>
        <w:rPr>
          <w:szCs w:val="22"/>
        </w:rPr>
      </w:pPr>
      <w:r w:rsidRPr="0063119B">
        <w:rPr>
          <w:szCs w:val="22"/>
        </w:rPr>
        <w:t xml:space="preserve"> A utilização de teste de coagulação e sua interpretação</w:t>
      </w:r>
    </w:p>
    <w:p w14:paraId="4C0C34D4" w14:textId="77777777" w:rsidR="001377DA" w:rsidRPr="0063119B" w:rsidRDefault="001377DA" w:rsidP="00FF261B">
      <w:pPr>
        <w:numPr>
          <w:ilvl w:val="0"/>
          <w:numId w:val="10"/>
        </w:numPr>
        <w:autoSpaceDE w:val="0"/>
        <w:autoSpaceDN w:val="0"/>
        <w:adjustRightInd w:val="0"/>
        <w:rPr>
          <w:szCs w:val="22"/>
        </w:rPr>
      </w:pPr>
      <w:r w:rsidRPr="0063119B">
        <w:rPr>
          <w:szCs w:val="22"/>
        </w:rPr>
        <w:t xml:space="preserve"> Todos os doentes devem ser esclarecidos sobre:</w:t>
      </w:r>
    </w:p>
    <w:p w14:paraId="0B5382DC" w14:textId="77777777" w:rsidR="001377DA" w:rsidRPr="0063119B" w:rsidRDefault="001377DA" w:rsidP="00FF261B">
      <w:pPr>
        <w:numPr>
          <w:ilvl w:val="0"/>
          <w:numId w:val="12"/>
        </w:numPr>
        <w:autoSpaceDE w:val="0"/>
        <w:autoSpaceDN w:val="0"/>
        <w:adjustRightInd w:val="0"/>
        <w:ind w:left="1418"/>
        <w:rPr>
          <w:szCs w:val="22"/>
        </w:rPr>
      </w:pPr>
      <w:r w:rsidRPr="0063119B">
        <w:rPr>
          <w:szCs w:val="22"/>
        </w:rPr>
        <w:t>Sinais ou sintomas de hemorragia e quando devem procurar um profissional de saúde.</w:t>
      </w:r>
    </w:p>
    <w:p w14:paraId="1DCFDD3C" w14:textId="77777777" w:rsidR="001377DA" w:rsidRPr="0063119B" w:rsidRDefault="001377DA" w:rsidP="00FF261B">
      <w:pPr>
        <w:numPr>
          <w:ilvl w:val="0"/>
          <w:numId w:val="12"/>
        </w:numPr>
        <w:autoSpaceDE w:val="0"/>
        <w:autoSpaceDN w:val="0"/>
        <w:adjustRightInd w:val="0"/>
        <w:ind w:left="1418"/>
        <w:rPr>
          <w:szCs w:val="22"/>
        </w:rPr>
      </w:pPr>
      <w:r w:rsidRPr="0063119B">
        <w:rPr>
          <w:szCs w:val="22"/>
        </w:rPr>
        <w:t>Importância de adesão ao tratamento</w:t>
      </w:r>
    </w:p>
    <w:p w14:paraId="4A66F9D3" w14:textId="77777777" w:rsidR="001377DA" w:rsidRPr="0063119B" w:rsidRDefault="001377DA" w:rsidP="00FF261B">
      <w:pPr>
        <w:numPr>
          <w:ilvl w:val="0"/>
          <w:numId w:val="12"/>
        </w:numPr>
        <w:autoSpaceDE w:val="0"/>
        <w:autoSpaceDN w:val="0"/>
        <w:adjustRightInd w:val="0"/>
        <w:ind w:left="1418"/>
        <w:rPr>
          <w:szCs w:val="22"/>
        </w:rPr>
      </w:pPr>
      <w:r w:rsidRPr="0063119B">
        <w:rPr>
          <w:rStyle w:val="Emphasis"/>
          <w:i w:val="0"/>
          <w:szCs w:val="22"/>
        </w:rPr>
        <w:t>Necessidade de tomar os comprimidos de 15 mg e 20 mg com alimentos</w:t>
      </w:r>
    </w:p>
    <w:p w14:paraId="6B8AE1E0" w14:textId="77777777" w:rsidR="001377DA" w:rsidRPr="0063119B" w:rsidRDefault="001377DA" w:rsidP="00FF261B">
      <w:pPr>
        <w:numPr>
          <w:ilvl w:val="0"/>
          <w:numId w:val="12"/>
        </w:numPr>
        <w:autoSpaceDE w:val="0"/>
        <w:autoSpaceDN w:val="0"/>
        <w:adjustRightInd w:val="0"/>
        <w:ind w:left="1418"/>
        <w:rPr>
          <w:szCs w:val="22"/>
        </w:rPr>
      </w:pPr>
      <w:r w:rsidRPr="0063119B">
        <w:rPr>
          <w:szCs w:val="22"/>
        </w:rPr>
        <w:t>Necessidade de ter sempre consigo o Cartão de Alerta do Doente que está incluído em cada embalagem</w:t>
      </w:r>
    </w:p>
    <w:p w14:paraId="4A08407E" w14:textId="77777777" w:rsidR="001377DA" w:rsidRPr="0063119B" w:rsidRDefault="001377DA" w:rsidP="00FF261B">
      <w:pPr>
        <w:numPr>
          <w:ilvl w:val="0"/>
          <w:numId w:val="12"/>
        </w:numPr>
        <w:autoSpaceDE w:val="0"/>
        <w:autoSpaceDN w:val="0"/>
        <w:adjustRightInd w:val="0"/>
        <w:ind w:left="1418"/>
        <w:rPr>
          <w:szCs w:val="22"/>
        </w:rPr>
      </w:pPr>
      <w:r w:rsidRPr="0063119B">
        <w:rPr>
          <w:szCs w:val="22"/>
        </w:rPr>
        <w:t xml:space="preserve">Necessidade de informar os Profissionais de Saúde de que estão a tomar </w:t>
      </w:r>
      <w:r w:rsidR="00607DE4">
        <w:rPr>
          <w:szCs w:val="22"/>
        </w:rPr>
        <w:t>Rivaroxabano</w:t>
      </w:r>
      <w:r w:rsidR="00C32E53" w:rsidRPr="0063119B">
        <w:rPr>
          <w:szCs w:val="22"/>
        </w:rPr>
        <w:t xml:space="preserve"> Accord</w:t>
      </w:r>
      <w:r w:rsidRPr="0063119B">
        <w:rPr>
          <w:szCs w:val="22"/>
        </w:rPr>
        <w:t>, caso tenham que ser submetidos a qualquer cirurgia ou procedimento invasivo.</w:t>
      </w:r>
    </w:p>
    <w:p w14:paraId="399EEDD4" w14:textId="77777777" w:rsidR="001377DA" w:rsidRPr="0063119B" w:rsidRDefault="001377DA" w:rsidP="001377DA">
      <w:pPr>
        <w:autoSpaceDE w:val="0"/>
        <w:autoSpaceDN w:val="0"/>
        <w:adjustRightInd w:val="0"/>
        <w:ind w:left="1701"/>
        <w:rPr>
          <w:szCs w:val="22"/>
        </w:rPr>
      </w:pPr>
    </w:p>
    <w:p w14:paraId="21169F81" w14:textId="77777777" w:rsidR="001377DA" w:rsidRPr="0063119B" w:rsidRDefault="001377DA" w:rsidP="001377DA">
      <w:pPr>
        <w:autoSpaceDE w:val="0"/>
        <w:autoSpaceDN w:val="0"/>
        <w:adjustRightInd w:val="0"/>
        <w:rPr>
          <w:noProof/>
          <w:szCs w:val="22"/>
        </w:rPr>
      </w:pPr>
      <w:r w:rsidRPr="0063119B">
        <w:rPr>
          <w:noProof/>
          <w:szCs w:val="22"/>
        </w:rPr>
        <w:t>O Titular de AIM deve disponibilizar também um Cartão de Alerta do Doente em cada embalagem do medicamento, o texto deste está incluído no Anexo III.</w:t>
      </w:r>
    </w:p>
    <w:p w14:paraId="7BF1E842" w14:textId="77777777" w:rsidR="006640F5" w:rsidRPr="0063119B" w:rsidRDefault="006640F5" w:rsidP="006640F5">
      <w:pPr>
        <w:ind w:right="-1"/>
        <w:rPr>
          <w:szCs w:val="22"/>
          <w:lang w:eastAsia="zh-CN"/>
        </w:rPr>
      </w:pPr>
    </w:p>
    <w:p w14:paraId="0A68285C" w14:textId="77777777" w:rsidR="00337111" w:rsidRPr="0063119B" w:rsidRDefault="001F10F8" w:rsidP="00337111">
      <w:pPr>
        <w:suppressAutoHyphens/>
        <w:ind w:right="14"/>
        <w:rPr>
          <w:noProof/>
          <w:szCs w:val="22"/>
        </w:rPr>
      </w:pPr>
      <w:r w:rsidRPr="0063119B">
        <w:rPr>
          <w:noProof/>
          <w:szCs w:val="22"/>
        </w:rPr>
        <w:br w:type="page"/>
      </w:r>
    </w:p>
    <w:p w14:paraId="58E118FA" w14:textId="77777777" w:rsidR="00C34956" w:rsidRPr="0063119B" w:rsidRDefault="00C34956" w:rsidP="00C34956">
      <w:pPr>
        <w:jc w:val="center"/>
        <w:rPr>
          <w:szCs w:val="22"/>
        </w:rPr>
      </w:pPr>
    </w:p>
    <w:p w14:paraId="4E881A91" w14:textId="77777777" w:rsidR="00C34956" w:rsidRPr="0063119B" w:rsidRDefault="00C34956" w:rsidP="00C34956">
      <w:pPr>
        <w:jc w:val="center"/>
        <w:rPr>
          <w:szCs w:val="22"/>
        </w:rPr>
      </w:pPr>
    </w:p>
    <w:p w14:paraId="56700E28" w14:textId="77777777" w:rsidR="00C34956" w:rsidRPr="0063119B" w:rsidRDefault="00C34956" w:rsidP="00C34956">
      <w:pPr>
        <w:jc w:val="center"/>
        <w:rPr>
          <w:szCs w:val="22"/>
        </w:rPr>
      </w:pPr>
    </w:p>
    <w:p w14:paraId="23DBFA70" w14:textId="77777777" w:rsidR="00C34956" w:rsidRPr="0063119B" w:rsidRDefault="00C34956" w:rsidP="00C34956">
      <w:pPr>
        <w:jc w:val="center"/>
        <w:rPr>
          <w:szCs w:val="22"/>
        </w:rPr>
      </w:pPr>
    </w:p>
    <w:p w14:paraId="49234F5D" w14:textId="77777777" w:rsidR="00C34956" w:rsidRPr="0063119B" w:rsidRDefault="00C34956" w:rsidP="00C34956">
      <w:pPr>
        <w:jc w:val="center"/>
        <w:rPr>
          <w:szCs w:val="22"/>
        </w:rPr>
      </w:pPr>
    </w:p>
    <w:p w14:paraId="6AA870DC" w14:textId="77777777" w:rsidR="00C34956" w:rsidRPr="0063119B" w:rsidRDefault="00C34956" w:rsidP="00C34956">
      <w:pPr>
        <w:jc w:val="center"/>
        <w:rPr>
          <w:szCs w:val="22"/>
        </w:rPr>
      </w:pPr>
    </w:p>
    <w:p w14:paraId="5AFE8C1A" w14:textId="77777777" w:rsidR="00C34956" w:rsidRPr="0063119B" w:rsidRDefault="00C34956" w:rsidP="00C34956">
      <w:pPr>
        <w:jc w:val="center"/>
        <w:rPr>
          <w:szCs w:val="22"/>
        </w:rPr>
      </w:pPr>
    </w:p>
    <w:p w14:paraId="725195A9" w14:textId="77777777" w:rsidR="00C34956" w:rsidRPr="0063119B" w:rsidRDefault="00C34956" w:rsidP="00C34956">
      <w:pPr>
        <w:jc w:val="center"/>
        <w:rPr>
          <w:szCs w:val="22"/>
        </w:rPr>
      </w:pPr>
    </w:p>
    <w:p w14:paraId="3EE77AE4" w14:textId="77777777" w:rsidR="00C34956" w:rsidRPr="0063119B" w:rsidRDefault="00C34956" w:rsidP="00C34956">
      <w:pPr>
        <w:jc w:val="center"/>
        <w:rPr>
          <w:szCs w:val="22"/>
        </w:rPr>
      </w:pPr>
    </w:p>
    <w:p w14:paraId="51625877" w14:textId="77777777" w:rsidR="00C34956" w:rsidRPr="0063119B" w:rsidRDefault="00C34956" w:rsidP="00C34956">
      <w:pPr>
        <w:jc w:val="center"/>
        <w:rPr>
          <w:szCs w:val="22"/>
        </w:rPr>
      </w:pPr>
    </w:p>
    <w:p w14:paraId="44E8ACB0" w14:textId="77777777" w:rsidR="00C34956" w:rsidRPr="0063119B" w:rsidRDefault="00C34956" w:rsidP="00C34956">
      <w:pPr>
        <w:jc w:val="center"/>
        <w:rPr>
          <w:szCs w:val="22"/>
        </w:rPr>
      </w:pPr>
    </w:p>
    <w:p w14:paraId="2D35C583" w14:textId="77777777" w:rsidR="00C34956" w:rsidRPr="0063119B" w:rsidRDefault="00C34956" w:rsidP="00C34956">
      <w:pPr>
        <w:jc w:val="center"/>
        <w:rPr>
          <w:szCs w:val="22"/>
        </w:rPr>
      </w:pPr>
    </w:p>
    <w:p w14:paraId="02E709CF" w14:textId="77777777" w:rsidR="00C34956" w:rsidRPr="0063119B" w:rsidRDefault="00C34956" w:rsidP="00C34956">
      <w:pPr>
        <w:jc w:val="center"/>
        <w:rPr>
          <w:szCs w:val="22"/>
        </w:rPr>
      </w:pPr>
    </w:p>
    <w:p w14:paraId="74700E28" w14:textId="77777777" w:rsidR="00C34956" w:rsidRPr="0063119B" w:rsidRDefault="00C34956" w:rsidP="00C34956">
      <w:pPr>
        <w:jc w:val="center"/>
        <w:rPr>
          <w:szCs w:val="22"/>
        </w:rPr>
      </w:pPr>
    </w:p>
    <w:p w14:paraId="09DC0B13" w14:textId="77777777" w:rsidR="00C34956" w:rsidRPr="0063119B" w:rsidRDefault="00C34956" w:rsidP="00C34956">
      <w:pPr>
        <w:jc w:val="center"/>
        <w:rPr>
          <w:szCs w:val="22"/>
        </w:rPr>
      </w:pPr>
    </w:p>
    <w:p w14:paraId="59A189BA" w14:textId="77777777" w:rsidR="00C34956" w:rsidRPr="0063119B" w:rsidRDefault="00C34956" w:rsidP="00C34956">
      <w:pPr>
        <w:jc w:val="center"/>
        <w:rPr>
          <w:szCs w:val="22"/>
        </w:rPr>
      </w:pPr>
    </w:p>
    <w:p w14:paraId="252D9CC2" w14:textId="77777777" w:rsidR="00C34956" w:rsidRPr="0063119B" w:rsidRDefault="00C34956" w:rsidP="00C34956">
      <w:pPr>
        <w:jc w:val="center"/>
        <w:rPr>
          <w:szCs w:val="22"/>
        </w:rPr>
      </w:pPr>
    </w:p>
    <w:p w14:paraId="61E37F70" w14:textId="77777777" w:rsidR="00C34956" w:rsidRPr="0063119B" w:rsidRDefault="00C34956" w:rsidP="00C34956">
      <w:pPr>
        <w:jc w:val="center"/>
        <w:rPr>
          <w:szCs w:val="22"/>
        </w:rPr>
      </w:pPr>
    </w:p>
    <w:p w14:paraId="6F9CD808" w14:textId="77777777" w:rsidR="00C34956" w:rsidRPr="0063119B" w:rsidRDefault="00C34956" w:rsidP="00C34956">
      <w:pPr>
        <w:jc w:val="center"/>
        <w:rPr>
          <w:szCs w:val="22"/>
        </w:rPr>
      </w:pPr>
    </w:p>
    <w:p w14:paraId="6F189DC5" w14:textId="77777777" w:rsidR="00C34956" w:rsidRPr="0063119B" w:rsidRDefault="00C34956" w:rsidP="00C34956">
      <w:pPr>
        <w:jc w:val="center"/>
        <w:rPr>
          <w:szCs w:val="22"/>
        </w:rPr>
      </w:pPr>
    </w:p>
    <w:p w14:paraId="1E6979F1" w14:textId="77777777" w:rsidR="00C34956" w:rsidRPr="0063119B" w:rsidRDefault="00C34956" w:rsidP="00C34956">
      <w:pPr>
        <w:jc w:val="center"/>
        <w:rPr>
          <w:szCs w:val="22"/>
        </w:rPr>
      </w:pPr>
    </w:p>
    <w:p w14:paraId="4F77D144" w14:textId="77777777" w:rsidR="00C34956" w:rsidRPr="0063119B" w:rsidRDefault="00C34956" w:rsidP="00C34956">
      <w:pPr>
        <w:jc w:val="center"/>
        <w:rPr>
          <w:szCs w:val="22"/>
        </w:rPr>
      </w:pPr>
    </w:p>
    <w:p w14:paraId="42A3F8D1" w14:textId="77777777" w:rsidR="00337111" w:rsidRPr="0063119B" w:rsidRDefault="00337111" w:rsidP="005500AB">
      <w:pPr>
        <w:suppressAutoHyphens/>
        <w:ind w:right="11"/>
        <w:jc w:val="center"/>
        <w:outlineLvl w:val="0"/>
        <w:rPr>
          <w:b/>
          <w:noProof/>
          <w:szCs w:val="22"/>
        </w:rPr>
      </w:pPr>
      <w:r w:rsidRPr="0063119B">
        <w:rPr>
          <w:b/>
          <w:noProof/>
          <w:szCs w:val="22"/>
        </w:rPr>
        <w:t>ANEXO III</w:t>
      </w:r>
    </w:p>
    <w:p w14:paraId="278D3EF9" w14:textId="77777777" w:rsidR="00337111" w:rsidRPr="0063119B" w:rsidRDefault="00337111" w:rsidP="00337111">
      <w:pPr>
        <w:suppressAutoHyphens/>
        <w:ind w:right="14"/>
        <w:jc w:val="center"/>
        <w:rPr>
          <w:b/>
          <w:noProof/>
          <w:szCs w:val="22"/>
        </w:rPr>
      </w:pPr>
    </w:p>
    <w:p w14:paraId="70B59026" w14:textId="77777777" w:rsidR="00337111" w:rsidRPr="0063119B" w:rsidRDefault="00337111" w:rsidP="00337111">
      <w:pPr>
        <w:suppressAutoHyphens/>
        <w:ind w:right="14"/>
        <w:jc w:val="center"/>
        <w:rPr>
          <w:b/>
          <w:noProof/>
          <w:szCs w:val="22"/>
        </w:rPr>
      </w:pPr>
      <w:r w:rsidRPr="0063119B">
        <w:rPr>
          <w:b/>
          <w:noProof/>
          <w:szCs w:val="22"/>
        </w:rPr>
        <w:t>ROTULAGEM E FOLHETO INFORMATIVO</w:t>
      </w:r>
    </w:p>
    <w:p w14:paraId="0067FCC4" w14:textId="77777777" w:rsidR="00337111" w:rsidRPr="0063119B" w:rsidRDefault="00337111" w:rsidP="00337111">
      <w:pPr>
        <w:suppressAutoHyphens/>
        <w:ind w:right="14"/>
        <w:jc w:val="center"/>
        <w:rPr>
          <w:b/>
          <w:noProof/>
          <w:szCs w:val="22"/>
        </w:rPr>
      </w:pPr>
    </w:p>
    <w:p w14:paraId="3058A187" w14:textId="77777777" w:rsidR="00C34956" w:rsidRPr="0063119B" w:rsidRDefault="00337111" w:rsidP="00C34956">
      <w:pPr>
        <w:jc w:val="center"/>
        <w:rPr>
          <w:szCs w:val="22"/>
        </w:rPr>
      </w:pPr>
      <w:r w:rsidRPr="0063119B">
        <w:rPr>
          <w:b/>
          <w:noProof/>
          <w:szCs w:val="22"/>
        </w:rPr>
        <w:br w:type="page"/>
      </w:r>
    </w:p>
    <w:p w14:paraId="533985F8" w14:textId="77777777" w:rsidR="00C34956" w:rsidRPr="0063119B" w:rsidRDefault="00C34956" w:rsidP="00C34956">
      <w:pPr>
        <w:jc w:val="center"/>
        <w:rPr>
          <w:szCs w:val="22"/>
        </w:rPr>
      </w:pPr>
    </w:p>
    <w:p w14:paraId="60D55FB9" w14:textId="77777777" w:rsidR="00C34956" w:rsidRPr="0063119B" w:rsidRDefault="00C34956" w:rsidP="00C34956">
      <w:pPr>
        <w:jc w:val="center"/>
        <w:rPr>
          <w:szCs w:val="22"/>
        </w:rPr>
      </w:pPr>
    </w:p>
    <w:p w14:paraId="74C613DF" w14:textId="77777777" w:rsidR="00C34956" w:rsidRPr="0063119B" w:rsidRDefault="00C34956" w:rsidP="00C34956">
      <w:pPr>
        <w:jc w:val="center"/>
        <w:rPr>
          <w:szCs w:val="22"/>
        </w:rPr>
      </w:pPr>
    </w:p>
    <w:p w14:paraId="6DF53FC7" w14:textId="77777777" w:rsidR="00C34956" w:rsidRPr="0063119B" w:rsidRDefault="00C34956" w:rsidP="00C34956">
      <w:pPr>
        <w:jc w:val="center"/>
        <w:rPr>
          <w:szCs w:val="22"/>
        </w:rPr>
      </w:pPr>
    </w:p>
    <w:p w14:paraId="749CB98A" w14:textId="77777777" w:rsidR="00C34956" w:rsidRPr="0063119B" w:rsidRDefault="00C34956" w:rsidP="00C34956">
      <w:pPr>
        <w:jc w:val="center"/>
        <w:rPr>
          <w:szCs w:val="22"/>
        </w:rPr>
      </w:pPr>
    </w:p>
    <w:p w14:paraId="3B86D3E7" w14:textId="77777777" w:rsidR="00C34956" w:rsidRPr="0063119B" w:rsidRDefault="00C34956" w:rsidP="00C34956">
      <w:pPr>
        <w:jc w:val="center"/>
        <w:rPr>
          <w:szCs w:val="22"/>
        </w:rPr>
      </w:pPr>
    </w:p>
    <w:p w14:paraId="3E7C06A1" w14:textId="77777777" w:rsidR="00C34956" w:rsidRPr="0063119B" w:rsidRDefault="00C34956" w:rsidP="00C34956">
      <w:pPr>
        <w:jc w:val="center"/>
        <w:rPr>
          <w:szCs w:val="22"/>
        </w:rPr>
      </w:pPr>
    </w:p>
    <w:p w14:paraId="371733CB" w14:textId="77777777" w:rsidR="00C34956" w:rsidRPr="0063119B" w:rsidRDefault="00C34956" w:rsidP="00C34956">
      <w:pPr>
        <w:jc w:val="center"/>
        <w:rPr>
          <w:szCs w:val="22"/>
        </w:rPr>
      </w:pPr>
    </w:p>
    <w:p w14:paraId="102ABC67" w14:textId="77777777" w:rsidR="00C34956" w:rsidRPr="0063119B" w:rsidRDefault="00C34956" w:rsidP="00C34956">
      <w:pPr>
        <w:jc w:val="center"/>
        <w:rPr>
          <w:szCs w:val="22"/>
        </w:rPr>
      </w:pPr>
    </w:p>
    <w:p w14:paraId="528A8419" w14:textId="77777777" w:rsidR="00C34956" w:rsidRPr="0063119B" w:rsidRDefault="00C34956" w:rsidP="00C34956">
      <w:pPr>
        <w:jc w:val="center"/>
        <w:rPr>
          <w:szCs w:val="22"/>
        </w:rPr>
      </w:pPr>
    </w:p>
    <w:p w14:paraId="26FA9444" w14:textId="77777777" w:rsidR="00C34956" w:rsidRPr="0063119B" w:rsidRDefault="00C34956" w:rsidP="00C34956">
      <w:pPr>
        <w:jc w:val="center"/>
        <w:rPr>
          <w:szCs w:val="22"/>
        </w:rPr>
      </w:pPr>
    </w:p>
    <w:p w14:paraId="7616BEBB" w14:textId="77777777" w:rsidR="00C34956" w:rsidRPr="0063119B" w:rsidRDefault="00C34956" w:rsidP="00C34956">
      <w:pPr>
        <w:jc w:val="center"/>
        <w:rPr>
          <w:szCs w:val="22"/>
        </w:rPr>
      </w:pPr>
    </w:p>
    <w:p w14:paraId="619FF774" w14:textId="77777777" w:rsidR="00C34956" w:rsidRPr="0063119B" w:rsidRDefault="00C34956" w:rsidP="00C34956">
      <w:pPr>
        <w:jc w:val="center"/>
        <w:rPr>
          <w:szCs w:val="22"/>
        </w:rPr>
      </w:pPr>
    </w:p>
    <w:p w14:paraId="50E51028" w14:textId="77777777" w:rsidR="00C34956" w:rsidRPr="0063119B" w:rsidRDefault="00C34956" w:rsidP="00C34956">
      <w:pPr>
        <w:jc w:val="center"/>
        <w:rPr>
          <w:szCs w:val="22"/>
        </w:rPr>
      </w:pPr>
    </w:p>
    <w:p w14:paraId="7EA9A166" w14:textId="77777777" w:rsidR="00C34956" w:rsidRPr="0063119B" w:rsidRDefault="00C34956" w:rsidP="00C34956">
      <w:pPr>
        <w:jc w:val="center"/>
        <w:rPr>
          <w:szCs w:val="22"/>
        </w:rPr>
      </w:pPr>
    </w:p>
    <w:p w14:paraId="4CA1C236" w14:textId="77777777" w:rsidR="00C34956" w:rsidRPr="0063119B" w:rsidRDefault="00C34956" w:rsidP="00C34956">
      <w:pPr>
        <w:jc w:val="center"/>
        <w:rPr>
          <w:szCs w:val="22"/>
        </w:rPr>
      </w:pPr>
    </w:p>
    <w:p w14:paraId="74A46AB4" w14:textId="77777777" w:rsidR="00C34956" w:rsidRPr="0063119B" w:rsidRDefault="00C34956" w:rsidP="00C34956">
      <w:pPr>
        <w:jc w:val="center"/>
        <w:rPr>
          <w:szCs w:val="22"/>
        </w:rPr>
      </w:pPr>
    </w:p>
    <w:p w14:paraId="629E7A78" w14:textId="77777777" w:rsidR="00C34956" w:rsidRPr="0063119B" w:rsidRDefault="00C34956" w:rsidP="00C34956">
      <w:pPr>
        <w:jc w:val="center"/>
        <w:rPr>
          <w:szCs w:val="22"/>
        </w:rPr>
      </w:pPr>
    </w:p>
    <w:p w14:paraId="74CD29D4" w14:textId="77777777" w:rsidR="00C34956" w:rsidRPr="0063119B" w:rsidRDefault="00C34956" w:rsidP="00C34956">
      <w:pPr>
        <w:jc w:val="center"/>
        <w:rPr>
          <w:szCs w:val="22"/>
        </w:rPr>
      </w:pPr>
    </w:p>
    <w:p w14:paraId="7DCA9ADB" w14:textId="77777777" w:rsidR="00C34956" w:rsidRPr="0063119B" w:rsidRDefault="00C34956" w:rsidP="00C34956">
      <w:pPr>
        <w:jc w:val="center"/>
        <w:rPr>
          <w:szCs w:val="22"/>
        </w:rPr>
      </w:pPr>
    </w:p>
    <w:p w14:paraId="60A3B2AD" w14:textId="77777777" w:rsidR="00C34956" w:rsidRPr="0063119B" w:rsidRDefault="00C34956" w:rsidP="00C34956">
      <w:pPr>
        <w:jc w:val="center"/>
        <w:rPr>
          <w:szCs w:val="22"/>
        </w:rPr>
      </w:pPr>
    </w:p>
    <w:p w14:paraId="030A7F14" w14:textId="77777777" w:rsidR="00337111" w:rsidRPr="0063119B" w:rsidRDefault="00337111" w:rsidP="00C34956">
      <w:pPr>
        <w:suppressAutoHyphens/>
        <w:ind w:right="14"/>
        <w:jc w:val="center"/>
        <w:rPr>
          <w:b/>
          <w:noProof/>
          <w:szCs w:val="22"/>
        </w:rPr>
      </w:pPr>
    </w:p>
    <w:p w14:paraId="44B9C8C7" w14:textId="77777777" w:rsidR="00337111" w:rsidRPr="0063119B" w:rsidRDefault="00337111" w:rsidP="005500AB">
      <w:pPr>
        <w:pStyle w:val="TitleA"/>
        <w:ind w:right="11"/>
        <w:outlineLvl w:val="1"/>
      </w:pPr>
      <w:r w:rsidRPr="0063119B">
        <w:t>A. ROTULAGEM</w:t>
      </w:r>
    </w:p>
    <w:p w14:paraId="26586213" w14:textId="77777777" w:rsidR="00892082" w:rsidRPr="0063119B" w:rsidRDefault="00337111" w:rsidP="00892082">
      <w:pPr>
        <w:shd w:val="clear" w:color="auto" w:fill="FFFFFF"/>
        <w:suppressAutoHyphens/>
        <w:ind w:right="14"/>
        <w:rPr>
          <w:noProof/>
          <w:szCs w:val="22"/>
        </w:rPr>
      </w:pPr>
      <w:r w:rsidRPr="0063119B">
        <w:rPr>
          <w:noProof/>
          <w:szCs w:val="22"/>
        </w:rPr>
        <w:br w:type="page"/>
      </w:r>
    </w:p>
    <w:p w14:paraId="27B72CF9" w14:textId="77777777" w:rsidR="00892082" w:rsidRPr="0063119B" w:rsidRDefault="00892082" w:rsidP="00892082">
      <w:pPr>
        <w:pBdr>
          <w:top w:val="single" w:sz="4" w:space="1" w:color="auto"/>
          <w:left w:val="single" w:sz="4" w:space="4" w:color="auto"/>
          <w:bottom w:val="single" w:sz="4" w:space="1" w:color="auto"/>
          <w:right w:val="single" w:sz="4" w:space="4" w:color="auto"/>
        </w:pBdr>
        <w:shd w:val="clear" w:color="auto" w:fill="FFFFFF"/>
        <w:suppressAutoHyphens/>
        <w:ind w:right="14"/>
        <w:rPr>
          <w:b/>
          <w:caps/>
          <w:noProof/>
          <w:szCs w:val="22"/>
        </w:rPr>
      </w:pPr>
      <w:r w:rsidRPr="0063119B">
        <w:rPr>
          <w:b/>
          <w:noProof/>
          <w:szCs w:val="22"/>
        </w:rPr>
        <w:lastRenderedPageBreak/>
        <w:t xml:space="preserve">INDICAÇÕES A INCLUIR </w:t>
      </w:r>
      <w:r w:rsidRPr="0063119B">
        <w:rPr>
          <w:b/>
          <w:caps/>
          <w:noProof/>
          <w:szCs w:val="22"/>
        </w:rPr>
        <w:t>no acondicionamento secundário</w:t>
      </w:r>
    </w:p>
    <w:p w14:paraId="39451D88" w14:textId="77777777" w:rsidR="00892082" w:rsidRPr="0063119B" w:rsidRDefault="00892082" w:rsidP="00892082">
      <w:pPr>
        <w:pBdr>
          <w:top w:val="single" w:sz="4" w:space="1" w:color="auto"/>
          <w:left w:val="single" w:sz="4" w:space="4" w:color="auto"/>
          <w:bottom w:val="single" w:sz="4" w:space="1" w:color="auto"/>
          <w:right w:val="single" w:sz="4" w:space="4" w:color="auto"/>
        </w:pBdr>
        <w:shd w:val="clear" w:color="auto" w:fill="FFFFFF"/>
        <w:suppressAutoHyphens/>
        <w:ind w:right="14"/>
        <w:rPr>
          <w:b/>
          <w:noProof/>
          <w:szCs w:val="22"/>
        </w:rPr>
      </w:pPr>
    </w:p>
    <w:p w14:paraId="2B8AB26A" w14:textId="77777777" w:rsidR="00892082" w:rsidRPr="0063119B" w:rsidRDefault="00892082" w:rsidP="00892082">
      <w:pPr>
        <w:pBdr>
          <w:top w:val="single" w:sz="4" w:space="1" w:color="auto"/>
          <w:left w:val="single" w:sz="4" w:space="4" w:color="auto"/>
          <w:bottom w:val="single" w:sz="4" w:space="1" w:color="auto"/>
          <w:right w:val="single" w:sz="4" w:space="4" w:color="auto"/>
        </w:pBdr>
        <w:shd w:val="clear" w:color="auto" w:fill="FFFFFF"/>
        <w:suppressAutoHyphens/>
        <w:ind w:right="14"/>
        <w:rPr>
          <w:b/>
          <w:noProof/>
          <w:szCs w:val="22"/>
        </w:rPr>
      </w:pPr>
      <w:r w:rsidRPr="0063119B">
        <w:rPr>
          <w:b/>
          <w:noProof/>
          <w:szCs w:val="22"/>
        </w:rPr>
        <w:t>EMBALAGEM EXTERIOR PARA 2,5</w:t>
      </w:r>
      <w:r w:rsidR="00340338" w:rsidRPr="0063119B">
        <w:rPr>
          <w:b/>
          <w:noProof/>
          <w:szCs w:val="22"/>
        </w:rPr>
        <w:t> </w:t>
      </w:r>
      <w:r w:rsidRPr="0063119B">
        <w:rPr>
          <w:b/>
          <w:noProof/>
          <w:szCs w:val="22"/>
        </w:rPr>
        <w:t>MG</w:t>
      </w:r>
    </w:p>
    <w:p w14:paraId="02EB5558" w14:textId="77777777" w:rsidR="00892082" w:rsidRPr="0063119B" w:rsidRDefault="00892082" w:rsidP="00892082">
      <w:pPr>
        <w:suppressAutoHyphens/>
        <w:ind w:right="14"/>
        <w:rPr>
          <w:noProof/>
          <w:szCs w:val="22"/>
        </w:rPr>
      </w:pPr>
    </w:p>
    <w:p w14:paraId="1935B35D" w14:textId="77777777" w:rsidR="00892082" w:rsidRPr="0063119B" w:rsidRDefault="00892082" w:rsidP="00892082">
      <w:pPr>
        <w:suppressAutoHyphens/>
        <w:ind w:right="14"/>
        <w:rPr>
          <w:noProof/>
          <w:szCs w:val="22"/>
        </w:rPr>
      </w:pPr>
    </w:p>
    <w:p w14:paraId="3C2EB893"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676BBC50" w14:textId="77777777" w:rsidR="00892082" w:rsidRPr="0063119B" w:rsidRDefault="00892082" w:rsidP="00892082">
      <w:pPr>
        <w:suppressAutoHyphens/>
        <w:ind w:right="14"/>
        <w:rPr>
          <w:noProof/>
          <w:szCs w:val="22"/>
        </w:rPr>
      </w:pPr>
    </w:p>
    <w:p w14:paraId="2B242BE5" w14:textId="77777777" w:rsidR="00892082" w:rsidRPr="001B6FEC" w:rsidRDefault="00607DE4" w:rsidP="005500AB">
      <w:pPr>
        <w:suppressAutoHyphens/>
        <w:ind w:right="11"/>
        <w:outlineLvl w:val="2"/>
        <w:rPr>
          <w:noProof/>
          <w:szCs w:val="22"/>
        </w:rPr>
      </w:pPr>
      <w:r w:rsidRPr="001B6FEC">
        <w:rPr>
          <w:noProof/>
          <w:szCs w:val="22"/>
        </w:rPr>
        <w:t>Rivaroxabano</w:t>
      </w:r>
      <w:r w:rsidR="001F7D02" w:rsidRPr="001B6FEC">
        <w:rPr>
          <w:noProof/>
          <w:szCs w:val="22"/>
        </w:rPr>
        <w:t xml:space="preserve"> Accord</w:t>
      </w:r>
      <w:r w:rsidR="00892082" w:rsidRPr="001B6FEC">
        <w:rPr>
          <w:noProof/>
          <w:szCs w:val="22"/>
        </w:rPr>
        <w:t xml:space="preserve"> 2,5</w:t>
      </w:r>
      <w:r w:rsidR="001F7D02" w:rsidRPr="001B6FEC">
        <w:rPr>
          <w:noProof/>
          <w:szCs w:val="22"/>
        </w:rPr>
        <w:t> </w:t>
      </w:r>
      <w:r w:rsidR="00892082" w:rsidRPr="001B6FEC">
        <w:rPr>
          <w:noProof/>
          <w:szCs w:val="22"/>
        </w:rPr>
        <w:t>mg comprimidos revestidos por película</w:t>
      </w:r>
    </w:p>
    <w:p w14:paraId="25B4BA13" w14:textId="77777777" w:rsidR="00892082" w:rsidRPr="0063119B" w:rsidRDefault="00892082" w:rsidP="00892082">
      <w:pPr>
        <w:suppressAutoHyphens/>
        <w:ind w:right="14"/>
        <w:rPr>
          <w:noProof/>
          <w:szCs w:val="22"/>
        </w:rPr>
      </w:pPr>
      <w:r w:rsidRPr="0063119B">
        <w:rPr>
          <w:noProof/>
          <w:szCs w:val="22"/>
        </w:rPr>
        <w:t>rivaroxabano</w:t>
      </w:r>
    </w:p>
    <w:p w14:paraId="21532220" w14:textId="77777777" w:rsidR="00892082" w:rsidRPr="0063119B" w:rsidRDefault="00892082" w:rsidP="00892082">
      <w:pPr>
        <w:suppressAutoHyphens/>
        <w:ind w:right="14"/>
        <w:rPr>
          <w:noProof/>
          <w:szCs w:val="22"/>
        </w:rPr>
      </w:pPr>
    </w:p>
    <w:p w14:paraId="0D50FA72" w14:textId="77777777" w:rsidR="00892082" w:rsidRPr="0063119B" w:rsidRDefault="00892082" w:rsidP="00892082">
      <w:pPr>
        <w:suppressAutoHyphens/>
        <w:ind w:right="14"/>
        <w:rPr>
          <w:noProof/>
          <w:szCs w:val="22"/>
        </w:rPr>
      </w:pPr>
    </w:p>
    <w:p w14:paraId="76A4B290"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2.</w:t>
      </w:r>
      <w:r w:rsidRPr="0063119B">
        <w:rPr>
          <w:b/>
          <w:noProof/>
          <w:szCs w:val="22"/>
        </w:rPr>
        <w:tab/>
        <w:t>DESCRIÇÃO DA(S) SUBSTÂNCIA(S) ATIVA(S)</w:t>
      </w:r>
    </w:p>
    <w:p w14:paraId="276345A3" w14:textId="77777777" w:rsidR="00892082" w:rsidRPr="0063119B" w:rsidRDefault="00892082" w:rsidP="00892082">
      <w:pPr>
        <w:suppressAutoHyphens/>
        <w:ind w:right="14"/>
        <w:rPr>
          <w:noProof/>
          <w:szCs w:val="22"/>
        </w:rPr>
      </w:pPr>
    </w:p>
    <w:p w14:paraId="2673337E" w14:textId="77777777" w:rsidR="00892082" w:rsidRPr="0063119B" w:rsidRDefault="00892082" w:rsidP="00892082">
      <w:pPr>
        <w:suppressAutoHyphens/>
        <w:ind w:right="14"/>
        <w:rPr>
          <w:noProof/>
          <w:szCs w:val="22"/>
        </w:rPr>
      </w:pPr>
      <w:r w:rsidRPr="0063119B">
        <w:rPr>
          <w:noProof/>
          <w:szCs w:val="22"/>
        </w:rPr>
        <w:t xml:space="preserve">Cada comprimido revestido por película contém </w:t>
      </w:r>
      <w:r w:rsidR="00163281" w:rsidRPr="0063119B">
        <w:rPr>
          <w:noProof/>
          <w:szCs w:val="22"/>
        </w:rPr>
        <w:t>2,5</w:t>
      </w:r>
      <w:r w:rsidR="001F7D02" w:rsidRPr="0063119B">
        <w:rPr>
          <w:noProof/>
          <w:szCs w:val="22"/>
        </w:rPr>
        <w:t> </w:t>
      </w:r>
      <w:r w:rsidRPr="0063119B">
        <w:rPr>
          <w:noProof/>
          <w:szCs w:val="22"/>
        </w:rPr>
        <w:t xml:space="preserve">mg </w:t>
      </w:r>
      <w:r w:rsidR="001F7D02" w:rsidRPr="0063119B">
        <w:rPr>
          <w:noProof/>
          <w:szCs w:val="22"/>
        </w:rPr>
        <w:t xml:space="preserve">de </w:t>
      </w:r>
      <w:r w:rsidRPr="0063119B">
        <w:rPr>
          <w:noProof/>
          <w:szCs w:val="22"/>
        </w:rPr>
        <w:t>rivaroxabano.</w:t>
      </w:r>
    </w:p>
    <w:p w14:paraId="2C8B21DF" w14:textId="77777777" w:rsidR="00892082" w:rsidRPr="0063119B" w:rsidRDefault="00892082" w:rsidP="00892082">
      <w:pPr>
        <w:suppressAutoHyphens/>
        <w:ind w:right="14"/>
        <w:rPr>
          <w:noProof/>
          <w:szCs w:val="22"/>
        </w:rPr>
      </w:pPr>
    </w:p>
    <w:p w14:paraId="709F2B38" w14:textId="77777777" w:rsidR="00892082" w:rsidRPr="0063119B" w:rsidRDefault="00892082" w:rsidP="00892082">
      <w:pPr>
        <w:suppressAutoHyphens/>
        <w:ind w:right="14"/>
        <w:rPr>
          <w:noProof/>
          <w:szCs w:val="22"/>
        </w:rPr>
      </w:pPr>
    </w:p>
    <w:p w14:paraId="254A00ED"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LISTA DOS EXCIPIENTES</w:t>
      </w:r>
    </w:p>
    <w:p w14:paraId="2312480F" w14:textId="77777777" w:rsidR="00892082" w:rsidRPr="0063119B" w:rsidRDefault="00892082" w:rsidP="00892082">
      <w:pPr>
        <w:suppressAutoHyphens/>
        <w:ind w:right="14"/>
        <w:rPr>
          <w:noProof/>
          <w:szCs w:val="22"/>
        </w:rPr>
      </w:pPr>
    </w:p>
    <w:p w14:paraId="0F6337A0" w14:textId="77777777" w:rsidR="00892082" w:rsidRPr="0063119B" w:rsidRDefault="00892082" w:rsidP="00892082">
      <w:pPr>
        <w:suppressAutoHyphens/>
        <w:ind w:right="14"/>
        <w:rPr>
          <w:noProof/>
          <w:szCs w:val="22"/>
        </w:rPr>
      </w:pPr>
      <w:r w:rsidRPr="0063119B">
        <w:rPr>
          <w:noProof/>
          <w:szCs w:val="22"/>
        </w:rPr>
        <w:t>Contém lactose</w:t>
      </w:r>
      <w:r w:rsidR="001356C1" w:rsidRPr="0063119B">
        <w:rPr>
          <w:noProof/>
          <w:szCs w:val="22"/>
        </w:rPr>
        <w:t xml:space="preserve"> mono-hidratada</w:t>
      </w:r>
      <w:r w:rsidRPr="0063119B">
        <w:rPr>
          <w:noProof/>
          <w:szCs w:val="22"/>
        </w:rPr>
        <w:t>.</w:t>
      </w:r>
    </w:p>
    <w:p w14:paraId="6C59B63C" w14:textId="77777777" w:rsidR="00892082" w:rsidRPr="0063119B" w:rsidRDefault="00892082" w:rsidP="00892082">
      <w:pPr>
        <w:suppressAutoHyphens/>
        <w:ind w:right="14"/>
        <w:rPr>
          <w:noProof/>
          <w:szCs w:val="22"/>
        </w:rPr>
      </w:pPr>
    </w:p>
    <w:p w14:paraId="48B11614" w14:textId="77777777" w:rsidR="00892082" w:rsidRPr="0063119B" w:rsidRDefault="00892082" w:rsidP="00892082">
      <w:pPr>
        <w:suppressAutoHyphens/>
        <w:ind w:right="14"/>
        <w:rPr>
          <w:noProof/>
          <w:szCs w:val="22"/>
        </w:rPr>
      </w:pPr>
    </w:p>
    <w:p w14:paraId="4CA8E7E3"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FORMA FARMACÊUTICA E CONTEÚDO</w:t>
      </w:r>
    </w:p>
    <w:p w14:paraId="06D4DB84" w14:textId="77777777" w:rsidR="00892082" w:rsidRPr="0063119B" w:rsidRDefault="00892082" w:rsidP="00892082">
      <w:pPr>
        <w:suppressAutoHyphens/>
        <w:ind w:right="14"/>
        <w:rPr>
          <w:noProof/>
          <w:szCs w:val="22"/>
        </w:rPr>
      </w:pPr>
    </w:p>
    <w:p w14:paraId="2EF60795" w14:textId="77777777" w:rsidR="00892082" w:rsidRPr="0063119B" w:rsidRDefault="001F7D02" w:rsidP="00892082">
      <w:pPr>
        <w:suppressAutoHyphens/>
        <w:ind w:right="14"/>
        <w:rPr>
          <w:noProof/>
          <w:szCs w:val="22"/>
        </w:rPr>
      </w:pPr>
      <w:r w:rsidRPr="0063119B">
        <w:rPr>
          <w:noProof/>
          <w:szCs w:val="22"/>
        </w:rPr>
        <w:t>28 </w:t>
      </w:r>
      <w:r w:rsidR="00892082" w:rsidRPr="0063119B">
        <w:rPr>
          <w:noProof/>
          <w:szCs w:val="22"/>
        </w:rPr>
        <w:t>comprimidos revestidos por película</w:t>
      </w:r>
    </w:p>
    <w:p w14:paraId="2F8DB48C" w14:textId="77777777" w:rsidR="00C22453" w:rsidRPr="0063119B" w:rsidRDefault="001F7D02" w:rsidP="00FB6301">
      <w:pPr>
        <w:rPr>
          <w:noProof/>
          <w:szCs w:val="22"/>
          <w:highlight w:val="darkGray"/>
        </w:rPr>
      </w:pPr>
      <w:r w:rsidRPr="0063119B">
        <w:rPr>
          <w:noProof/>
          <w:szCs w:val="22"/>
          <w:highlight w:val="darkGray"/>
        </w:rPr>
        <w:t>56 </w:t>
      </w:r>
      <w:r w:rsidR="00C22453" w:rsidRPr="0063119B">
        <w:rPr>
          <w:noProof/>
          <w:szCs w:val="22"/>
          <w:highlight w:val="darkGray"/>
        </w:rPr>
        <w:t>comprimidos revestidos por película</w:t>
      </w:r>
    </w:p>
    <w:p w14:paraId="6A543B65" w14:textId="77777777" w:rsidR="00892082" w:rsidRPr="0063119B" w:rsidRDefault="001F7D02" w:rsidP="00892082">
      <w:pPr>
        <w:rPr>
          <w:noProof/>
          <w:szCs w:val="22"/>
          <w:highlight w:val="darkGray"/>
        </w:rPr>
      </w:pPr>
      <w:r w:rsidRPr="0063119B">
        <w:rPr>
          <w:noProof/>
          <w:szCs w:val="22"/>
          <w:highlight w:val="darkGray"/>
        </w:rPr>
        <w:t>98 </w:t>
      </w:r>
      <w:r w:rsidR="00892082" w:rsidRPr="0063119B">
        <w:rPr>
          <w:noProof/>
          <w:szCs w:val="22"/>
          <w:highlight w:val="darkGray"/>
        </w:rPr>
        <w:t>comprimidos revestidos por película</w:t>
      </w:r>
    </w:p>
    <w:p w14:paraId="3C77780B" w14:textId="77777777" w:rsidR="00892082" w:rsidRPr="0063119B" w:rsidRDefault="001F7D02" w:rsidP="00892082">
      <w:pPr>
        <w:rPr>
          <w:noProof/>
          <w:szCs w:val="22"/>
          <w:highlight w:val="darkGray"/>
        </w:rPr>
      </w:pPr>
      <w:r w:rsidRPr="0063119B">
        <w:rPr>
          <w:noProof/>
          <w:szCs w:val="22"/>
          <w:highlight w:val="darkGray"/>
        </w:rPr>
        <w:t>100 </w:t>
      </w:r>
      <w:r w:rsidR="00892082" w:rsidRPr="0063119B">
        <w:rPr>
          <w:noProof/>
          <w:szCs w:val="22"/>
          <w:highlight w:val="darkGray"/>
        </w:rPr>
        <w:t>comprimidos revestidos por película</w:t>
      </w:r>
    </w:p>
    <w:p w14:paraId="4E451C7B" w14:textId="77777777" w:rsidR="00163281" w:rsidRPr="0063119B" w:rsidRDefault="00163281" w:rsidP="00163281">
      <w:pPr>
        <w:rPr>
          <w:noProof/>
          <w:szCs w:val="22"/>
          <w:highlight w:val="darkGray"/>
        </w:rPr>
      </w:pPr>
      <w:r w:rsidRPr="0063119B">
        <w:rPr>
          <w:noProof/>
          <w:szCs w:val="22"/>
          <w:highlight w:val="darkGray"/>
        </w:rPr>
        <w:t>168</w:t>
      </w:r>
      <w:r w:rsidR="001F7D02" w:rsidRPr="0063119B">
        <w:rPr>
          <w:noProof/>
          <w:szCs w:val="22"/>
          <w:highlight w:val="darkGray"/>
        </w:rPr>
        <w:t> </w:t>
      </w:r>
      <w:r w:rsidRPr="0063119B">
        <w:rPr>
          <w:noProof/>
          <w:szCs w:val="22"/>
          <w:highlight w:val="darkGray"/>
        </w:rPr>
        <w:t>comprimidos revestidos por película</w:t>
      </w:r>
    </w:p>
    <w:p w14:paraId="4C627665" w14:textId="77777777" w:rsidR="00163281" w:rsidRPr="0063119B" w:rsidRDefault="00163281" w:rsidP="00163281">
      <w:pPr>
        <w:rPr>
          <w:noProof/>
          <w:szCs w:val="22"/>
          <w:highlight w:val="darkGray"/>
        </w:rPr>
      </w:pPr>
      <w:r w:rsidRPr="0063119B">
        <w:rPr>
          <w:noProof/>
          <w:szCs w:val="22"/>
          <w:highlight w:val="darkGray"/>
        </w:rPr>
        <w:t>196</w:t>
      </w:r>
      <w:r w:rsidR="00C52B14" w:rsidRPr="0063119B">
        <w:rPr>
          <w:noProof/>
          <w:szCs w:val="22"/>
          <w:highlight w:val="darkGray"/>
        </w:rPr>
        <w:t> </w:t>
      </w:r>
      <w:r w:rsidRPr="0063119B">
        <w:rPr>
          <w:noProof/>
          <w:szCs w:val="22"/>
          <w:highlight w:val="darkGray"/>
        </w:rPr>
        <w:t>comprimidos revestidos por película</w:t>
      </w:r>
    </w:p>
    <w:p w14:paraId="7864E71E" w14:textId="77777777" w:rsidR="00163281" w:rsidRPr="0063119B" w:rsidRDefault="00163281" w:rsidP="00163281">
      <w:pPr>
        <w:rPr>
          <w:noProof/>
          <w:szCs w:val="22"/>
          <w:highlight w:val="darkGray"/>
        </w:rPr>
      </w:pPr>
      <w:r w:rsidRPr="0063119B">
        <w:rPr>
          <w:noProof/>
          <w:szCs w:val="22"/>
          <w:highlight w:val="darkGray"/>
        </w:rPr>
        <w:t>10 x 1</w:t>
      </w:r>
      <w:r w:rsidR="00C52B14" w:rsidRPr="0063119B">
        <w:rPr>
          <w:noProof/>
          <w:szCs w:val="22"/>
          <w:highlight w:val="darkGray"/>
        </w:rPr>
        <w:t> </w:t>
      </w:r>
      <w:r w:rsidRPr="0063119B">
        <w:rPr>
          <w:noProof/>
          <w:szCs w:val="22"/>
          <w:highlight w:val="darkGray"/>
        </w:rPr>
        <w:t>comprimidos revestidos por película</w:t>
      </w:r>
    </w:p>
    <w:p w14:paraId="52034F5A" w14:textId="77777777" w:rsidR="00163281" w:rsidRPr="0063119B" w:rsidRDefault="00163281" w:rsidP="00163281">
      <w:pPr>
        <w:rPr>
          <w:noProof/>
          <w:szCs w:val="22"/>
        </w:rPr>
      </w:pPr>
      <w:r w:rsidRPr="0063119B">
        <w:rPr>
          <w:noProof/>
          <w:szCs w:val="22"/>
          <w:highlight w:val="darkGray"/>
        </w:rPr>
        <w:t>100 x 1</w:t>
      </w:r>
      <w:r w:rsidR="00C52B14" w:rsidRPr="0063119B">
        <w:rPr>
          <w:noProof/>
          <w:szCs w:val="22"/>
          <w:highlight w:val="darkGray"/>
        </w:rPr>
        <w:t> </w:t>
      </w:r>
      <w:r w:rsidRPr="0063119B">
        <w:rPr>
          <w:noProof/>
          <w:szCs w:val="22"/>
          <w:highlight w:val="darkGray"/>
        </w:rPr>
        <w:t>comprimidos revestidos por película</w:t>
      </w:r>
    </w:p>
    <w:p w14:paraId="6408076F" w14:textId="77777777" w:rsidR="00892082" w:rsidRPr="0063119B" w:rsidRDefault="00892082" w:rsidP="00892082">
      <w:pPr>
        <w:suppressAutoHyphens/>
        <w:ind w:right="14"/>
        <w:rPr>
          <w:noProof/>
          <w:szCs w:val="22"/>
        </w:rPr>
      </w:pPr>
    </w:p>
    <w:p w14:paraId="23122211" w14:textId="77777777" w:rsidR="00892082" w:rsidRPr="0063119B" w:rsidRDefault="00892082" w:rsidP="00892082">
      <w:pPr>
        <w:suppressAutoHyphens/>
        <w:ind w:right="14"/>
        <w:rPr>
          <w:noProof/>
          <w:szCs w:val="22"/>
        </w:rPr>
      </w:pPr>
    </w:p>
    <w:p w14:paraId="09B19981"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t>MODO E VIA(S) DE ADMINISTRAÇÃO</w:t>
      </w:r>
    </w:p>
    <w:p w14:paraId="7D5AAD98" w14:textId="77777777" w:rsidR="00892082" w:rsidRPr="0063119B" w:rsidRDefault="00892082" w:rsidP="00892082">
      <w:pPr>
        <w:suppressAutoHyphens/>
        <w:ind w:right="14"/>
        <w:rPr>
          <w:noProof/>
          <w:szCs w:val="22"/>
        </w:rPr>
      </w:pPr>
    </w:p>
    <w:p w14:paraId="1AC2A837" w14:textId="77777777" w:rsidR="00892082" w:rsidRPr="0063119B" w:rsidRDefault="00892082" w:rsidP="00892082">
      <w:pPr>
        <w:suppressAutoHyphens/>
        <w:ind w:right="14"/>
        <w:rPr>
          <w:noProof/>
          <w:szCs w:val="22"/>
        </w:rPr>
      </w:pPr>
      <w:r w:rsidRPr="0063119B">
        <w:rPr>
          <w:noProof/>
          <w:szCs w:val="22"/>
        </w:rPr>
        <w:t>Consultar o folheto informativo antes de utilizar.</w:t>
      </w:r>
    </w:p>
    <w:p w14:paraId="38BC1388" w14:textId="77777777" w:rsidR="00E95B32" w:rsidRPr="0063119B" w:rsidRDefault="00E95B32" w:rsidP="00E95B32">
      <w:pPr>
        <w:suppressAutoHyphens/>
        <w:ind w:right="14"/>
        <w:rPr>
          <w:noProof/>
          <w:szCs w:val="22"/>
        </w:rPr>
      </w:pPr>
      <w:r w:rsidRPr="0063119B">
        <w:rPr>
          <w:noProof/>
          <w:szCs w:val="22"/>
        </w:rPr>
        <w:t>Via oral.</w:t>
      </w:r>
    </w:p>
    <w:p w14:paraId="2246222C" w14:textId="77777777" w:rsidR="00892082" w:rsidRPr="0063119B" w:rsidRDefault="00892082" w:rsidP="00892082">
      <w:pPr>
        <w:suppressAutoHyphens/>
        <w:ind w:right="14"/>
        <w:rPr>
          <w:noProof/>
          <w:szCs w:val="22"/>
        </w:rPr>
      </w:pPr>
    </w:p>
    <w:p w14:paraId="7799BCAF" w14:textId="77777777" w:rsidR="00892082" w:rsidRPr="0063119B" w:rsidRDefault="00892082" w:rsidP="00892082">
      <w:pPr>
        <w:suppressAutoHyphens/>
        <w:ind w:right="14"/>
        <w:rPr>
          <w:noProof/>
          <w:szCs w:val="22"/>
        </w:rPr>
      </w:pPr>
    </w:p>
    <w:p w14:paraId="5FE88972"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6.</w:t>
      </w:r>
      <w:r w:rsidRPr="0063119B">
        <w:rPr>
          <w:b/>
          <w:noProof/>
          <w:szCs w:val="22"/>
        </w:rPr>
        <w:tab/>
        <w:t>ADVERTÊNCIA ESPECIAL DE QUE O MEDICAMENTO DEVE SER MANTIDO FORA DA VISTA E DO ALCANCE DAS CRIANÇAS</w:t>
      </w:r>
    </w:p>
    <w:p w14:paraId="76EDCEA0" w14:textId="77777777" w:rsidR="00892082" w:rsidRPr="0063119B" w:rsidRDefault="00892082" w:rsidP="00892082">
      <w:pPr>
        <w:suppressAutoHyphens/>
        <w:ind w:right="14"/>
        <w:rPr>
          <w:noProof/>
          <w:szCs w:val="22"/>
        </w:rPr>
      </w:pPr>
    </w:p>
    <w:p w14:paraId="1C1CC5C4" w14:textId="77777777" w:rsidR="00892082" w:rsidRPr="0063119B" w:rsidRDefault="00892082" w:rsidP="00892082">
      <w:pPr>
        <w:suppressAutoHyphens/>
        <w:ind w:right="14"/>
        <w:rPr>
          <w:noProof/>
          <w:szCs w:val="22"/>
        </w:rPr>
      </w:pPr>
      <w:r w:rsidRPr="0063119B">
        <w:rPr>
          <w:noProof/>
          <w:szCs w:val="22"/>
        </w:rPr>
        <w:t>Manter fora da vista e do alcance das crianças.</w:t>
      </w:r>
    </w:p>
    <w:p w14:paraId="16DBAA93" w14:textId="77777777" w:rsidR="00892082" w:rsidRPr="0063119B" w:rsidRDefault="00892082" w:rsidP="00892082">
      <w:pPr>
        <w:suppressAutoHyphens/>
        <w:ind w:right="14"/>
        <w:rPr>
          <w:noProof/>
          <w:szCs w:val="22"/>
        </w:rPr>
      </w:pPr>
    </w:p>
    <w:p w14:paraId="042B8FFD" w14:textId="77777777" w:rsidR="00892082" w:rsidRPr="0063119B" w:rsidRDefault="00892082" w:rsidP="00892082">
      <w:pPr>
        <w:suppressAutoHyphens/>
        <w:ind w:right="14"/>
        <w:rPr>
          <w:noProof/>
          <w:szCs w:val="22"/>
        </w:rPr>
      </w:pPr>
    </w:p>
    <w:p w14:paraId="163F946F"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7.</w:t>
      </w:r>
      <w:r w:rsidRPr="0063119B">
        <w:rPr>
          <w:b/>
          <w:noProof/>
          <w:szCs w:val="22"/>
        </w:rPr>
        <w:tab/>
        <w:t>OUTRAS ADVERTÊNCIAS ESPECIAIS, SE NECESSÁRIO</w:t>
      </w:r>
    </w:p>
    <w:p w14:paraId="202E30A8" w14:textId="77777777" w:rsidR="00892082" w:rsidRPr="0063119B" w:rsidRDefault="00892082" w:rsidP="00892082">
      <w:pPr>
        <w:suppressAutoHyphens/>
        <w:ind w:right="14"/>
        <w:rPr>
          <w:noProof/>
          <w:szCs w:val="22"/>
        </w:rPr>
      </w:pPr>
    </w:p>
    <w:p w14:paraId="270D57B4" w14:textId="77777777" w:rsidR="00892082" w:rsidRPr="0063119B" w:rsidRDefault="00892082" w:rsidP="00892082">
      <w:pPr>
        <w:suppressAutoHyphens/>
        <w:ind w:right="14"/>
        <w:rPr>
          <w:noProof/>
          <w:szCs w:val="22"/>
        </w:rPr>
      </w:pPr>
    </w:p>
    <w:p w14:paraId="45EA507C" w14:textId="77777777" w:rsidR="00892082" w:rsidRPr="0063119B" w:rsidRDefault="00892082" w:rsidP="001F10F8">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8.</w:t>
      </w:r>
      <w:r w:rsidRPr="0063119B">
        <w:rPr>
          <w:b/>
          <w:noProof/>
          <w:szCs w:val="22"/>
        </w:rPr>
        <w:tab/>
        <w:t>PRAZO DE VALIDADE</w:t>
      </w:r>
    </w:p>
    <w:p w14:paraId="491E7273" w14:textId="77777777" w:rsidR="00892082" w:rsidRPr="0063119B" w:rsidRDefault="00892082" w:rsidP="001F10F8">
      <w:pPr>
        <w:keepNext/>
        <w:keepLines/>
        <w:suppressAutoHyphens/>
        <w:rPr>
          <w:noProof/>
          <w:szCs w:val="22"/>
        </w:rPr>
      </w:pPr>
    </w:p>
    <w:p w14:paraId="3019719B" w14:textId="77777777" w:rsidR="00892082" w:rsidRPr="0063119B" w:rsidRDefault="00892082" w:rsidP="001F10F8">
      <w:pPr>
        <w:keepNext/>
        <w:keepLines/>
        <w:suppressAutoHyphens/>
        <w:rPr>
          <w:noProof/>
          <w:szCs w:val="22"/>
        </w:rPr>
      </w:pPr>
      <w:r w:rsidRPr="0063119B">
        <w:rPr>
          <w:noProof/>
          <w:szCs w:val="22"/>
        </w:rPr>
        <w:t>EXP</w:t>
      </w:r>
    </w:p>
    <w:p w14:paraId="5B281A41" w14:textId="77777777" w:rsidR="00892082" w:rsidRPr="0063119B" w:rsidRDefault="00892082" w:rsidP="00892082">
      <w:pPr>
        <w:suppressAutoHyphens/>
        <w:ind w:right="14"/>
        <w:rPr>
          <w:noProof/>
          <w:szCs w:val="22"/>
        </w:rPr>
      </w:pPr>
    </w:p>
    <w:p w14:paraId="2C840C60" w14:textId="77777777" w:rsidR="00892082" w:rsidRPr="0063119B" w:rsidRDefault="00892082" w:rsidP="00892082">
      <w:pPr>
        <w:suppressAutoHyphens/>
        <w:ind w:right="14"/>
        <w:rPr>
          <w:noProof/>
          <w:szCs w:val="22"/>
        </w:rPr>
      </w:pPr>
    </w:p>
    <w:p w14:paraId="60DB93C4"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9.</w:t>
      </w:r>
      <w:r w:rsidRPr="0063119B">
        <w:rPr>
          <w:b/>
          <w:noProof/>
          <w:szCs w:val="22"/>
        </w:rPr>
        <w:tab/>
        <w:t>CONDIÇÕES ESPECIAIS DE CONSERVAÇÃO</w:t>
      </w:r>
    </w:p>
    <w:p w14:paraId="62C0BEB0" w14:textId="77777777" w:rsidR="00892082" w:rsidRPr="0063119B" w:rsidRDefault="00892082" w:rsidP="00892082">
      <w:pPr>
        <w:suppressAutoHyphens/>
        <w:rPr>
          <w:noProof/>
          <w:szCs w:val="22"/>
        </w:rPr>
      </w:pPr>
    </w:p>
    <w:p w14:paraId="176042C7" w14:textId="77777777" w:rsidR="00892082" w:rsidRPr="0063119B" w:rsidRDefault="00892082" w:rsidP="00892082">
      <w:pPr>
        <w:suppressAutoHyphens/>
        <w:ind w:right="14"/>
        <w:rPr>
          <w:b/>
          <w:noProof/>
          <w:szCs w:val="22"/>
        </w:rPr>
      </w:pPr>
    </w:p>
    <w:p w14:paraId="62EE81CA"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10.</w:t>
      </w:r>
      <w:r w:rsidRPr="0063119B">
        <w:rPr>
          <w:b/>
          <w:noProof/>
          <w:szCs w:val="22"/>
        </w:rPr>
        <w:tab/>
        <w:t>CUIDADOS ESPECIAIS QUANTO À ELIMINAÇÃO DO MEDICAMENTO NÃO UTILIZADO OU DOS RESÍDUOS PROVENIENTES DESSE MEDICAMENTO, SE APLICÁVEL</w:t>
      </w:r>
    </w:p>
    <w:p w14:paraId="72F616BE" w14:textId="77777777" w:rsidR="00892082" w:rsidRPr="0063119B" w:rsidRDefault="00892082" w:rsidP="00892082">
      <w:pPr>
        <w:suppressAutoHyphens/>
        <w:ind w:right="14"/>
        <w:rPr>
          <w:noProof/>
          <w:szCs w:val="22"/>
        </w:rPr>
      </w:pPr>
    </w:p>
    <w:p w14:paraId="65D37A98" w14:textId="77777777" w:rsidR="00892082" w:rsidRPr="0063119B" w:rsidRDefault="00892082" w:rsidP="00892082">
      <w:pPr>
        <w:suppressAutoHyphens/>
        <w:ind w:right="14"/>
        <w:rPr>
          <w:bCs/>
          <w:noProof/>
          <w:szCs w:val="22"/>
        </w:rPr>
      </w:pPr>
    </w:p>
    <w:p w14:paraId="7D1317EB"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11.</w:t>
      </w:r>
      <w:r w:rsidRPr="0063119B">
        <w:rPr>
          <w:b/>
          <w:noProof/>
          <w:szCs w:val="22"/>
        </w:rPr>
        <w:tab/>
        <w:t>NOME E ENDEREÇO DO TITULAR DA AUTORIZAÇÃO DE INTRODUÇÃO NO MERCADO</w:t>
      </w:r>
    </w:p>
    <w:p w14:paraId="6089987E" w14:textId="77777777" w:rsidR="00892082" w:rsidRPr="0063119B" w:rsidRDefault="00892082" w:rsidP="00892082">
      <w:pPr>
        <w:suppressAutoHyphens/>
        <w:ind w:right="14"/>
        <w:rPr>
          <w:noProof/>
          <w:szCs w:val="22"/>
        </w:rPr>
      </w:pPr>
    </w:p>
    <w:p w14:paraId="19ABF903" w14:textId="77777777" w:rsidR="00B67DF0" w:rsidRPr="0063119B" w:rsidRDefault="00B67DF0" w:rsidP="00B67DF0">
      <w:pPr>
        <w:rPr>
          <w:szCs w:val="22"/>
          <w:lang w:val="en-GB"/>
        </w:rPr>
      </w:pPr>
      <w:r w:rsidRPr="0063119B">
        <w:rPr>
          <w:szCs w:val="22"/>
          <w:lang w:val="en-GB"/>
        </w:rPr>
        <w:t>Accord Healthcare S.L.U.</w:t>
      </w:r>
    </w:p>
    <w:p w14:paraId="757C9665" w14:textId="77777777" w:rsidR="00B67DF0" w:rsidRPr="0063119B" w:rsidRDefault="00B67DF0" w:rsidP="00B67DF0">
      <w:pPr>
        <w:rPr>
          <w:szCs w:val="22"/>
        </w:rPr>
      </w:pPr>
      <w:r w:rsidRPr="0063119B">
        <w:rPr>
          <w:szCs w:val="22"/>
        </w:rPr>
        <w:t xml:space="preserve">World Trade Center, Moll de Barcelona, s/n, Edifici Est 6ª planta, </w:t>
      </w:r>
    </w:p>
    <w:p w14:paraId="47A28445" w14:textId="77777777" w:rsidR="00B67DF0" w:rsidRPr="0063119B" w:rsidRDefault="00B67DF0" w:rsidP="00B67DF0">
      <w:pPr>
        <w:rPr>
          <w:szCs w:val="22"/>
        </w:rPr>
      </w:pPr>
      <w:r w:rsidRPr="0063119B">
        <w:rPr>
          <w:szCs w:val="22"/>
        </w:rPr>
        <w:t>Barcelona, 08039</w:t>
      </w:r>
    </w:p>
    <w:p w14:paraId="40B93457" w14:textId="77777777" w:rsidR="00892082" w:rsidRPr="0063119B" w:rsidRDefault="00B67DF0" w:rsidP="00892082">
      <w:pPr>
        <w:suppressAutoHyphens/>
        <w:ind w:right="14"/>
        <w:rPr>
          <w:noProof/>
          <w:szCs w:val="22"/>
        </w:rPr>
      </w:pPr>
      <w:r w:rsidRPr="0063119B">
        <w:rPr>
          <w:szCs w:val="22"/>
        </w:rPr>
        <w:t>Espanha</w:t>
      </w:r>
    </w:p>
    <w:p w14:paraId="1C19CF51" w14:textId="77777777" w:rsidR="00892082" w:rsidRDefault="00892082" w:rsidP="00892082">
      <w:pPr>
        <w:suppressAutoHyphens/>
        <w:ind w:right="14"/>
        <w:rPr>
          <w:noProof/>
          <w:szCs w:val="22"/>
        </w:rPr>
      </w:pPr>
    </w:p>
    <w:p w14:paraId="25330482" w14:textId="77777777" w:rsidR="00F44978" w:rsidRPr="0063119B" w:rsidRDefault="00F44978" w:rsidP="00892082">
      <w:pPr>
        <w:suppressAutoHyphens/>
        <w:ind w:right="14"/>
        <w:rPr>
          <w:noProof/>
          <w:szCs w:val="22"/>
        </w:rPr>
      </w:pPr>
    </w:p>
    <w:p w14:paraId="3140BDE7"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12.</w:t>
      </w:r>
      <w:r w:rsidRPr="0063119B">
        <w:rPr>
          <w:b/>
          <w:noProof/>
          <w:szCs w:val="22"/>
        </w:rPr>
        <w:tab/>
        <w:t>NÚMERO(S) DA AUTORIZAÇÃO DE INTRODUÇÃO NO MERCADO</w:t>
      </w:r>
    </w:p>
    <w:p w14:paraId="1BC2161F" w14:textId="77777777" w:rsidR="00892082" w:rsidRPr="0063119B" w:rsidRDefault="00892082" w:rsidP="00892082">
      <w:pPr>
        <w:suppressAutoHyphens/>
        <w:ind w:right="14"/>
        <w:rPr>
          <w:noProof/>
          <w:szCs w:val="22"/>
        </w:rPr>
      </w:pPr>
    </w:p>
    <w:p w14:paraId="7FD75682" w14:textId="77777777" w:rsidR="00650E57" w:rsidRDefault="00D04399" w:rsidP="00650E57">
      <w:pPr>
        <w:tabs>
          <w:tab w:val="left" w:pos="1843"/>
          <w:tab w:val="left" w:pos="5954"/>
        </w:tabs>
        <w:autoSpaceDE w:val="0"/>
        <w:autoSpaceDN w:val="0"/>
        <w:adjustRightInd w:val="0"/>
        <w:rPr>
          <w:szCs w:val="22"/>
        </w:rPr>
      </w:pPr>
      <w:r w:rsidRPr="0063119B">
        <w:rPr>
          <w:szCs w:val="22"/>
        </w:rPr>
        <w:t>EU/1/20/1488/001-008</w:t>
      </w:r>
    </w:p>
    <w:p w14:paraId="031EC2B9" w14:textId="77777777" w:rsidR="00394D5E" w:rsidRPr="0063119B" w:rsidRDefault="00394D5E" w:rsidP="00650E57">
      <w:pPr>
        <w:tabs>
          <w:tab w:val="left" w:pos="1843"/>
          <w:tab w:val="left" w:pos="5954"/>
        </w:tabs>
        <w:autoSpaceDE w:val="0"/>
        <w:autoSpaceDN w:val="0"/>
        <w:adjustRightInd w:val="0"/>
        <w:rPr>
          <w:szCs w:val="22"/>
          <w:highlight w:val="lightGray"/>
        </w:rPr>
      </w:pPr>
    </w:p>
    <w:p w14:paraId="4E20F2AC" w14:textId="77777777" w:rsidR="00892082" w:rsidRPr="0063119B" w:rsidRDefault="00892082" w:rsidP="00892082">
      <w:pPr>
        <w:suppressAutoHyphens/>
        <w:ind w:right="14"/>
        <w:rPr>
          <w:noProof/>
          <w:szCs w:val="22"/>
        </w:rPr>
      </w:pPr>
    </w:p>
    <w:p w14:paraId="610A848E"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13.</w:t>
      </w:r>
      <w:r w:rsidRPr="0063119B">
        <w:rPr>
          <w:b/>
          <w:noProof/>
          <w:szCs w:val="22"/>
        </w:rPr>
        <w:tab/>
        <w:t xml:space="preserve">NÚMERO DO LOTE </w:t>
      </w:r>
    </w:p>
    <w:p w14:paraId="6B8C24C8" w14:textId="77777777" w:rsidR="00892082" w:rsidRPr="0063119B" w:rsidRDefault="00892082" w:rsidP="00892082">
      <w:pPr>
        <w:rPr>
          <w:noProof/>
          <w:szCs w:val="22"/>
        </w:rPr>
      </w:pPr>
    </w:p>
    <w:p w14:paraId="7A6C0DC1" w14:textId="77777777" w:rsidR="00892082" w:rsidRPr="0063119B" w:rsidRDefault="00892082" w:rsidP="00892082">
      <w:pPr>
        <w:rPr>
          <w:noProof/>
          <w:szCs w:val="22"/>
        </w:rPr>
      </w:pPr>
      <w:r w:rsidRPr="00294A11">
        <w:rPr>
          <w:noProof/>
          <w:szCs w:val="22"/>
        </w:rPr>
        <w:t>Lot</w:t>
      </w:r>
    </w:p>
    <w:p w14:paraId="1E58A41E" w14:textId="77777777" w:rsidR="00892082" w:rsidRPr="0063119B" w:rsidRDefault="00892082" w:rsidP="00892082">
      <w:pPr>
        <w:rPr>
          <w:noProof/>
          <w:szCs w:val="22"/>
        </w:rPr>
      </w:pPr>
    </w:p>
    <w:p w14:paraId="499CE83E" w14:textId="77777777" w:rsidR="00892082" w:rsidRPr="0063119B" w:rsidRDefault="00892082" w:rsidP="00892082">
      <w:pPr>
        <w:suppressAutoHyphens/>
        <w:ind w:right="14"/>
        <w:rPr>
          <w:noProof/>
          <w:szCs w:val="22"/>
        </w:rPr>
      </w:pPr>
    </w:p>
    <w:p w14:paraId="23866818"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14.</w:t>
      </w:r>
      <w:r w:rsidRPr="0063119B">
        <w:rPr>
          <w:b/>
          <w:noProof/>
          <w:szCs w:val="22"/>
        </w:rPr>
        <w:tab/>
        <w:t xml:space="preserve">CLASSIFICAÇÃO QUANTO À DISPENSA </w:t>
      </w:r>
      <w:r w:rsidRPr="0063119B">
        <w:rPr>
          <w:b/>
          <w:caps/>
          <w:noProof/>
          <w:szCs w:val="22"/>
        </w:rPr>
        <w:t>ao Público</w:t>
      </w:r>
    </w:p>
    <w:p w14:paraId="765424D3" w14:textId="77777777" w:rsidR="00892082" w:rsidRPr="0063119B" w:rsidRDefault="00892082" w:rsidP="00892082">
      <w:pPr>
        <w:suppressAutoHyphens/>
        <w:ind w:right="14"/>
        <w:rPr>
          <w:noProof/>
          <w:szCs w:val="22"/>
        </w:rPr>
      </w:pPr>
    </w:p>
    <w:p w14:paraId="1515B721" w14:textId="77777777" w:rsidR="00892082" w:rsidRPr="0063119B" w:rsidRDefault="00892082" w:rsidP="00892082">
      <w:pPr>
        <w:suppressAutoHyphens/>
        <w:ind w:right="14"/>
        <w:rPr>
          <w:noProof/>
          <w:szCs w:val="22"/>
        </w:rPr>
      </w:pPr>
    </w:p>
    <w:p w14:paraId="7D1F25DB"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15.</w:t>
      </w:r>
      <w:r w:rsidRPr="0063119B">
        <w:rPr>
          <w:b/>
          <w:noProof/>
          <w:szCs w:val="22"/>
        </w:rPr>
        <w:tab/>
        <w:t>INSTRUÇÕES DE UTILIZAÇÃO</w:t>
      </w:r>
    </w:p>
    <w:p w14:paraId="2EFC3D98" w14:textId="77777777" w:rsidR="00892082" w:rsidRPr="0063119B" w:rsidRDefault="00892082" w:rsidP="00892082">
      <w:pPr>
        <w:suppressAutoHyphens/>
        <w:ind w:right="14"/>
        <w:rPr>
          <w:noProof/>
          <w:szCs w:val="22"/>
        </w:rPr>
      </w:pPr>
    </w:p>
    <w:p w14:paraId="1DD3AD96" w14:textId="77777777" w:rsidR="00892082" w:rsidRPr="0063119B" w:rsidRDefault="00892082" w:rsidP="00892082">
      <w:pPr>
        <w:suppressAutoHyphens/>
        <w:ind w:right="14"/>
        <w:rPr>
          <w:noProof/>
          <w:szCs w:val="22"/>
        </w:rPr>
      </w:pPr>
    </w:p>
    <w:p w14:paraId="5CB72443"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16.</w:t>
      </w:r>
      <w:r w:rsidRPr="0063119B">
        <w:rPr>
          <w:b/>
          <w:noProof/>
          <w:szCs w:val="22"/>
        </w:rPr>
        <w:tab/>
      </w:r>
      <w:r w:rsidRPr="0063119B">
        <w:rPr>
          <w:b/>
          <w:caps/>
          <w:noProof/>
          <w:szCs w:val="22"/>
        </w:rPr>
        <w:t>Informação em Braille</w:t>
      </w:r>
    </w:p>
    <w:p w14:paraId="78F71732" w14:textId="77777777" w:rsidR="00892082" w:rsidRPr="0063119B" w:rsidRDefault="00892082" w:rsidP="00892082">
      <w:pPr>
        <w:suppressAutoHyphens/>
        <w:ind w:right="14"/>
        <w:rPr>
          <w:noProof/>
          <w:szCs w:val="22"/>
        </w:rPr>
      </w:pPr>
    </w:p>
    <w:p w14:paraId="3A41D8D8" w14:textId="77777777" w:rsidR="00892082" w:rsidRDefault="007069F5" w:rsidP="00892082">
      <w:pPr>
        <w:suppressAutoHyphens/>
        <w:ind w:right="14"/>
        <w:rPr>
          <w:noProof/>
          <w:szCs w:val="22"/>
        </w:rPr>
      </w:pPr>
      <w:r>
        <w:rPr>
          <w:noProof/>
          <w:szCs w:val="22"/>
        </w:rPr>
        <w:t>r</w:t>
      </w:r>
      <w:r w:rsidR="00607DE4">
        <w:rPr>
          <w:noProof/>
          <w:szCs w:val="22"/>
        </w:rPr>
        <w:t>ivaroxabano</w:t>
      </w:r>
      <w:r w:rsidR="001F7D02" w:rsidRPr="0063119B">
        <w:rPr>
          <w:noProof/>
          <w:szCs w:val="22"/>
        </w:rPr>
        <w:t xml:space="preserve"> </w:t>
      </w:r>
      <w:r>
        <w:rPr>
          <w:noProof/>
          <w:szCs w:val="22"/>
        </w:rPr>
        <w:t>a</w:t>
      </w:r>
      <w:r w:rsidRPr="0063119B">
        <w:rPr>
          <w:noProof/>
          <w:szCs w:val="22"/>
        </w:rPr>
        <w:t xml:space="preserve">ccord </w:t>
      </w:r>
      <w:r w:rsidR="0024614F" w:rsidRPr="0063119B">
        <w:rPr>
          <w:noProof/>
          <w:szCs w:val="22"/>
        </w:rPr>
        <w:t>2,5</w:t>
      </w:r>
      <w:r w:rsidR="00EF7177" w:rsidRPr="0063119B">
        <w:rPr>
          <w:noProof/>
          <w:szCs w:val="22"/>
        </w:rPr>
        <w:t> </w:t>
      </w:r>
      <w:r w:rsidR="00892082" w:rsidRPr="0063119B">
        <w:rPr>
          <w:noProof/>
          <w:szCs w:val="22"/>
        </w:rPr>
        <w:t>mg</w:t>
      </w:r>
    </w:p>
    <w:p w14:paraId="0B289DBB" w14:textId="77777777" w:rsidR="00F44978" w:rsidRPr="0063119B" w:rsidRDefault="00F44978" w:rsidP="00892082">
      <w:pPr>
        <w:suppressAutoHyphens/>
        <w:ind w:right="14"/>
        <w:rPr>
          <w:noProof/>
          <w:szCs w:val="22"/>
        </w:rPr>
      </w:pPr>
    </w:p>
    <w:p w14:paraId="3037B872" w14:textId="77777777" w:rsidR="00C22453" w:rsidRPr="0063119B" w:rsidRDefault="00C22453" w:rsidP="00892082">
      <w:pPr>
        <w:suppressAutoHyphens/>
        <w:ind w:right="14"/>
        <w:rPr>
          <w:noProof/>
          <w:szCs w:val="22"/>
        </w:rPr>
      </w:pPr>
    </w:p>
    <w:p w14:paraId="64ABB904" w14:textId="77777777" w:rsidR="00C22453" w:rsidRPr="0063119B" w:rsidRDefault="00C22453" w:rsidP="00951279">
      <w:pPr>
        <w:keepNext/>
        <w:keepLines/>
        <w:pBdr>
          <w:top w:val="single" w:sz="4" w:space="1" w:color="auto"/>
          <w:left w:val="single" w:sz="4" w:space="4" w:color="auto"/>
          <w:bottom w:val="single" w:sz="4" w:space="1" w:color="auto"/>
          <w:right w:val="single" w:sz="4" w:space="4" w:color="auto"/>
        </w:pBdr>
        <w:tabs>
          <w:tab w:val="left" w:pos="0"/>
        </w:tabs>
        <w:rPr>
          <w:i/>
          <w:noProof/>
          <w:szCs w:val="22"/>
        </w:rPr>
      </w:pPr>
      <w:r w:rsidRPr="0063119B">
        <w:rPr>
          <w:b/>
          <w:noProof/>
          <w:szCs w:val="22"/>
        </w:rPr>
        <w:t>17.</w:t>
      </w:r>
      <w:r w:rsidRPr="0063119B">
        <w:rPr>
          <w:b/>
          <w:noProof/>
          <w:szCs w:val="22"/>
        </w:rPr>
        <w:tab/>
        <w:t>IDENTIFICADOR ÚNICO – CÓDIGO DE BARRAS 2D</w:t>
      </w:r>
    </w:p>
    <w:p w14:paraId="2AE5B2DC" w14:textId="77777777" w:rsidR="00C22453" w:rsidRPr="0063119B" w:rsidRDefault="00C22453" w:rsidP="00951279">
      <w:pPr>
        <w:keepNext/>
        <w:keepLines/>
        <w:rPr>
          <w:noProof/>
          <w:szCs w:val="22"/>
        </w:rPr>
      </w:pPr>
    </w:p>
    <w:p w14:paraId="490B64AF" w14:textId="77777777" w:rsidR="00C22453" w:rsidRDefault="00C22453" w:rsidP="00951279">
      <w:pPr>
        <w:keepNext/>
        <w:keepLines/>
        <w:rPr>
          <w:noProof/>
          <w:szCs w:val="22"/>
        </w:rPr>
      </w:pPr>
      <w:r w:rsidRPr="0063119B">
        <w:rPr>
          <w:noProof/>
          <w:szCs w:val="22"/>
          <w:highlight w:val="lightGray"/>
        </w:rPr>
        <w:t>Código de barras 2D com identificador único incluído.</w:t>
      </w:r>
    </w:p>
    <w:p w14:paraId="55226158" w14:textId="77777777" w:rsidR="00F44978" w:rsidRPr="0063119B" w:rsidRDefault="00F44978" w:rsidP="00951279">
      <w:pPr>
        <w:keepNext/>
        <w:keepLines/>
        <w:rPr>
          <w:noProof/>
          <w:szCs w:val="22"/>
          <w:shd w:val="clear" w:color="auto" w:fill="CCCCCC"/>
        </w:rPr>
      </w:pPr>
    </w:p>
    <w:p w14:paraId="22FD49A8" w14:textId="77777777" w:rsidR="00C22453" w:rsidRPr="0063119B" w:rsidRDefault="00C22453" w:rsidP="00951279">
      <w:pPr>
        <w:keepNext/>
        <w:keepLines/>
        <w:rPr>
          <w:noProof/>
          <w:szCs w:val="22"/>
          <w:shd w:val="clear" w:color="auto" w:fill="CCCCCC"/>
        </w:rPr>
      </w:pPr>
    </w:p>
    <w:p w14:paraId="69FF7FF4" w14:textId="77777777" w:rsidR="00C22453" w:rsidRPr="0063119B" w:rsidRDefault="00C22453" w:rsidP="00951279">
      <w:pPr>
        <w:rPr>
          <w:noProof/>
          <w:vanish/>
          <w:szCs w:val="22"/>
        </w:rPr>
      </w:pPr>
    </w:p>
    <w:p w14:paraId="09DCB040" w14:textId="77777777" w:rsidR="00C22453" w:rsidRPr="0063119B" w:rsidRDefault="00C22453" w:rsidP="00951279">
      <w:pPr>
        <w:keepNext/>
        <w:pBdr>
          <w:top w:val="single" w:sz="4" w:space="1" w:color="auto"/>
          <w:left w:val="single" w:sz="4" w:space="4" w:color="auto"/>
          <w:bottom w:val="single" w:sz="4" w:space="1" w:color="auto"/>
          <w:right w:val="single" w:sz="4" w:space="4" w:color="auto"/>
        </w:pBdr>
        <w:tabs>
          <w:tab w:val="left" w:pos="0"/>
        </w:tabs>
        <w:rPr>
          <w:b/>
          <w:noProof/>
          <w:szCs w:val="22"/>
        </w:rPr>
      </w:pPr>
      <w:r w:rsidRPr="0063119B">
        <w:rPr>
          <w:b/>
          <w:noProof/>
          <w:szCs w:val="22"/>
        </w:rPr>
        <w:t>18.</w:t>
      </w:r>
      <w:r w:rsidRPr="0063119B">
        <w:rPr>
          <w:b/>
          <w:noProof/>
          <w:szCs w:val="22"/>
        </w:rPr>
        <w:tab/>
        <w:t>IDENTIFICADOR ÚNICO - DADOS PARA LEITURA HUMANA</w:t>
      </w:r>
    </w:p>
    <w:p w14:paraId="72623D58" w14:textId="77777777" w:rsidR="00C22453" w:rsidRPr="0063119B" w:rsidRDefault="00C22453" w:rsidP="00951279">
      <w:pPr>
        <w:rPr>
          <w:noProof/>
          <w:szCs w:val="22"/>
        </w:rPr>
      </w:pPr>
    </w:p>
    <w:p w14:paraId="3DD85EB7" w14:textId="77777777" w:rsidR="00C22453" w:rsidRPr="0063119B" w:rsidRDefault="00C22453" w:rsidP="00951279">
      <w:pPr>
        <w:rPr>
          <w:szCs w:val="22"/>
        </w:rPr>
      </w:pPr>
      <w:r w:rsidRPr="0063119B">
        <w:rPr>
          <w:szCs w:val="22"/>
        </w:rPr>
        <w:t xml:space="preserve">PC </w:t>
      </w:r>
    </w:p>
    <w:p w14:paraId="30B6752A" w14:textId="77777777" w:rsidR="00C22453" w:rsidRPr="0063119B" w:rsidRDefault="00C22453" w:rsidP="00951279">
      <w:pPr>
        <w:rPr>
          <w:szCs w:val="22"/>
        </w:rPr>
      </w:pPr>
      <w:r w:rsidRPr="0063119B">
        <w:rPr>
          <w:szCs w:val="22"/>
        </w:rPr>
        <w:t xml:space="preserve">SN </w:t>
      </w:r>
    </w:p>
    <w:p w14:paraId="62B98833" w14:textId="77777777" w:rsidR="00C22453" w:rsidRPr="0063119B" w:rsidRDefault="00C22453" w:rsidP="00951279">
      <w:pPr>
        <w:rPr>
          <w:szCs w:val="22"/>
        </w:rPr>
      </w:pPr>
      <w:r w:rsidRPr="0063119B">
        <w:rPr>
          <w:szCs w:val="22"/>
        </w:rPr>
        <w:t>NN</w:t>
      </w:r>
    </w:p>
    <w:p w14:paraId="02AAF25C" w14:textId="77777777" w:rsidR="00C22453" w:rsidRPr="0063119B" w:rsidRDefault="00C22453" w:rsidP="00951279">
      <w:pPr>
        <w:rPr>
          <w:noProof/>
          <w:vanish/>
          <w:szCs w:val="22"/>
        </w:rPr>
      </w:pPr>
    </w:p>
    <w:p w14:paraId="73206120" w14:textId="77777777" w:rsidR="00C22453" w:rsidRPr="0063119B" w:rsidRDefault="00C22453" w:rsidP="00951279">
      <w:pPr>
        <w:rPr>
          <w:noProof/>
          <w:vanish/>
          <w:szCs w:val="22"/>
        </w:rPr>
      </w:pPr>
    </w:p>
    <w:p w14:paraId="3C3B0130" w14:textId="77777777" w:rsidR="00892082" w:rsidRPr="0063119B" w:rsidRDefault="00892082" w:rsidP="00892082">
      <w:pPr>
        <w:suppressAutoHyphens/>
        <w:ind w:right="14"/>
        <w:rPr>
          <w:noProof/>
          <w:szCs w:val="22"/>
        </w:rPr>
      </w:pPr>
    </w:p>
    <w:p w14:paraId="3EA962E2" w14:textId="77777777" w:rsidR="00892082" w:rsidRPr="0063119B" w:rsidRDefault="001E28F4" w:rsidP="00394D5E">
      <w:pPr>
        <w:pBdr>
          <w:top w:val="single" w:sz="4" w:space="1" w:color="auto"/>
          <w:left w:val="single" w:sz="4" w:space="4" w:color="auto"/>
          <w:bottom w:val="single" w:sz="4" w:space="1" w:color="auto"/>
          <w:right w:val="single" w:sz="4" w:space="4" w:color="auto"/>
        </w:pBdr>
        <w:shd w:val="clear" w:color="auto" w:fill="FFFFFF"/>
        <w:suppressAutoHyphens/>
        <w:ind w:right="14"/>
        <w:rPr>
          <w:b/>
          <w:noProof/>
          <w:szCs w:val="22"/>
        </w:rPr>
      </w:pPr>
      <w:r w:rsidRPr="0063119B">
        <w:rPr>
          <w:noProof/>
          <w:szCs w:val="22"/>
        </w:rPr>
        <w:br w:type="page"/>
      </w:r>
      <w:r w:rsidR="00892082" w:rsidRPr="0063119B">
        <w:rPr>
          <w:b/>
          <w:noProof/>
          <w:szCs w:val="22"/>
        </w:rPr>
        <w:lastRenderedPageBreak/>
        <w:t>INDICAÇÕES MÍNIMAS A INCLUIR NAS EMBALAGENS “BLISTER” OU FITAS CONTENTORAS</w:t>
      </w:r>
    </w:p>
    <w:p w14:paraId="034346C8"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rPr>
          <w:b/>
          <w:caps/>
          <w:noProof/>
          <w:szCs w:val="22"/>
        </w:rPr>
      </w:pPr>
    </w:p>
    <w:p w14:paraId="46FF0F7E" w14:textId="77777777" w:rsidR="0024614F" w:rsidRPr="0063119B" w:rsidRDefault="00350C51" w:rsidP="000D7CE8">
      <w:pPr>
        <w:pBdr>
          <w:top w:val="single" w:sz="4" w:space="1" w:color="auto"/>
          <w:left w:val="single" w:sz="4" w:space="4" w:color="auto"/>
          <w:bottom w:val="single" w:sz="4" w:space="1" w:color="auto"/>
          <w:right w:val="single" w:sz="4" w:space="4" w:color="auto"/>
        </w:pBdr>
        <w:suppressAutoHyphens/>
        <w:rPr>
          <w:b/>
          <w:noProof/>
          <w:szCs w:val="22"/>
        </w:rPr>
      </w:pPr>
      <w:r w:rsidRPr="0063119B">
        <w:rPr>
          <w:b/>
          <w:caps/>
          <w:noProof/>
          <w:szCs w:val="22"/>
        </w:rPr>
        <w:t>Blister para 2,5</w:t>
      </w:r>
      <w:r w:rsidR="009D49CF" w:rsidRPr="0063119B">
        <w:rPr>
          <w:b/>
          <w:caps/>
          <w:noProof/>
          <w:szCs w:val="22"/>
        </w:rPr>
        <w:t> </w:t>
      </w:r>
      <w:r w:rsidRPr="0063119B">
        <w:rPr>
          <w:b/>
          <w:caps/>
          <w:noProof/>
          <w:szCs w:val="22"/>
        </w:rPr>
        <w:t>mg</w:t>
      </w:r>
    </w:p>
    <w:p w14:paraId="42022E64" w14:textId="77777777" w:rsidR="00892082" w:rsidRPr="0063119B" w:rsidRDefault="00892082" w:rsidP="00892082">
      <w:pPr>
        <w:suppressAutoHyphens/>
        <w:ind w:right="14"/>
        <w:rPr>
          <w:noProof/>
          <w:szCs w:val="22"/>
        </w:rPr>
      </w:pPr>
    </w:p>
    <w:p w14:paraId="68BA8619" w14:textId="77777777" w:rsidR="00892082" w:rsidRPr="0063119B" w:rsidRDefault="00892082" w:rsidP="00892082">
      <w:pPr>
        <w:suppressAutoHyphens/>
        <w:ind w:right="14"/>
        <w:rPr>
          <w:noProof/>
          <w:szCs w:val="22"/>
        </w:rPr>
      </w:pPr>
    </w:p>
    <w:p w14:paraId="56B749C4"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5095D87E" w14:textId="77777777" w:rsidR="00892082" w:rsidRPr="0063119B" w:rsidRDefault="00892082" w:rsidP="00892082">
      <w:pPr>
        <w:suppressAutoHyphens/>
        <w:ind w:right="14"/>
        <w:rPr>
          <w:noProof/>
          <w:szCs w:val="22"/>
        </w:rPr>
      </w:pPr>
    </w:p>
    <w:p w14:paraId="1F9F3005" w14:textId="77777777" w:rsidR="00892082" w:rsidRPr="0063119B" w:rsidRDefault="00607DE4" w:rsidP="00892082">
      <w:pPr>
        <w:suppressAutoHyphens/>
        <w:ind w:right="14"/>
        <w:rPr>
          <w:noProof/>
          <w:szCs w:val="22"/>
        </w:rPr>
      </w:pPr>
      <w:r>
        <w:rPr>
          <w:noProof/>
          <w:szCs w:val="22"/>
        </w:rPr>
        <w:t>Rivaroxabano</w:t>
      </w:r>
      <w:r w:rsidR="001F7D02" w:rsidRPr="0063119B">
        <w:rPr>
          <w:noProof/>
          <w:szCs w:val="22"/>
        </w:rPr>
        <w:t xml:space="preserve"> Accord</w:t>
      </w:r>
      <w:r w:rsidR="00892082" w:rsidRPr="0063119B">
        <w:rPr>
          <w:noProof/>
          <w:szCs w:val="22"/>
        </w:rPr>
        <w:t xml:space="preserve"> </w:t>
      </w:r>
      <w:r w:rsidR="00350C51" w:rsidRPr="0063119B">
        <w:rPr>
          <w:noProof/>
          <w:szCs w:val="22"/>
        </w:rPr>
        <w:t>2,5</w:t>
      </w:r>
      <w:r w:rsidR="009D49CF" w:rsidRPr="0063119B">
        <w:rPr>
          <w:noProof/>
          <w:szCs w:val="22"/>
        </w:rPr>
        <w:t> </w:t>
      </w:r>
      <w:r w:rsidR="00892082" w:rsidRPr="0063119B">
        <w:rPr>
          <w:noProof/>
          <w:szCs w:val="22"/>
        </w:rPr>
        <w:t>mg comprimidos</w:t>
      </w:r>
    </w:p>
    <w:p w14:paraId="3901E5EA" w14:textId="77777777" w:rsidR="00892082" w:rsidRPr="0063119B" w:rsidRDefault="00350C51" w:rsidP="00892082">
      <w:pPr>
        <w:suppressAutoHyphens/>
        <w:ind w:right="14"/>
        <w:rPr>
          <w:noProof/>
          <w:szCs w:val="22"/>
        </w:rPr>
      </w:pPr>
      <w:r w:rsidRPr="00394D5E">
        <w:rPr>
          <w:noProof/>
          <w:szCs w:val="22"/>
          <w:highlight w:val="lightGray"/>
        </w:rPr>
        <w:t>r</w:t>
      </w:r>
      <w:r w:rsidR="00892082" w:rsidRPr="00394D5E">
        <w:rPr>
          <w:noProof/>
          <w:szCs w:val="22"/>
          <w:highlight w:val="lightGray"/>
        </w:rPr>
        <w:t>ivaroxabano</w:t>
      </w:r>
    </w:p>
    <w:p w14:paraId="18DE2165" w14:textId="77777777" w:rsidR="00892082" w:rsidRPr="0063119B" w:rsidRDefault="00892082" w:rsidP="00892082">
      <w:pPr>
        <w:suppressAutoHyphens/>
        <w:ind w:right="14"/>
        <w:rPr>
          <w:noProof/>
          <w:szCs w:val="22"/>
        </w:rPr>
      </w:pPr>
    </w:p>
    <w:p w14:paraId="1CB3DBF0" w14:textId="77777777" w:rsidR="00892082" w:rsidRPr="0063119B" w:rsidRDefault="00892082" w:rsidP="00892082">
      <w:pPr>
        <w:suppressAutoHyphens/>
        <w:ind w:right="14"/>
        <w:rPr>
          <w:noProof/>
          <w:szCs w:val="22"/>
        </w:rPr>
      </w:pPr>
    </w:p>
    <w:p w14:paraId="3B093B2A"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2.</w:t>
      </w:r>
      <w:r w:rsidRPr="0063119B">
        <w:rPr>
          <w:b/>
          <w:noProof/>
          <w:szCs w:val="22"/>
        </w:rPr>
        <w:tab/>
        <w:t>NOME DO TITULAR DA AUTORIZAÇÃO DE INTRODUÇÃO NO MERCADO</w:t>
      </w:r>
    </w:p>
    <w:p w14:paraId="6C2F7DD7" w14:textId="77777777" w:rsidR="00892082" w:rsidRPr="0063119B" w:rsidRDefault="00892082" w:rsidP="00892082">
      <w:pPr>
        <w:suppressAutoHyphens/>
        <w:ind w:right="14"/>
        <w:rPr>
          <w:noProof/>
          <w:szCs w:val="22"/>
        </w:rPr>
      </w:pPr>
    </w:p>
    <w:p w14:paraId="74FB9B29" w14:textId="77777777" w:rsidR="00892082" w:rsidRPr="0063119B" w:rsidRDefault="009D49CF" w:rsidP="00892082">
      <w:pPr>
        <w:suppressAutoHyphens/>
        <w:ind w:right="14"/>
        <w:rPr>
          <w:noProof/>
          <w:szCs w:val="22"/>
        </w:rPr>
      </w:pPr>
      <w:r w:rsidRPr="0063119B">
        <w:rPr>
          <w:noProof/>
          <w:szCs w:val="22"/>
        </w:rPr>
        <w:t>Accord</w:t>
      </w:r>
    </w:p>
    <w:p w14:paraId="737C700C" w14:textId="77777777" w:rsidR="00892082" w:rsidRPr="0063119B" w:rsidRDefault="00892082" w:rsidP="00892082">
      <w:pPr>
        <w:suppressAutoHyphens/>
        <w:ind w:right="14"/>
        <w:rPr>
          <w:noProof/>
          <w:szCs w:val="22"/>
        </w:rPr>
      </w:pPr>
    </w:p>
    <w:p w14:paraId="07E37BD1" w14:textId="77777777" w:rsidR="00892082" w:rsidRPr="0063119B" w:rsidRDefault="00892082" w:rsidP="00892082">
      <w:pPr>
        <w:suppressAutoHyphens/>
        <w:ind w:right="14"/>
        <w:rPr>
          <w:noProof/>
          <w:szCs w:val="22"/>
        </w:rPr>
      </w:pPr>
    </w:p>
    <w:p w14:paraId="3D11B35A"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PRAZO DE VALIDADE</w:t>
      </w:r>
    </w:p>
    <w:p w14:paraId="6B1A66E6" w14:textId="77777777" w:rsidR="00892082" w:rsidRPr="0063119B" w:rsidRDefault="00892082" w:rsidP="00892082">
      <w:pPr>
        <w:rPr>
          <w:i/>
          <w:noProof/>
          <w:szCs w:val="22"/>
        </w:rPr>
      </w:pPr>
    </w:p>
    <w:p w14:paraId="6EEA7246" w14:textId="77777777" w:rsidR="00892082" w:rsidRPr="0063119B" w:rsidRDefault="00892082" w:rsidP="00892082">
      <w:pPr>
        <w:suppressAutoHyphens/>
        <w:rPr>
          <w:noProof/>
          <w:szCs w:val="22"/>
        </w:rPr>
      </w:pPr>
      <w:r w:rsidRPr="0063119B">
        <w:rPr>
          <w:noProof/>
          <w:szCs w:val="22"/>
        </w:rPr>
        <w:t>EXP</w:t>
      </w:r>
    </w:p>
    <w:p w14:paraId="332ED6D9" w14:textId="77777777" w:rsidR="00892082" w:rsidRPr="0063119B" w:rsidRDefault="00892082" w:rsidP="00892082">
      <w:pPr>
        <w:suppressAutoHyphens/>
        <w:rPr>
          <w:noProof/>
          <w:szCs w:val="22"/>
        </w:rPr>
      </w:pPr>
    </w:p>
    <w:p w14:paraId="26F52092" w14:textId="77777777" w:rsidR="00892082" w:rsidRPr="0063119B" w:rsidRDefault="00892082" w:rsidP="00892082">
      <w:pPr>
        <w:suppressAutoHyphens/>
        <w:ind w:right="14"/>
        <w:rPr>
          <w:noProof/>
          <w:szCs w:val="22"/>
        </w:rPr>
      </w:pPr>
    </w:p>
    <w:p w14:paraId="24EF3D6F"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NÚMERO DO LOTE</w:t>
      </w:r>
    </w:p>
    <w:p w14:paraId="09148E3D" w14:textId="77777777" w:rsidR="00892082" w:rsidRPr="0063119B" w:rsidRDefault="00892082" w:rsidP="00892082">
      <w:pPr>
        <w:suppressAutoHyphens/>
        <w:ind w:right="14"/>
        <w:rPr>
          <w:noProof/>
          <w:szCs w:val="22"/>
        </w:rPr>
      </w:pPr>
    </w:p>
    <w:p w14:paraId="74A17580" w14:textId="77777777" w:rsidR="00892082" w:rsidRPr="0063119B" w:rsidRDefault="00892082" w:rsidP="00892082">
      <w:pPr>
        <w:rPr>
          <w:noProof/>
          <w:szCs w:val="22"/>
        </w:rPr>
      </w:pPr>
      <w:r w:rsidRPr="0063119B">
        <w:rPr>
          <w:noProof/>
          <w:szCs w:val="22"/>
        </w:rPr>
        <w:t>Lot</w:t>
      </w:r>
    </w:p>
    <w:p w14:paraId="7125AA4E" w14:textId="77777777" w:rsidR="00892082" w:rsidRPr="0063119B" w:rsidRDefault="00892082" w:rsidP="00892082">
      <w:pPr>
        <w:suppressAutoHyphens/>
        <w:ind w:right="14"/>
        <w:rPr>
          <w:noProof/>
          <w:szCs w:val="22"/>
        </w:rPr>
      </w:pPr>
    </w:p>
    <w:p w14:paraId="4D036773" w14:textId="77777777" w:rsidR="00892082" w:rsidRPr="0063119B" w:rsidRDefault="00892082" w:rsidP="00892082">
      <w:pPr>
        <w:suppressAutoHyphens/>
        <w:ind w:right="14"/>
        <w:rPr>
          <w:noProof/>
          <w:szCs w:val="22"/>
        </w:rPr>
      </w:pPr>
    </w:p>
    <w:p w14:paraId="16A47D06" w14:textId="77777777" w:rsidR="00892082" w:rsidRPr="0063119B" w:rsidRDefault="00892082" w:rsidP="00892082">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r>
      <w:r w:rsidRPr="0063119B">
        <w:rPr>
          <w:b/>
          <w:caps/>
          <w:noProof/>
          <w:szCs w:val="22"/>
        </w:rPr>
        <w:t>Outr</w:t>
      </w:r>
      <w:r w:rsidR="009D49CF" w:rsidRPr="0063119B">
        <w:rPr>
          <w:b/>
          <w:caps/>
          <w:noProof/>
          <w:szCs w:val="22"/>
        </w:rPr>
        <w:t>O</w:t>
      </w:r>
      <w:r w:rsidRPr="0063119B">
        <w:rPr>
          <w:b/>
          <w:caps/>
          <w:noProof/>
          <w:szCs w:val="22"/>
        </w:rPr>
        <w:t>s</w:t>
      </w:r>
    </w:p>
    <w:p w14:paraId="3F5D0547" w14:textId="77777777" w:rsidR="00892082" w:rsidRPr="0063119B" w:rsidRDefault="00892082" w:rsidP="00892082">
      <w:pPr>
        <w:suppressAutoHyphens/>
        <w:ind w:right="14"/>
        <w:rPr>
          <w:noProof/>
          <w:szCs w:val="22"/>
        </w:rPr>
      </w:pPr>
    </w:p>
    <w:p w14:paraId="6EA0542D" w14:textId="77777777" w:rsidR="00892082" w:rsidRPr="0063119B" w:rsidRDefault="00892082" w:rsidP="00892082">
      <w:pPr>
        <w:suppressAutoHyphens/>
        <w:ind w:right="14"/>
        <w:rPr>
          <w:noProof/>
          <w:szCs w:val="22"/>
        </w:rPr>
      </w:pPr>
    </w:p>
    <w:p w14:paraId="17CA24F5" w14:textId="77777777" w:rsidR="00892082" w:rsidRPr="0063119B" w:rsidRDefault="00892082" w:rsidP="00892082">
      <w:pPr>
        <w:shd w:val="clear" w:color="auto" w:fill="FFFFFF"/>
        <w:suppressAutoHyphens/>
        <w:ind w:right="14"/>
        <w:rPr>
          <w:noProof/>
          <w:szCs w:val="22"/>
        </w:rPr>
      </w:pPr>
      <w:r w:rsidRPr="0063119B">
        <w:rPr>
          <w:noProof/>
          <w:szCs w:val="22"/>
        </w:rPr>
        <w:br w:type="page"/>
      </w:r>
    </w:p>
    <w:p w14:paraId="40F87FFA" w14:textId="77777777" w:rsidR="00350C51" w:rsidRPr="0063119B" w:rsidRDefault="00350C51" w:rsidP="00350C51">
      <w:pPr>
        <w:suppressAutoHyphens/>
        <w:ind w:right="14"/>
        <w:rPr>
          <w:b/>
          <w:noProof/>
          <w:szCs w:val="22"/>
        </w:rPr>
      </w:pPr>
    </w:p>
    <w:p w14:paraId="185283C6"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rPr>
          <w:b/>
          <w:noProof/>
          <w:szCs w:val="22"/>
        </w:rPr>
      </w:pPr>
      <w:r w:rsidRPr="0063119B">
        <w:rPr>
          <w:b/>
          <w:noProof/>
          <w:szCs w:val="22"/>
        </w:rPr>
        <w:t>INDICAÇÕES MÍNIMAS A INCLUIR NAS EMBALAGENS “BLISTER” OU FITAS CONTENTORAS</w:t>
      </w:r>
    </w:p>
    <w:p w14:paraId="3095F043"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rPr>
          <w:b/>
          <w:caps/>
          <w:noProof/>
          <w:szCs w:val="22"/>
        </w:rPr>
      </w:pPr>
    </w:p>
    <w:p w14:paraId="032F1010" w14:textId="77777777" w:rsidR="00350C51" w:rsidRPr="0063119B" w:rsidRDefault="009D49CF" w:rsidP="00350C51">
      <w:pPr>
        <w:pBdr>
          <w:top w:val="single" w:sz="4" w:space="1" w:color="auto"/>
          <w:left w:val="single" w:sz="4" w:space="4" w:color="auto"/>
          <w:bottom w:val="single" w:sz="4" w:space="1" w:color="auto"/>
          <w:right w:val="single" w:sz="4" w:space="4" w:color="auto"/>
        </w:pBdr>
        <w:suppressAutoHyphens/>
        <w:rPr>
          <w:b/>
          <w:noProof/>
          <w:szCs w:val="22"/>
        </w:rPr>
      </w:pPr>
      <w:r w:rsidRPr="0063119B">
        <w:rPr>
          <w:b/>
          <w:caps/>
          <w:noProof/>
          <w:szCs w:val="22"/>
        </w:rPr>
        <w:t xml:space="preserve">EMBALAGEM </w:t>
      </w:r>
      <w:r w:rsidR="00350C51" w:rsidRPr="0063119B">
        <w:rPr>
          <w:b/>
          <w:caps/>
          <w:noProof/>
          <w:szCs w:val="22"/>
        </w:rPr>
        <w:t xml:space="preserve">Blister </w:t>
      </w:r>
      <w:r w:rsidRPr="0063119B">
        <w:rPr>
          <w:b/>
          <w:caps/>
          <w:noProof/>
          <w:szCs w:val="22"/>
        </w:rPr>
        <w:t>PARA DOSE UNITÁRIA (</w:t>
      </w:r>
      <w:r w:rsidR="00350C51" w:rsidRPr="0063119B">
        <w:rPr>
          <w:b/>
          <w:caps/>
          <w:noProof/>
          <w:szCs w:val="22"/>
        </w:rPr>
        <w:t>10</w:t>
      </w:r>
      <w:r w:rsidRPr="0063119B">
        <w:rPr>
          <w:b/>
          <w:caps/>
          <w:noProof/>
          <w:szCs w:val="22"/>
        </w:rPr>
        <w:t> X 1 </w:t>
      </w:r>
      <w:r w:rsidR="00350C51" w:rsidRPr="0063119B">
        <w:rPr>
          <w:b/>
          <w:caps/>
          <w:noProof/>
          <w:szCs w:val="22"/>
        </w:rPr>
        <w:t>comprimidos</w:t>
      </w:r>
      <w:r w:rsidRPr="0063119B">
        <w:rPr>
          <w:b/>
          <w:caps/>
          <w:noProof/>
          <w:szCs w:val="22"/>
        </w:rPr>
        <w:t>, 100 x 1 COMPRIMIDOS)</w:t>
      </w:r>
      <w:r w:rsidR="00350C51" w:rsidRPr="0063119B">
        <w:rPr>
          <w:b/>
          <w:caps/>
          <w:noProof/>
          <w:szCs w:val="22"/>
        </w:rPr>
        <w:t xml:space="preserve"> para 2,5</w:t>
      </w:r>
      <w:r w:rsidRPr="0063119B">
        <w:rPr>
          <w:b/>
          <w:caps/>
          <w:noProof/>
          <w:szCs w:val="22"/>
        </w:rPr>
        <w:t> </w:t>
      </w:r>
      <w:r w:rsidR="00350C51" w:rsidRPr="0063119B">
        <w:rPr>
          <w:b/>
          <w:caps/>
          <w:noProof/>
          <w:szCs w:val="22"/>
        </w:rPr>
        <w:t>mg</w:t>
      </w:r>
    </w:p>
    <w:p w14:paraId="3F87E17F" w14:textId="77777777" w:rsidR="00350C51" w:rsidRPr="0063119B" w:rsidRDefault="00350C51" w:rsidP="00350C51">
      <w:pPr>
        <w:suppressAutoHyphens/>
        <w:ind w:right="14"/>
        <w:rPr>
          <w:noProof/>
          <w:szCs w:val="22"/>
        </w:rPr>
      </w:pPr>
    </w:p>
    <w:p w14:paraId="5AE29B01" w14:textId="77777777" w:rsidR="00350C51" w:rsidRPr="0063119B" w:rsidRDefault="00350C51" w:rsidP="00350C51">
      <w:pPr>
        <w:suppressAutoHyphens/>
        <w:ind w:right="14"/>
        <w:rPr>
          <w:noProof/>
          <w:szCs w:val="22"/>
        </w:rPr>
      </w:pPr>
    </w:p>
    <w:p w14:paraId="42616C59"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2E867D42" w14:textId="77777777" w:rsidR="00350C51" w:rsidRPr="0063119B" w:rsidRDefault="00350C51" w:rsidP="00350C51">
      <w:pPr>
        <w:suppressAutoHyphens/>
        <w:ind w:right="14"/>
        <w:rPr>
          <w:noProof/>
          <w:szCs w:val="22"/>
        </w:rPr>
      </w:pPr>
    </w:p>
    <w:p w14:paraId="7880082B" w14:textId="77777777" w:rsidR="00350C51" w:rsidRPr="0063119B" w:rsidRDefault="00607DE4" w:rsidP="00350C51">
      <w:pPr>
        <w:suppressAutoHyphens/>
        <w:ind w:right="14"/>
        <w:rPr>
          <w:noProof/>
          <w:szCs w:val="22"/>
        </w:rPr>
      </w:pPr>
      <w:r>
        <w:rPr>
          <w:noProof/>
          <w:szCs w:val="22"/>
        </w:rPr>
        <w:t>Rivaroxabano</w:t>
      </w:r>
      <w:r w:rsidR="001F7D02" w:rsidRPr="0063119B">
        <w:rPr>
          <w:noProof/>
          <w:szCs w:val="22"/>
        </w:rPr>
        <w:t xml:space="preserve"> Accord</w:t>
      </w:r>
      <w:r w:rsidR="00350C51" w:rsidRPr="0063119B">
        <w:rPr>
          <w:noProof/>
          <w:szCs w:val="22"/>
        </w:rPr>
        <w:t xml:space="preserve"> 2,5</w:t>
      </w:r>
      <w:r w:rsidR="009D49CF" w:rsidRPr="0063119B">
        <w:rPr>
          <w:noProof/>
          <w:szCs w:val="22"/>
        </w:rPr>
        <w:t> </w:t>
      </w:r>
      <w:r w:rsidR="00350C51" w:rsidRPr="0063119B">
        <w:rPr>
          <w:noProof/>
          <w:szCs w:val="22"/>
        </w:rPr>
        <w:t>mg comprimidos</w:t>
      </w:r>
    </w:p>
    <w:p w14:paraId="62C6467D" w14:textId="77777777" w:rsidR="00350C51" w:rsidRPr="0063119B" w:rsidRDefault="00350C51" w:rsidP="00350C51">
      <w:pPr>
        <w:suppressAutoHyphens/>
        <w:ind w:right="14"/>
        <w:rPr>
          <w:noProof/>
          <w:szCs w:val="22"/>
        </w:rPr>
      </w:pPr>
    </w:p>
    <w:p w14:paraId="6B8B26C3" w14:textId="77777777" w:rsidR="00350C51" w:rsidRPr="0063119B" w:rsidRDefault="00350C51" w:rsidP="00350C51">
      <w:pPr>
        <w:suppressAutoHyphens/>
        <w:ind w:right="14"/>
        <w:rPr>
          <w:noProof/>
          <w:szCs w:val="22"/>
        </w:rPr>
      </w:pPr>
    </w:p>
    <w:p w14:paraId="545B029F"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2.</w:t>
      </w:r>
      <w:r w:rsidRPr="0063119B">
        <w:rPr>
          <w:b/>
          <w:noProof/>
          <w:szCs w:val="22"/>
        </w:rPr>
        <w:tab/>
        <w:t>NOME DO TITULAR DA AUTORIZAÇÃO DE INTRODUÇÃO NO MERCADO</w:t>
      </w:r>
    </w:p>
    <w:p w14:paraId="42806A4C" w14:textId="77777777" w:rsidR="00350C51" w:rsidRPr="0063119B" w:rsidRDefault="00350C51" w:rsidP="00350C51">
      <w:pPr>
        <w:suppressAutoHyphens/>
        <w:ind w:right="14"/>
        <w:rPr>
          <w:noProof/>
          <w:szCs w:val="22"/>
        </w:rPr>
      </w:pPr>
    </w:p>
    <w:p w14:paraId="537ACBF6" w14:textId="77777777" w:rsidR="00350C51" w:rsidRPr="0063119B" w:rsidRDefault="009D49CF" w:rsidP="00350C51">
      <w:pPr>
        <w:suppressAutoHyphens/>
        <w:ind w:right="14"/>
        <w:rPr>
          <w:noProof/>
          <w:szCs w:val="22"/>
        </w:rPr>
      </w:pPr>
      <w:r w:rsidRPr="0063119B">
        <w:rPr>
          <w:noProof/>
          <w:szCs w:val="22"/>
        </w:rPr>
        <w:t>Accord</w:t>
      </w:r>
    </w:p>
    <w:p w14:paraId="28EF7ADA" w14:textId="77777777" w:rsidR="00350C51" w:rsidRPr="0063119B" w:rsidRDefault="00350C51" w:rsidP="00350C51">
      <w:pPr>
        <w:suppressAutoHyphens/>
        <w:ind w:right="14"/>
        <w:rPr>
          <w:noProof/>
          <w:szCs w:val="22"/>
        </w:rPr>
      </w:pPr>
    </w:p>
    <w:p w14:paraId="0648D8E9" w14:textId="77777777" w:rsidR="00350C51" w:rsidRPr="0063119B" w:rsidRDefault="00350C51" w:rsidP="00350C51">
      <w:pPr>
        <w:suppressAutoHyphens/>
        <w:ind w:right="14"/>
        <w:rPr>
          <w:noProof/>
          <w:szCs w:val="22"/>
        </w:rPr>
      </w:pPr>
    </w:p>
    <w:p w14:paraId="33B622B6"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PRAZO DE VALIDADE</w:t>
      </w:r>
    </w:p>
    <w:p w14:paraId="6D5E5F34" w14:textId="77777777" w:rsidR="00350C51" w:rsidRPr="0063119B" w:rsidRDefault="00350C51" w:rsidP="00350C51">
      <w:pPr>
        <w:rPr>
          <w:i/>
          <w:noProof/>
          <w:szCs w:val="22"/>
        </w:rPr>
      </w:pPr>
    </w:p>
    <w:p w14:paraId="58774BD8" w14:textId="77777777" w:rsidR="00350C51" w:rsidRPr="0063119B" w:rsidRDefault="00350C51" w:rsidP="00350C51">
      <w:pPr>
        <w:suppressAutoHyphens/>
        <w:rPr>
          <w:noProof/>
          <w:szCs w:val="22"/>
        </w:rPr>
      </w:pPr>
      <w:r w:rsidRPr="0063119B">
        <w:rPr>
          <w:noProof/>
          <w:szCs w:val="22"/>
        </w:rPr>
        <w:t>EXP</w:t>
      </w:r>
    </w:p>
    <w:p w14:paraId="73A58458" w14:textId="77777777" w:rsidR="00350C51" w:rsidRPr="0063119B" w:rsidRDefault="00350C51" w:rsidP="00350C51">
      <w:pPr>
        <w:suppressAutoHyphens/>
        <w:rPr>
          <w:noProof/>
          <w:szCs w:val="22"/>
        </w:rPr>
      </w:pPr>
    </w:p>
    <w:p w14:paraId="2FD30CDF" w14:textId="77777777" w:rsidR="00350C51" w:rsidRPr="0063119B" w:rsidRDefault="00350C51" w:rsidP="00350C51">
      <w:pPr>
        <w:suppressAutoHyphens/>
        <w:ind w:right="14"/>
        <w:rPr>
          <w:noProof/>
          <w:szCs w:val="22"/>
        </w:rPr>
      </w:pPr>
    </w:p>
    <w:p w14:paraId="4EA185E0"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NÚMERO DO LOTE</w:t>
      </w:r>
    </w:p>
    <w:p w14:paraId="2599CB6D" w14:textId="77777777" w:rsidR="00350C51" w:rsidRPr="0063119B" w:rsidRDefault="00350C51" w:rsidP="00350C51">
      <w:pPr>
        <w:suppressAutoHyphens/>
        <w:ind w:right="14"/>
        <w:rPr>
          <w:noProof/>
          <w:szCs w:val="22"/>
        </w:rPr>
      </w:pPr>
    </w:p>
    <w:p w14:paraId="181DE167" w14:textId="77777777" w:rsidR="00350C51" w:rsidRPr="0063119B" w:rsidRDefault="00350C51" w:rsidP="00350C51">
      <w:pPr>
        <w:rPr>
          <w:noProof/>
          <w:szCs w:val="22"/>
        </w:rPr>
      </w:pPr>
      <w:r w:rsidRPr="0063119B">
        <w:rPr>
          <w:noProof/>
          <w:szCs w:val="22"/>
        </w:rPr>
        <w:t>Lot</w:t>
      </w:r>
    </w:p>
    <w:p w14:paraId="4D5CE6DD" w14:textId="77777777" w:rsidR="00350C51" w:rsidRPr="0063119B" w:rsidRDefault="00350C51" w:rsidP="00350C51">
      <w:pPr>
        <w:suppressAutoHyphens/>
        <w:ind w:right="14"/>
        <w:rPr>
          <w:noProof/>
          <w:szCs w:val="22"/>
        </w:rPr>
      </w:pPr>
    </w:p>
    <w:p w14:paraId="001179D7" w14:textId="77777777" w:rsidR="00350C51" w:rsidRPr="0063119B" w:rsidRDefault="00350C51" w:rsidP="00350C51">
      <w:pPr>
        <w:suppressAutoHyphens/>
        <w:ind w:right="14"/>
        <w:rPr>
          <w:noProof/>
          <w:szCs w:val="22"/>
        </w:rPr>
      </w:pPr>
    </w:p>
    <w:p w14:paraId="397BE082"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r>
      <w:r w:rsidRPr="0063119B">
        <w:rPr>
          <w:b/>
          <w:caps/>
          <w:noProof/>
          <w:szCs w:val="22"/>
        </w:rPr>
        <w:t>Outr</w:t>
      </w:r>
      <w:r w:rsidR="009D49CF" w:rsidRPr="0063119B">
        <w:rPr>
          <w:b/>
          <w:caps/>
          <w:noProof/>
          <w:szCs w:val="22"/>
        </w:rPr>
        <w:t>o</w:t>
      </w:r>
      <w:r w:rsidRPr="0063119B">
        <w:rPr>
          <w:b/>
          <w:caps/>
          <w:noProof/>
          <w:szCs w:val="22"/>
        </w:rPr>
        <w:t>s</w:t>
      </w:r>
    </w:p>
    <w:p w14:paraId="6060A5EE" w14:textId="77777777" w:rsidR="00350C51" w:rsidRPr="0063119B" w:rsidRDefault="00350C51" w:rsidP="00350C51">
      <w:pPr>
        <w:suppressAutoHyphens/>
        <w:ind w:right="14"/>
        <w:rPr>
          <w:noProof/>
          <w:szCs w:val="22"/>
        </w:rPr>
      </w:pPr>
    </w:p>
    <w:p w14:paraId="76CA869B" w14:textId="77777777" w:rsidR="00350C51" w:rsidRPr="0063119B" w:rsidRDefault="00350C51" w:rsidP="00350C51">
      <w:pPr>
        <w:suppressAutoHyphens/>
        <w:ind w:right="14"/>
        <w:rPr>
          <w:noProof/>
          <w:szCs w:val="22"/>
        </w:rPr>
      </w:pPr>
    </w:p>
    <w:p w14:paraId="529ADEC5" w14:textId="77777777" w:rsidR="00350C51" w:rsidRPr="0063119B" w:rsidRDefault="00350C51" w:rsidP="001E28F4">
      <w:pPr>
        <w:shd w:val="clear" w:color="auto" w:fill="FFFFFF"/>
        <w:suppressAutoHyphens/>
        <w:ind w:right="14"/>
        <w:rPr>
          <w:b/>
          <w:noProof/>
          <w:szCs w:val="22"/>
        </w:rPr>
      </w:pPr>
      <w:r w:rsidRPr="0063119B">
        <w:rPr>
          <w:noProof/>
          <w:szCs w:val="22"/>
        </w:rPr>
        <w:br w:type="page"/>
      </w:r>
    </w:p>
    <w:p w14:paraId="1A610C27"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rPr>
          <w:b/>
          <w:noProof/>
          <w:szCs w:val="22"/>
        </w:rPr>
      </w:pPr>
      <w:r w:rsidRPr="0063119B">
        <w:rPr>
          <w:b/>
          <w:noProof/>
          <w:szCs w:val="22"/>
        </w:rPr>
        <w:lastRenderedPageBreak/>
        <w:t>INDICAÇÕES MÍNIMAS A INCLUIR NAS EMBALAGENS “BLISTER”</w:t>
      </w:r>
    </w:p>
    <w:p w14:paraId="181BECD1"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rPr>
          <w:b/>
          <w:caps/>
          <w:noProof/>
          <w:szCs w:val="22"/>
        </w:rPr>
      </w:pPr>
    </w:p>
    <w:p w14:paraId="0258CDB2"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rPr>
          <w:b/>
          <w:noProof/>
          <w:szCs w:val="22"/>
        </w:rPr>
      </w:pPr>
      <w:r w:rsidRPr="0063119B">
        <w:rPr>
          <w:b/>
          <w:caps/>
          <w:noProof/>
          <w:szCs w:val="22"/>
        </w:rPr>
        <w:t>Blister para 2,5</w:t>
      </w:r>
      <w:r w:rsidR="009D49CF" w:rsidRPr="0063119B">
        <w:rPr>
          <w:b/>
          <w:caps/>
          <w:noProof/>
          <w:szCs w:val="22"/>
        </w:rPr>
        <w:t> </w:t>
      </w:r>
      <w:r w:rsidRPr="0063119B">
        <w:rPr>
          <w:b/>
          <w:caps/>
          <w:noProof/>
          <w:szCs w:val="22"/>
        </w:rPr>
        <w:t>mg</w:t>
      </w:r>
      <w:r w:rsidR="009D49CF" w:rsidRPr="0063119B">
        <w:rPr>
          <w:b/>
          <w:caps/>
          <w:noProof/>
          <w:szCs w:val="22"/>
        </w:rPr>
        <w:t xml:space="preserve"> (EMBALAGEM CALENDÁRIO</w:t>
      </w:r>
      <w:r w:rsidR="001356C1" w:rsidRPr="0063119B">
        <w:rPr>
          <w:b/>
          <w:caps/>
          <w:noProof/>
          <w:szCs w:val="22"/>
        </w:rPr>
        <w:t xml:space="preserve"> - 14 COMPRIMIDOS</w:t>
      </w:r>
      <w:r w:rsidR="009D49CF" w:rsidRPr="0063119B">
        <w:rPr>
          <w:b/>
          <w:caps/>
          <w:noProof/>
          <w:szCs w:val="22"/>
        </w:rPr>
        <w:t>)</w:t>
      </w:r>
    </w:p>
    <w:p w14:paraId="23D7C8E2" w14:textId="77777777" w:rsidR="00350C51" w:rsidRPr="0063119B" w:rsidRDefault="00350C51" w:rsidP="00350C51">
      <w:pPr>
        <w:suppressAutoHyphens/>
        <w:ind w:right="14"/>
        <w:rPr>
          <w:noProof/>
          <w:szCs w:val="22"/>
        </w:rPr>
      </w:pPr>
    </w:p>
    <w:p w14:paraId="284247D1" w14:textId="77777777" w:rsidR="00350C51" w:rsidRPr="0063119B" w:rsidRDefault="00350C51" w:rsidP="00350C51">
      <w:pPr>
        <w:suppressAutoHyphens/>
        <w:ind w:right="14"/>
        <w:rPr>
          <w:noProof/>
          <w:szCs w:val="22"/>
        </w:rPr>
      </w:pPr>
    </w:p>
    <w:p w14:paraId="11C9F2DF"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0B77159A" w14:textId="77777777" w:rsidR="00350C51" w:rsidRPr="0063119B" w:rsidRDefault="00350C51" w:rsidP="00350C51">
      <w:pPr>
        <w:suppressAutoHyphens/>
        <w:ind w:right="14"/>
        <w:rPr>
          <w:noProof/>
          <w:szCs w:val="22"/>
        </w:rPr>
      </w:pPr>
    </w:p>
    <w:p w14:paraId="72847E72" w14:textId="77777777" w:rsidR="00350C51" w:rsidRPr="0063119B" w:rsidRDefault="00607DE4" w:rsidP="00350C51">
      <w:pPr>
        <w:suppressAutoHyphens/>
        <w:ind w:right="14"/>
        <w:rPr>
          <w:noProof/>
          <w:szCs w:val="22"/>
        </w:rPr>
      </w:pPr>
      <w:r>
        <w:rPr>
          <w:noProof/>
          <w:szCs w:val="22"/>
        </w:rPr>
        <w:t>Rivaroxabano</w:t>
      </w:r>
      <w:r w:rsidR="001F7D02" w:rsidRPr="0063119B">
        <w:rPr>
          <w:noProof/>
          <w:szCs w:val="22"/>
        </w:rPr>
        <w:t xml:space="preserve"> Accord</w:t>
      </w:r>
      <w:r w:rsidR="00350C51" w:rsidRPr="0063119B">
        <w:rPr>
          <w:noProof/>
          <w:szCs w:val="22"/>
        </w:rPr>
        <w:t xml:space="preserve"> 2,5</w:t>
      </w:r>
      <w:r w:rsidR="00F77696" w:rsidRPr="0063119B">
        <w:rPr>
          <w:noProof/>
          <w:szCs w:val="22"/>
        </w:rPr>
        <w:t> </w:t>
      </w:r>
      <w:r w:rsidR="00350C51" w:rsidRPr="0063119B">
        <w:rPr>
          <w:noProof/>
          <w:szCs w:val="22"/>
        </w:rPr>
        <w:t>mg comprimidos</w:t>
      </w:r>
    </w:p>
    <w:p w14:paraId="5FF3E2E2" w14:textId="77777777" w:rsidR="00350C51" w:rsidRPr="0063119B" w:rsidRDefault="00350C51" w:rsidP="00350C51">
      <w:pPr>
        <w:suppressAutoHyphens/>
        <w:ind w:right="14"/>
        <w:rPr>
          <w:noProof/>
          <w:szCs w:val="22"/>
        </w:rPr>
      </w:pPr>
      <w:r w:rsidRPr="00394D5E">
        <w:rPr>
          <w:noProof/>
          <w:szCs w:val="22"/>
          <w:highlight w:val="lightGray"/>
        </w:rPr>
        <w:t>rivaroxabano</w:t>
      </w:r>
    </w:p>
    <w:p w14:paraId="2A53E187" w14:textId="77777777" w:rsidR="00350C51" w:rsidRPr="0063119B" w:rsidRDefault="00350C51" w:rsidP="00350C51">
      <w:pPr>
        <w:suppressAutoHyphens/>
        <w:ind w:right="14"/>
        <w:rPr>
          <w:noProof/>
          <w:szCs w:val="22"/>
        </w:rPr>
      </w:pPr>
    </w:p>
    <w:p w14:paraId="6EFFC152" w14:textId="77777777" w:rsidR="00350C51" w:rsidRPr="0063119B" w:rsidRDefault="00350C51" w:rsidP="00350C51">
      <w:pPr>
        <w:suppressAutoHyphens/>
        <w:ind w:right="14"/>
        <w:rPr>
          <w:noProof/>
          <w:szCs w:val="22"/>
        </w:rPr>
      </w:pPr>
    </w:p>
    <w:p w14:paraId="64A8595A"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2.</w:t>
      </w:r>
      <w:r w:rsidRPr="0063119B">
        <w:rPr>
          <w:b/>
          <w:noProof/>
          <w:szCs w:val="22"/>
        </w:rPr>
        <w:tab/>
        <w:t>NOME DO TITULAR DA AUTORIZAÇÃO DE INTRODUÇÃO NO MERCADO</w:t>
      </w:r>
    </w:p>
    <w:p w14:paraId="2978C78F" w14:textId="77777777" w:rsidR="00350C51" w:rsidRPr="0063119B" w:rsidRDefault="00350C51" w:rsidP="00350C51">
      <w:pPr>
        <w:suppressAutoHyphens/>
        <w:ind w:right="14"/>
        <w:rPr>
          <w:noProof/>
          <w:szCs w:val="22"/>
        </w:rPr>
      </w:pPr>
    </w:p>
    <w:p w14:paraId="198C8813" w14:textId="77777777" w:rsidR="00350C51" w:rsidRPr="0063119B" w:rsidRDefault="009D49CF" w:rsidP="00350C51">
      <w:pPr>
        <w:suppressAutoHyphens/>
        <w:ind w:right="14"/>
        <w:rPr>
          <w:noProof/>
          <w:szCs w:val="22"/>
        </w:rPr>
      </w:pPr>
      <w:r w:rsidRPr="0063119B">
        <w:rPr>
          <w:noProof/>
          <w:szCs w:val="22"/>
        </w:rPr>
        <w:t>Accord</w:t>
      </w:r>
    </w:p>
    <w:p w14:paraId="3F4D138C" w14:textId="77777777" w:rsidR="00350C51" w:rsidRPr="0063119B" w:rsidRDefault="00350C51" w:rsidP="00350C51">
      <w:pPr>
        <w:suppressAutoHyphens/>
        <w:ind w:right="14"/>
        <w:rPr>
          <w:noProof/>
          <w:szCs w:val="22"/>
        </w:rPr>
      </w:pPr>
    </w:p>
    <w:p w14:paraId="0AF3C91D" w14:textId="77777777" w:rsidR="00350C51" w:rsidRPr="0063119B" w:rsidRDefault="00350C51" w:rsidP="00350C51">
      <w:pPr>
        <w:suppressAutoHyphens/>
        <w:ind w:right="14"/>
        <w:rPr>
          <w:noProof/>
          <w:szCs w:val="22"/>
        </w:rPr>
      </w:pPr>
    </w:p>
    <w:p w14:paraId="45771C8D"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PRAZO DE VALIDADE</w:t>
      </w:r>
    </w:p>
    <w:p w14:paraId="058F1DD9" w14:textId="77777777" w:rsidR="00350C51" w:rsidRPr="0063119B" w:rsidRDefault="00350C51" w:rsidP="00350C51">
      <w:pPr>
        <w:rPr>
          <w:i/>
          <w:noProof/>
          <w:szCs w:val="22"/>
        </w:rPr>
      </w:pPr>
    </w:p>
    <w:p w14:paraId="5E78D264" w14:textId="77777777" w:rsidR="00350C51" w:rsidRPr="0063119B" w:rsidRDefault="00350C51" w:rsidP="00350C51">
      <w:pPr>
        <w:suppressAutoHyphens/>
        <w:rPr>
          <w:noProof/>
          <w:szCs w:val="22"/>
        </w:rPr>
      </w:pPr>
      <w:r w:rsidRPr="0063119B">
        <w:rPr>
          <w:noProof/>
          <w:szCs w:val="22"/>
        </w:rPr>
        <w:t>EXP</w:t>
      </w:r>
    </w:p>
    <w:p w14:paraId="5C2C27E2" w14:textId="77777777" w:rsidR="00350C51" w:rsidRPr="0063119B" w:rsidRDefault="00350C51" w:rsidP="00350C51">
      <w:pPr>
        <w:suppressAutoHyphens/>
        <w:rPr>
          <w:noProof/>
          <w:szCs w:val="22"/>
        </w:rPr>
      </w:pPr>
    </w:p>
    <w:p w14:paraId="2502F5F9" w14:textId="77777777" w:rsidR="00350C51" w:rsidRPr="0063119B" w:rsidRDefault="00350C51" w:rsidP="00350C51">
      <w:pPr>
        <w:suppressAutoHyphens/>
        <w:ind w:right="14"/>
        <w:rPr>
          <w:noProof/>
          <w:szCs w:val="22"/>
        </w:rPr>
      </w:pPr>
    </w:p>
    <w:p w14:paraId="7DA3285F"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NÚMERO DO LOTE</w:t>
      </w:r>
    </w:p>
    <w:p w14:paraId="7750B952" w14:textId="77777777" w:rsidR="00350C51" w:rsidRPr="0063119B" w:rsidRDefault="00350C51" w:rsidP="00350C51">
      <w:pPr>
        <w:suppressAutoHyphens/>
        <w:ind w:right="14"/>
        <w:rPr>
          <w:noProof/>
          <w:szCs w:val="22"/>
        </w:rPr>
      </w:pPr>
    </w:p>
    <w:p w14:paraId="6EE285E2" w14:textId="77777777" w:rsidR="00350C51" w:rsidRPr="0063119B" w:rsidRDefault="00350C51" w:rsidP="00350C51">
      <w:pPr>
        <w:rPr>
          <w:noProof/>
          <w:szCs w:val="22"/>
        </w:rPr>
      </w:pPr>
      <w:r w:rsidRPr="0063119B">
        <w:rPr>
          <w:noProof/>
          <w:szCs w:val="22"/>
        </w:rPr>
        <w:t>Lot</w:t>
      </w:r>
    </w:p>
    <w:p w14:paraId="03371C20" w14:textId="77777777" w:rsidR="00350C51" w:rsidRPr="0063119B" w:rsidRDefault="00350C51" w:rsidP="00350C51">
      <w:pPr>
        <w:suppressAutoHyphens/>
        <w:ind w:right="14"/>
        <w:rPr>
          <w:noProof/>
          <w:szCs w:val="22"/>
        </w:rPr>
      </w:pPr>
    </w:p>
    <w:p w14:paraId="743EB630" w14:textId="77777777" w:rsidR="00350C51" w:rsidRPr="0063119B" w:rsidRDefault="00350C51" w:rsidP="00350C51">
      <w:pPr>
        <w:suppressAutoHyphens/>
        <w:ind w:right="14"/>
        <w:rPr>
          <w:noProof/>
          <w:szCs w:val="22"/>
        </w:rPr>
      </w:pPr>
    </w:p>
    <w:p w14:paraId="24E042FB" w14:textId="77777777" w:rsidR="00350C51" w:rsidRPr="0063119B" w:rsidRDefault="00350C51" w:rsidP="00350C5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r>
      <w:r w:rsidRPr="0063119B">
        <w:rPr>
          <w:b/>
          <w:caps/>
          <w:noProof/>
          <w:szCs w:val="22"/>
        </w:rPr>
        <w:t>Outr</w:t>
      </w:r>
      <w:r w:rsidR="00F77696" w:rsidRPr="0063119B">
        <w:rPr>
          <w:b/>
          <w:caps/>
          <w:noProof/>
          <w:szCs w:val="22"/>
        </w:rPr>
        <w:t>O</w:t>
      </w:r>
      <w:r w:rsidRPr="0063119B">
        <w:rPr>
          <w:b/>
          <w:caps/>
          <w:noProof/>
          <w:szCs w:val="22"/>
        </w:rPr>
        <w:t>s</w:t>
      </w:r>
    </w:p>
    <w:p w14:paraId="4A76652F" w14:textId="77777777" w:rsidR="00350C51" w:rsidRPr="0063119B" w:rsidRDefault="00350C51" w:rsidP="00350C51">
      <w:pPr>
        <w:suppressAutoHyphens/>
        <w:ind w:right="14"/>
        <w:rPr>
          <w:noProof/>
          <w:szCs w:val="22"/>
        </w:rPr>
      </w:pPr>
    </w:p>
    <w:p w14:paraId="3B149949" w14:textId="77777777" w:rsidR="00350C51" w:rsidRPr="0063119B" w:rsidRDefault="00350C51" w:rsidP="00350C51">
      <w:pPr>
        <w:suppressAutoHyphens/>
        <w:ind w:right="14"/>
        <w:rPr>
          <w:noProof/>
          <w:szCs w:val="22"/>
        </w:rPr>
      </w:pPr>
      <w:r w:rsidRPr="0063119B">
        <w:rPr>
          <w:noProof/>
          <w:szCs w:val="22"/>
        </w:rPr>
        <w:t>Seg</w:t>
      </w:r>
    </w:p>
    <w:p w14:paraId="20495DDD" w14:textId="77777777" w:rsidR="00350C51" w:rsidRPr="0063119B" w:rsidRDefault="00350C51" w:rsidP="00350C51">
      <w:pPr>
        <w:suppressAutoHyphens/>
        <w:ind w:right="14"/>
        <w:rPr>
          <w:noProof/>
          <w:szCs w:val="22"/>
        </w:rPr>
      </w:pPr>
      <w:r w:rsidRPr="0063119B">
        <w:rPr>
          <w:noProof/>
          <w:szCs w:val="22"/>
        </w:rPr>
        <w:t>Ter</w:t>
      </w:r>
    </w:p>
    <w:p w14:paraId="39A2A0AE" w14:textId="77777777" w:rsidR="00350C51" w:rsidRPr="0063119B" w:rsidRDefault="00350C51" w:rsidP="00350C51">
      <w:pPr>
        <w:suppressAutoHyphens/>
        <w:ind w:right="14"/>
        <w:rPr>
          <w:noProof/>
          <w:szCs w:val="22"/>
        </w:rPr>
      </w:pPr>
      <w:r w:rsidRPr="0063119B">
        <w:rPr>
          <w:noProof/>
          <w:szCs w:val="22"/>
        </w:rPr>
        <w:t>Qua</w:t>
      </w:r>
    </w:p>
    <w:p w14:paraId="2EFB124C" w14:textId="77777777" w:rsidR="00350C51" w:rsidRPr="0063119B" w:rsidRDefault="00350C51" w:rsidP="00350C51">
      <w:pPr>
        <w:suppressAutoHyphens/>
        <w:ind w:right="14"/>
        <w:rPr>
          <w:noProof/>
          <w:szCs w:val="22"/>
        </w:rPr>
      </w:pPr>
      <w:r w:rsidRPr="0063119B">
        <w:rPr>
          <w:noProof/>
          <w:szCs w:val="22"/>
        </w:rPr>
        <w:t>Qui</w:t>
      </w:r>
    </w:p>
    <w:p w14:paraId="70F9B457" w14:textId="77777777" w:rsidR="00350C51" w:rsidRPr="0063119B" w:rsidRDefault="00350C51" w:rsidP="00350C51">
      <w:pPr>
        <w:suppressAutoHyphens/>
        <w:ind w:right="14"/>
        <w:rPr>
          <w:noProof/>
          <w:szCs w:val="22"/>
        </w:rPr>
      </w:pPr>
      <w:r w:rsidRPr="0063119B">
        <w:rPr>
          <w:noProof/>
          <w:szCs w:val="22"/>
        </w:rPr>
        <w:t>Sex</w:t>
      </w:r>
    </w:p>
    <w:p w14:paraId="3688596E" w14:textId="77777777" w:rsidR="00350C51" w:rsidRPr="0063119B" w:rsidRDefault="00350C51" w:rsidP="00350C51">
      <w:pPr>
        <w:suppressAutoHyphens/>
        <w:ind w:right="14"/>
        <w:rPr>
          <w:noProof/>
          <w:szCs w:val="22"/>
        </w:rPr>
      </w:pPr>
      <w:r w:rsidRPr="0063119B">
        <w:rPr>
          <w:noProof/>
          <w:szCs w:val="22"/>
        </w:rPr>
        <w:t>Sab</w:t>
      </w:r>
    </w:p>
    <w:p w14:paraId="27DB9320" w14:textId="77777777" w:rsidR="00350C51" w:rsidRPr="0063119B" w:rsidRDefault="00350C51" w:rsidP="00350C51">
      <w:pPr>
        <w:suppressAutoHyphens/>
        <w:ind w:right="14"/>
        <w:rPr>
          <w:noProof/>
          <w:szCs w:val="22"/>
        </w:rPr>
      </w:pPr>
      <w:r w:rsidRPr="0063119B">
        <w:rPr>
          <w:noProof/>
          <w:szCs w:val="22"/>
        </w:rPr>
        <w:t>Dom</w:t>
      </w:r>
    </w:p>
    <w:p w14:paraId="2DA7F503" w14:textId="77777777" w:rsidR="00350C51" w:rsidRPr="0063119B" w:rsidRDefault="00350C51" w:rsidP="00350C51">
      <w:pPr>
        <w:suppressAutoHyphens/>
        <w:ind w:right="14"/>
        <w:rPr>
          <w:noProof/>
          <w:szCs w:val="22"/>
        </w:rPr>
      </w:pPr>
    </w:p>
    <w:p w14:paraId="1F6F4B62" w14:textId="77777777" w:rsidR="00650E57" w:rsidRPr="0063119B" w:rsidRDefault="00892082" w:rsidP="00650E57">
      <w:pPr>
        <w:pBdr>
          <w:top w:val="single" w:sz="4" w:space="1" w:color="auto"/>
          <w:left w:val="single" w:sz="4" w:space="4" w:color="auto"/>
          <w:bottom w:val="single" w:sz="4" w:space="1" w:color="auto"/>
          <w:right w:val="single" w:sz="4" w:space="4" w:color="auto"/>
        </w:pBdr>
        <w:shd w:val="clear" w:color="auto" w:fill="FFFFFF"/>
        <w:suppressAutoHyphens/>
        <w:ind w:right="14"/>
        <w:rPr>
          <w:b/>
          <w:caps/>
          <w:noProof/>
          <w:szCs w:val="22"/>
        </w:rPr>
      </w:pPr>
      <w:r w:rsidRPr="0063119B">
        <w:rPr>
          <w:noProof/>
          <w:szCs w:val="22"/>
        </w:rPr>
        <w:br w:type="page"/>
      </w:r>
      <w:r w:rsidR="00650E57" w:rsidRPr="0063119B">
        <w:rPr>
          <w:b/>
          <w:noProof/>
          <w:szCs w:val="22"/>
        </w:rPr>
        <w:lastRenderedPageBreak/>
        <w:t xml:space="preserve">INDICAÇÕES A INCLUIR </w:t>
      </w:r>
      <w:r w:rsidR="00650E57" w:rsidRPr="0063119B">
        <w:rPr>
          <w:b/>
          <w:caps/>
          <w:noProof/>
          <w:szCs w:val="22"/>
        </w:rPr>
        <w:t>no acondicionamento secundário</w:t>
      </w:r>
      <w:r w:rsidR="005F00EC" w:rsidRPr="0063119B">
        <w:rPr>
          <w:b/>
          <w:caps/>
          <w:noProof/>
          <w:szCs w:val="22"/>
        </w:rPr>
        <w:t xml:space="preserve"> e no Acondicionamento primário</w:t>
      </w:r>
    </w:p>
    <w:p w14:paraId="0BABB989" w14:textId="77777777" w:rsidR="00650E57" w:rsidRPr="0063119B" w:rsidRDefault="00650E57" w:rsidP="00650E57">
      <w:pPr>
        <w:pBdr>
          <w:top w:val="single" w:sz="4" w:space="1" w:color="auto"/>
          <w:left w:val="single" w:sz="4" w:space="4" w:color="auto"/>
          <w:bottom w:val="single" w:sz="4" w:space="1" w:color="auto"/>
          <w:right w:val="single" w:sz="4" w:space="4" w:color="auto"/>
        </w:pBdr>
        <w:shd w:val="clear" w:color="auto" w:fill="FFFFFF"/>
        <w:suppressAutoHyphens/>
        <w:ind w:right="14"/>
        <w:rPr>
          <w:b/>
          <w:caps/>
          <w:noProof/>
          <w:szCs w:val="22"/>
        </w:rPr>
      </w:pPr>
    </w:p>
    <w:p w14:paraId="55F96275" w14:textId="77777777" w:rsidR="00650E57" w:rsidRPr="0063119B" w:rsidRDefault="00650E57" w:rsidP="00650E57">
      <w:pPr>
        <w:pBdr>
          <w:top w:val="single" w:sz="4" w:space="1" w:color="auto"/>
          <w:left w:val="single" w:sz="4" w:space="4" w:color="auto"/>
          <w:bottom w:val="single" w:sz="4" w:space="1" w:color="auto"/>
          <w:right w:val="single" w:sz="4" w:space="4" w:color="auto"/>
        </w:pBdr>
        <w:shd w:val="clear" w:color="auto" w:fill="FFFFFF"/>
        <w:suppressAutoHyphens/>
        <w:ind w:right="14"/>
        <w:rPr>
          <w:b/>
          <w:noProof/>
          <w:szCs w:val="22"/>
        </w:rPr>
      </w:pPr>
      <w:r w:rsidRPr="0063119B">
        <w:rPr>
          <w:b/>
          <w:noProof/>
          <w:szCs w:val="22"/>
        </w:rPr>
        <w:t>EMBALAGEM EXTERIOR E RÓTULO PARA FRASCO DE PEAD PARA 2,5</w:t>
      </w:r>
      <w:r w:rsidR="001356C1" w:rsidRPr="0063119B">
        <w:rPr>
          <w:b/>
          <w:noProof/>
          <w:szCs w:val="22"/>
        </w:rPr>
        <w:t> </w:t>
      </w:r>
      <w:r w:rsidRPr="0063119B">
        <w:rPr>
          <w:b/>
          <w:noProof/>
          <w:szCs w:val="22"/>
        </w:rPr>
        <w:t>MG</w:t>
      </w:r>
    </w:p>
    <w:p w14:paraId="5B430A5A" w14:textId="77777777" w:rsidR="00650E57" w:rsidRPr="0063119B" w:rsidRDefault="00650E57" w:rsidP="00650E57">
      <w:pPr>
        <w:suppressAutoHyphens/>
        <w:ind w:right="14"/>
        <w:rPr>
          <w:noProof/>
          <w:szCs w:val="22"/>
        </w:rPr>
      </w:pPr>
    </w:p>
    <w:p w14:paraId="35F11575" w14:textId="77777777" w:rsidR="00650E57" w:rsidRPr="0063119B" w:rsidRDefault="00650E57" w:rsidP="00650E57">
      <w:pPr>
        <w:suppressAutoHyphens/>
        <w:ind w:right="14"/>
        <w:rPr>
          <w:noProof/>
          <w:szCs w:val="22"/>
        </w:rPr>
      </w:pPr>
    </w:p>
    <w:p w14:paraId="7CD0FF85" w14:textId="77777777" w:rsidR="00650E57" w:rsidRPr="0063119B" w:rsidRDefault="00650E57" w:rsidP="00650E5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78E77F3C" w14:textId="77777777" w:rsidR="00650E57" w:rsidRPr="0063119B" w:rsidRDefault="00650E57" w:rsidP="00650E57">
      <w:pPr>
        <w:suppressAutoHyphens/>
        <w:ind w:right="14"/>
        <w:rPr>
          <w:noProof/>
          <w:szCs w:val="22"/>
        </w:rPr>
      </w:pPr>
    </w:p>
    <w:p w14:paraId="64090C9E" w14:textId="77777777" w:rsidR="00650E57" w:rsidRPr="001B6FEC" w:rsidRDefault="00607DE4" w:rsidP="00650E57">
      <w:pPr>
        <w:suppressAutoHyphens/>
        <w:ind w:right="14"/>
        <w:rPr>
          <w:noProof/>
          <w:szCs w:val="22"/>
        </w:rPr>
      </w:pPr>
      <w:r w:rsidRPr="001B6FEC">
        <w:rPr>
          <w:noProof/>
          <w:szCs w:val="22"/>
        </w:rPr>
        <w:t>Rivaroxabano</w:t>
      </w:r>
      <w:r w:rsidR="001F7D02" w:rsidRPr="001B6FEC">
        <w:rPr>
          <w:noProof/>
          <w:szCs w:val="22"/>
        </w:rPr>
        <w:t xml:space="preserve"> Accord</w:t>
      </w:r>
      <w:r w:rsidR="00650E57" w:rsidRPr="001B6FEC">
        <w:rPr>
          <w:noProof/>
          <w:szCs w:val="22"/>
        </w:rPr>
        <w:t xml:space="preserve"> 2,5</w:t>
      </w:r>
      <w:r w:rsidR="001356C1" w:rsidRPr="001B6FEC">
        <w:rPr>
          <w:noProof/>
          <w:szCs w:val="22"/>
        </w:rPr>
        <w:t> </w:t>
      </w:r>
      <w:r w:rsidR="00650E57" w:rsidRPr="001B6FEC">
        <w:rPr>
          <w:noProof/>
          <w:szCs w:val="22"/>
        </w:rPr>
        <w:t>mg comprimidos revestidos por película</w:t>
      </w:r>
    </w:p>
    <w:p w14:paraId="4A35F1EC" w14:textId="77777777" w:rsidR="00650E57" w:rsidRPr="0063119B" w:rsidRDefault="00650E57" w:rsidP="00650E57">
      <w:pPr>
        <w:suppressAutoHyphens/>
        <w:ind w:right="14"/>
        <w:rPr>
          <w:noProof/>
          <w:szCs w:val="22"/>
        </w:rPr>
      </w:pPr>
      <w:r w:rsidRPr="0063119B">
        <w:rPr>
          <w:noProof/>
          <w:szCs w:val="22"/>
        </w:rPr>
        <w:t>rivaroxabano</w:t>
      </w:r>
    </w:p>
    <w:p w14:paraId="128ED37D" w14:textId="77777777" w:rsidR="00650E57" w:rsidRPr="0063119B" w:rsidRDefault="00650E57" w:rsidP="00650E57">
      <w:pPr>
        <w:suppressAutoHyphens/>
        <w:ind w:right="14"/>
        <w:rPr>
          <w:noProof/>
          <w:szCs w:val="22"/>
        </w:rPr>
      </w:pPr>
    </w:p>
    <w:p w14:paraId="0C541358" w14:textId="77777777" w:rsidR="00650E57" w:rsidRPr="0063119B" w:rsidRDefault="00650E57" w:rsidP="00650E57">
      <w:pPr>
        <w:suppressAutoHyphens/>
        <w:ind w:right="14"/>
        <w:rPr>
          <w:noProof/>
          <w:szCs w:val="22"/>
        </w:rPr>
      </w:pPr>
    </w:p>
    <w:p w14:paraId="1076BB89" w14:textId="77777777" w:rsidR="00650E57" w:rsidRPr="0063119B" w:rsidRDefault="00650E57" w:rsidP="00650E57">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2.</w:t>
      </w:r>
      <w:r w:rsidRPr="0063119B">
        <w:rPr>
          <w:b/>
          <w:noProof/>
          <w:szCs w:val="22"/>
        </w:rPr>
        <w:tab/>
        <w:t>DESCRIÇÃO DA(S) SUBSTÂNCIA(S) ATIVA(S)</w:t>
      </w:r>
    </w:p>
    <w:p w14:paraId="360542D3" w14:textId="77777777" w:rsidR="00650E57" w:rsidRPr="0063119B" w:rsidRDefault="00650E57" w:rsidP="00650E57">
      <w:pPr>
        <w:suppressAutoHyphens/>
        <w:ind w:right="14"/>
        <w:rPr>
          <w:noProof/>
          <w:szCs w:val="22"/>
        </w:rPr>
      </w:pPr>
    </w:p>
    <w:p w14:paraId="02E15A25" w14:textId="77777777" w:rsidR="00650E57" w:rsidRPr="0063119B" w:rsidRDefault="00650E57" w:rsidP="00650E57">
      <w:pPr>
        <w:suppressAutoHyphens/>
        <w:ind w:right="14"/>
        <w:rPr>
          <w:noProof/>
          <w:szCs w:val="22"/>
        </w:rPr>
      </w:pPr>
      <w:r w:rsidRPr="0063119B">
        <w:rPr>
          <w:noProof/>
          <w:szCs w:val="22"/>
        </w:rPr>
        <w:t>Cada comprimido revestido por película contém 2,5</w:t>
      </w:r>
      <w:r w:rsidR="001356C1" w:rsidRPr="0063119B">
        <w:rPr>
          <w:noProof/>
          <w:szCs w:val="22"/>
        </w:rPr>
        <w:t> </w:t>
      </w:r>
      <w:r w:rsidRPr="0063119B">
        <w:rPr>
          <w:noProof/>
          <w:szCs w:val="22"/>
        </w:rPr>
        <w:t xml:space="preserve">mg </w:t>
      </w:r>
      <w:r w:rsidR="001356C1" w:rsidRPr="0063119B">
        <w:rPr>
          <w:noProof/>
          <w:szCs w:val="22"/>
        </w:rPr>
        <w:t xml:space="preserve">de </w:t>
      </w:r>
      <w:r w:rsidRPr="0063119B">
        <w:rPr>
          <w:noProof/>
          <w:szCs w:val="22"/>
        </w:rPr>
        <w:t>rivaroxabano.</w:t>
      </w:r>
    </w:p>
    <w:p w14:paraId="1A4BE77B" w14:textId="77777777" w:rsidR="00650E57" w:rsidRPr="0063119B" w:rsidRDefault="00650E57" w:rsidP="00650E57">
      <w:pPr>
        <w:suppressAutoHyphens/>
        <w:ind w:right="14"/>
        <w:rPr>
          <w:noProof/>
          <w:szCs w:val="22"/>
        </w:rPr>
      </w:pPr>
    </w:p>
    <w:p w14:paraId="6CFC0957" w14:textId="77777777" w:rsidR="00650E57" w:rsidRPr="0063119B" w:rsidRDefault="00650E57" w:rsidP="00650E57">
      <w:pPr>
        <w:suppressAutoHyphens/>
        <w:ind w:right="14"/>
        <w:rPr>
          <w:noProof/>
          <w:szCs w:val="22"/>
        </w:rPr>
      </w:pPr>
    </w:p>
    <w:p w14:paraId="1BFF2D2B" w14:textId="77777777" w:rsidR="00650E57" w:rsidRPr="0063119B" w:rsidRDefault="00650E57" w:rsidP="00650E5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LISTA DOS EXCIPIENTES</w:t>
      </w:r>
    </w:p>
    <w:p w14:paraId="27748717" w14:textId="77777777" w:rsidR="00650E57" w:rsidRPr="0063119B" w:rsidRDefault="00650E57" w:rsidP="00650E57">
      <w:pPr>
        <w:suppressAutoHyphens/>
        <w:ind w:right="14"/>
        <w:rPr>
          <w:noProof/>
          <w:szCs w:val="22"/>
        </w:rPr>
      </w:pPr>
    </w:p>
    <w:p w14:paraId="3C6F473C" w14:textId="77777777" w:rsidR="00650E57" w:rsidRPr="0063119B" w:rsidRDefault="00650E57" w:rsidP="00650E57">
      <w:pPr>
        <w:suppressAutoHyphens/>
        <w:ind w:right="14"/>
        <w:rPr>
          <w:noProof/>
          <w:szCs w:val="22"/>
        </w:rPr>
      </w:pPr>
      <w:r w:rsidRPr="0063119B">
        <w:rPr>
          <w:noProof/>
          <w:szCs w:val="22"/>
        </w:rPr>
        <w:t>Contém lactose</w:t>
      </w:r>
      <w:r w:rsidR="001356C1" w:rsidRPr="0063119B">
        <w:rPr>
          <w:noProof/>
          <w:szCs w:val="22"/>
        </w:rPr>
        <w:t xml:space="preserve"> mono-hidratada</w:t>
      </w:r>
      <w:r w:rsidRPr="0063119B">
        <w:rPr>
          <w:noProof/>
          <w:szCs w:val="22"/>
        </w:rPr>
        <w:t>.</w:t>
      </w:r>
    </w:p>
    <w:p w14:paraId="140CA663" w14:textId="77777777" w:rsidR="00650E57" w:rsidRPr="0063119B" w:rsidRDefault="00650E57" w:rsidP="00650E57">
      <w:pPr>
        <w:suppressAutoHyphens/>
        <w:ind w:right="14"/>
        <w:rPr>
          <w:noProof/>
          <w:szCs w:val="22"/>
        </w:rPr>
      </w:pPr>
    </w:p>
    <w:p w14:paraId="4457D26C" w14:textId="77777777" w:rsidR="00650E57" w:rsidRPr="0063119B" w:rsidRDefault="00650E57" w:rsidP="00650E57">
      <w:pPr>
        <w:suppressAutoHyphens/>
        <w:ind w:right="14"/>
        <w:rPr>
          <w:noProof/>
          <w:szCs w:val="22"/>
        </w:rPr>
      </w:pPr>
    </w:p>
    <w:p w14:paraId="78304462" w14:textId="77777777" w:rsidR="00650E57" w:rsidRPr="0063119B" w:rsidRDefault="00650E57" w:rsidP="00650E5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FORMA FARMACÊUTICA E CONTEÚDO</w:t>
      </w:r>
    </w:p>
    <w:p w14:paraId="6EBC6AEB" w14:textId="77777777" w:rsidR="00650E57" w:rsidRPr="0063119B" w:rsidRDefault="00650E57" w:rsidP="00650E57">
      <w:pPr>
        <w:suppressAutoHyphens/>
        <w:ind w:right="14"/>
        <w:rPr>
          <w:noProof/>
          <w:szCs w:val="22"/>
        </w:rPr>
      </w:pPr>
    </w:p>
    <w:p w14:paraId="4D5EBB5F" w14:textId="77777777" w:rsidR="00650E57" w:rsidRPr="0063119B" w:rsidRDefault="001356C1" w:rsidP="00650E57">
      <w:pPr>
        <w:rPr>
          <w:noProof/>
          <w:szCs w:val="22"/>
        </w:rPr>
      </w:pPr>
      <w:r w:rsidRPr="0063119B">
        <w:rPr>
          <w:noProof/>
          <w:szCs w:val="22"/>
        </w:rPr>
        <w:t>3</w:t>
      </w:r>
      <w:r w:rsidR="00650E57" w:rsidRPr="0063119B">
        <w:rPr>
          <w:noProof/>
          <w:szCs w:val="22"/>
        </w:rPr>
        <w:t>0</w:t>
      </w:r>
      <w:r w:rsidRPr="0063119B">
        <w:rPr>
          <w:noProof/>
          <w:szCs w:val="22"/>
        </w:rPr>
        <w:t> </w:t>
      </w:r>
      <w:r w:rsidR="00650E57" w:rsidRPr="0063119B">
        <w:rPr>
          <w:noProof/>
          <w:szCs w:val="22"/>
        </w:rPr>
        <w:t>comprimidos revestidos por película.</w:t>
      </w:r>
    </w:p>
    <w:p w14:paraId="46470B0C" w14:textId="77777777" w:rsidR="001356C1" w:rsidRPr="0063119B" w:rsidRDefault="001356C1" w:rsidP="00650E57">
      <w:pPr>
        <w:rPr>
          <w:noProof/>
          <w:szCs w:val="22"/>
        </w:rPr>
      </w:pPr>
      <w:r w:rsidRPr="0063119B">
        <w:rPr>
          <w:noProof/>
          <w:szCs w:val="22"/>
          <w:highlight w:val="lightGray"/>
        </w:rPr>
        <w:t>90 comprimidos revestidos por película</w:t>
      </w:r>
    </w:p>
    <w:p w14:paraId="2E7F958A" w14:textId="77777777" w:rsidR="00650E57" w:rsidRPr="0063119B" w:rsidRDefault="001356C1" w:rsidP="00650E57">
      <w:pPr>
        <w:suppressAutoHyphens/>
        <w:ind w:right="14"/>
        <w:rPr>
          <w:noProof/>
          <w:szCs w:val="22"/>
        </w:rPr>
      </w:pPr>
      <w:r w:rsidRPr="0063119B">
        <w:rPr>
          <w:noProof/>
          <w:szCs w:val="22"/>
          <w:highlight w:val="lightGray"/>
        </w:rPr>
        <w:t>500 comprimidos revestidos por película</w:t>
      </w:r>
    </w:p>
    <w:p w14:paraId="6F98A23A" w14:textId="77777777" w:rsidR="001356C1" w:rsidRPr="0063119B" w:rsidRDefault="001356C1" w:rsidP="00650E57">
      <w:pPr>
        <w:suppressAutoHyphens/>
        <w:ind w:right="14"/>
        <w:rPr>
          <w:noProof/>
          <w:szCs w:val="22"/>
        </w:rPr>
      </w:pPr>
    </w:p>
    <w:p w14:paraId="4D9475C5" w14:textId="77777777" w:rsidR="00650E57" w:rsidRPr="0063119B" w:rsidRDefault="00650E57" w:rsidP="00650E57">
      <w:pPr>
        <w:suppressAutoHyphens/>
        <w:ind w:right="14"/>
        <w:rPr>
          <w:noProof/>
          <w:szCs w:val="22"/>
        </w:rPr>
      </w:pPr>
    </w:p>
    <w:p w14:paraId="5376D338" w14:textId="77777777" w:rsidR="00650E57" w:rsidRPr="0063119B" w:rsidRDefault="00650E57" w:rsidP="00650E5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t>MODO E VIA(S) DE ADMINISTRAÇÃO</w:t>
      </w:r>
    </w:p>
    <w:p w14:paraId="1091DE38" w14:textId="77777777" w:rsidR="00650E57" w:rsidRPr="0063119B" w:rsidRDefault="00650E57" w:rsidP="00650E57">
      <w:pPr>
        <w:suppressAutoHyphens/>
        <w:ind w:right="14"/>
        <w:rPr>
          <w:noProof/>
          <w:szCs w:val="22"/>
        </w:rPr>
      </w:pPr>
    </w:p>
    <w:p w14:paraId="4706B9C6" w14:textId="77777777" w:rsidR="00650E57" w:rsidRPr="0063119B" w:rsidRDefault="00650E57" w:rsidP="00650E57">
      <w:pPr>
        <w:suppressAutoHyphens/>
        <w:ind w:right="14"/>
        <w:rPr>
          <w:noProof/>
          <w:szCs w:val="22"/>
        </w:rPr>
      </w:pPr>
      <w:r w:rsidRPr="0063119B">
        <w:rPr>
          <w:noProof/>
          <w:szCs w:val="22"/>
        </w:rPr>
        <w:t>Consultar o folheto informativo antes de utilizar.</w:t>
      </w:r>
    </w:p>
    <w:p w14:paraId="6811B9F1" w14:textId="77777777" w:rsidR="00E95B32" w:rsidRPr="0063119B" w:rsidRDefault="00E95B32" w:rsidP="00E95B32">
      <w:pPr>
        <w:suppressAutoHyphens/>
        <w:ind w:right="14"/>
        <w:rPr>
          <w:noProof/>
          <w:szCs w:val="22"/>
        </w:rPr>
      </w:pPr>
      <w:r w:rsidRPr="0063119B">
        <w:rPr>
          <w:noProof/>
          <w:szCs w:val="22"/>
        </w:rPr>
        <w:t>Via oral.</w:t>
      </w:r>
    </w:p>
    <w:p w14:paraId="0B174AAA" w14:textId="77777777" w:rsidR="00650E57" w:rsidRPr="0063119B" w:rsidRDefault="00650E57" w:rsidP="00650E57">
      <w:pPr>
        <w:suppressAutoHyphens/>
        <w:ind w:right="14"/>
        <w:rPr>
          <w:noProof/>
          <w:szCs w:val="22"/>
        </w:rPr>
      </w:pPr>
    </w:p>
    <w:p w14:paraId="179815C1" w14:textId="77777777" w:rsidR="00650E57" w:rsidRPr="0063119B" w:rsidRDefault="00650E57" w:rsidP="00650E57">
      <w:pPr>
        <w:suppressAutoHyphens/>
        <w:ind w:right="14"/>
        <w:rPr>
          <w:noProof/>
          <w:szCs w:val="22"/>
        </w:rPr>
      </w:pPr>
    </w:p>
    <w:p w14:paraId="40875738" w14:textId="77777777" w:rsidR="00650E57" w:rsidRPr="0063119B" w:rsidRDefault="00650E57" w:rsidP="00650E57">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6.</w:t>
      </w:r>
      <w:r w:rsidRPr="0063119B">
        <w:rPr>
          <w:b/>
          <w:noProof/>
          <w:szCs w:val="22"/>
        </w:rPr>
        <w:tab/>
        <w:t>ADVERTÊNCIA ESPECIAL DE QUE O MEDICAMENTO DEVE SER MANTIDO FORA DA VISTA E DO ALCANCE DAS CRIANÇAS</w:t>
      </w:r>
    </w:p>
    <w:p w14:paraId="2329CB79" w14:textId="77777777" w:rsidR="00650E57" w:rsidRPr="0063119B" w:rsidRDefault="00650E57" w:rsidP="00650E57">
      <w:pPr>
        <w:suppressAutoHyphens/>
        <w:ind w:right="14"/>
        <w:rPr>
          <w:noProof/>
          <w:szCs w:val="22"/>
        </w:rPr>
      </w:pPr>
    </w:p>
    <w:p w14:paraId="156FA96A" w14:textId="77777777" w:rsidR="00650E57" w:rsidRPr="0063119B" w:rsidRDefault="00650E57" w:rsidP="00650E57">
      <w:pPr>
        <w:suppressAutoHyphens/>
        <w:ind w:right="14"/>
        <w:rPr>
          <w:noProof/>
          <w:szCs w:val="22"/>
        </w:rPr>
      </w:pPr>
      <w:r w:rsidRPr="0063119B">
        <w:rPr>
          <w:noProof/>
          <w:szCs w:val="22"/>
        </w:rPr>
        <w:t>Manter fora da vista e do alcance das crianças.</w:t>
      </w:r>
    </w:p>
    <w:p w14:paraId="77C313C8" w14:textId="77777777" w:rsidR="00650E57" w:rsidRPr="0063119B" w:rsidRDefault="00650E57" w:rsidP="00650E57">
      <w:pPr>
        <w:suppressAutoHyphens/>
        <w:ind w:right="14"/>
        <w:rPr>
          <w:noProof/>
          <w:szCs w:val="22"/>
        </w:rPr>
      </w:pPr>
    </w:p>
    <w:p w14:paraId="11DADC6A" w14:textId="77777777" w:rsidR="00650E57" w:rsidRPr="0063119B" w:rsidRDefault="00650E57" w:rsidP="00650E57">
      <w:pPr>
        <w:suppressAutoHyphens/>
        <w:ind w:right="14"/>
        <w:rPr>
          <w:noProof/>
          <w:szCs w:val="22"/>
        </w:rPr>
      </w:pPr>
    </w:p>
    <w:p w14:paraId="1446929F" w14:textId="77777777" w:rsidR="00650E57" w:rsidRPr="0063119B" w:rsidRDefault="00650E57" w:rsidP="00650E5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7.</w:t>
      </w:r>
      <w:r w:rsidRPr="0063119B">
        <w:rPr>
          <w:b/>
          <w:noProof/>
          <w:szCs w:val="22"/>
        </w:rPr>
        <w:tab/>
        <w:t>OUTRAS ADVERTÊNCIAS ESPECIAIS, SE NECESSÁRIO</w:t>
      </w:r>
    </w:p>
    <w:p w14:paraId="72739581" w14:textId="77777777" w:rsidR="00650E57" w:rsidRPr="0063119B" w:rsidRDefault="00650E57" w:rsidP="00650E57">
      <w:pPr>
        <w:suppressAutoHyphens/>
        <w:ind w:right="14"/>
        <w:rPr>
          <w:noProof/>
          <w:szCs w:val="22"/>
        </w:rPr>
      </w:pPr>
    </w:p>
    <w:p w14:paraId="573B7B76" w14:textId="77777777" w:rsidR="00650E57" w:rsidRPr="0063119B" w:rsidRDefault="00650E57" w:rsidP="00650E57">
      <w:pPr>
        <w:suppressAutoHyphens/>
        <w:ind w:right="14"/>
        <w:rPr>
          <w:noProof/>
          <w:szCs w:val="22"/>
        </w:rPr>
      </w:pPr>
    </w:p>
    <w:p w14:paraId="1FFC329D" w14:textId="77777777" w:rsidR="00650E57" w:rsidRPr="0063119B" w:rsidRDefault="00650E57" w:rsidP="00650E5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8.</w:t>
      </w:r>
      <w:r w:rsidRPr="0063119B">
        <w:rPr>
          <w:b/>
          <w:noProof/>
          <w:szCs w:val="22"/>
        </w:rPr>
        <w:tab/>
        <w:t>PRAZO DE VALIDADE</w:t>
      </w:r>
    </w:p>
    <w:p w14:paraId="292E7539" w14:textId="77777777" w:rsidR="00650E57" w:rsidRPr="0063119B" w:rsidRDefault="00650E57" w:rsidP="00650E57">
      <w:pPr>
        <w:suppressAutoHyphens/>
        <w:rPr>
          <w:noProof/>
          <w:szCs w:val="22"/>
        </w:rPr>
      </w:pPr>
    </w:p>
    <w:p w14:paraId="7653CA6B" w14:textId="77777777" w:rsidR="00650E57" w:rsidRPr="0063119B" w:rsidRDefault="00650E57" w:rsidP="00650E57">
      <w:pPr>
        <w:suppressAutoHyphens/>
        <w:rPr>
          <w:noProof/>
          <w:szCs w:val="22"/>
        </w:rPr>
      </w:pPr>
      <w:r w:rsidRPr="0063119B">
        <w:rPr>
          <w:noProof/>
          <w:szCs w:val="22"/>
        </w:rPr>
        <w:t>EXP</w:t>
      </w:r>
    </w:p>
    <w:p w14:paraId="07896C5A" w14:textId="77777777" w:rsidR="00650E57" w:rsidRPr="0063119B" w:rsidRDefault="00650E57" w:rsidP="00650E57">
      <w:pPr>
        <w:suppressAutoHyphens/>
        <w:ind w:right="14"/>
        <w:rPr>
          <w:noProof/>
          <w:szCs w:val="22"/>
        </w:rPr>
      </w:pPr>
    </w:p>
    <w:p w14:paraId="3E0E6760" w14:textId="77777777" w:rsidR="00650E57" w:rsidRPr="0063119B" w:rsidRDefault="00650E57" w:rsidP="00650E57">
      <w:pPr>
        <w:suppressAutoHyphens/>
        <w:ind w:right="14"/>
        <w:rPr>
          <w:noProof/>
          <w:szCs w:val="22"/>
        </w:rPr>
      </w:pPr>
    </w:p>
    <w:p w14:paraId="49A0ADEF" w14:textId="77777777" w:rsidR="00650E57" w:rsidRPr="0063119B" w:rsidRDefault="00650E57" w:rsidP="00650E5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9.</w:t>
      </w:r>
      <w:r w:rsidRPr="0063119B">
        <w:rPr>
          <w:b/>
          <w:noProof/>
          <w:szCs w:val="22"/>
        </w:rPr>
        <w:tab/>
        <w:t>CONDIÇÕES ESPECIAIS DE CONSERVAÇÃO</w:t>
      </w:r>
    </w:p>
    <w:p w14:paraId="343D7E6B" w14:textId="77777777" w:rsidR="00650E57" w:rsidRPr="0063119B" w:rsidRDefault="00650E57" w:rsidP="00650E57">
      <w:pPr>
        <w:suppressAutoHyphens/>
        <w:rPr>
          <w:noProof/>
          <w:szCs w:val="22"/>
        </w:rPr>
      </w:pPr>
    </w:p>
    <w:p w14:paraId="3627AB7C" w14:textId="77777777" w:rsidR="00650E57" w:rsidRPr="0063119B" w:rsidRDefault="00650E57" w:rsidP="00650E57">
      <w:pPr>
        <w:suppressAutoHyphens/>
        <w:ind w:right="14"/>
        <w:rPr>
          <w:b/>
          <w:noProof/>
          <w:szCs w:val="22"/>
        </w:rPr>
      </w:pPr>
    </w:p>
    <w:p w14:paraId="2AEA7B01" w14:textId="77777777" w:rsidR="00650E57" w:rsidRPr="0063119B" w:rsidRDefault="00650E57" w:rsidP="00650E57">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lastRenderedPageBreak/>
        <w:t>10.</w:t>
      </w:r>
      <w:r w:rsidRPr="0063119B">
        <w:rPr>
          <w:b/>
          <w:noProof/>
          <w:szCs w:val="22"/>
        </w:rPr>
        <w:tab/>
        <w:t>CUIDADOS ESPECIAIS QUANTO À ELIMINAÇÃO DO MEDICAMENTO NÃO UTILIZADO OU DOS RESÍDUOS PROVENIENTES DESSE MEDICAMENTO, SE APLICÁVEL</w:t>
      </w:r>
    </w:p>
    <w:p w14:paraId="007DAFBB" w14:textId="77777777" w:rsidR="00650E57" w:rsidRPr="0063119B" w:rsidRDefault="00650E57" w:rsidP="00650E57">
      <w:pPr>
        <w:suppressAutoHyphens/>
        <w:ind w:right="14"/>
        <w:rPr>
          <w:noProof/>
          <w:szCs w:val="22"/>
        </w:rPr>
      </w:pPr>
    </w:p>
    <w:p w14:paraId="70CB4EA8" w14:textId="77777777" w:rsidR="00650E57" w:rsidRPr="0063119B" w:rsidRDefault="00650E57" w:rsidP="00650E57">
      <w:pPr>
        <w:suppressAutoHyphens/>
        <w:ind w:right="14"/>
        <w:rPr>
          <w:bCs/>
          <w:noProof/>
          <w:szCs w:val="22"/>
        </w:rPr>
      </w:pPr>
    </w:p>
    <w:p w14:paraId="429565F0" w14:textId="77777777" w:rsidR="00650E57" w:rsidRPr="0063119B" w:rsidRDefault="00650E57" w:rsidP="00650E57">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11.</w:t>
      </w:r>
      <w:r w:rsidRPr="0063119B">
        <w:rPr>
          <w:b/>
          <w:noProof/>
          <w:szCs w:val="22"/>
        </w:rPr>
        <w:tab/>
        <w:t>NOME E ENDEREÇO DO TITULAR DA AUTORIZAÇÃO DE INTRODUÇÃO NO MERCADO</w:t>
      </w:r>
    </w:p>
    <w:p w14:paraId="78748492" w14:textId="77777777" w:rsidR="00650E57" w:rsidRPr="0063119B" w:rsidRDefault="00650E57" w:rsidP="00650E57">
      <w:pPr>
        <w:suppressAutoHyphens/>
        <w:ind w:right="14"/>
        <w:rPr>
          <w:noProof/>
          <w:szCs w:val="22"/>
        </w:rPr>
      </w:pPr>
    </w:p>
    <w:p w14:paraId="290ED3D2" w14:textId="77777777" w:rsidR="006A48B7" w:rsidRPr="0063119B" w:rsidRDefault="006A48B7" w:rsidP="006A48B7">
      <w:pPr>
        <w:keepNext/>
        <w:rPr>
          <w:szCs w:val="22"/>
          <w:lang w:val="en-GB"/>
        </w:rPr>
      </w:pPr>
      <w:r w:rsidRPr="0063119B">
        <w:rPr>
          <w:szCs w:val="22"/>
          <w:lang w:val="en-GB"/>
        </w:rPr>
        <w:t>Accord Healthcare S.L.U.</w:t>
      </w:r>
    </w:p>
    <w:p w14:paraId="38E0DFA7" w14:textId="77777777" w:rsidR="006A48B7" w:rsidRPr="0063119B" w:rsidRDefault="006A48B7" w:rsidP="000B293C">
      <w:pPr>
        <w:suppressAutoHyphens/>
        <w:ind w:right="14"/>
        <w:rPr>
          <w:noProof/>
          <w:szCs w:val="22"/>
          <w:highlight w:val="lightGray"/>
        </w:rPr>
      </w:pPr>
      <w:r w:rsidRPr="0063119B">
        <w:rPr>
          <w:noProof/>
          <w:szCs w:val="22"/>
          <w:highlight w:val="lightGray"/>
        </w:rPr>
        <w:t xml:space="preserve">World Trade Center, Moll de Barcelona s/n, Edifici Est, 6a Planta, </w:t>
      </w:r>
    </w:p>
    <w:p w14:paraId="25F0E4A2" w14:textId="77777777" w:rsidR="006A48B7" w:rsidRPr="0063119B" w:rsidRDefault="006A48B7" w:rsidP="000B293C">
      <w:pPr>
        <w:suppressAutoHyphens/>
        <w:ind w:right="14"/>
        <w:rPr>
          <w:noProof/>
          <w:szCs w:val="22"/>
          <w:highlight w:val="lightGray"/>
        </w:rPr>
      </w:pPr>
      <w:r w:rsidRPr="0063119B">
        <w:rPr>
          <w:noProof/>
          <w:szCs w:val="22"/>
          <w:highlight w:val="lightGray"/>
        </w:rPr>
        <w:t>Barcelona, 08039</w:t>
      </w:r>
    </w:p>
    <w:p w14:paraId="257FE1F6" w14:textId="77777777" w:rsidR="00650E57" w:rsidRPr="0063119B" w:rsidRDefault="006A48B7" w:rsidP="00650E57">
      <w:pPr>
        <w:suppressAutoHyphens/>
        <w:ind w:right="14"/>
        <w:rPr>
          <w:noProof/>
          <w:szCs w:val="22"/>
        </w:rPr>
      </w:pPr>
      <w:r w:rsidRPr="0063119B">
        <w:rPr>
          <w:noProof/>
          <w:szCs w:val="22"/>
          <w:highlight w:val="lightGray"/>
        </w:rPr>
        <w:t>Espanha</w:t>
      </w:r>
      <w:r w:rsidR="002D3104" w:rsidRPr="0063119B">
        <w:rPr>
          <w:noProof/>
          <w:szCs w:val="22"/>
          <w:highlight w:val="lightGray"/>
        </w:rPr>
        <w:t xml:space="preserve"> (apenas aplicável para a embalagem exterior, não aplicável para o rótulo do frasco)</w:t>
      </w:r>
    </w:p>
    <w:p w14:paraId="360C5C4E" w14:textId="77777777" w:rsidR="00650E57" w:rsidRPr="0063119B" w:rsidRDefault="00650E57" w:rsidP="00650E57">
      <w:pPr>
        <w:suppressAutoHyphens/>
        <w:ind w:right="14"/>
        <w:rPr>
          <w:noProof/>
          <w:szCs w:val="22"/>
        </w:rPr>
      </w:pPr>
    </w:p>
    <w:p w14:paraId="133DF02F" w14:textId="77777777" w:rsidR="00650E57" w:rsidRPr="0063119B" w:rsidRDefault="00650E57" w:rsidP="00650E57">
      <w:pPr>
        <w:suppressAutoHyphens/>
        <w:ind w:right="14"/>
        <w:rPr>
          <w:noProof/>
          <w:szCs w:val="22"/>
        </w:rPr>
      </w:pPr>
    </w:p>
    <w:p w14:paraId="4A33F85E" w14:textId="77777777" w:rsidR="00650E57" w:rsidRPr="0063119B" w:rsidRDefault="00650E57" w:rsidP="00650E57">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12.</w:t>
      </w:r>
      <w:r w:rsidRPr="0063119B">
        <w:rPr>
          <w:b/>
          <w:noProof/>
          <w:szCs w:val="22"/>
        </w:rPr>
        <w:tab/>
        <w:t>NÚMERO(S) DA AUTORIZAÇÃO DE INTRODUÇÃO NO MERCADO</w:t>
      </w:r>
    </w:p>
    <w:p w14:paraId="46CBF7F4" w14:textId="77777777" w:rsidR="00650E57" w:rsidRPr="0063119B" w:rsidRDefault="00650E57" w:rsidP="00650E57">
      <w:pPr>
        <w:suppressAutoHyphens/>
        <w:ind w:right="14"/>
        <w:rPr>
          <w:noProof/>
          <w:szCs w:val="22"/>
        </w:rPr>
      </w:pPr>
    </w:p>
    <w:p w14:paraId="19F42243" w14:textId="77777777" w:rsidR="00650E57" w:rsidRDefault="002D3104" w:rsidP="00951279">
      <w:pPr>
        <w:suppressAutoHyphens/>
        <w:ind w:right="14"/>
        <w:rPr>
          <w:szCs w:val="22"/>
        </w:rPr>
      </w:pPr>
      <w:r w:rsidRPr="0063119B">
        <w:rPr>
          <w:szCs w:val="22"/>
        </w:rPr>
        <w:t xml:space="preserve">EU/1/20/1488/009-011 </w:t>
      </w:r>
      <w:r w:rsidRPr="00394D5E">
        <w:rPr>
          <w:szCs w:val="22"/>
          <w:highlight w:val="lightGray"/>
        </w:rPr>
        <w:t>(apenas aplicável para a embalagem exterior, não aplicável para o rótulo do frasco)</w:t>
      </w:r>
    </w:p>
    <w:p w14:paraId="45D316EB" w14:textId="77777777" w:rsidR="00394D5E" w:rsidRPr="0063119B" w:rsidRDefault="00394D5E" w:rsidP="00951279">
      <w:pPr>
        <w:suppressAutoHyphens/>
        <w:ind w:right="14"/>
        <w:rPr>
          <w:noProof/>
          <w:szCs w:val="22"/>
        </w:rPr>
      </w:pPr>
    </w:p>
    <w:p w14:paraId="4E230026" w14:textId="77777777" w:rsidR="00650E57" w:rsidRPr="0063119B" w:rsidRDefault="00650E57" w:rsidP="00951279">
      <w:pPr>
        <w:suppressAutoHyphens/>
        <w:ind w:right="14"/>
        <w:rPr>
          <w:noProof/>
          <w:szCs w:val="22"/>
        </w:rPr>
      </w:pPr>
    </w:p>
    <w:p w14:paraId="2FC99649" w14:textId="77777777" w:rsidR="00650E57" w:rsidRPr="0063119B" w:rsidRDefault="00650E57"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13.</w:t>
      </w:r>
      <w:r w:rsidRPr="0063119B">
        <w:rPr>
          <w:b/>
          <w:noProof/>
          <w:szCs w:val="22"/>
        </w:rPr>
        <w:tab/>
        <w:t xml:space="preserve">NÚMERO DO LOTE </w:t>
      </w:r>
    </w:p>
    <w:p w14:paraId="6397383F" w14:textId="77777777" w:rsidR="00650E57" w:rsidRPr="0063119B" w:rsidRDefault="00650E57" w:rsidP="00951279">
      <w:pPr>
        <w:rPr>
          <w:noProof/>
          <w:szCs w:val="22"/>
        </w:rPr>
      </w:pPr>
    </w:p>
    <w:p w14:paraId="3B55BEE6" w14:textId="77777777" w:rsidR="00650E57" w:rsidRPr="0063119B" w:rsidRDefault="00394D5E" w:rsidP="00951279">
      <w:pPr>
        <w:rPr>
          <w:noProof/>
          <w:szCs w:val="22"/>
        </w:rPr>
      </w:pPr>
      <w:r>
        <w:rPr>
          <w:noProof/>
          <w:szCs w:val="22"/>
        </w:rPr>
        <w:t>Lot</w:t>
      </w:r>
    </w:p>
    <w:p w14:paraId="63895A9D" w14:textId="77777777" w:rsidR="00650E57" w:rsidRPr="0063119B" w:rsidRDefault="00650E57" w:rsidP="00951279">
      <w:pPr>
        <w:rPr>
          <w:noProof/>
          <w:szCs w:val="22"/>
        </w:rPr>
      </w:pPr>
    </w:p>
    <w:p w14:paraId="276629CE" w14:textId="77777777" w:rsidR="00650E57" w:rsidRPr="0063119B" w:rsidRDefault="00650E57" w:rsidP="00951279">
      <w:pPr>
        <w:suppressAutoHyphens/>
        <w:ind w:right="14"/>
        <w:rPr>
          <w:noProof/>
          <w:szCs w:val="22"/>
        </w:rPr>
      </w:pPr>
    </w:p>
    <w:p w14:paraId="155E857A" w14:textId="77777777" w:rsidR="00650E57" w:rsidRPr="0063119B" w:rsidRDefault="00650E57"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14.</w:t>
      </w:r>
      <w:r w:rsidRPr="0063119B">
        <w:rPr>
          <w:b/>
          <w:noProof/>
          <w:szCs w:val="22"/>
        </w:rPr>
        <w:tab/>
        <w:t xml:space="preserve">CLASSIFICAÇÃO QUANTO À DISPENSA </w:t>
      </w:r>
      <w:r w:rsidRPr="0063119B">
        <w:rPr>
          <w:b/>
          <w:caps/>
          <w:noProof/>
          <w:szCs w:val="22"/>
        </w:rPr>
        <w:t>ao Público</w:t>
      </w:r>
    </w:p>
    <w:p w14:paraId="6633514A" w14:textId="77777777" w:rsidR="00650E57" w:rsidRPr="0063119B" w:rsidRDefault="00650E57" w:rsidP="00951279">
      <w:pPr>
        <w:suppressAutoHyphens/>
        <w:ind w:right="14"/>
        <w:rPr>
          <w:noProof/>
          <w:szCs w:val="22"/>
        </w:rPr>
      </w:pPr>
    </w:p>
    <w:p w14:paraId="59C27805" w14:textId="77777777" w:rsidR="00650E57" w:rsidRPr="0063119B" w:rsidRDefault="00650E57" w:rsidP="00951279">
      <w:pPr>
        <w:suppressAutoHyphens/>
        <w:ind w:right="14"/>
        <w:rPr>
          <w:noProof/>
          <w:szCs w:val="22"/>
        </w:rPr>
      </w:pPr>
    </w:p>
    <w:p w14:paraId="1483467D" w14:textId="77777777" w:rsidR="00650E57" w:rsidRPr="0063119B" w:rsidRDefault="00650E57"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15.</w:t>
      </w:r>
      <w:r w:rsidRPr="0063119B">
        <w:rPr>
          <w:b/>
          <w:noProof/>
          <w:szCs w:val="22"/>
        </w:rPr>
        <w:tab/>
        <w:t>INSTRUÇÕES DE UTILIZAÇÃO</w:t>
      </w:r>
    </w:p>
    <w:p w14:paraId="0B33E7C1" w14:textId="77777777" w:rsidR="00650E57" w:rsidRPr="0063119B" w:rsidRDefault="00650E57" w:rsidP="00951279">
      <w:pPr>
        <w:suppressAutoHyphens/>
        <w:ind w:right="14"/>
        <w:rPr>
          <w:noProof/>
          <w:szCs w:val="22"/>
        </w:rPr>
      </w:pPr>
    </w:p>
    <w:p w14:paraId="614E8F62" w14:textId="77777777" w:rsidR="00650E57" w:rsidRPr="0063119B" w:rsidRDefault="00650E57" w:rsidP="00951279">
      <w:pPr>
        <w:suppressAutoHyphens/>
        <w:ind w:right="14"/>
        <w:rPr>
          <w:noProof/>
          <w:szCs w:val="22"/>
        </w:rPr>
      </w:pPr>
    </w:p>
    <w:p w14:paraId="1DDF8C41" w14:textId="77777777" w:rsidR="00650E57" w:rsidRPr="0063119B" w:rsidRDefault="00650E57"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16.</w:t>
      </w:r>
      <w:r w:rsidRPr="0063119B">
        <w:rPr>
          <w:b/>
          <w:noProof/>
          <w:szCs w:val="22"/>
        </w:rPr>
        <w:tab/>
      </w:r>
      <w:r w:rsidRPr="0063119B">
        <w:rPr>
          <w:b/>
          <w:caps/>
          <w:noProof/>
          <w:szCs w:val="22"/>
        </w:rPr>
        <w:t>Informação em Braille</w:t>
      </w:r>
    </w:p>
    <w:p w14:paraId="24145170" w14:textId="77777777" w:rsidR="00650E57" w:rsidRPr="0063119B" w:rsidRDefault="00650E57" w:rsidP="00951279">
      <w:pPr>
        <w:suppressAutoHyphens/>
        <w:ind w:right="14"/>
        <w:rPr>
          <w:noProof/>
          <w:szCs w:val="22"/>
        </w:rPr>
      </w:pPr>
    </w:p>
    <w:p w14:paraId="3A84F587" w14:textId="77777777" w:rsidR="00650E57" w:rsidRPr="0063119B" w:rsidRDefault="004B4602" w:rsidP="00951279">
      <w:pPr>
        <w:suppressAutoHyphens/>
        <w:ind w:right="14"/>
        <w:rPr>
          <w:noProof/>
          <w:szCs w:val="22"/>
        </w:rPr>
      </w:pPr>
      <w:r>
        <w:rPr>
          <w:noProof/>
          <w:szCs w:val="22"/>
        </w:rPr>
        <w:t>r</w:t>
      </w:r>
      <w:r w:rsidR="00607DE4">
        <w:rPr>
          <w:noProof/>
          <w:szCs w:val="22"/>
        </w:rPr>
        <w:t>ivaroxabano</w:t>
      </w:r>
      <w:r w:rsidR="001F7D02" w:rsidRPr="0063119B">
        <w:rPr>
          <w:noProof/>
          <w:szCs w:val="22"/>
        </w:rPr>
        <w:t xml:space="preserve"> </w:t>
      </w:r>
      <w:r>
        <w:rPr>
          <w:noProof/>
          <w:szCs w:val="22"/>
        </w:rPr>
        <w:t>a</w:t>
      </w:r>
      <w:r w:rsidRPr="0063119B">
        <w:rPr>
          <w:noProof/>
          <w:szCs w:val="22"/>
        </w:rPr>
        <w:t xml:space="preserve">ccord </w:t>
      </w:r>
      <w:r w:rsidR="00650E57" w:rsidRPr="0063119B">
        <w:rPr>
          <w:noProof/>
          <w:szCs w:val="22"/>
        </w:rPr>
        <w:t xml:space="preserve">2,5 mg </w:t>
      </w:r>
      <w:r w:rsidR="00650E57" w:rsidRPr="0063119B">
        <w:rPr>
          <w:noProof/>
          <w:szCs w:val="22"/>
          <w:highlight w:val="lightGray"/>
        </w:rPr>
        <w:t>(apenas aplicável para a embalagem exterior, não aplicável para o rótulo do frasco)</w:t>
      </w:r>
    </w:p>
    <w:p w14:paraId="19CC0C98" w14:textId="77777777" w:rsidR="00650E57" w:rsidRPr="0063119B" w:rsidRDefault="00650E57" w:rsidP="00951279">
      <w:pPr>
        <w:suppressAutoHyphens/>
        <w:ind w:right="14"/>
        <w:rPr>
          <w:noProof/>
          <w:szCs w:val="22"/>
        </w:rPr>
      </w:pPr>
    </w:p>
    <w:p w14:paraId="440BE0CF" w14:textId="77777777" w:rsidR="00650E57" w:rsidRPr="0063119B" w:rsidRDefault="00650E57" w:rsidP="00951279">
      <w:pPr>
        <w:suppressAutoHyphens/>
        <w:ind w:right="14"/>
        <w:rPr>
          <w:noProof/>
          <w:szCs w:val="22"/>
        </w:rPr>
      </w:pPr>
    </w:p>
    <w:p w14:paraId="16BC4AE1" w14:textId="77777777" w:rsidR="00650E57" w:rsidRPr="0063119B" w:rsidRDefault="00650E57" w:rsidP="00951279">
      <w:pPr>
        <w:suppressAutoHyphens/>
        <w:ind w:right="14"/>
        <w:rPr>
          <w:b/>
          <w:noProof/>
          <w:szCs w:val="22"/>
        </w:rPr>
      </w:pPr>
    </w:p>
    <w:p w14:paraId="50915FDF" w14:textId="77777777" w:rsidR="00650E57" w:rsidRPr="0063119B" w:rsidRDefault="00650E57" w:rsidP="00951279">
      <w:pPr>
        <w:keepNext/>
        <w:pBdr>
          <w:top w:val="single" w:sz="4" w:space="1" w:color="auto"/>
          <w:left w:val="single" w:sz="4" w:space="4" w:color="auto"/>
          <w:bottom w:val="single" w:sz="4" w:space="1" w:color="auto"/>
          <w:right w:val="single" w:sz="4" w:space="4" w:color="auto"/>
        </w:pBdr>
        <w:tabs>
          <w:tab w:val="left" w:pos="0"/>
        </w:tabs>
        <w:rPr>
          <w:i/>
          <w:noProof/>
          <w:szCs w:val="22"/>
        </w:rPr>
      </w:pPr>
      <w:r w:rsidRPr="0063119B">
        <w:rPr>
          <w:b/>
          <w:noProof/>
          <w:szCs w:val="22"/>
        </w:rPr>
        <w:t>17.</w:t>
      </w:r>
      <w:r w:rsidRPr="0063119B">
        <w:rPr>
          <w:b/>
          <w:noProof/>
          <w:szCs w:val="22"/>
        </w:rPr>
        <w:tab/>
        <w:t>IDENTIFICADOR ÚNICO – CÓDIGO DE BARRAS 2D</w:t>
      </w:r>
    </w:p>
    <w:p w14:paraId="7417C873" w14:textId="77777777" w:rsidR="00650E57" w:rsidRPr="0063119B" w:rsidRDefault="00650E57" w:rsidP="00951279">
      <w:pPr>
        <w:rPr>
          <w:noProof/>
          <w:szCs w:val="22"/>
        </w:rPr>
      </w:pPr>
    </w:p>
    <w:p w14:paraId="4F71C6D5" w14:textId="77777777" w:rsidR="00650E57" w:rsidRPr="0063119B" w:rsidRDefault="00650E57" w:rsidP="00951279">
      <w:pPr>
        <w:rPr>
          <w:noProof/>
          <w:szCs w:val="22"/>
          <w:shd w:val="clear" w:color="auto" w:fill="CCCCCC"/>
        </w:rPr>
      </w:pPr>
      <w:r w:rsidRPr="0063119B">
        <w:rPr>
          <w:noProof/>
          <w:szCs w:val="22"/>
          <w:highlight w:val="lightGray"/>
        </w:rPr>
        <w:t>Código de barras 2D com identificador único incluído. (apenas aplicável para a embalagem exterior, não aplicável para o rótulo do frasco)</w:t>
      </w:r>
    </w:p>
    <w:p w14:paraId="5AE5B850" w14:textId="77777777" w:rsidR="00650E57" w:rsidRDefault="00650E57" w:rsidP="00951279">
      <w:pPr>
        <w:rPr>
          <w:noProof/>
          <w:szCs w:val="22"/>
          <w:shd w:val="clear" w:color="auto" w:fill="CCCCCC"/>
        </w:rPr>
      </w:pPr>
    </w:p>
    <w:p w14:paraId="39DCB439" w14:textId="77777777" w:rsidR="00394D5E" w:rsidRPr="0063119B" w:rsidRDefault="00394D5E" w:rsidP="00951279">
      <w:pPr>
        <w:rPr>
          <w:noProof/>
          <w:szCs w:val="22"/>
          <w:shd w:val="clear" w:color="auto" w:fill="CCCCCC"/>
        </w:rPr>
      </w:pPr>
    </w:p>
    <w:p w14:paraId="62FABC68" w14:textId="77777777" w:rsidR="00650E57" w:rsidRPr="0063119B" w:rsidRDefault="00650E57" w:rsidP="00951279">
      <w:pPr>
        <w:rPr>
          <w:noProof/>
          <w:vanish/>
          <w:szCs w:val="22"/>
        </w:rPr>
      </w:pPr>
    </w:p>
    <w:p w14:paraId="481AC97B" w14:textId="77777777" w:rsidR="00650E57" w:rsidRPr="0063119B" w:rsidRDefault="00650E57" w:rsidP="00951279">
      <w:pPr>
        <w:keepNext/>
        <w:pBdr>
          <w:top w:val="single" w:sz="4" w:space="1" w:color="auto"/>
          <w:left w:val="single" w:sz="4" w:space="4" w:color="auto"/>
          <w:bottom w:val="single" w:sz="4" w:space="1" w:color="auto"/>
          <w:right w:val="single" w:sz="4" w:space="4" w:color="auto"/>
        </w:pBdr>
        <w:tabs>
          <w:tab w:val="left" w:pos="0"/>
        </w:tabs>
        <w:rPr>
          <w:b/>
          <w:noProof/>
          <w:szCs w:val="22"/>
        </w:rPr>
      </w:pPr>
      <w:r w:rsidRPr="0063119B">
        <w:rPr>
          <w:b/>
          <w:noProof/>
          <w:szCs w:val="22"/>
        </w:rPr>
        <w:t>18.</w:t>
      </w:r>
      <w:r w:rsidRPr="0063119B">
        <w:rPr>
          <w:b/>
          <w:noProof/>
          <w:szCs w:val="22"/>
        </w:rPr>
        <w:tab/>
        <w:t>IDENTIFICADOR ÚNICO - DADOS PARA LEITURA HUMANA</w:t>
      </w:r>
    </w:p>
    <w:p w14:paraId="46B05C82" w14:textId="77777777" w:rsidR="00650E57" w:rsidRPr="0063119B" w:rsidRDefault="00650E57" w:rsidP="00951279">
      <w:pPr>
        <w:rPr>
          <w:noProof/>
          <w:szCs w:val="22"/>
        </w:rPr>
      </w:pPr>
    </w:p>
    <w:p w14:paraId="76D9C57C" w14:textId="77777777" w:rsidR="00650E57" w:rsidRPr="0063119B" w:rsidRDefault="00650E57" w:rsidP="00951279">
      <w:pPr>
        <w:rPr>
          <w:noProof/>
          <w:szCs w:val="22"/>
          <w:shd w:val="clear" w:color="auto" w:fill="CCCCCC"/>
        </w:rPr>
      </w:pPr>
      <w:r w:rsidRPr="0063119B">
        <w:rPr>
          <w:szCs w:val="22"/>
        </w:rPr>
        <w:t xml:space="preserve">PC </w:t>
      </w:r>
      <w:r w:rsidRPr="0063119B">
        <w:rPr>
          <w:noProof/>
          <w:szCs w:val="22"/>
          <w:highlight w:val="lightGray"/>
        </w:rPr>
        <w:t>(apenas aplicável para a embalagem exterior, não aplicável para o rótulo do frasco)</w:t>
      </w:r>
    </w:p>
    <w:p w14:paraId="1B7A1338" w14:textId="77777777" w:rsidR="00650E57" w:rsidRPr="0063119B" w:rsidRDefault="00650E57" w:rsidP="00951279">
      <w:pPr>
        <w:rPr>
          <w:noProof/>
          <w:szCs w:val="22"/>
          <w:shd w:val="clear" w:color="auto" w:fill="CCCCCC"/>
        </w:rPr>
      </w:pPr>
      <w:r w:rsidRPr="0063119B">
        <w:rPr>
          <w:szCs w:val="22"/>
        </w:rPr>
        <w:t xml:space="preserve">SN </w:t>
      </w:r>
      <w:r w:rsidRPr="0063119B">
        <w:rPr>
          <w:noProof/>
          <w:szCs w:val="22"/>
          <w:highlight w:val="lightGray"/>
        </w:rPr>
        <w:t>(apenas aplicável para a embalagem exterior, não aplicável para o rótulo do frasco)</w:t>
      </w:r>
    </w:p>
    <w:p w14:paraId="354017D9" w14:textId="77777777" w:rsidR="00650E57" w:rsidRPr="0063119B" w:rsidRDefault="00650E57" w:rsidP="00650E57">
      <w:pPr>
        <w:rPr>
          <w:noProof/>
          <w:szCs w:val="22"/>
          <w:shd w:val="clear" w:color="auto" w:fill="CCCCCC"/>
        </w:rPr>
      </w:pPr>
      <w:r w:rsidRPr="0063119B">
        <w:rPr>
          <w:szCs w:val="22"/>
        </w:rPr>
        <w:t>NN</w:t>
      </w:r>
      <w:r w:rsidRPr="0063119B">
        <w:rPr>
          <w:noProof/>
          <w:szCs w:val="22"/>
          <w:highlight w:val="lightGray"/>
        </w:rPr>
        <w:t xml:space="preserve"> (apenas aplicável para a embalagem exterior, não aplicável para o rótulo do frasco)</w:t>
      </w:r>
    </w:p>
    <w:p w14:paraId="76DFA4C3" w14:textId="77777777" w:rsidR="00650E57" w:rsidRPr="0063119B" w:rsidRDefault="005500AB" w:rsidP="005500AB">
      <w:pPr>
        <w:rPr>
          <w:noProof/>
          <w:szCs w:val="22"/>
        </w:rPr>
      </w:pPr>
      <w:r w:rsidRPr="0063119B">
        <w:rPr>
          <w:szCs w:val="22"/>
        </w:rPr>
        <w:br w:type="column"/>
      </w:r>
    </w:p>
    <w:p w14:paraId="7CC0D13C" w14:textId="77777777" w:rsidR="00337111" w:rsidRPr="0063119B" w:rsidRDefault="00337111" w:rsidP="00337111">
      <w:pPr>
        <w:pBdr>
          <w:top w:val="single" w:sz="4" w:space="1" w:color="auto"/>
          <w:left w:val="single" w:sz="4" w:space="4" w:color="auto"/>
          <w:bottom w:val="single" w:sz="4" w:space="1" w:color="auto"/>
          <w:right w:val="single" w:sz="4" w:space="4" w:color="auto"/>
        </w:pBdr>
        <w:shd w:val="clear" w:color="auto" w:fill="FFFFFF"/>
        <w:suppressAutoHyphens/>
        <w:ind w:right="14"/>
        <w:rPr>
          <w:b/>
          <w:caps/>
          <w:noProof/>
          <w:szCs w:val="22"/>
        </w:rPr>
      </w:pPr>
      <w:r w:rsidRPr="0063119B">
        <w:rPr>
          <w:b/>
          <w:noProof/>
          <w:szCs w:val="22"/>
        </w:rPr>
        <w:t xml:space="preserve">INDICAÇÕES A INCLUIR </w:t>
      </w:r>
      <w:r w:rsidRPr="0063119B">
        <w:rPr>
          <w:b/>
          <w:caps/>
          <w:noProof/>
          <w:szCs w:val="22"/>
        </w:rPr>
        <w:t>no acondicionamento secundário</w:t>
      </w:r>
    </w:p>
    <w:p w14:paraId="0C27E981" w14:textId="77777777" w:rsidR="00337111" w:rsidRPr="0063119B" w:rsidRDefault="00337111" w:rsidP="00337111">
      <w:pPr>
        <w:pBdr>
          <w:top w:val="single" w:sz="4" w:space="1" w:color="auto"/>
          <w:left w:val="single" w:sz="4" w:space="4" w:color="auto"/>
          <w:bottom w:val="single" w:sz="4" w:space="1" w:color="auto"/>
          <w:right w:val="single" w:sz="4" w:space="4" w:color="auto"/>
        </w:pBdr>
        <w:shd w:val="clear" w:color="auto" w:fill="FFFFFF"/>
        <w:suppressAutoHyphens/>
        <w:ind w:right="14"/>
        <w:rPr>
          <w:b/>
          <w:noProof/>
          <w:szCs w:val="22"/>
        </w:rPr>
      </w:pPr>
    </w:p>
    <w:p w14:paraId="7235B355" w14:textId="77777777" w:rsidR="00337111" w:rsidRPr="0063119B" w:rsidRDefault="00337111" w:rsidP="00337111">
      <w:pPr>
        <w:pBdr>
          <w:top w:val="single" w:sz="4" w:space="1" w:color="auto"/>
          <w:left w:val="single" w:sz="4" w:space="4" w:color="auto"/>
          <w:bottom w:val="single" w:sz="4" w:space="1" w:color="auto"/>
          <w:right w:val="single" w:sz="4" w:space="4" w:color="auto"/>
        </w:pBdr>
        <w:shd w:val="clear" w:color="auto" w:fill="FFFFFF"/>
        <w:suppressAutoHyphens/>
        <w:ind w:right="14"/>
        <w:rPr>
          <w:b/>
          <w:noProof/>
          <w:szCs w:val="22"/>
        </w:rPr>
      </w:pPr>
      <w:r w:rsidRPr="0063119B">
        <w:rPr>
          <w:b/>
          <w:noProof/>
          <w:szCs w:val="22"/>
        </w:rPr>
        <w:t>EMBALAGEM EXTERIOR</w:t>
      </w:r>
      <w:r w:rsidR="009F7E1D" w:rsidRPr="0063119B">
        <w:rPr>
          <w:b/>
          <w:noProof/>
          <w:szCs w:val="22"/>
        </w:rPr>
        <w:t xml:space="preserve"> PARA 10</w:t>
      </w:r>
      <w:r w:rsidR="006A48B7" w:rsidRPr="0063119B">
        <w:rPr>
          <w:b/>
          <w:noProof/>
          <w:szCs w:val="22"/>
        </w:rPr>
        <w:t> </w:t>
      </w:r>
      <w:r w:rsidR="009F7E1D" w:rsidRPr="0063119B">
        <w:rPr>
          <w:b/>
          <w:noProof/>
          <w:szCs w:val="22"/>
        </w:rPr>
        <w:t>MG</w:t>
      </w:r>
    </w:p>
    <w:p w14:paraId="112DA9EF" w14:textId="77777777" w:rsidR="00337111" w:rsidRPr="0063119B" w:rsidRDefault="00337111" w:rsidP="00337111">
      <w:pPr>
        <w:suppressAutoHyphens/>
        <w:ind w:right="14"/>
        <w:rPr>
          <w:noProof/>
          <w:szCs w:val="22"/>
        </w:rPr>
      </w:pPr>
    </w:p>
    <w:p w14:paraId="1FDCF896" w14:textId="77777777" w:rsidR="00337111" w:rsidRPr="0063119B" w:rsidRDefault="00337111" w:rsidP="00337111">
      <w:pPr>
        <w:suppressAutoHyphens/>
        <w:ind w:right="14"/>
        <w:rPr>
          <w:noProof/>
          <w:szCs w:val="22"/>
        </w:rPr>
      </w:pPr>
    </w:p>
    <w:p w14:paraId="7B396642"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6414F506" w14:textId="77777777" w:rsidR="00337111" w:rsidRPr="0063119B" w:rsidRDefault="00337111" w:rsidP="00337111">
      <w:pPr>
        <w:suppressAutoHyphens/>
        <w:ind w:right="14"/>
        <w:rPr>
          <w:noProof/>
          <w:szCs w:val="22"/>
        </w:rPr>
      </w:pPr>
    </w:p>
    <w:p w14:paraId="1308DB8C" w14:textId="77777777" w:rsidR="00337111" w:rsidRPr="001B6FEC" w:rsidRDefault="00607DE4" w:rsidP="005500AB">
      <w:pPr>
        <w:suppressAutoHyphens/>
        <w:ind w:right="11"/>
        <w:outlineLvl w:val="2"/>
        <w:rPr>
          <w:noProof/>
          <w:szCs w:val="22"/>
        </w:rPr>
      </w:pPr>
      <w:r w:rsidRPr="001B6FEC">
        <w:rPr>
          <w:noProof/>
          <w:szCs w:val="22"/>
        </w:rPr>
        <w:t>Rivaroxabano</w:t>
      </w:r>
      <w:r w:rsidR="001F7D02" w:rsidRPr="001B6FEC">
        <w:rPr>
          <w:noProof/>
          <w:szCs w:val="22"/>
        </w:rPr>
        <w:t xml:space="preserve"> Accord</w:t>
      </w:r>
      <w:r w:rsidR="00337111" w:rsidRPr="001B6FEC">
        <w:rPr>
          <w:noProof/>
          <w:szCs w:val="22"/>
        </w:rPr>
        <w:t xml:space="preserve"> 10</w:t>
      </w:r>
      <w:r w:rsidR="006A48B7" w:rsidRPr="001B6FEC">
        <w:rPr>
          <w:noProof/>
          <w:szCs w:val="22"/>
        </w:rPr>
        <w:t> </w:t>
      </w:r>
      <w:r w:rsidR="00337111" w:rsidRPr="001B6FEC">
        <w:rPr>
          <w:noProof/>
          <w:szCs w:val="22"/>
        </w:rPr>
        <w:t>mg comprimidos revestidos por película</w:t>
      </w:r>
    </w:p>
    <w:p w14:paraId="55DB40B5" w14:textId="77777777" w:rsidR="00337111" w:rsidRPr="0063119B" w:rsidRDefault="00892082" w:rsidP="00337111">
      <w:pPr>
        <w:suppressAutoHyphens/>
        <w:ind w:right="14"/>
        <w:rPr>
          <w:noProof/>
          <w:szCs w:val="22"/>
        </w:rPr>
      </w:pPr>
      <w:r w:rsidRPr="0063119B">
        <w:rPr>
          <w:noProof/>
          <w:szCs w:val="22"/>
        </w:rPr>
        <w:t>r</w:t>
      </w:r>
      <w:r w:rsidR="00337111" w:rsidRPr="0063119B">
        <w:rPr>
          <w:noProof/>
          <w:szCs w:val="22"/>
        </w:rPr>
        <w:t>ivaroxabano</w:t>
      </w:r>
    </w:p>
    <w:p w14:paraId="574E3818" w14:textId="77777777" w:rsidR="00337111" w:rsidRPr="0063119B" w:rsidRDefault="00337111" w:rsidP="00337111">
      <w:pPr>
        <w:suppressAutoHyphens/>
        <w:ind w:right="14"/>
        <w:rPr>
          <w:noProof/>
          <w:szCs w:val="22"/>
        </w:rPr>
      </w:pPr>
    </w:p>
    <w:p w14:paraId="6ECAD079" w14:textId="77777777" w:rsidR="00337111" w:rsidRPr="0063119B" w:rsidRDefault="00337111" w:rsidP="00337111">
      <w:pPr>
        <w:suppressAutoHyphens/>
        <w:ind w:right="14"/>
        <w:rPr>
          <w:noProof/>
          <w:szCs w:val="22"/>
        </w:rPr>
      </w:pPr>
    </w:p>
    <w:p w14:paraId="75ACB767"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2.</w:t>
      </w:r>
      <w:r w:rsidRPr="0063119B">
        <w:rPr>
          <w:b/>
          <w:noProof/>
          <w:szCs w:val="22"/>
        </w:rPr>
        <w:tab/>
        <w:t>DESCRIÇÃO DA(S) SUBSTÂNCIA(S) ATIVA(S)</w:t>
      </w:r>
    </w:p>
    <w:p w14:paraId="7E04D796" w14:textId="77777777" w:rsidR="00337111" w:rsidRPr="0063119B" w:rsidRDefault="00337111" w:rsidP="00337111">
      <w:pPr>
        <w:suppressAutoHyphens/>
        <w:ind w:right="14"/>
        <w:rPr>
          <w:noProof/>
          <w:szCs w:val="22"/>
        </w:rPr>
      </w:pPr>
    </w:p>
    <w:p w14:paraId="1ACF885C" w14:textId="77777777" w:rsidR="00337111" w:rsidRPr="0063119B" w:rsidRDefault="00337111" w:rsidP="00337111">
      <w:pPr>
        <w:suppressAutoHyphens/>
        <w:ind w:right="14"/>
        <w:rPr>
          <w:noProof/>
          <w:szCs w:val="22"/>
        </w:rPr>
      </w:pPr>
      <w:r w:rsidRPr="0063119B">
        <w:rPr>
          <w:noProof/>
          <w:szCs w:val="22"/>
        </w:rPr>
        <w:t>Cada comprimido revestido por película contém 10</w:t>
      </w:r>
      <w:r w:rsidR="006A48B7" w:rsidRPr="0063119B">
        <w:rPr>
          <w:noProof/>
          <w:szCs w:val="22"/>
        </w:rPr>
        <w:t> </w:t>
      </w:r>
      <w:r w:rsidRPr="0063119B">
        <w:rPr>
          <w:noProof/>
          <w:szCs w:val="22"/>
        </w:rPr>
        <w:t>mg</w:t>
      </w:r>
      <w:r w:rsidR="006A48B7" w:rsidRPr="0063119B">
        <w:rPr>
          <w:noProof/>
          <w:szCs w:val="22"/>
        </w:rPr>
        <w:t xml:space="preserve"> de</w:t>
      </w:r>
      <w:r w:rsidRPr="0063119B">
        <w:rPr>
          <w:noProof/>
          <w:szCs w:val="22"/>
        </w:rPr>
        <w:t xml:space="preserve"> rivaroxabano.</w:t>
      </w:r>
    </w:p>
    <w:p w14:paraId="26AEF66F" w14:textId="77777777" w:rsidR="00337111" w:rsidRPr="0063119B" w:rsidRDefault="00337111" w:rsidP="00337111">
      <w:pPr>
        <w:suppressAutoHyphens/>
        <w:ind w:right="14"/>
        <w:rPr>
          <w:noProof/>
          <w:szCs w:val="22"/>
        </w:rPr>
      </w:pPr>
    </w:p>
    <w:p w14:paraId="2130BEF7" w14:textId="77777777" w:rsidR="00337111" w:rsidRPr="0063119B" w:rsidRDefault="00337111" w:rsidP="00337111">
      <w:pPr>
        <w:suppressAutoHyphens/>
        <w:ind w:right="14"/>
        <w:rPr>
          <w:noProof/>
          <w:szCs w:val="22"/>
        </w:rPr>
      </w:pPr>
    </w:p>
    <w:p w14:paraId="661ADDDF"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LISTA DOS EXCIPIENTES</w:t>
      </w:r>
    </w:p>
    <w:p w14:paraId="2FBEB38A" w14:textId="77777777" w:rsidR="00337111" w:rsidRPr="0063119B" w:rsidRDefault="00337111" w:rsidP="00337111">
      <w:pPr>
        <w:suppressAutoHyphens/>
        <w:ind w:right="14"/>
        <w:rPr>
          <w:noProof/>
          <w:szCs w:val="22"/>
        </w:rPr>
      </w:pPr>
    </w:p>
    <w:p w14:paraId="41FA94D1" w14:textId="77777777" w:rsidR="00337111" w:rsidRPr="0063119B" w:rsidRDefault="00337111" w:rsidP="00337111">
      <w:pPr>
        <w:suppressAutoHyphens/>
        <w:ind w:right="14"/>
        <w:rPr>
          <w:noProof/>
          <w:szCs w:val="22"/>
        </w:rPr>
      </w:pPr>
      <w:r w:rsidRPr="0063119B">
        <w:rPr>
          <w:noProof/>
          <w:szCs w:val="22"/>
        </w:rPr>
        <w:t>Contém lactose</w:t>
      </w:r>
      <w:r w:rsidR="006A48B7" w:rsidRPr="0063119B">
        <w:rPr>
          <w:noProof/>
          <w:szCs w:val="22"/>
        </w:rPr>
        <w:t xml:space="preserve"> mono-hidratada</w:t>
      </w:r>
      <w:r w:rsidRPr="0063119B">
        <w:rPr>
          <w:noProof/>
          <w:szCs w:val="22"/>
        </w:rPr>
        <w:t xml:space="preserve">. </w:t>
      </w:r>
    </w:p>
    <w:p w14:paraId="452BEE0B" w14:textId="77777777" w:rsidR="00337111" w:rsidRPr="0063119B" w:rsidRDefault="00337111" w:rsidP="00337111">
      <w:pPr>
        <w:suppressAutoHyphens/>
        <w:ind w:right="14"/>
        <w:rPr>
          <w:noProof/>
          <w:szCs w:val="22"/>
        </w:rPr>
      </w:pPr>
    </w:p>
    <w:p w14:paraId="4157E6DA" w14:textId="77777777" w:rsidR="00337111" w:rsidRPr="0063119B" w:rsidRDefault="00337111" w:rsidP="00337111">
      <w:pPr>
        <w:suppressAutoHyphens/>
        <w:ind w:right="14"/>
        <w:rPr>
          <w:noProof/>
          <w:szCs w:val="22"/>
        </w:rPr>
      </w:pPr>
    </w:p>
    <w:p w14:paraId="643FFE47"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FORMA FARMACÊUTICA E CONTEÚDO</w:t>
      </w:r>
    </w:p>
    <w:p w14:paraId="060AD5C5" w14:textId="77777777" w:rsidR="00337111" w:rsidRPr="0063119B" w:rsidRDefault="00337111" w:rsidP="00337111">
      <w:pPr>
        <w:suppressAutoHyphens/>
        <w:ind w:right="14"/>
        <w:rPr>
          <w:noProof/>
          <w:szCs w:val="22"/>
        </w:rPr>
      </w:pPr>
    </w:p>
    <w:p w14:paraId="68B79039" w14:textId="77777777" w:rsidR="00337111" w:rsidRPr="0063119B" w:rsidRDefault="00337111" w:rsidP="00337111">
      <w:pPr>
        <w:suppressAutoHyphens/>
        <w:ind w:right="14"/>
        <w:rPr>
          <w:noProof/>
          <w:szCs w:val="22"/>
        </w:rPr>
      </w:pPr>
      <w:r w:rsidRPr="0063119B">
        <w:rPr>
          <w:noProof/>
          <w:szCs w:val="22"/>
        </w:rPr>
        <w:t>5</w:t>
      </w:r>
      <w:r w:rsidR="006A48B7" w:rsidRPr="0063119B">
        <w:rPr>
          <w:noProof/>
          <w:szCs w:val="22"/>
        </w:rPr>
        <w:t> </w:t>
      </w:r>
      <w:r w:rsidRPr="0063119B">
        <w:rPr>
          <w:noProof/>
          <w:szCs w:val="22"/>
        </w:rPr>
        <w:t>comprimidos revestidos por película</w:t>
      </w:r>
    </w:p>
    <w:p w14:paraId="6524DA9C" w14:textId="77777777" w:rsidR="00337111" w:rsidRPr="0063119B" w:rsidRDefault="00337111" w:rsidP="00337111">
      <w:pPr>
        <w:rPr>
          <w:noProof/>
          <w:szCs w:val="22"/>
          <w:highlight w:val="darkGray"/>
        </w:rPr>
      </w:pPr>
      <w:r w:rsidRPr="0063119B">
        <w:rPr>
          <w:noProof/>
          <w:szCs w:val="22"/>
          <w:highlight w:val="darkGray"/>
        </w:rPr>
        <w:t>10</w:t>
      </w:r>
      <w:r w:rsidR="006A48B7" w:rsidRPr="0063119B">
        <w:rPr>
          <w:noProof/>
          <w:szCs w:val="22"/>
          <w:highlight w:val="darkGray"/>
        </w:rPr>
        <w:t> </w:t>
      </w:r>
      <w:r w:rsidRPr="0063119B">
        <w:rPr>
          <w:noProof/>
          <w:szCs w:val="22"/>
          <w:highlight w:val="darkGray"/>
        </w:rPr>
        <w:t>comprimidos revestidos por película</w:t>
      </w:r>
    </w:p>
    <w:p w14:paraId="51E36ED5" w14:textId="77777777" w:rsidR="00B310DB" w:rsidRPr="0063119B" w:rsidRDefault="00B310DB" w:rsidP="00337111">
      <w:pPr>
        <w:rPr>
          <w:noProof/>
          <w:szCs w:val="22"/>
          <w:highlight w:val="darkGray"/>
        </w:rPr>
      </w:pPr>
      <w:r w:rsidRPr="0063119B">
        <w:rPr>
          <w:noProof/>
          <w:szCs w:val="22"/>
          <w:highlight w:val="darkGray"/>
        </w:rPr>
        <w:t>14 comprimidos revestidos por película</w:t>
      </w:r>
    </w:p>
    <w:p w14:paraId="1D1FCB41" w14:textId="77777777" w:rsidR="00B310DB" w:rsidRPr="0063119B" w:rsidRDefault="00B310DB" w:rsidP="00337111">
      <w:pPr>
        <w:rPr>
          <w:noProof/>
          <w:szCs w:val="22"/>
          <w:highlight w:val="darkGray"/>
        </w:rPr>
      </w:pPr>
      <w:r w:rsidRPr="0063119B">
        <w:rPr>
          <w:noProof/>
          <w:szCs w:val="22"/>
          <w:highlight w:val="darkGray"/>
        </w:rPr>
        <w:t>28 comprimidos revestidos por película</w:t>
      </w:r>
    </w:p>
    <w:p w14:paraId="67C54956" w14:textId="77777777" w:rsidR="00337111" w:rsidRPr="0063119B" w:rsidRDefault="00337111" w:rsidP="00337111">
      <w:pPr>
        <w:rPr>
          <w:noProof/>
          <w:szCs w:val="22"/>
          <w:highlight w:val="darkGray"/>
        </w:rPr>
      </w:pPr>
      <w:r w:rsidRPr="0063119B">
        <w:rPr>
          <w:noProof/>
          <w:szCs w:val="22"/>
          <w:highlight w:val="darkGray"/>
        </w:rPr>
        <w:t>30</w:t>
      </w:r>
      <w:r w:rsidR="006A48B7" w:rsidRPr="0063119B">
        <w:rPr>
          <w:noProof/>
          <w:szCs w:val="22"/>
          <w:highlight w:val="darkGray"/>
        </w:rPr>
        <w:t> </w:t>
      </w:r>
      <w:r w:rsidRPr="0063119B">
        <w:rPr>
          <w:noProof/>
          <w:szCs w:val="22"/>
          <w:highlight w:val="darkGray"/>
        </w:rPr>
        <w:t>comprimidos revestidos por película</w:t>
      </w:r>
    </w:p>
    <w:p w14:paraId="169B6873" w14:textId="77777777" w:rsidR="00B310DB" w:rsidRPr="0063119B" w:rsidRDefault="00B310DB" w:rsidP="00337111">
      <w:pPr>
        <w:rPr>
          <w:noProof/>
          <w:szCs w:val="22"/>
          <w:highlight w:val="darkGray"/>
        </w:rPr>
      </w:pPr>
      <w:r w:rsidRPr="0063119B">
        <w:rPr>
          <w:noProof/>
          <w:szCs w:val="22"/>
          <w:highlight w:val="darkGray"/>
        </w:rPr>
        <w:t>98 comprimidos revestidos por película</w:t>
      </w:r>
    </w:p>
    <w:p w14:paraId="6302AF16" w14:textId="77777777" w:rsidR="006A48B7" w:rsidRPr="0063119B" w:rsidRDefault="006A48B7" w:rsidP="006A48B7">
      <w:pPr>
        <w:rPr>
          <w:noProof/>
          <w:szCs w:val="22"/>
          <w:highlight w:val="darkGray"/>
        </w:rPr>
      </w:pPr>
      <w:r w:rsidRPr="0063119B">
        <w:rPr>
          <w:noProof/>
          <w:szCs w:val="22"/>
          <w:highlight w:val="darkGray"/>
        </w:rPr>
        <w:t>100  comprimidos revestidos por película</w:t>
      </w:r>
    </w:p>
    <w:p w14:paraId="7903B861" w14:textId="77777777" w:rsidR="00337111" w:rsidRPr="0063119B" w:rsidRDefault="00337111" w:rsidP="00337111">
      <w:pPr>
        <w:rPr>
          <w:noProof/>
          <w:szCs w:val="22"/>
          <w:highlight w:val="darkGray"/>
        </w:rPr>
      </w:pPr>
      <w:r w:rsidRPr="0063119B">
        <w:rPr>
          <w:noProof/>
          <w:szCs w:val="22"/>
          <w:highlight w:val="darkGray"/>
        </w:rPr>
        <w:t>10 x 1</w:t>
      </w:r>
      <w:r w:rsidR="006A48B7" w:rsidRPr="0063119B">
        <w:rPr>
          <w:noProof/>
          <w:szCs w:val="22"/>
          <w:highlight w:val="darkGray"/>
        </w:rPr>
        <w:t> </w:t>
      </w:r>
      <w:r w:rsidRPr="0063119B">
        <w:rPr>
          <w:noProof/>
          <w:szCs w:val="22"/>
          <w:highlight w:val="darkGray"/>
        </w:rPr>
        <w:t>comprimidos revestidos por película</w:t>
      </w:r>
    </w:p>
    <w:p w14:paraId="1EC555D4" w14:textId="77777777" w:rsidR="00337111" w:rsidRPr="0063119B" w:rsidRDefault="00337111" w:rsidP="00337111">
      <w:pPr>
        <w:rPr>
          <w:noProof/>
          <w:szCs w:val="22"/>
        </w:rPr>
      </w:pPr>
      <w:r w:rsidRPr="0063119B">
        <w:rPr>
          <w:noProof/>
          <w:szCs w:val="22"/>
          <w:highlight w:val="darkGray"/>
        </w:rPr>
        <w:t>100 x 1</w:t>
      </w:r>
      <w:r w:rsidR="006A48B7" w:rsidRPr="0063119B">
        <w:rPr>
          <w:noProof/>
          <w:szCs w:val="22"/>
          <w:highlight w:val="darkGray"/>
        </w:rPr>
        <w:t> </w:t>
      </w:r>
      <w:r w:rsidRPr="0063119B">
        <w:rPr>
          <w:noProof/>
          <w:szCs w:val="22"/>
          <w:highlight w:val="darkGray"/>
        </w:rPr>
        <w:t>comprimidos revestidos por película</w:t>
      </w:r>
    </w:p>
    <w:p w14:paraId="137A71C5" w14:textId="77777777" w:rsidR="00337111" w:rsidRPr="0063119B" w:rsidRDefault="00337111" w:rsidP="00337111">
      <w:pPr>
        <w:suppressAutoHyphens/>
        <w:ind w:right="14"/>
        <w:rPr>
          <w:noProof/>
          <w:szCs w:val="22"/>
        </w:rPr>
      </w:pPr>
    </w:p>
    <w:p w14:paraId="5B6B5E8B" w14:textId="77777777" w:rsidR="00337111" w:rsidRPr="0063119B" w:rsidRDefault="00337111" w:rsidP="00337111">
      <w:pPr>
        <w:suppressAutoHyphens/>
        <w:ind w:right="14"/>
        <w:rPr>
          <w:noProof/>
          <w:szCs w:val="22"/>
        </w:rPr>
      </w:pPr>
    </w:p>
    <w:p w14:paraId="4116DB61"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t>MODO E VIA(S) DE ADMINISTRAÇÃO</w:t>
      </w:r>
    </w:p>
    <w:p w14:paraId="24EAECC2" w14:textId="77777777" w:rsidR="00337111" w:rsidRPr="0063119B" w:rsidRDefault="00337111" w:rsidP="00337111">
      <w:pPr>
        <w:suppressAutoHyphens/>
        <w:ind w:right="14"/>
        <w:rPr>
          <w:noProof/>
          <w:szCs w:val="22"/>
        </w:rPr>
      </w:pPr>
    </w:p>
    <w:p w14:paraId="6389A41E" w14:textId="77777777" w:rsidR="00337111" w:rsidRPr="0063119B" w:rsidRDefault="00337111" w:rsidP="00337111">
      <w:pPr>
        <w:suppressAutoHyphens/>
        <w:ind w:right="14"/>
        <w:rPr>
          <w:noProof/>
          <w:szCs w:val="22"/>
        </w:rPr>
      </w:pPr>
      <w:r w:rsidRPr="0063119B">
        <w:rPr>
          <w:noProof/>
          <w:szCs w:val="22"/>
        </w:rPr>
        <w:t>Consultar o folheto informativo antes de utilizar.</w:t>
      </w:r>
    </w:p>
    <w:p w14:paraId="326A0457" w14:textId="77777777" w:rsidR="00E95B32" w:rsidRPr="0063119B" w:rsidRDefault="00E95B32" w:rsidP="00E95B32">
      <w:pPr>
        <w:suppressAutoHyphens/>
        <w:ind w:right="14"/>
        <w:rPr>
          <w:noProof/>
          <w:szCs w:val="22"/>
        </w:rPr>
      </w:pPr>
      <w:r w:rsidRPr="0063119B">
        <w:rPr>
          <w:noProof/>
          <w:szCs w:val="22"/>
        </w:rPr>
        <w:t>Via oral.</w:t>
      </w:r>
    </w:p>
    <w:p w14:paraId="28355799" w14:textId="77777777" w:rsidR="00337111" w:rsidRPr="0063119B" w:rsidRDefault="00337111" w:rsidP="00337111">
      <w:pPr>
        <w:suppressAutoHyphens/>
        <w:ind w:right="14"/>
        <w:rPr>
          <w:noProof/>
          <w:szCs w:val="22"/>
        </w:rPr>
      </w:pPr>
    </w:p>
    <w:p w14:paraId="216E41D4" w14:textId="77777777" w:rsidR="00337111" w:rsidRPr="0063119B" w:rsidRDefault="00337111" w:rsidP="00337111">
      <w:pPr>
        <w:suppressAutoHyphens/>
        <w:ind w:right="14"/>
        <w:rPr>
          <w:noProof/>
          <w:szCs w:val="22"/>
        </w:rPr>
      </w:pPr>
    </w:p>
    <w:p w14:paraId="1DE0332A"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6.</w:t>
      </w:r>
      <w:r w:rsidRPr="0063119B">
        <w:rPr>
          <w:b/>
          <w:noProof/>
          <w:szCs w:val="22"/>
        </w:rPr>
        <w:tab/>
        <w:t>ADVERTÊNCIA ESPECIAL DE QUE O MEDICAMENTO DEVE SER MANTIDO FORA DA VISTA E DO ALCANCE DAS CRIANÇAS</w:t>
      </w:r>
    </w:p>
    <w:p w14:paraId="3D17A13C" w14:textId="77777777" w:rsidR="00337111" w:rsidRPr="0063119B" w:rsidRDefault="00337111" w:rsidP="00337111">
      <w:pPr>
        <w:suppressAutoHyphens/>
        <w:ind w:right="14"/>
        <w:rPr>
          <w:noProof/>
          <w:szCs w:val="22"/>
        </w:rPr>
      </w:pPr>
    </w:p>
    <w:p w14:paraId="4E913F81" w14:textId="77777777" w:rsidR="00337111" w:rsidRPr="0063119B" w:rsidRDefault="00337111" w:rsidP="00337111">
      <w:pPr>
        <w:suppressAutoHyphens/>
        <w:ind w:right="14"/>
        <w:rPr>
          <w:noProof/>
          <w:szCs w:val="22"/>
        </w:rPr>
      </w:pPr>
      <w:r w:rsidRPr="0063119B">
        <w:rPr>
          <w:noProof/>
          <w:szCs w:val="22"/>
        </w:rPr>
        <w:t>Manter fora da vista e do alcance das crianças.</w:t>
      </w:r>
    </w:p>
    <w:p w14:paraId="353E275C" w14:textId="77777777" w:rsidR="00337111" w:rsidRPr="0063119B" w:rsidRDefault="00337111" w:rsidP="00337111">
      <w:pPr>
        <w:suppressAutoHyphens/>
        <w:ind w:right="14"/>
        <w:rPr>
          <w:noProof/>
          <w:szCs w:val="22"/>
        </w:rPr>
      </w:pPr>
    </w:p>
    <w:p w14:paraId="2C78B2B0" w14:textId="77777777" w:rsidR="00337111" w:rsidRPr="0063119B" w:rsidRDefault="00337111" w:rsidP="00337111">
      <w:pPr>
        <w:suppressAutoHyphens/>
        <w:ind w:right="14"/>
        <w:rPr>
          <w:noProof/>
          <w:szCs w:val="22"/>
        </w:rPr>
      </w:pPr>
    </w:p>
    <w:p w14:paraId="2D6BE19B"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7.</w:t>
      </w:r>
      <w:r w:rsidRPr="0063119B">
        <w:rPr>
          <w:b/>
          <w:noProof/>
          <w:szCs w:val="22"/>
        </w:rPr>
        <w:tab/>
        <w:t>OUTRAS ADVERTÊNCIAS ESPECIAIS, SE NECESSÁRIO</w:t>
      </w:r>
    </w:p>
    <w:p w14:paraId="1EBABEB8" w14:textId="77777777" w:rsidR="00337111" w:rsidRPr="0063119B" w:rsidRDefault="00337111" w:rsidP="00337111">
      <w:pPr>
        <w:suppressAutoHyphens/>
        <w:ind w:right="14"/>
        <w:rPr>
          <w:noProof/>
          <w:szCs w:val="22"/>
        </w:rPr>
      </w:pPr>
    </w:p>
    <w:p w14:paraId="7D33504A" w14:textId="77777777" w:rsidR="00337111" w:rsidRPr="0063119B" w:rsidRDefault="00337111" w:rsidP="00337111">
      <w:pPr>
        <w:suppressAutoHyphens/>
        <w:ind w:right="14"/>
        <w:rPr>
          <w:noProof/>
          <w:szCs w:val="22"/>
        </w:rPr>
      </w:pPr>
    </w:p>
    <w:p w14:paraId="349C109C"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8.</w:t>
      </w:r>
      <w:r w:rsidRPr="0063119B">
        <w:rPr>
          <w:b/>
          <w:noProof/>
          <w:szCs w:val="22"/>
        </w:rPr>
        <w:tab/>
        <w:t>PRAZO DE VALIDADE</w:t>
      </w:r>
    </w:p>
    <w:p w14:paraId="6235EF89" w14:textId="77777777" w:rsidR="00337111" w:rsidRPr="0063119B" w:rsidRDefault="00337111" w:rsidP="00337111">
      <w:pPr>
        <w:suppressAutoHyphens/>
        <w:rPr>
          <w:noProof/>
          <w:szCs w:val="22"/>
        </w:rPr>
      </w:pPr>
    </w:p>
    <w:p w14:paraId="4A3343D2" w14:textId="77777777" w:rsidR="00337111" w:rsidRPr="0063119B" w:rsidRDefault="00337111" w:rsidP="00337111">
      <w:pPr>
        <w:suppressAutoHyphens/>
        <w:rPr>
          <w:noProof/>
          <w:szCs w:val="22"/>
        </w:rPr>
      </w:pPr>
      <w:r w:rsidRPr="0063119B">
        <w:rPr>
          <w:noProof/>
          <w:szCs w:val="22"/>
        </w:rPr>
        <w:t>EXP</w:t>
      </w:r>
    </w:p>
    <w:p w14:paraId="2BBD9C18" w14:textId="77777777" w:rsidR="00337111" w:rsidRPr="0063119B" w:rsidRDefault="00337111" w:rsidP="00337111">
      <w:pPr>
        <w:suppressAutoHyphens/>
        <w:ind w:right="14"/>
        <w:rPr>
          <w:noProof/>
          <w:szCs w:val="22"/>
        </w:rPr>
      </w:pPr>
    </w:p>
    <w:p w14:paraId="2419FF2A" w14:textId="77777777" w:rsidR="00337111" w:rsidRPr="0063119B" w:rsidRDefault="00337111" w:rsidP="00337111">
      <w:pPr>
        <w:suppressAutoHyphens/>
        <w:ind w:right="14"/>
        <w:rPr>
          <w:noProof/>
          <w:szCs w:val="22"/>
        </w:rPr>
      </w:pPr>
    </w:p>
    <w:p w14:paraId="145EBBD0"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lastRenderedPageBreak/>
        <w:t>9.</w:t>
      </w:r>
      <w:r w:rsidRPr="0063119B">
        <w:rPr>
          <w:b/>
          <w:noProof/>
          <w:szCs w:val="22"/>
        </w:rPr>
        <w:tab/>
        <w:t>CONDIÇÕES ESPECIAIS DE CONSERVAÇÃO</w:t>
      </w:r>
    </w:p>
    <w:p w14:paraId="1157CDF7" w14:textId="77777777" w:rsidR="00337111" w:rsidRPr="0063119B" w:rsidRDefault="00337111" w:rsidP="00337111">
      <w:pPr>
        <w:suppressAutoHyphens/>
        <w:rPr>
          <w:noProof/>
          <w:szCs w:val="22"/>
        </w:rPr>
      </w:pPr>
    </w:p>
    <w:p w14:paraId="7085476E" w14:textId="77777777" w:rsidR="00337111" w:rsidRPr="0063119B" w:rsidRDefault="00337111" w:rsidP="00337111">
      <w:pPr>
        <w:suppressAutoHyphens/>
        <w:ind w:right="14"/>
        <w:rPr>
          <w:b/>
          <w:noProof/>
          <w:szCs w:val="22"/>
        </w:rPr>
      </w:pPr>
    </w:p>
    <w:p w14:paraId="44124AD6"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10.</w:t>
      </w:r>
      <w:r w:rsidRPr="0063119B">
        <w:rPr>
          <w:b/>
          <w:noProof/>
          <w:szCs w:val="22"/>
        </w:rPr>
        <w:tab/>
        <w:t>CUIDADOS ESPECIAIS QUANTO À ELIMINAÇÃO DO MEDICAMENTO NÃO UTILIZADO OU DOS RESÍDUOS PROVENIENTES DESSE MEDICAMENTO, SE APLICÁVEL</w:t>
      </w:r>
    </w:p>
    <w:p w14:paraId="0CCDC199" w14:textId="77777777" w:rsidR="00337111" w:rsidRPr="0063119B" w:rsidRDefault="00337111" w:rsidP="00337111">
      <w:pPr>
        <w:suppressAutoHyphens/>
        <w:ind w:right="14"/>
        <w:rPr>
          <w:noProof/>
          <w:szCs w:val="22"/>
        </w:rPr>
      </w:pPr>
    </w:p>
    <w:p w14:paraId="4C88B37E" w14:textId="77777777" w:rsidR="00337111" w:rsidRPr="0063119B" w:rsidRDefault="00337111" w:rsidP="00337111">
      <w:pPr>
        <w:suppressAutoHyphens/>
        <w:ind w:right="14"/>
        <w:rPr>
          <w:bCs/>
          <w:noProof/>
          <w:szCs w:val="22"/>
        </w:rPr>
      </w:pPr>
    </w:p>
    <w:p w14:paraId="335AC95B"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11.</w:t>
      </w:r>
      <w:r w:rsidRPr="0063119B">
        <w:rPr>
          <w:b/>
          <w:noProof/>
          <w:szCs w:val="22"/>
        </w:rPr>
        <w:tab/>
        <w:t>NOME E ENDEREÇO DO TITULAR DA AUTORIZAÇÃO DE INTRODUÇÃO NO MERCADO</w:t>
      </w:r>
    </w:p>
    <w:p w14:paraId="3CEB8711" w14:textId="77777777" w:rsidR="00337111" w:rsidRPr="0063119B" w:rsidRDefault="00337111" w:rsidP="00337111">
      <w:pPr>
        <w:suppressAutoHyphens/>
        <w:ind w:right="14"/>
        <w:rPr>
          <w:noProof/>
          <w:szCs w:val="22"/>
        </w:rPr>
      </w:pPr>
    </w:p>
    <w:p w14:paraId="32A97D4E" w14:textId="77777777" w:rsidR="006A48B7" w:rsidRPr="0063119B" w:rsidRDefault="006A48B7" w:rsidP="006A48B7">
      <w:pPr>
        <w:keepNext/>
        <w:rPr>
          <w:szCs w:val="22"/>
          <w:lang w:val="en-GB"/>
        </w:rPr>
      </w:pPr>
      <w:r w:rsidRPr="0063119B">
        <w:rPr>
          <w:szCs w:val="22"/>
          <w:lang w:val="en-GB"/>
        </w:rPr>
        <w:t>Accord Healthcare S.L.U.</w:t>
      </w:r>
    </w:p>
    <w:p w14:paraId="2B38E2EB" w14:textId="77777777" w:rsidR="006A48B7" w:rsidRPr="0063119B" w:rsidRDefault="006A48B7" w:rsidP="006A48B7">
      <w:pPr>
        <w:rPr>
          <w:szCs w:val="22"/>
        </w:rPr>
      </w:pPr>
      <w:r w:rsidRPr="0063119B">
        <w:rPr>
          <w:szCs w:val="22"/>
        </w:rPr>
        <w:t>World Trade Center, Moll de Barcelona s/n, Edifici Est, 6</w:t>
      </w:r>
      <w:r w:rsidRPr="0063119B">
        <w:rPr>
          <w:szCs w:val="22"/>
          <w:vertAlign w:val="superscript"/>
        </w:rPr>
        <w:t>a</w:t>
      </w:r>
      <w:r w:rsidRPr="0063119B">
        <w:rPr>
          <w:szCs w:val="22"/>
        </w:rPr>
        <w:t xml:space="preserve"> Planta, </w:t>
      </w:r>
    </w:p>
    <w:p w14:paraId="40661315" w14:textId="77777777" w:rsidR="006A48B7" w:rsidRPr="0063119B" w:rsidRDefault="006A48B7" w:rsidP="006A48B7">
      <w:pPr>
        <w:rPr>
          <w:szCs w:val="22"/>
        </w:rPr>
      </w:pPr>
      <w:r w:rsidRPr="0063119B">
        <w:rPr>
          <w:szCs w:val="22"/>
        </w:rPr>
        <w:t>Barcelona, 08039</w:t>
      </w:r>
    </w:p>
    <w:p w14:paraId="26F6F1EF" w14:textId="77777777" w:rsidR="00337111" w:rsidRPr="0063119B" w:rsidRDefault="006A48B7" w:rsidP="00337111">
      <w:pPr>
        <w:suppressAutoHyphens/>
        <w:ind w:right="14"/>
        <w:rPr>
          <w:noProof/>
          <w:szCs w:val="22"/>
        </w:rPr>
      </w:pPr>
      <w:r w:rsidRPr="0063119B">
        <w:rPr>
          <w:szCs w:val="22"/>
        </w:rPr>
        <w:t>Espanha</w:t>
      </w:r>
    </w:p>
    <w:p w14:paraId="6AAC277A" w14:textId="77777777" w:rsidR="00337111" w:rsidRPr="0063119B" w:rsidRDefault="00337111" w:rsidP="00337111">
      <w:pPr>
        <w:suppressAutoHyphens/>
        <w:ind w:right="14"/>
        <w:rPr>
          <w:noProof/>
          <w:szCs w:val="22"/>
        </w:rPr>
      </w:pPr>
    </w:p>
    <w:p w14:paraId="6973625D" w14:textId="77777777" w:rsidR="00337111" w:rsidRPr="0063119B" w:rsidRDefault="00337111" w:rsidP="00337111">
      <w:pPr>
        <w:suppressAutoHyphens/>
        <w:ind w:right="14"/>
        <w:rPr>
          <w:noProof/>
          <w:szCs w:val="22"/>
        </w:rPr>
      </w:pPr>
    </w:p>
    <w:p w14:paraId="0A916AF9"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12.</w:t>
      </w:r>
      <w:r w:rsidRPr="0063119B">
        <w:rPr>
          <w:b/>
          <w:noProof/>
          <w:szCs w:val="22"/>
        </w:rPr>
        <w:tab/>
        <w:t>NÚMERO(S) DA AUTORIZAÇÃO DE INTRODUÇÃO NO MERCADO</w:t>
      </w:r>
    </w:p>
    <w:p w14:paraId="07C17620" w14:textId="77777777" w:rsidR="00337111" w:rsidRPr="0063119B" w:rsidRDefault="00337111" w:rsidP="00337111">
      <w:pPr>
        <w:suppressAutoHyphens/>
        <w:ind w:right="14"/>
        <w:rPr>
          <w:noProof/>
          <w:szCs w:val="22"/>
        </w:rPr>
      </w:pPr>
    </w:p>
    <w:p w14:paraId="23DD6EC9" w14:textId="77777777" w:rsidR="002D3104" w:rsidRPr="0063119B" w:rsidRDefault="002D3104" w:rsidP="002D3104">
      <w:pPr>
        <w:suppressAutoHyphens/>
        <w:rPr>
          <w:szCs w:val="22"/>
        </w:rPr>
      </w:pPr>
      <w:r w:rsidRPr="0063119B">
        <w:rPr>
          <w:szCs w:val="22"/>
        </w:rPr>
        <w:t>EU/1/20/1488/012-020</w:t>
      </w:r>
    </w:p>
    <w:p w14:paraId="00EFE19A" w14:textId="77777777" w:rsidR="00337111" w:rsidRPr="0063119B" w:rsidRDefault="00337111" w:rsidP="00951279">
      <w:pPr>
        <w:suppressAutoHyphens/>
        <w:ind w:right="14"/>
        <w:rPr>
          <w:noProof/>
          <w:szCs w:val="22"/>
        </w:rPr>
      </w:pPr>
    </w:p>
    <w:p w14:paraId="0DAE767D" w14:textId="77777777" w:rsidR="00337111" w:rsidRPr="0063119B" w:rsidRDefault="00337111" w:rsidP="00951279">
      <w:pPr>
        <w:suppressAutoHyphens/>
        <w:ind w:right="14"/>
        <w:rPr>
          <w:noProof/>
          <w:szCs w:val="22"/>
        </w:rPr>
      </w:pPr>
    </w:p>
    <w:p w14:paraId="79044CF5"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13.</w:t>
      </w:r>
      <w:r w:rsidRPr="0063119B">
        <w:rPr>
          <w:b/>
          <w:noProof/>
          <w:szCs w:val="22"/>
        </w:rPr>
        <w:tab/>
        <w:t xml:space="preserve">NÚMERO DO LOTE </w:t>
      </w:r>
    </w:p>
    <w:p w14:paraId="35095D83" w14:textId="77777777" w:rsidR="00337111" w:rsidRPr="0063119B" w:rsidRDefault="00337111" w:rsidP="00951279">
      <w:pPr>
        <w:rPr>
          <w:noProof/>
          <w:szCs w:val="22"/>
        </w:rPr>
      </w:pPr>
    </w:p>
    <w:p w14:paraId="43552842" w14:textId="77777777" w:rsidR="00337111" w:rsidRPr="0063119B" w:rsidRDefault="00337111" w:rsidP="00951279">
      <w:pPr>
        <w:rPr>
          <w:noProof/>
          <w:szCs w:val="22"/>
        </w:rPr>
      </w:pPr>
      <w:r w:rsidRPr="0063119B">
        <w:rPr>
          <w:noProof/>
          <w:szCs w:val="22"/>
        </w:rPr>
        <w:t>Lot</w:t>
      </w:r>
    </w:p>
    <w:p w14:paraId="34F63243" w14:textId="77777777" w:rsidR="00337111" w:rsidRPr="0063119B" w:rsidRDefault="00337111" w:rsidP="00951279">
      <w:pPr>
        <w:rPr>
          <w:noProof/>
          <w:szCs w:val="22"/>
        </w:rPr>
      </w:pPr>
    </w:p>
    <w:p w14:paraId="63F2F65A" w14:textId="77777777" w:rsidR="00337111" w:rsidRPr="0063119B" w:rsidRDefault="00337111" w:rsidP="00951279">
      <w:pPr>
        <w:suppressAutoHyphens/>
        <w:ind w:right="14"/>
        <w:rPr>
          <w:noProof/>
          <w:szCs w:val="22"/>
        </w:rPr>
      </w:pPr>
    </w:p>
    <w:p w14:paraId="7AE1B581"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14.</w:t>
      </w:r>
      <w:r w:rsidRPr="0063119B">
        <w:rPr>
          <w:b/>
          <w:noProof/>
          <w:szCs w:val="22"/>
        </w:rPr>
        <w:tab/>
        <w:t xml:space="preserve">CLASSIFICAÇÃO QUANTO À DISPENSA </w:t>
      </w:r>
      <w:r w:rsidRPr="0063119B">
        <w:rPr>
          <w:b/>
          <w:caps/>
          <w:noProof/>
          <w:szCs w:val="22"/>
        </w:rPr>
        <w:t>ao Público</w:t>
      </w:r>
    </w:p>
    <w:p w14:paraId="3FFD1BC3" w14:textId="77777777" w:rsidR="00337111" w:rsidRPr="0063119B" w:rsidRDefault="00337111" w:rsidP="00951279">
      <w:pPr>
        <w:suppressAutoHyphens/>
        <w:ind w:right="14"/>
        <w:rPr>
          <w:noProof/>
          <w:szCs w:val="22"/>
        </w:rPr>
      </w:pPr>
    </w:p>
    <w:p w14:paraId="6C1ED217" w14:textId="77777777" w:rsidR="00DA0504" w:rsidRPr="0063119B" w:rsidRDefault="00DA0504" w:rsidP="00951279">
      <w:pPr>
        <w:suppressAutoHyphens/>
        <w:ind w:right="14"/>
        <w:rPr>
          <w:noProof/>
          <w:szCs w:val="22"/>
        </w:rPr>
      </w:pPr>
    </w:p>
    <w:p w14:paraId="756EBCC8"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15.</w:t>
      </w:r>
      <w:r w:rsidRPr="0063119B">
        <w:rPr>
          <w:b/>
          <w:noProof/>
          <w:szCs w:val="22"/>
        </w:rPr>
        <w:tab/>
        <w:t>INSTRUÇÕES DE UTILIZAÇÃO</w:t>
      </w:r>
    </w:p>
    <w:p w14:paraId="344D2B62" w14:textId="77777777" w:rsidR="00337111" w:rsidRPr="0063119B" w:rsidRDefault="00337111" w:rsidP="00951279">
      <w:pPr>
        <w:suppressAutoHyphens/>
        <w:ind w:right="14"/>
        <w:rPr>
          <w:noProof/>
          <w:szCs w:val="22"/>
        </w:rPr>
      </w:pPr>
    </w:p>
    <w:p w14:paraId="0F8629A5" w14:textId="77777777" w:rsidR="00DA0504" w:rsidRPr="0063119B" w:rsidRDefault="00DA0504" w:rsidP="00951279">
      <w:pPr>
        <w:suppressAutoHyphens/>
        <w:ind w:right="14"/>
        <w:rPr>
          <w:noProof/>
          <w:szCs w:val="22"/>
        </w:rPr>
      </w:pPr>
    </w:p>
    <w:p w14:paraId="28F846A8" w14:textId="77777777" w:rsidR="00337111" w:rsidRPr="0063119B" w:rsidRDefault="00337111" w:rsidP="005500AB">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16.</w:t>
      </w:r>
      <w:r w:rsidRPr="0063119B">
        <w:rPr>
          <w:b/>
          <w:noProof/>
          <w:szCs w:val="22"/>
        </w:rPr>
        <w:tab/>
      </w:r>
      <w:r w:rsidRPr="0063119B">
        <w:rPr>
          <w:b/>
          <w:caps/>
          <w:noProof/>
          <w:szCs w:val="22"/>
        </w:rPr>
        <w:t>Informação em Braille</w:t>
      </w:r>
    </w:p>
    <w:p w14:paraId="57BB58D9" w14:textId="77777777" w:rsidR="00337111" w:rsidRPr="0063119B" w:rsidRDefault="00337111" w:rsidP="00951279">
      <w:pPr>
        <w:suppressAutoHyphens/>
        <w:ind w:right="14"/>
        <w:rPr>
          <w:noProof/>
          <w:szCs w:val="22"/>
        </w:rPr>
      </w:pPr>
    </w:p>
    <w:p w14:paraId="494C510D" w14:textId="77777777" w:rsidR="00337111" w:rsidRPr="0063119B" w:rsidRDefault="004B4602" w:rsidP="00951279">
      <w:pPr>
        <w:suppressAutoHyphens/>
        <w:ind w:right="14"/>
        <w:rPr>
          <w:noProof/>
          <w:szCs w:val="22"/>
        </w:rPr>
      </w:pPr>
      <w:r>
        <w:rPr>
          <w:noProof/>
          <w:szCs w:val="22"/>
        </w:rPr>
        <w:t>r</w:t>
      </w:r>
      <w:r w:rsidR="00607DE4">
        <w:rPr>
          <w:noProof/>
          <w:szCs w:val="22"/>
        </w:rPr>
        <w:t>ivaroxabano</w:t>
      </w:r>
      <w:r w:rsidR="001F7D02" w:rsidRPr="0063119B">
        <w:rPr>
          <w:noProof/>
          <w:szCs w:val="22"/>
        </w:rPr>
        <w:t xml:space="preserve"> </w:t>
      </w:r>
      <w:r>
        <w:rPr>
          <w:noProof/>
          <w:szCs w:val="22"/>
        </w:rPr>
        <w:t>a</w:t>
      </w:r>
      <w:r w:rsidRPr="0063119B">
        <w:rPr>
          <w:noProof/>
          <w:szCs w:val="22"/>
        </w:rPr>
        <w:t xml:space="preserve">ccord </w:t>
      </w:r>
      <w:r w:rsidR="00337111" w:rsidRPr="0063119B">
        <w:rPr>
          <w:noProof/>
          <w:szCs w:val="22"/>
        </w:rPr>
        <w:t>10</w:t>
      </w:r>
      <w:r w:rsidR="00EF7177" w:rsidRPr="0063119B">
        <w:rPr>
          <w:noProof/>
          <w:szCs w:val="22"/>
        </w:rPr>
        <w:t> </w:t>
      </w:r>
      <w:r w:rsidR="00337111" w:rsidRPr="0063119B">
        <w:rPr>
          <w:noProof/>
          <w:szCs w:val="22"/>
        </w:rPr>
        <w:t>mg</w:t>
      </w:r>
    </w:p>
    <w:p w14:paraId="0FCE3FDC" w14:textId="77777777" w:rsidR="00337111" w:rsidRPr="0063119B" w:rsidRDefault="00337111" w:rsidP="00951279">
      <w:pPr>
        <w:suppressAutoHyphens/>
        <w:ind w:right="14"/>
        <w:rPr>
          <w:noProof/>
          <w:szCs w:val="22"/>
        </w:rPr>
      </w:pPr>
    </w:p>
    <w:p w14:paraId="7674901E" w14:textId="77777777" w:rsidR="00DA0504" w:rsidRPr="0063119B" w:rsidRDefault="00DA0504" w:rsidP="00951279">
      <w:pPr>
        <w:suppressAutoHyphens/>
        <w:ind w:right="14"/>
        <w:rPr>
          <w:noProof/>
          <w:szCs w:val="22"/>
        </w:rPr>
      </w:pPr>
    </w:p>
    <w:p w14:paraId="70C9CDC0" w14:textId="77777777" w:rsidR="002A006C" w:rsidRPr="0063119B" w:rsidRDefault="002A006C" w:rsidP="00951279">
      <w:pPr>
        <w:keepNext/>
        <w:pBdr>
          <w:top w:val="single" w:sz="4" w:space="1" w:color="auto"/>
          <w:left w:val="single" w:sz="4" w:space="4" w:color="auto"/>
          <w:bottom w:val="single" w:sz="4" w:space="1" w:color="auto"/>
          <w:right w:val="single" w:sz="4" w:space="4" w:color="auto"/>
        </w:pBdr>
        <w:tabs>
          <w:tab w:val="left" w:pos="0"/>
        </w:tabs>
        <w:rPr>
          <w:i/>
          <w:noProof/>
          <w:szCs w:val="22"/>
        </w:rPr>
      </w:pPr>
      <w:r w:rsidRPr="0063119B">
        <w:rPr>
          <w:b/>
          <w:noProof/>
          <w:szCs w:val="22"/>
        </w:rPr>
        <w:t>17.</w:t>
      </w:r>
      <w:r w:rsidRPr="0063119B">
        <w:rPr>
          <w:b/>
          <w:noProof/>
          <w:szCs w:val="22"/>
        </w:rPr>
        <w:tab/>
        <w:t>IDENTIFICADOR ÚNICO – CÓDIGO DE BARRAS 2D</w:t>
      </w:r>
    </w:p>
    <w:p w14:paraId="08E72C86" w14:textId="77777777" w:rsidR="002A006C" w:rsidRPr="0063119B" w:rsidRDefault="002A006C" w:rsidP="00951279">
      <w:pPr>
        <w:rPr>
          <w:noProof/>
          <w:szCs w:val="22"/>
        </w:rPr>
      </w:pPr>
    </w:p>
    <w:p w14:paraId="27A3C834" w14:textId="77777777" w:rsidR="002A006C" w:rsidRDefault="002A006C" w:rsidP="00951279">
      <w:pPr>
        <w:rPr>
          <w:noProof/>
          <w:szCs w:val="22"/>
        </w:rPr>
      </w:pPr>
      <w:r w:rsidRPr="0063119B">
        <w:rPr>
          <w:noProof/>
          <w:szCs w:val="22"/>
          <w:highlight w:val="lightGray"/>
        </w:rPr>
        <w:t>Código de barras 2D com identificador único incluído.</w:t>
      </w:r>
    </w:p>
    <w:p w14:paraId="51443D38" w14:textId="77777777" w:rsidR="00F44978" w:rsidRPr="0063119B" w:rsidRDefault="00F44978" w:rsidP="00951279">
      <w:pPr>
        <w:rPr>
          <w:noProof/>
          <w:szCs w:val="22"/>
          <w:shd w:val="clear" w:color="auto" w:fill="CCCCCC"/>
        </w:rPr>
      </w:pPr>
    </w:p>
    <w:p w14:paraId="41ED6E60" w14:textId="77777777" w:rsidR="002A006C" w:rsidRPr="0063119B" w:rsidRDefault="002A006C" w:rsidP="00951279">
      <w:pPr>
        <w:rPr>
          <w:noProof/>
          <w:szCs w:val="22"/>
          <w:shd w:val="clear" w:color="auto" w:fill="CCCCCC"/>
        </w:rPr>
      </w:pPr>
    </w:p>
    <w:p w14:paraId="4CB03B55" w14:textId="77777777" w:rsidR="002A006C" w:rsidRPr="0063119B" w:rsidRDefault="002A006C" w:rsidP="00951279">
      <w:pPr>
        <w:rPr>
          <w:noProof/>
          <w:vanish/>
          <w:szCs w:val="22"/>
        </w:rPr>
      </w:pPr>
    </w:p>
    <w:p w14:paraId="1FE0F948" w14:textId="77777777" w:rsidR="002A006C" w:rsidRPr="0063119B" w:rsidRDefault="002A006C" w:rsidP="00951279">
      <w:pPr>
        <w:keepNext/>
        <w:keepLines/>
        <w:pBdr>
          <w:top w:val="single" w:sz="4" w:space="1" w:color="auto"/>
          <w:left w:val="single" w:sz="4" w:space="4" w:color="auto"/>
          <w:bottom w:val="single" w:sz="4" w:space="1" w:color="auto"/>
          <w:right w:val="single" w:sz="4" w:space="4" w:color="auto"/>
        </w:pBdr>
        <w:tabs>
          <w:tab w:val="left" w:pos="0"/>
        </w:tabs>
        <w:rPr>
          <w:b/>
          <w:noProof/>
          <w:szCs w:val="22"/>
        </w:rPr>
      </w:pPr>
      <w:r w:rsidRPr="0063119B">
        <w:rPr>
          <w:b/>
          <w:noProof/>
          <w:szCs w:val="22"/>
        </w:rPr>
        <w:t>18.</w:t>
      </w:r>
      <w:r w:rsidRPr="0063119B">
        <w:rPr>
          <w:b/>
          <w:noProof/>
          <w:szCs w:val="22"/>
        </w:rPr>
        <w:tab/>
        <w:t>IDENTIFICADOR ÚNICO - DADOS PARA LEITURA HUMANA</w:t>
      </w:r>
    </w:p>
    <w:p w14:paraId="14C80AFD" w14:textId="77777777" w:rsidR="002A006C" w:rsidRPr="0063119B" w:rsidRDefault="002A006C" w:rsidP="00951279">
      <w:pPr>
        <w:keepNext/>
        <w:keepLines/>
        <w:rPr>
          <w:noProof/>
          <w:szCs w:val="22"/>
        </w:rPr>
      </w:pPr>
    </w:p>
    <w:p w14:paraId="595A387E" w14:textId="77777777" w:rsidR="002A006C" w:rsidRPr="0063119B" w:rsidRDefault="002A006C" w:rsidP="00951279">
      <w:pPr>
        <w:keepNext/>
        <w:keepLines/>
        <w:rPr>
          <w:szCs w:val="22"/>
        </w:rPr>
      </w:pPr>
      <w:r w:rsidRPr="0063119B">
        <w:rPr>
          <w:szCs w:val="22"/>
        </w:rPr>
        <w:t xml:space="preserve">PC </w:t>
      </w:r>
    </w:p>
    <w:p w14:paraId="75361688" w14:textId="77777777" w:rsidR="002A006C" w:rsidRPr="0063119B" w:rsidRDefault="002A006C" w:rsidP="00951279">
      <w:pPr>
        <w:rPr>
          <w:szCs w:val="22"/>
        </w:rPr>
      </w:pPr>
      <w:r w:rsidRPr="0063119B">
        <w:rPr>
          <w:szCs w:val="22"/>
        </w:rPr>
        <w:t xml:space="preserve">SN </w:t>
      </w:r>
    </w:p>
    <w:p w14:paraId="370B5AAA" w14:textId="77777777" w:rsidR="002A006C" w:rsidRPr="0063119B" w:rsidRDefault="002A006C" w:rsidP="00951279">
      <w:pPr>
        <w:rPr>
          <w:szCs w:val="22"/>
        </w:rPr>
      </w:pPr>
      <w:r w:rsidRPr="0063119B">
        <w:rPr>
          <w:szCs w:val="22"/>
        </w:rPr>
        <w:t>NN</w:t>
      </w:r>
    </w:p>
    <w:p w14:paraId="49A1FDF4" w14:textId="77777777" w:rsidR="002A006C" w:rsidRPr="0063119B" w:rsidRDefault="002A006C" w:rsidP="00951279">
      <w:pPr>
        <w:suppressAutoHyphens/>
        <w:ind w:right="14"/>
        <w:rPr>
          <w:noProof/>
          <w:szCs w:val="22"/>
        </w:rPr>
      </w:pPr>
    </w:p>
    <w:p w14:paraId="66985D71" w14:textId="77777777" w:rsidR="00DA0504" w:rsidRPr="0063119B" w:rsidRDefault="00DA0504" w:rsidP="00337111">
      <w:pPr>
        <w:suppressAutoHyphens/>
        <w:ind w:right="14"/>
        <w:rPr>
          <w:noProof/>
          <w:szCs w:val="22"/>
        </w:rPr>
      </w:pPr>
    </w:p>
    <w:p w14:paraId="7E45B627" w14:textId="77777777" w:rsidR="00892082" w:rsidRPr="0063119B" w:rsidRDefault="001E28F4" w:rsidP="000B293C">
      <w:pPr>
        <w:shd w:val="clear" w:color="auto" w:fill="FFFFFF"/>
        <w:suppressAutoHyphens/>
        <w:ind w:right="14"/>
        <w:rPr>
          <w:noProof/>
          <w:szCs w:val="22"/>
        </w:rPr>
      </w:pPr>
      <w:r w:rsidRPr="0063119B">
        <w:rPr>
          <w:noProof/>
          <w:szCs w:val="22"/>
        </w:rPr>
        <w:br w:type="page"/>
      </w:r>
    </w:p>
    <w:p w14:paraId="5369EAE8" w14:textId="77777777" w:rsidR="00892082" w:rsidRPr="0063119B" w:rsidRDefault="00892082" w:rsidP="00951279">
      <w:pPr>
        <w:pBdr>
          <w:top w:val="single" w:sz="4" w:space="1" w:color="auto"/>
          <w:left w:val="single" w:sz="4" w:space="4" w:color="auto"/>
          <w:bottom w:val="single" w:sz="4" w:space="1" w:color="auto"/>
          <w:right w:val="single" w:sz="4" w:space="4" w:color="auto"/>
        </w:pBdr>
        <w:shd w:val="clear" w:color="auto" w:fill="FFFFFF"/>
        <w:suppressAutoHyphens/>
        <w:ind w:right="14"/>
        <w:rPr>
          <w:b/>
          <w:noProof/>
          <w:szCs w:val="22"/>
        </w:rPr>
      </w:pPr>
      <w:r w:rsidRPr="0063119B">
        <w:rPr>
          <w:b/>
          <w:noProof/>
          <w:szCs w:val="22"/>
        </w:rPr>
        <w:lastRenderedPageBreak/>
        <w:t>INDICAÇÕES MÍNIMAS A INCLUIR NAS EMBALAGENS “BLISTER” OU FITAS CONTENTORAS</w:t>
      </w:r>
    </w:p>
    <w:p w14:paraId="2165A01F" w14:textId="77777777" w:rsidR="00892082" w:rsidRPr="0063119B" w:rsidRDefault="00892082" w:rsidP="00951279">
      <w:pPr>
        <w:pBdr>
          <w:top w:val="single" w:sz="4" w:space="1" w:color="auto"/>
          <w:left w:val="single" w:sz="4" w:space="4" w:color="auto"/>
          <w:bottom w:val="single" w:sz="4" w:space="1" w:color="auto"/>
          <w:right w:val="single" w:sz="4" w:space="4" w:color="auto"/>
        </w:pBdr>
        <w:shd w:val="clear" w:color="auto" w:fill="FFFFFF"/>
        <w:suppressAutoHyphens/>
        <w:ind w:right="14"/>
        <w:rPr>
          <w:b/>
          <w:noProof/>
          <w:szCs w:val="22"/>
        </w:rPr>
      </w:pPr>
    </w:p>
    <w:p w14:paraId="52BC96EF" w14:textId="77777777" w:rsidR="00892082" w:rsidRPr="0063119B" w:rsidRDefault="00892082" w:rsidP="00951279">
      <w:pPr>
        <w:pBdr>
          <w:top w:val="single" w:sz="4" w:space="1" w:color="auto"/>
          <w:left w:val="single" w:sz="4" w:space="4" w:color="auto"/>
          <w:bottom w:val="single" w:sz="4" w:space="1" w:color="auto"/>
          <w:right w:val="single" w:sz="4" w:space="4" w:color="auto"/>
        </w:pBdr>
        <w:shd w:val="clear" w:color="auto" w:fill="FFFFFF"/>
        <w:suppressAutoHyphens/>
        <w:ind w:right="14"/>
        <w:rPr>
          <w:b/>
          <w:noProof/>
          <w:szCs w:val="22"/>
        </w:rPr>
      </w:pPr>
      <w:r w:rsidRPr="0063119B">
        <w:rPr>
          <w:b/>
          <w:noProof/>
          <w:szCs w:val="22"/>
        </w:rPr>
        <w:t>BLISTER</w:t>
      </w:r>
      <w:r w:rsidR="009F7E1D" w:rsidRPr="0063119B">
        <w:rPr>
          <w:b/>
          <w:noProof/>
          <w:szCs w:val="22"/>
        </w:rPr>
        <w:t xml:space="preserve"> PARA 10</w:t>
      </w:r>
      <w:r w:rsidR="006A48B7" w:rsidRPr="0063119B">
        <w:rPr>
          <w:b/>
          <w:noProof/>
          <w:szCs w:val="22"/>
        </w:rPr>
        <w:t> </w:t>
      </w:r>
      <w:r w:rsidR="009F7E1D" w:rsidRPr="0063119B">
        <w:rPr>
          <w:b/>
          <w:noProof/>
          <w:szCs w:val="22"/>
        </w:rPr>
        <w:t>MG</w:t>
      </w:r>
    </w:p>
    <w:p w14:paraId="27F72837" w14:textId="77777777" w:rsidR="00892082" w:rsidRPr="0063119B" w:rsidRDefault="00892082" w:rsidP="00951279">
      <w:pPr>
        <w:suppressAutoHyphens/>
        <w:ind w:right="14"/>
        <w:rPr>
          <w:noProof/>
          <w:szCs w:val="22"/>
        </w:rPr>
      </w:pPr>
    </w:p>
    <w:p w14:paraId="4FCE9434" w14:textId="77777777" w:rsidR="00337111" w:rsidRPr="0063119B" w:rsidRDefault="00337111" w:rsidP="00951279">
      <w:pPr>
        <w:suppressAutoHyphens/>
        <w:ind w:right="14"/>
        <w:rPr>
          <w:noProof/>
          <w:szCs w:val="22"/>
        </w:rPr>
      </w:pPr>
    </w:p>
    <w:p w14:paraId="43188102"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1E19F5B5" w14:textId="77777777" w:rsidR="00337111" w:rsidRPr="0063119B" w:rsidRDefault="00337111" w:rsidP="00951279">
      <w:pPr>
        <w:suppressAutoHyphens/>
        <w:ind w:right="14"/>
        <w:rPr>
          <w:noProof/>
          <w:szCs w:val="22"/>
        </w:rPr>
      </w:pPr>
    </w:p>
    <w:p w14:paraId="64F3DB45" w14:textId="77777777" w:rsidR="00337111" w:rsidRPr="001B6FEC" w:rsidRDefault="00607DE4" w:rsidP="00951279">
      <w:pPr>
        <w:suppressAutoHyphens/>
        <w:ind w:right="14"/>
        <w:rPr>
          <w:noProof/>
          <w:szCs w:val="22"/>
        </w:rPr>
      </w:pPr>
      <w:r w:rsidRPr="001B6FEC">
        <w:rPr>
          <w:noProof/>
          <w:szCs w:val="22"/>
        </w:rPr>
        <w:t>Rivaroxabano</w:t>
      </w:r>
      <w:r w:rsidR="001F7D02" w:rsidRPr="001B6FEC">
        <w:rPr>
          <w:noProof/>
          <w:szCs w:val="22"/>
        </w:rPr>
        <w:t xml:space="preserve"> Accord</w:t>
      </w:r>
      <w:r w:rsidR="00337111" w:rsidRPr="001B6FEC">
        <w:rPr>
          <w:noProof/>
          <w:szCs w:val="22"/>
        </w:rPr>
        <w:t xml:space="preserve"> 10</w:t>
      </w:r>
      <w:r w:rsidR="005C1663" w:rsidRPr="001B6FEC">
        <w:rPr>
          <w:noProof/>
          <w:szCs w:val="22"/>
        </w:rPr>
        <w:t> </w:t>
      </w:r>
      <w:r w:rsidR="00337111" w:rsidRPr="001B6FEC">
        <w:rPr>
          <w:noProof/>
          <w:szCs w:val="22"/>
        </w:rPr>
        <w:t>mg comprimidos</w:t>
      </w:r>
    </w:p>
    <w:p w14:paraId="7A2FE0F2" w14:textId="77777777" w:rsidR="00337111" w:rsidRPr="0063119B" w:rsidRDefault="00817948" w:rsidP="00951279">
      <w:pPr>
        <w:suppressAutoHyphens/>
        <w:ind w:right="14"/>
        <w:rPr>
          <w:noProof/>
          <w:szCs w:val="22"/>
        </w:rPr>
      </w:pPr>
      <w:r w:rsidRPr="00394D5E">
        <w:rPr>
          <w:noProof/>
          <w:szCs w:val="22"/>
          <w:highlight w:val="lightGray"/>
        </w:rPr>
        <w:t>r</w:t>
      </w:r>
      <w:r w:rsidR="00337111" w:rsidRPr="00394D5E">
        <w:rPr>
          <w:noProof/>
          <w:szCs w:val="22"/>
          <w:highlight w:val="lightGray"/>
        </w:rPr>
        <w:t>ivaroxabano</w:t>
      </w:r>
    </w:p>
    <w:p w14:paraId="19D59FEC" w14:textId="77777777" w:rsidR="00337111" w:rsidRPr="0063119B" w:rsidRDefault="00337111" w:rsidP="00951279">
      <w:pPr>
        <w:suppressAutoHyphens/>
        <w:ind w:right="14"/>
        <w:rPr>
          <w:noProof/>
          <w:szCs w:val="22"/>
        </w:rPr>
      </w:pPr>
    </w:p>
    <w:p w14:paraId="3364EBE3" w14:textId="77777777" w:rsidR="00337111" w:rsidRPr="0063119B" w:rsidRDefault="00337111" w:rsidP="00951279">
      <w:pPr>
        <w:suppressAutoHyphens/>
        <w:ind w:right="14"/>
        <w:rPr>
          <w:noProof/>
          <w:szCs w:val="22"/>
        </w:rPr>
      </w:pPr>
    </w:p>
    <w:p w14:paraId="41BA446C"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2.</w:t>
      </w:r>
      <w:r w:rsidRPr="0063119B">
        <w:rPr>
          <w:b/>
          <w:noProof/>
          <w:szCs w:val="22"/>
        </w:rPr>
        <w:tab/>
        <w:t>NOME DO TITULAR DA AUTORIZAÇÃO DE INTRODUÇÃO NO MERCADO</w:t>
      </w:r>
    </w:p>
    <w:p w14:paraId="21DFBEB9" w14:textId="77777777" w:rsidR="00337111" w:rsidRPr="0063119B" w:rsidRDefault="00337111" w:rsidP="00951279">
      <w:pPr>
        <w:suppressAutoHyphens/>
        <w:ind w:right="14"/>
        <w:rPr>
          <w:noProof/>
          <w:szCs w:val="22"/>
        </w:rPr>
      </w:pPr>
    </w:p>
    <w:p w14:paraId="1FA490BB" w14:textId="77777777" w:rsidR="00337111" w:rsidRPr="0063119B" w:rsidRDefault="006A48B7" w:rsidP="00951279">
      <w:pPr>
        <w:suppressAutoHyphens/>
        <w:ind w:right="14"/>
        <w:rPr>
          <w:noProof/>
          <w:szCs w:val="22"/>
        </w:rPr>
      </w:pPr>
      <w:r w:rsidRPr="0063119B">
        <w:rPr>
          <w:noProof/>
          <w:szCs w:val="22"/>
        </w:rPr>
        <w:t>Accord</w:t>
      </w:r>
    </w:p>
    <w:p w14:paraId="07512164" w14:textId="77777777" w:rsidR="00337111" w:rsidRPr="0063119B" w:rsidRDefault="00337111" w:rsidP="00951279">
      <w:pPr>
        <w:suppressAutoHyphens/>
        <w:ind w:right="14"/>
        <w:rPr>
          <w:noProof/>
          <w:szCs w:val="22"/>
        </w:rPr>
      </w:pPr>
    </w:p>
    <w:p w14:paraId="4E7AA96E" w14:textId="77777777" w:rsidR="00337111" w:rsidRPr="0063119B" w:rsidRDefault="00337111" w:rsidP="00951279">
      <w:pPr>
        <w:suppressAutoHyphens/>
        <w:ind w:right="14"/>
        <w:rPr>
          <w:noProof/>
          <w:szCs w:val="22"/>
        </w:rPr>
      </w:pPr>
    </w:p>
    <w:p w14:paraId="52C2D254"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PRAZO DE VALIDADE</w:t>
      </w:r>
    </w:p>
    <w:p w14:paraId="170BB38A" w14:textId="77777777" w:rsidR="00337111" w:rsidRPr="0063119B" w:rsidRDefault="00337111" w:rsidP="00951279">
      <w:pPr>
        <w:rPr>
          <w:i/>
          <w:noProof/>
          <w:szCs w:val="22"/>
        </w:rPr>
      </w:pPr>
    </w:p>
    <w:p w14:paraId="36F37280" w14:textId="77777777" w:rsidR="00337111" w:rsidRPr="0063119B" w:rsidRDefault="00337111" w:rsidP="00951279">
      <w:pPr>
        <w:suppressAutoHyphens/>
        <w:rPr>
          <w:noProof/>
          <w:szCs w:val="22"/>
        </w:rPr>
      </w:pPr>
      <w:r w:rsidRPr="0063119B">
        <w:rPr>
          <w:noProof/>
          <w:szCs w:val="22"/>
        </w:rPr>
        <w:t>EXP</w:t>
      </w:r>
    </w:p>
    <w:p w14:paraId="347C6946" w14:textId="77777777" w:rsidR="00337111" w:rsidRPr="0063119B" w:rsidRDefault="00337111" w:rsidP="00951279">
      <w:pPr>
        <w:suppressAutoHyphens/>
        <w:rPr>
          <w:noProof/>
          <w:szCs w:val="22"/>
        </w:rPr>
      </w:pPr>
    </w:p>
    <w:p w14:paraId="23DF74EE" w14:textId="77777777" w:rsidR="00337111" w:rsidRPr="0063119B" w:rsidRDefault="00337111" w:rsidP="00951279">
      <w:pPr>
        <w:suppressAutoHyphens/>
        <w:ind w:right="14"/>
        <w:rPr>
          <w:noProof/>
          <w:szCs w:val="22"/>
        </w:rPr>
      </w:pPr>
    </w:p>
    <w:p w14:paraId="4E958169"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NÚMERO DO LOTE</w:t>
      </w:r>
    </w:p>
    <w:p w14:paraId="589286C3" w14:textId="77777777" w:rsidR="00337111" w:rsidRPr="0063119B" w:rsidRDefault="00337111" w:rsidP="00951279">
      <w:pPr>
        <w:suppressAutoHyphens/>
        <w:ind w:right="14"/>
        <w:rPr>
          <w:noProof/>
          <w:szCs w:val="22"/>
        </w:rPr>
      </w:pPr>
    </w:p>
    <w:p w14:paraId="0848DD15" w14:textId="77777777" w:rsidR="00337111" w:rsidRPr="0063119B" w:rsidRDefault="00337111" w:rsidP="00951279">
      <w:pPr>
        <w:rPr>
          <w:noProof/>
          <w:szCs w:val="22"/>
        </w:rPr>
      </w:pPr>
      <w:r w:rsidRPr="0063119B">
        <w:rPr>
          <w:noProof/>
          <w:szCs w:val="22"/>
        </w:rPr>
        <w:t>Lot</w:t>
      </w:r>
    </w:p>
    <w:p w14:paraId="6E5613DE" w14:textId="77777777" w:rsidR="00337111" w:rsidRPr="0063119B" w:rsidRDefault="00337111" w:rsidP="00951279">
      <w:pPr>
        <w:suppressAutoHyphens/>
        <w:ind w:right="14"/>
        <w:rPr>
          <w:noProof/>
          <w:szCs w:val="22"/>
        </w:rPr>
      </w:pPr>
    </w:p>
    <w:p w14:paraId="7745100D" w14:textId="77777777" w:rsidR="00337111" w:rsidRPr="0063119B" w:rsidRDefault="00337111" w:rsidP="00951279">
      <w:pPr>
        <w:suppressAutoHyphens/>
        <w:ind w:right="14"/>
        <w:rPr>
          <w:noProof/>
          <w:szCs w:val="22"/>
        </w:rPr>
      </w:pPr>
    </w:p>
    <w:p w14:paraId="2F85ABD9"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r>
      <w:r w:rsidRPr="0063119B">
        <w:rPr>
          <w:b/>
          <w:caps/>
          <w:noProof/>
          <w:szCs w:val="22"/>
        </w:rPr>
        <w:t>Outr</w:t>
      </w:r>
      <w:r w:rsidR="00F77696" w:rsidRPr="0063119B">
        <w:rPr>
          <w:b/>
          <w:caps/>
          <w:noProof/>
          <w:szCs w:val="22"/>
        </w:rPr>
        <w:t>O</w:t>
      </w:r>
      <w:r w:rsidRPr="0063119B">
        <w:rPr>
          <w:b/>
          <w:caps/>
          <w:noProof/>
          <w:szCs w:val="22"/>
        </w:rPr>
        <w:t>s</w:t>
      </w:r>
    </w:p>
    <w:p w14:paraId="361E77AD" w14:textId="77777777" w:rsidR="00337111" w:rsidRPr="0063119B" w:rsidRDefault="00337111" w:rsidP="00951279">
      <w:pPr>
        <w:suppressAutoHyphens/>
        <w:ind w:right="14"/>
        <w:rPr>
          <w:noProof/>
          <w:szCs w:val="22"/>
        </w:rPr>
      </w:pPr>
    </w:p>
    <w:p w14:paraId="49E20B81" w14:textId="77777777" w:rsidR="00337111" w:rsidRPr="0063119B" w:rsidRDefault="00337111" w:rsidP="00951279">
      <w:pPr>
        <w:suppressAutoHyphens/>
        <w:ind w:right="14"/>
        <w:rPr>
          <w:noProof/>
          <w:szCs w:val="22"/>
        </w:rPr>
      </w:pPr>
    </w:p>
    <w:p w14:paraId="7FE01DAA" w14:textId="77777777" w:rsidR="00F77696" w:rsidRPr="0063119B" w:rsidRDefault="00337111" w:rsidP="00F77696">
      <w:pPr>
        <w:shd w:val="clear" w:color="auto" w:fill="FFFFFF"/>
        <w:suppressAutoHyphens/>
        <w:ind w:right="14"/>
        <w:rPr>
          <w:noProof/>
          <w:szCs w:val="22"/>
        </w:rPr>
      </w:pPr>
      <w:r w:rsidRPr="0063119B">
        <w:rPr>
          <w:noProof/>
          <w:szCs w:val="22"/>
        </w:rPr>
        <w:br w:type="page"/>
      </w:r>
    </w:p>
    <w:p w14:paraId="53DEFFBD" w14:textId="77777777" w:rsidR="00F77696" w:rsidRPr="0063119B" w:rsidRDefault="00F77696" w:rsidP="00F77696">
      <w:pPr>
        <w:suppressAutoHyphens/>
        <w:ind w:right="14"/>
        <w:rPr>
          <w:b/>
          <w:noProof/>
          <w:szCs w:val="22"/>
        </w:rPr>
      </w:pPr>
    </w:p>
    <w:p w14:paraId="2D05CE9A"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rPr>
          <w:b/>
          <w:noProof/>
          <w:szCs w:val="22"/>
        </w:rPr>
      </w:pPr>
      <w:r w:rsidRPr="0063119B">
        <w:rPr>
          <w:b/>
          <w:noProof/>
          <w:szCs w:val="22"/>
        </w:rPr>
        <w:t>INDICAÇÕES MÍNIMAS A INCLUIR NAS EMBALAGENS “BLISTER” OU FITAS CONTENTORAS</w:t>
      </w:r>
    </w:p>
    <w:p w14:paraId="52D3B4B9"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rPr>
          <w:b/>
          <w:caps/>
          <w:noProof/>
          <w:szCs w:val="22"/>
        </w:rPr>
      </w:pPr>
    </w:p>
    <w:p w14:paraId="1EC901B0"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rPr>
          <w:b/>
          <w:noProof/>
          <w:szCs w:val="22"/>
        </w:rPr>
      </w:pPr>
      <w:r w:rsidRPr="0063119B">
        <w:rPr>
          <w:b/>
          <w:caps/>
          <w:noProof/>
          <w:szCs w:val="22"/>
        </w:rPr>
        <w:t>EMBALAGEM Blister PARA DOSE UNITÁRIA (10 X 1 comprimidos, 100 x 1 COMPRIMIDOS) para 10 mg</w:t>
      </w:r>
    </w:p>
    <w:p w14:paraId="205286AB" w14:textId="77777777" w:rsidR="00F77696" w:rsidRPr="0063119B" w:rsidRDefault="00F77696" w:rsidP="00F77696">
      <w:pPr>
        <w:suppressAutoHyphens/>
        <w:ind w:right="14"/>
        <w:rPr>
          <w:noProof/>
          <w:szCs w:val="22"/>
        </w:rPr>
      </w:pPr>
    </w:p>
    <w:p w14:paraId="19051DC6" w14:textId="77777777" w:rsidR="00F77696" w:rsidRPr="0063119B" w:rsidRDefault="00F77696" w:rsidP="00F77696">
      <w:pPr>
        <w:suppressAutoHyphens/>
        <w:ind w:right="14"/>
        <w:rPr>
          <w:noProof/>
          <w:szCs w:val="22"/>
        </w:rPr>
      </w:pPr>
    </w:p>
    <w:p w14:paraId="7453EBA0"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528349E4" w14:textId="77777777" w:rsidR="00F77696" w:rsidRPr="0063119B" w:rsidRDefault="00F77696" w:rsidP="00F77696">
      <w:pPr>
        <w:suppressAutoHyphens/>
        <w:ind w:right="14"/>
        <w:rPr>
          <w:noProof/>
          <w:szCs w:val="22"/>
        </w:rPr>
      </w:pPr>
    </w:p>
    <w:p w14:paraId="11B697E8" w14:textId="77777777" w:rsidR="00F77696" w:rsidRPr="001B6FEC" w:rsidRDefault="00607DE4" w:rsidP="00F77696">
      <w:pPr>
        <w:suppressAutoHyphens/>
        <w:ind w:right="14"/>
        <w:rPr>
          <w:noProof/>
          <w:szCs w:val="22"/>
        </w:rPr>
      </w:pPr>
      <w:r w:rsidRPr="001B6FEC">
        <w:rPr>
          <w:noProof/>
          <w:szCs w:val="22"/>
        </w:rPr>
        <w:t>Rivaroxabano</w:t>
      </w:r>
      <w:r w:rsidR="00F77696" w:rsidRPr="001B6FEC">
        <w:rPr>
          <w:noProof/>
          <w:szCs w:val="22"/>
        </w:rPr>
        <w:t xml:space="preserve"> Accord 10 mg comprimidos</w:t>
      </w:r>
    </w:p>
    <w:p w14:paraId="24EE5E39" w14:textId="77777777" w:rsidR="00F77696" w:rsidRPr="0063119B" w:rsidRDefault="00F77696" w:rsidP="00F77696">
      <w:pPr>
        <w:suppressAutoHyphens/>
        <w:ind w:right="14"/>
        <w:rPr>
          <w:noProof/>
          <w:szCs w:val="22"/>
        </w:rPr>
      </w:pPr>
    </w:p>
    <w:p w14:paraId="67A17A5C" w14:textId="77777777" w:rsidR="00F77696" w:rsidRPr="0063119B" w:rsidRDefault="00F77696" w:rsidP="00F77696">
      <w:pPr>
        <w:suppressAutoHyphens/>
        <w:ind w:right="14"/>
        <w:rPr>
          <w:noProof/>
          <w:szCs w:val="22"/>
        </w:rPr>
      </w:pPr>
    </w:p>
    <w:p w14:paraId="38E00A77"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2.</w:t>
      </w:r>
      <w:r w:rsidRPr="0063119B">
        <w:rPr>
          <w:b/>
          <w:noProof/>
          <w:szCs w:val="22"/>
        </w:rPr>
        <w:tab/>
        <w:t>NOME DO TITULAR DA AUTORIZAÇÃO DE INTRODUÇÃO NO MERCADO</w:t>
      </w:r>
    </w:p>
    <w:p w14:paraId="05FE586B" w14:textId="77777777" w:rsidR="00F77696" w:rsidRPr="0063119B" w:rsidRDefault="00F77696" w:rsidP="00F77696">
      <w:pPr>
        <w:suppressAutoHyphens/>
        <w:ind w:right="14"/>
        <w:rPr>
          <w:noProof/>
          <w:szCs w:val="22"/>
        </w:rPr>
      </w:pPr>
    </w:p>
    <w:p w14:paraId="0992A48A" w14:textId="77777777" w:rsidR="00F77696" w:rsidRPr="0063119B" w:rsidRDefault="00F77696" w:rsidP="00F77696">
      <w:pPr>
        <w:suppressAutoHyphens/>
        <w:ind w:right="14"/>
        <w:rPr>
          <w:noProof/>
          <w:szCs w:val="22"/>
        </w:rPr>
      </w:pPr>
      <w:r w:rsidRPr="0063119B">
        <w:rPr>
          <w:noProof/>
          <w:szCs w:val="22"/>
        </w:rPr>
        <w:t>Accord</w:t>
      </w:r>
    </w:p>
    <w:p w14:paraId="59BF074A" w14:textId="77777777" w:rsidR="00F77696" w:rsidRPr="0063119B" w:rsidRDefault="00F77696" w:rsidP="00F77696">
      <w:pPr>
        <w:suppressAutoHyphens/>
        <w:ind w:right="14"/>
        <w:rPr>
          <w:noProof/>
          <w:szCs w:val="22"/>
        </w:rPr>
      </w:pPr>
    </w:p>
    <w:p w14:paraId="108794D3" w14:textId="77777777" w:rsidR="00F77696" w:rsidRPr="0063119B" w:rsidRDefault="00F77696" w:rsidP="00F77696">
      <w:pPr>
        <w:suppressAutoHyphens/>
        <w:ind w:right="14"/>
        <w:rPr>
          <w:noProof/>
          <w:szCs w:val="22"/>
        </w:rPr>
      </w:pPr>
    </w:p>
    <w:p w14:paraId="3C652E8E"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PRAZO DE VALIDADE</w:t>
      </w:r>
    </w:p>
    <w:p w14:paraId="10B7D781" w14:textId="77777777" w:rsidR="00F77696" w:rsidRPr="0063119B" w:rsidRDefault="00F77696" w:rsidP="00F77696">
      <w:pPr>
        <w:rPr>
          <w:i/>
          <w:noProof/>
          <w:szCs w:val="22"/>
        </w:rPr>
      </w:pPr>
    </w:p>
    <w:p w14:paraId="77D32223" w14:textId="77777777" w:rsidR="00F77696" w:rsidRPr="0063119B" w:rsidRDefault="00F77696" w:rsidP="00F77696">
      <w:pPr>
        <w:suppressAutoHyphens/>
        <w:rPr>
          <w:noProof/>
          <w:szCs w:val="22"/>
        </w:rPr>
      </w:pPr>
      <w:r w:rsidRPr="0063119B">
        <w:rPr>
          <w:noProof/>
          <w:szCs w:val="22"/>
        </w:rPr>
        <w:t>EXP</w:t>
      </w:r>
    </w:p>
    <w:p w14:paraId="79D19458" w14:textId="77777777" w:rsidR="00F77696" w:rsidRPr="0063119B" w:rsidRDefault="00F77696" w:rsidP="00F77696">
      <w:pPr>
        <w:suppressAutoHyphens/>
        <w:rPr>
          <w:noProof/>
          <w:szCs w:val="22"/>
        </w:rPr>
      </w:pPr>
    </w:p>
    <w:p w14:paraId="7834E914" w14:textId="77777777" w:rsidR="00F77696" w:rsidRPr="0063119B" w:rsidRDefault="00F77696" w:rsidP="00F77696">
      <w:pPr>
        <w:suppressAutoHyphens/>
        <w:ind w:right="14"/>
        <w:rPr>
          <w:noProof/>
          <w:szCs w:val="22"/>
        </w:rPr>
      </w:pPr>
    </w:p>
    <w:p w14:paraId="20DEA0E0"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NÚMERO DO LOTE</w:t>
      </w:r>
    </w:p>
    <w:p w14:paraId="17CE678D" w14:textId="77777777" w:rsidR="00F77696" w:rsidRPr="0063119B" w:rsidRDefault="00F77696" w:rsidP="00F77696">
      <w:pPr>
        <w:suppressAutoHyphens/>
        <w:ind w:right="14"/>
        <w:rPr>
          <w:noProof/>
          <w:szCs w:val="22"/>
        </w:rPr>
      </w:pPr>
    </w:p>
    <w:p w14:paraId="64674C36" w14:textId="77777777" w:rsidR="00F77696" w:rsidRPr="0063119B" w:rsidRDefault="00F77696" w:rsidP="00F77696">
      <w:pPr>
        <w:rPr>
          <w:noProof/>
          <w:szCs w:val="22"/>
        </w:rPr>
      </w:pPr>
      <w:r w:rsidRPr="0063119B">
        <w:rPr>
          <w:noProof/>
          <w:szCs w:val="22"/>
        </w:rPr>
        <w:t>Lot</w:t>
      </w:r>
    </w:p>
    <w:p w14:paraId="69E39219" w14:textId="77777777" w:rsidR="00F77696" w:rsidRPr="0063119B" w:rsidRDefault="00F77696" w:rsidP="00F77696">
      <w:pPr>
        <w:suppressAutoHyphens/>
        <w:ind w:right="14"/>
        <w:rPr>
          <w:noProof/>
          <w:szCs w:val="22"/>
        </w:rPr>
      </w:pPr>
    </w:p>
    <w:p w14:paraId="5A68CB28" w14:textId="77777777" w:rsidR="00F77696" w:rsidRPr="0063119B" w:rsidRDefault="00F77696" w:rsidP="00F77696">
      <w:pPr>
        <w:suppressAutoHyphens/>
        <w:ind w:right="14"/>
        <w:rPr>
          <w:noProof/>
          <w:szCs w:val="22"/>
        </w:rPr>
      </w:pPr>
    </w:p>
    <w:p w14:paraId="0146A3F6"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r>
      <w:r w:rsidRPr="0063119B">
        <w:rPr>
          <w:b/>
          <w:caps/>
          <w:noProof/>
          <w:szCs w:val="22"/>
        </w:rPr>
        <w:t>Outros</w:t>
      </w:r>
    </w:p>
    <w:p w14:paraId="0E0CD376" w14:textId="77777777" w:rsidR="00F77696" w:rsidRPr="0063119B" w:rsidRDefault="00F77696" w:rsidP="00F77696">
      <w:pPr>
        <w:suppressAutoHyphens/>
        <w:ind w:right="14"/>
        <w:rPr>
          <w:noProof/>
          <w:szCs w:val="22"/>
        </w:rPr>
      </w:pPr>
    </w:p>
    <w:p w14:paraId="1D190719" w14:textId="77777777" w:rsidR="00F77696" w:rsidRPr="0063119B" w:rsidRDefault="00F77696" w:rsidP="00F77696">
      <w:pPr>
        <w:suppressAutoHyphens/>
        <w:ind w:right="14"/>
        <w:rPr>
          <w:noProof/>
          <w:szCs w:val="22"/>
        </w:rPr>
      </w:pPr>
    </w:p>
    <w:p w14:paraId="64321605" w14:textId="77777777" w:rsidR="00F77696" w:rsidRPr="0063119B" w:rsidRDefault="00F77696" w:rsidP="00F77696">
      <w:pPr>
        <w:shd w:val="clear" w:color="auto" w:fill="FFFFFF"/>
        <w:suppressAutoHyphens/>
        <w:ind w:right="14"/>
        <w:rPr>
          <w:b/>
          <w:noProof/>
          <w:szCs w:val="22"/>
        </w:rPr>
      </w:pPr>
      <w:r w:rsidRPr="0063119B">
        <w:rPr>
          <w:noProof/>
          <w:szCs w:val="22"/>
        </w:rPr>
        <w:br w:type="page"/>
      </w:r>
    </w:p>
    <w:p w14:paraId="7083AE65"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rPr>
          <w:b/>
          <w:noProof/>
          <w:szCs w:val="22"/>
        </w:rPr>
      </w:pPr>
      <w:r w:rsidRPr="0063119B">
        <w:rPr>
          <w:b/>
          <w:noProof/>
          <w:szCs w:val="22"/>
        </w:rPr>
        <w:lastRenderedPageBreak/>
        <w:t>INDICAÇÕES MÍNIMAS A INCLUIR NAS EMBALAGENS “BLISTER” OU FITAS CONTENTORAS</w:t>
      </w:r>
    </w:p>
    <w:p w14:paraId="06C6427E"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rPr>
          <w:b/>
          <w:caps/>
          <w:noProof/>
          <w:szCs w:val="22"/>
        </w:rPr>
      </w:pPr>
    </w:p>
    <w:p w14:paraId="7EF1A187" w14:textId="77777777" w:rsidR="00F77696" w:rsidRPr="0063119B" w:rsidRDefault="00F77696" w:rsidP="000B293C">
      <w:pPr>
        <w:pBdr>
          <w:top w:val="single" w:sz="4" w:space="1" w:color="auto"/>
          <w:left w:val="single" w:sz="4" w:space="4" w:color="auto"/>
          <w:bottom w:val="single" w:sz="4" w:space="1" w:color="auto"/>
          <w:right w:val="single" w:sz="4" w:space="4" w:color="auto"/>
        </w:pBdr>
        <w:suppressAutoHyphens/>
        <w:rPr>
          <w:noProof/>
          <w:szCs w:val="22"/>
        </w:rPr>
      </w:pPr>
      <w:r w:rsidRPr="0063119B">
        <w:rPr>
          <w:b/>
          <w:caps/>
          <w:noProof/>
          <w:szCs w:val="22"/>
        </w:rPr>
        <w:t>Blister para 10 mg (EMBALAGEM CALENDÁRIO</w:t>
      </w:r>
      <w:r w:rsidR="005C1663" w:rsidRPr="0063119B">
        <w:rPr>
          <w:b/>
          <w:caps/>
          <w:noProof/>
          <w:szCs w:val="22"/>
        </w:rPr>
        <w:t xml:space="preserve"> - 14 COMPRIMIDOS)</w:t>
      </w:r>
    </w:p>
    <w:p w14:paraId="16CEBC5F" w14:textId="77777777" w:rsidR="00F77696" w:rsidRPr="0063119B" w:rsidRDefault="00F77696" w:rsidP="00F77696">
      <w:pPr>
        <w:suppressAutoHyphens/>
        <w:ind w:right="14"/>
        <w:rPr>
          <w:noProof/>
          <w:szCs w:val="22"/>
        </w:rPr>
      </w:pPr>
    </w:p>
    <w:p w14:paraId="141D3399"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3F513911" w14:textId="77777777" w:rsidR="00F77696" w:rsidRPr="0063119B" w:rsidRDefault="00F77696" w:rsidP="00F77696">
      <w:pPr>
        <w:suppressAutoHyphens/>
        <w:ind w:right="14"/>
        <w:rPr>
          <w:noProof/>
          <w:szCs w:val="22"/>
        </w:rPr>
      </w:pPr>
    </w:p>
    <w:p w14:paraId="2A071BC4" w14:textId="77777777" w:rsidR="00F77696" w:rsidRPr="001B6FEC" w:rsidRDefault="00607DE4" w:rsidP="00F77696">
      <w:pPr>
        <w:suppressAutoHyphens/>
        <w:ind w:right="14"/>
        <w:rPr>
          <w:noProof/>
          <w:szCs w:val="22"/>
        </w:rPr>
      </w:pPr>
      <w:r w:rsidRPr="001B6FEC">
        <w:rPr>
          <w:noProof/>
          <w:szCs w:val="22"/>
        </w:rPr>
        <w:t>Rivaroxabano</w:t>
      </w:r>
      <w:r w:rsidR="00F77696" w:rsidRPr="001B6FEC">
        <w:rPr>
          <w:noProof/>
          <w:szCs w:val="22"/>
        </w:rPr>
        <w:t xml:space="preserve"> Accord 10 mg comprimidos</w:t>
      </w:r>
    </w:p>
    <w:p w14:paraId="6DC0F8D4" w14:textId="77777777" w:rsidR="00F77696" w:rsidRPr="001B6FEC" w:rsidRDefault="00F77696" w:rsidP="00F77696">
      <w:pPr>
        <w:suppressAutoHyphens/>
        <w:ind w:right="14"/>
        <w:rPr>
          <w:noProof/>
          <w:szCs w:val="22"/>
        </w:rPr>
      </w:pPr>
      <w:r w:rsidRPr="001B6FEC">
        <w:rPr>
          <w:noProof/>
          <w:szCs w:val="22"/>
          <w:highlight w:val="lightGray"/>
        </w:rPr>
        <w:t>rivaroxabano</w:t>
      </w:r>
    </w:p>
    <w:p w14:paraId="1F16D9EC" w14:textId="77777777" w:rsidR="00F77696" w:rsidRPr="001B6FEC" w:rsidRDefault="00F77696" w:rsidP="00F77696">
      <w:pPr>
        <w:suppressAutoHyphens/>
        <w:ind w:right="14"/>
        <w:rPr>
          <w:noProof/>
          <w:szCs w:val="22"/>
        </w:rPr>
      </w:pPr>
    </w:p>
    <w:p w14:paraId="4AB304C8" w14:textId="77777777" w:rsidR="00F77696" w:rsidRPr="001B6FEC" w:rsidRDefault="00F77696" w:rsidP="00F77696">
      <w:pPr>
        <w:suppressAutoHyphens/>
        <w:ind w:right="14"/>
        <w:rPr>
          <w:noProof/>
          <w:szCs w:val="22"/>
        </w:rPr>
      </w:pPr>
    </w:p>
    <w:p w14:paraId="50CB4286"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2.</w:t>
      </w:r>
      <w:r w:rsidRPr="0063119B">
        <w:rPr>
          <w:b/>
          <w:noProof/>
          <w:szCs w:val="22"/>
        </w:rPr>
        <w:tab/>
        <w:t>NOME DO TITULAR DA AUTORIZAÇÃO DE INTRODUÇÃO NO MERCADO</w:t>
      </w:r>
    </w:p>
    <w:p w14:paraId="20C3EEAA" w14:textId="77777777" w:rsidR="00F77696" w:rsidRPr="0063119B" w:rsidRDefault="00F77696" w:rsidP="00F77696">
      <w:pPr>
        <w:suppressAutoHyphens/>
        <w:ind w:right="14"/>
        <w:rPr>
          <w:noProof/>
          <w:szCs w:val="22"/>
        </w:rPr>
      </w:pPr>
    </w:p>
    <w:p w14:paraId="17A7BD63" w14:textId="77777777" w:rsidR="00F77696" w:rsidRPr="0063119B" w:rsidRDefault="00F77696" w:rsidP="00F77696">
      <w:pPr>
        <w:suppressAutoHyphens/>
        <w:ind w:right="14"/>
        <w:rPr>
          <w:noProof/>
          <w:szCs w:val="22"/>
        </w:rPr>
      </w:pPr>
      <w:r w:rsidRPr="0063119B">
        <w:rPr>
          <w:noProof/>
          <w:szCs w:val="22"/>
        </w:rPr>
        <w:t>Accord</w:t>
      </w:r>
    </w:p>
    <w:p w14:paraId="19193956" w14:textId="77777777" w:rsidR="00F77696" w:rsidRPr="0063119B" w:rsidRDefault="00F77696" w:rsidP="00F77696">
      <w:pPr>
        <w:suppressAutoHyphens/>
        <w:ind w:right="14"/>
        <w:rPr>
          <w:noProof/>
          <w:szCs w:val="22"/>
        </w:rPr>
      </w:pPr>
    </w:p>
    <w:p w14:paraId="77B95ED2" w14:textId="77777777" w:rsidR="00F77696" w:rsidRPr="0063119B" w:rsidRDefault="00F77696" w:rsidP="00F77696">
      <w:pPr>
        <w:suppressAutoHyphens/>
        <w:ind w:right="14"/>
        <w:rPr>
          <w:noProof/>
          <w:szCs w:val="22"/>
        </w:rPr>
      </w:pPr>
    </w:p>
    <w:p w14:paraId="1D77A28A"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PRAZO DE VALIDADE</w:t>
      </w:r>
    </w:p>
    <w:p w14:paraId="11A3528A" w14:textId="77777777" w:rsidR="00F77696" w:rsidRPr="0063119B" w:rsidRDefault="00F77696" w:rsidP="00F77696">
      <w:pPr>
        <w:rPr>
          <w:i/>
          <w:noProof/>
          <w:szCs w:val="22"/>
        </w:rPr>
      </w:pPr>
    </w:p>
    <w:p w14:paraId="41A239C5" w14:textId="77777777" w:rsidR="00F77696" w:rsidRPr="0063119B" w:rsidRDefault="00F77696" w:rsidP="00F77696">
      <w:pPr>
        <w:suppressAutoHyphens/>
        <w:rPr>
          <w:noProof/>
          <w:szCs w:val="22"/>
        </w:rPr>
      </w:pPr>
      <w:r w:rsidRPr="0063119B">
        <w:rPr>
          <w:noProof/>
          <w:szCs w:val="22"/>
        </w:rPr>
        <w:t>EXP</w:t>
      </w:r>
    </w:p>
    <w:p w14:paraId="078F18E8" w14:textId="77777777" w:rsidR="00F77696" w:rsidRPr="0063119B" w:rsidRDefault="00F77696" w:rsidP="00F77696">
      <w:pPr>
        <w:suppressAutoHyphens/>
        <w:rPr>
          <w:noProof/>
          <w:szCs w:val="22"/>
        </w:rPr>
      </w:pPr>
    </w:p>
    <w:p w14:paraId="17BB23B2" w14:textId="77777777" w:rsidR="00F77696" w:rsidRPr="0063119B" w:rsidRDefault="00F77696" w:rsidP="00F77696">
      <w:pPr>
        <w:suppressAutoHyphens/>
        <w:ind w:right="14"/>
        <w:rPr>
          <w:noProof/>
          <w:szCs w:val="22"/>
        </w:rPr>
      </w:pPr>
    </w:p>
    <w:p w14:paraId="01552BF9"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NÚMERO DO LOTE</w:t>
      </w:r>
    </w:p>
    <w:p w14:paraId="3B84ADCC" w14:textId="77777777" w:rsidR="00F77696" w:rsidRPr="0063119B" w:rsidRDefault="00F77696" w:rsidP="00F77696">
      <w:pPr>
        <w:suppressAutoHyphens/>
        <w:ind w:right="14"/>
        <w:rPr>
          <w:noProof/>
          <w:szCs w:val="22"/>
        </w:rPr>
      </w:pPr>
    </w:p>
    <w:p w14:paraId="6C0C49BE" w14:textId="77777777" w:rsidR="00F77696" w:rsidRPr="0063119B" w:rsidRDefault="00F77696" w:rsidP="00F77696">
      <w:pPr>
        <w:rPr>
          <w:noProof/>
          <w:szCs w:val="22"/>
        </w:rPr>
      </w:pPr>
      <w:r w:rsidRPr="0063119B">
        <w:rPr>
          <w:noProof/>
          <w:szCs w:val="22"/>
        </w:rPr>
        <w:t>Lot</w:t>
      </w:r>
    </w:p>
    <w:p w14:paraId="2E75F323" w14:textId="77777777" w:rsidR="00F77696" w:rsidRPr="0063119B" w:rsidRDefault="00F77696" w:rsidP="00F77696">
      <w:pPr>
        <w:suppressAutoHyphens/>
        <w:ind w:right="14"/>
        <w:rPr>
          <w:noProof/>
          <w:szCs w:val="22"/>
        </w:rPr>
      </w:pPr>
    </w:p>
    <w:p w14:paraId="7DFD5BF4" w14:textId="77777777" w:rsidR="00F77696" w:rsidRPr="0063119B" w:rsidRDefault="00F77696" w:rsidP="00F77696">
      <w:pPr>
        <w:suppressAutoHyphens/>
        <w:ind w:right="14"/>
        <w:rPr>
          <w:noProof/>
          <w:szCs w:val="22"/>
        </w:rPr>
      </w:pPr>
    </w:p>
    <w:p w14:paraId="7BBDA276" w14:textId="77777777" w:rsidR="00F77696" w:rsidRPr="0063119B" w:rsidRDefault="00F77696" w:rsidP="00F77696">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r>
      <w:r w:rsidRPr="0063119B">
        <w:rPr>
          <w:b/>
          <w:caps/>
          <w:noProof/>
          <w:szCs w:val="22"/>
        </w:rPr>
        <w:t>OutrOs</w:t>
      </w:r>
    </w:p>
    <w:p w14:paraId="350E8EC4" w14:textId="77777777" w:rsidR="00F77696" w:rsidRPr="0063119B" w:rsidRDefault="00F77696" w:rsidP="00F77696">
      <w:pPr>
        <w:suppressAutoHyphens/>
        <w:ind w:right="14"/>
        <w:rPr>
          <w:noProof/>
          <w:szCs w:val="22"/>
        </w:rPr>
      </w:pPr>
    </w:p>
    <w:p w14:paraId="0A87BF76" w14:textId="77777777" w:rsidR="00F77696" w:rsidRPr="0063119B" w:rsidRDefault="00F77696" w:rsidP="00F77696">
      <w:pPr>
        <w:suppressAutoHyphens/>
        <w:ind w:right="14"/>
        <w:rPr>
          <w:noProof/>
          <w:szCs w:val="22"/>
        </w:rPr>
      </w:pPr>
      <w:r w:rsidRPr="0063119B">
        <w:rPr>
          <w:noProof/>
          <w:szCs w:val="22"/>
        </w:rPr>
        <w:t>Seg</w:t>
      </w:r>
    </w:p>
    <w:p w14:paraId="14C8C592" w14:textId="77777777" w:rsidR="00F77696" w:rsidRPr="0063119B" w:rsidRDefault="00F77696" w:rsidP="00F77696">
      <w:pPr>
        <w:suppressAutoHyphens/>
        <w:ind w:right="14"/>
        <w:rPr>
          <w:noProof/>
          <w:szCs w:val="22"/>
        </w:rPr>
      </w:pPr>
      <w:r w:rsidRPr="0063119B">
        <w:rPr>
          <w:noProof/>
          <w:szCs w:val="22"/>
        </w:rPr>
        <w:t>Ter</w:t>
      </w:r>
    </w:p>
    <w:p w14:paraId="75503240" w14:textId="77777777" w:rsidR="00F77696" w:rsidRPr="0063119B" w:rsidRDefault="00F77696" w:rsidP="00F77696">
      <w:pPr>
        <w:suppressAutoHyphens/>
        <w:ind w:right="14"/>
        <w:rPr>
          <w:noProof/>
          <w:szCs w:val="22"/>
        </w:rPr>
      </w:pPr>
      <w:r w:rsidRPr="0063119B">
        <w:rPr>
          <w:noProof/>
          <w:szCs w:val="22"/>
        </w:rPr>
        <w:t>Qua</w:t>
      </w:r>
    </w:p>
    <w:p w14:paraId="20A4B4A4" w14:textId="77777777" w:rsidR="00F77696" w:rsidRPr="0063119B" w:rsidRDefault="00F77696" w:rsidP="00F77696">
      <w:pPr>
        <w:suppressAutoHyphens/>
        <w:ind w:right="14"/>
        <w:rPr>
          <w:noProof/>
          <w:szCs w:val="22"/>
        </w:rPr>
      </w:pPr>
      <w:r w:rsidRPr="0063119B">
        <w:rPr>
          <w:noProof/>
          <w:szCs w:val="22"/>
        </w:rPr>
        <w:t>Qui</w:t>
      </w:r>
    </w:p>
    <w:p w14:paraId="69B2C6ED" w14:textId="77777777" w:rsidR="00F77696" w:rsidRPr="0063119B" w:rsidRDefault="00F77696" w:rsidP="00F77696">
      <w:pPr>
        <w:suppressAutoHyphens/>
        <w:ind w:right="14"/>
        <w:rPr>
          <w:noProof/>
          <w:szCs w:val="22"/>
        </w:rPr>
      </w:pPr>
      <w:r w:rsidRPr="0063119B">
        <w:rPr>
          <w:noProof/>
          <w:szCs w:val="22"/>
        </w:rPr>
        <w:t>Sex</w:t>
      </w:r>
    </w:p>
    <w:p w14:paraId="0A8659A7" w14:textId="77777777" w:rsidR="00F77696" w:rsidRPr="0063119B" w:rsidRDefault="00F77696" w:rsidP="00F77696">
      <w:pPr>
        <w:suppressAutoHyphens/>
        <w:ind w:right="14"/>
        <w:rPr>
          <w:noProof/>
          <w:szCs w:val="22"/>
        </w:rPr>
      </w:pPr>
      <w:r w:rsidRPr="0063119B">
        <w:rPr>
          <w:noProof/>
          <w:szCs w:val="22"/>
        </w:rPr>
        <w:t>Sab</w:t>
      </w:r>
    </w:p>
    <w:p w14:paraId="5F2A1031" w14:textId="77777777" w:rsidR="00F77696" w:rsidRPr="0063119B" w:rsidRDefault="00F77696" w:rsidP="00F77696">
      <w:pPr>
        <w:suppressAutoHyphens/>
        <w:ind w:right="14"/>
        <w:rPr>
          <w:noProof/>
          <w:szCs w:val="22"/>
        </w:rPr>
      </w:pPr>
      <w:r w:rsidRPr="0063119B">
        <w:rPr>
          <w:noProof/>
          <w:szCs w:val="22"/>
        </w:rPr>
        <w:t>Dom</w:t>
      </w:r>
    </w:p>
    <w:p w14:paraId="6BBC0E4D" w14:textId="77777777" w:rsidR="00F77696" w:rsidRPr="0063119B" w:rsidRDefault="00F77696" w:rsidP="00F77696">
      <w:pPr>
        <w:suppressAutoHyphens/>
        <w:ind w:right="14"/>
        <w:rPr>
          <w:noProof/>
          <w:szCs w:val="22"/>
        </w:rPr>
      </w:pPr>
    </w:p>
    <w:p w14:paraId="287D8C65" w14:textId="77777777" w:rsidR="00663928" w:rsidRPr="0063119B" w:rsidRDefault="00663928" w:rsidP="00951279">
      <w:pPr>
        <w:suppressAutoHyphens/>
        <w:ind w:right="14"/>
        <w:rPr>
          <w:noProof/>
          <w:szCs w:val="22"/>
        </w:rPr>
      </w:pPr>
      <w:r w:rsidRPr="0063119B">
        <w:rPr>
          <w:noProof/>
          <w:szCs w:val="22"/>
        </w:rPr>
        <w:br w:type="page"/>
      </w:r>
    </w:p>
    <w:p w14:paraId="737FD23C" w14:textId="77777777" w:rsidR="00663928" w:rsidRPr="0063119B" w:rsidRDefault="00663928" w:rsidP="00951279">
      <w:pPr>
        <w:pBdr>
          <w:top w:val="single" w:sz="4" w:space="1" w:color="auto"/>
          <w:left w:val="single" w:sz="4" w:space="4" w:color="auto"/>
          <w:bottom w:val="single" w:sz="4" w:space="1" w:color="auto"/>
          <w:right w:val="single" w:sz="4" w:space="4" w:color="auto"/>
        </w:pBdr>
        <w:suppressAutoHyphens/>
        <w:rPr>
          <w:b/>
          <w:caps/>
          <w:noProof/>
          <w:szCs w:val="22"/>
        </w:rPr>
      </w:pPr>
      <w:r w:rsidRPr="0063119B">
        <w:rPr>
          <w:b/>
          <w:noProof/>
          <w:szCs w:val="22"/>
        </w:rPr>
        <w:lastRenderedPageBreak/>
        <w:t xml:space="preserve">INDICAÇÕES A INCLUIR </w:t>
      </w:r>
      <w:r w:rsidRPr="0063119B">
        <w:rPr>
          <w:b/>
          <w:caps/>
          <w:noProof/>
          <w:szCs w:val="22"/>
        </w:rPr>
        <w:t>no acondicionamento secundário e NO ACONDICIONAMENTO PRIMÁRIO</w:t>
      </w:r>
    </w:p>
    <w:p w14:paraId="09B135F2" w14:textId="77777777" w:rsidR="00663928" w:rsidRPr="0063119B" w:rsidRDefault="00663928" w:rsidP="00951279">
      <w:pPr>
        <w:pBdr>
          <w:top w:val="single" w:sz="4" w:space="1" w:color="auto"/>
          <w:left w:val="single" w:sz="4" w:space="4" w:color="auto"/>
          <w:bottom w:val="single" w:sz="4" w:space="1" w:color="auto"/>
          <w:right w:val="single" w:sz="4" w:space="4" w:color="auto"/>
        </w:pBdr>
        <w:suppressAutoHyphens/>
        <w:rPr>
          <w:b/>
          <w:caps/>
          <w:noProof/>
          <w:szCs w:val="22"/>
        </w:rPr>
      </w:pPr>
    </w:p>
    <w:p w14:paraId="6E6F38FD" w14:textId="77777777" w:rsidR="00663928" w:rsidRPr="0063119B" w:rsidRDefault="00663928" w:rsidP="00951279">
      <w:pPr>
        <w:pBdr>
          <w:top w:val="single" w:sz="4" w:space="1" w:color="auto"/>
          <w:left w:val="single" w:sz="4" w:space="4" w:color="auto"/>
          <w:bottom w:val="single" w:sz="4" w:space="1" w:color="auto"/>
          <w:right w:val="single" w:sz="4" w:space="4" w:color="auto"/>
        </w:pBdr>
        <w:suppressAutoHyphens/>
        <w:rPr>
          <w:b/>
          <w:caps/>
          <w:noProof/>
          <w:szCs w:val="22"/>
        </w:rPr>
      </w:pPr>
      <w:r w:rsidRPr="0063119B">
        <w:rPr>
          <w:b/>
          <w:caps/>
          <w:noProof/>
          <w:szCs w:val="22"/>
        </w:rPr>
        <w:t>Embalagem EXTERIOR e RÓTULO PARA FRASCOS DE PEAD PARA 10 MG</w:t>
      </w:r>
    </w:p>
    <w:p w14:paraId="3BEA24F7" w14:textId="77777777" w:rsidR="00663928" w:rsidRPr="0063119B" w:rsidRDefault="00663928" w:rsidP="00951279">
      <w:pPr>
        <w:suppressAutoHyphens/>
        <w:ind w:right="14"/>
        <w:rPr>
          <w:noProof/>
          <w:szCs w:val="22"/>
        </w:rPr>
      </w:pPr>
    </w:p>
    <w:p w14:paraId="2098F6AB" w14:textId="77777777" w:rsidR="00663928" w:rsidRPr="0063119B" w:rsidRDefault="00663928" w:rsidP="00951279">
      <w:pPr>
        <w:suppressAutoHyphens/>
        <w:ind w:right="14"/>
        <w:rPr>
          <w:noProof/>
          <w:szCs w:val="22"/>
        </w:rPr>
      </w:pPr>
    </w:p>
    <w:p w14:paraId="273BB6EB" w14:textId="77777777" w:rsidR="00663928" w:rsidRPr="0063119B" w:rsidRDefault="00663928"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38E52313" w14:textId="77777777" w:rsidR="00663928" w:rsidRPr="0063119B" w:rsidRDefault="00663928" w:rsidP="00951279">
      <w:pPr>
        <w:suppressAutoHyphens/>
        <w:ind w:right="14"/>
        <w:rPr>
          <w:noProof/>
          <w:szCs w:val="22"/>
        </w:rPr>
      </w:pPr>
    </w:p>
    <w:p w14:paraId="497F513D" w14:textId="77777777" w:rsidR="00663928" w:rsidRPr="0063119B" w:rsidRDefault="00607DE4" w:rsidP="00951279">
      <w:pPr>
        <w:suppressAutoHyphens/>
        <w:ind w:right="14"/>
        <w:rPr>
          <w:noProof/>
          <w:szCs w:val="22"/>
        </w:rPr>
      </w:pPr>
      <w:r>
        <w:rPr>
          <w:noProof/>
          <w:szCs w:val="22"/>
        </w:rPr>
        <w:t>Rivaroxabano</w:t>
      </w:r>
      <w:r w:rsidR="001F7D02" w:rsidRPr="0063119B">
        <w:rPr>
          <w:noProof/>
          <w:szCs w:val="22"/>
        </w:rPr>
        <w:t xml:space="preserve"> Accord</w:t>
      </w:r>
      <w:r w:rsidR="00663928" w:rsidRPr="0063119B">
        <w:rPr>
          <w:noProof/>
          <w:szCs w:val="22"/>
        </w:rPr>
        <w:t xml:space="preserve"> 10 mg comprimidos revestidos por película</w:t>
      </w:r>
    </w:p>
    <w:p w14:paraId="345C79FC" w14:textId="77777777" w:rsidR="00663928" w:rsidRPr="0063119B" w:rsidRDefault="00663928" w:rsidP="00951279">
      <w:pPr>
        <w:suppressAutoHyphens/>
        <w:ind w:right="14"/>
        <w:rPr>
          <w:noProof/>
          <w:szCs w:val="22"/>
        </w:rPr>
      </w:pPr>
      <w:r w:rsidRPr="0063119B">
        <w:rPr>
          <w:noProof/>
          <w:szCs w:val="22"/>
        </w:rPr>
        <w:t>rivaroxabano</w:t>
      </w:r>
    </w:p>
    <w:p w14:paraId="5AC096CE" w14:textId="77777777" w:rsidR="00663928" w:rsidRPr="0063119B" w:rsidRDefault="00663928" w:rsidP="00951279">
      <w:pPr>
        <w:suppressAutoHyphens/>
        <w:ind w:right="14"/>
        <w:rPr>
          <w:noProof/>
          <w:szCs w:val="22"/>
        </w:rPr>
      </w:pPr>
    </w:p>
    <w:p w14:paraId="29664A02" w14:textId="77777777" w:rsidR="00663928" w:rsidRPr="0063119B" w:rsidRDefault="00663928" w:rsidP="00951279">
      <w:pPr>
        <w:suppressAutoHyphens/>
        <w:ind w:right="14"/>
        <w:rPr>
          <w:noProof/>
          <w:szCs w:val="22"/>
        </w:rPr>
      </w:pPr>
    </w:p>
    <w:p w14:paraId="5431FB27" w14:textId="77777777" w:rsidR="00663928" w:rsidRPr="0063119B" w:rsidRDefault="00663928"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2.</w:t>
      </w:r>
      <w:r w:rsidRPr="0063119B">
        <w:rPr>
          <w:b/>
          <w:noProof/>
          <w:szCs w:val="22"/>
        </w:rPr>
        <w:tab/>
        <w:t>DESCRIÇÃO DA(S) SUBSTÂNCIA(S) ATIVA(S)</w:t>
      </w:r>
    </w:p>
    <w:p w14:paraId="1C7CEB80" w14:textId="77777777" w:rsidR="00663928" w:rsidRPr="0063119B" w:rsidRDefault="00663928" w:rsidP="00951279">
      <w:pPr>
        <w:suppressAutoHyphens/>
        <w:ind w:right="14"/>
        <w:rPr>
          <w:noProof/>
          <w:szCs w:val="22"/>
        </w:rPr>
      </w:pPr>
    </w:p>
    <w:p w14:paraId="7F63494A" w14:textId="77777777" w:rsidR="00663928" w:rsidRPr="0063119B" w:rsidRDefault="00663928" w:rsidP="00951279">
      <w:pPr>
        <w:suppressAutoHyphens/>
        <w:ind w:right="14"/>
        <w:rPr>
          <w:noProof/>
          <w:szCs w:val="22"/>
        </w:rPr>
      </w:pPr>
      <w:r w:rsidRPr="0063119B">
        <w:rPr>
          <w:noProof/>
          <w:szCs w:val="22"/>
        </w:rPr>
        <w:t>Cada comprimido revestido por película contém 10 mg</w:t>
      </w:r>
      <w:r w:rsidR="005C1663" w:rsidRPr="0063119B">
        <w:rPr>
          <w:noProof/>
          <w:szCs w:val="22"/>
        </w:rPr>
        <w:t xml:space="preserve"> de</w:t>
      </w:r>
      <w:r w:rsidRPr="0063119B">
        <w:rPr>
          <w:noProof/>
          <w:szCs w:val="22"/>
        </w:rPr>
        <w:t xml:space="preserve"> rivaroxabano.</w:t>
      </w:r>
    </w:p>
    <w:p w14:paraId="1EFF9A24" w14:textId="77777777" w:rsidR="00663928" w:rsidRPr="0063119B" w:rsidRDefault="00663928" w:rsidP="00951279">
      <w:pPr>
        <w:suppressAutoHyphens/>
        <w:ind w:right="14"/>
        <w:rPr>
          <w:noProof/>
          <w:szCs w:val="22"/>
        </w:rPr>
      </w:pPr>
    </w:p>
    <w:p w14:paraId="4EC90D1A" w14:textId="77777777" w:rsidR="00663928" w:rsidRPr="0063119B" w:rsidRDefault="00663928" w:rsidP="00951279">
      <w:pPr>
        <w:suppressAutoHyphens/>
        <w:ind w:right="14"/>
        <w:rPr>
          <w:noProof/>
          <w:szCs w:val="22"/>
        </w:rPr>
      </w:pPr>
    </w:p>
    <w:p w14:paraId="120876DD" w14:textId="77777777" w:rsidR="00663928" w:rsidRPr="0063119B" w:rsidRDefault="00663928"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LISTA DOS EXCIPIENTES</w:t>
      </w:r>
    </w:p>
    <w:p w14:paraId="69C4BCA5" w14:textId="77777777" w:rsidR="00663928" w:rsidRPr="0063119B" w:rsidRDefault="00663928" w:rsidP="00951279">
      <w:pPr>
        <w:suppressAutoHyphens/>
        <w:ind w:right="14"/>
        <w:rPr>
          <w:noProof/>
          <w:szCs w:val="22"/>
        </w:rPr>
      </w:pPr>
    </w:p>
    <w:p w14:paraId="3B860745" w14:textId="77777777" w:rsidR="00663928" w:rsidRPr="0063119B" w:rsidRDefault="00663928" w:rsidP="00951279">
      <w:pPr>
        <w:suppressAutoHyphens/>
        <w:ind w:right="14"/>
        <w:rPr>
          <w:noProof/>
          <w:szCs w:val="22"/>
        </w:rPr>
      </w:pPr>
      <w:r w:rsidRPr="0063119B">
        <w:rPr>
          <w:noProof/>
          <w:szCs w:val="22"/>
        </w:rPr>
        <w:t>Contém lactose</w:t>
      </w:r>
      <w:r w:rsidR="005C1663" w:rsidRPr="0063119B">
        <w:rPr>
          <w:noProof/>
          <w:szCs w:val="22"/>
        </w:rPr>
        <w:t xml:space="preserve"> mono-hidratada</w:t>
      </w:r>
      <w:r w:rsidRPr="0063119B">
        <w:rPr>
          <w:noProof/>
          <w:szCs w:val="22"/>
        </w:rPr>
        <w:t>.</w:t>
      </w:r>
    </w:p>
    <w:p w14:paraId="1FD1A92D" w14:textId="77777777" w:rsidR="00663928" w:rsidRPr="0063119B" w:rsidRDefault="00663928" w:rsidP="00951279">
      <w:pPr>
        <w:suppressAutoHyphens/>
        <w:ind w:right="14"/>
        <w:rPr>
          <w:noProof/>
          <w:szCs w:val="22"/>
        </w:rPr>
      </w:pPr>
    </w:p>
    <w:p w14:paraId="4953E549" w14:textId="77777777" w:rsidR="00663928" w:rsidRPr="0063119B" w:rsidRDefault="00663928" w:rsidP="00951279">
      <w:pPr>
        <w:suppressAutoHyphens/>
        <w:ind w:right="14"/>
        <w:rPr>
          <w:noProof/>
          <w:szCs w:val="22"/>
        </w:rPr>
      </w:pPr>
    </w:p>
    <w:p w14:paraId="328FF55E" w14:textId="77777777" w:rsidR="00663928" w:rsidRPr="0063119B" w:rsidRDefault="00663928"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FORMA FARMACÊUTICA E CONTEÚDO</w:t>
      </w:r>
    </w:p>
    <w:p w14:paraId="57C4D470" w14:textId="77777777" w:rsidR="00663928" w:rsidRPr="0063119B" w:rsidRDefault="00663928" w:rsidP="00951279">
      <w:pPr>
        <w:suppressAutoHyphens/>
        <w:ind w:right="14"/>
        <w:rPr>
          <w:noProof/>
          <w:szCs w:val="22"/>
        </w:rPr>
      </w:pPr>
    </w:p>
    <w:p w14:paraId="3516BCDB" w14:textId="77777777" w:rsidR="00663928" w:rsidRPr="0063119B" w:rsidRDefault="005C1663" w:rsidP="00951279">
      <w:pPr>
        <w:suppressAutoHyphens/>
        <w:ind w:right="14"/>
        <w:rPr>
          <w:noProof/>
          <w:szCs w:val="22"/>
        </w:rPr>
      </w:pPr>
      <w:r w:rsidRPr="0063119B">
        <w:rPr>
          <w:noProof/>
          <w:szCs w:val="22"/>
        </w:rPr>
        <w:t>3</w:t>
      </w:r>
      <w:r w:rsidR="00663928" w:rsidRPr="0063119B">
        <w:rPr>
          <w:noProof/>
          <w:szCs w:val="22"/>
        </w:rPr>
        <w:t>0 comprimidos revestidos por película</w:t>
      </w:r>
    </w:p>
    <w:p w14:paraId="4457F42D" w14:textId="77777777" w:rsidR="005C1663" w:rsidRPr="0063119B" w:rsidRDefault="005C1663" w:rsidP="00951279">
      <w:pPr>
        <w:suppressAutoHyphens/>
        <w:ind w:right="14"/>
        <w:rPr>
          <w:noProof/>
          <w:szCs w:val="22"/>
        </w:rPr>
      </w:pPr>
      <w:r w:rsidRPr="0063119B">
        <w:rPr>
          <w:noProof/>
          <w:szCs w:val="22"/>
          <w:highlight w:val="lightGray"/>
        </w:rPr>
        <w:t>90 comprimidos revestidos por película</w:t>
      </w:r>
    </w:p>
    <w:p w14:paraId="7D3F3B49" w14:textId="77777777" w:rsidR="005C1663" w:rsidRPr="0063119B" w:rsidRDefault="005C1663" w:rsidP="00951279">
      <w:pPr>
        <w:suppressAutoHyphens/>
        <w:ind w:right="14"/>
        <w:rPr>
          <w:noProof/>
          <w:szCs w:val="22"/>
        </w:rPr>
      </w:pPr>
      <w:r w:rsidRPr="0063119B">
        <w:rPr>
          <w:noProof/>
          <w:szCs w:val="22"/>
          <w:highlight w:val="lightGray"/>
        </w:rPr>
        <w:t>500 comprimidos revestidos por película</w:t>
      </w:r>
    </w:p>
    <w:p w14:paraId="7DD250A8" w14:textId="77777777" w:rsidR="00663928" w:rsidRPr="0063119B" w:rsidRDefault="00663928" w:rsidP="00951279">
      <w:pPr>
        <w:suppressAutoHyphens/>
        <w:ind w:right="14"/>
        <w:rPr>
          <w:noProof/>
          <w:szCs w:val="22"/>
        </w:rPr>
      </w:pPr>
    </w:p>
    <w:p w14:paraId="086D4807" w14:textId="77777777" w:rsidR="00663928" w:rsidRPr="0063119B" w:rsidRDefault="00663928" w:rsidP="00951279">
      <w:pPr>
        <w:suppressAutoHyphens/>
        <w:ind w:right="14"/>
        <w:rPr>
          <w:noProof/>
          <w:szCs w:val="22"/>
        </w:rPr>
      </w:pPr>
    </w:p>
    <w:p w14:paraId="6370E5EB" w14:textId="77777777" w:rsidR="00663928" w:rsidRPr="0063119B" w:rsidRDefault="00663928"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t>MODO E VIA(S) DE ADMINISTRAÇÃO</w:t>
      </w:r>
    </w:p>
    <w:p w14:paraId="7D315D1B" w14:textId="77777777" w:rsidR="00663928" w:rsidRPr="0063119B" w:rsidRDefault="00663928" w:rsidP="00951279">
      <w:pPr>
        <w:suppressAutoHyphens/>
        <w:ind w:right="14"/>
        <w:rPr>
          <w:noProof/>
          <w:szCs w:val="22"/>
        </w:rPr>
      </w:pPr>
    </w:p>
    <w:p w14:paraId="69CDD4DC" w14:textId="77777777" w:rsidR="00663928" w:rsidRPr="0063119B" w:rsidRDefault="00663928" w:rsidP="00951279">
      <w:pPr>
        <w:suppressAutoHyphens/>
        <w:ind w:right="14"/>
        <w:rPr>
          <w:noProof/>
          <w:szCs w:val="22"/>
        </w:rPr>
      </w:pPr>
      <w:r w:rsidRPr="0063119B">
        <w:rPr>
          <w:noProof/>
          <w:szCs w:val="22"/>
        </w:rPr>
        <w:t>Consultar o folheto informativo antes de utilizar.</w:t>
      </w:r>
    </w:p>
    <w:p w14:paraId="186BE619" w14:textId="77777777" w:rsidR="00E95B32" w:rsidRPr="0063119B" w:rsidRDefault="00E95B32" w:rsidP="00951279">
      <w:pPr>
        <w:suppressAutoHyphens/>
        <w:ind w:right="14"/>
        <w:rPr>
          <w:noProof/>
          <w:szCs w:val="22"/>
        </w:rPr>
      </w:pPr>
      <w:r w:rsidRPr="0063119B">
        <w:rPr>
          <w:noProof/>
          <w:szCs w:val="22"/>
        </w:rPr>
        <w:t>Via oral.</w:t>
      </w:r>
    </w:p>
    <w:p w14:paraId="7E670F51" w14:textId="77777777" w:rsidR="00663928" w:rsidRPr="0063119B" w:rsidRDefault="00663928" w:rsidP="00951279">
      <w:pPr>
        <w:suppressAutoHyphens/>
        <w:ind w:right="14"/>
        <w:rPr>
          <w:noProof/>
          <w:szCs w:val="22"/>
        </w:rPr>
      </w:pPr>
    </w:p>
    <w:p w14:paraId="52C38625" w14:textId="77777777" w:rsidR="00663928" w:rsidRPr="0063119B" w:rsidRDefault="00663928" w:rsidP="00951279">
      <w:pPr>
        <w:suppressAutoHyphens/>
        <w:ind w:right="14"/>
        <w:rPr>
          <w:noProof/>
          <w:szCs w:val="22"/>
        </w:rPr>
      </w:pPr>
    </w:p>
    <w:p w14:paraId="31FE0CB0" w14:textId="77777777" w:rsidR="00663928" w:rsidRPr="0063119B" w:rsidRDefault="00663928"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6.</w:t>
      </w:r>
      <w:r w:rsidRPr="0063119B">
        <w:rPr>
          <w:b/>
          <w:noProof/>
          <w:szCs w:val="22"/>
        </w:rPr>
        <w:tab/>
        <w:t>ADVERTÊNCIA ESPECIAL DE QUE O MEDICAMENTO DEVE SER MANTIDO FORA DA VISTA E DO ALCANCE E DAS CRIANÇAS</w:t>
      </w:r>
    </w:p>
    <w:p w14:paraId="7A398E35" w14:textId="77777777" w:rsidR="00663928" w:rsidRPr="0063119B" w:rsidRDefault="00663928" w:rsidP="00951279">
      <w:pPr>
        <w:suppressAutoHyphens/>
        <w:ind w:right="14"/>
        <w:rPr>
          <w:noProof/>
          <w:szCs w:val="22"/>
        </w:rPr>
      </w:pPr>
    </w:p>
    <w:p w14:paraId="0D117208" w14:textId="77777777" w:rsidR="00663928" w:rsidRPr="0063119B" w:rsidRDefault="00663928" w:rsidP="00951279">
      <w:pPr>
        <w:suppressAutoHyphens/>
        <w:ind w:right="14"/>
        <w:rPr>
          <w:noProof/>
          <w:szCs w:val="22"/>
        </w:rPr>
      </w:pPr>
      <w:r w:rsidRPr="0063119B">
        <w:rPr>
          <w:noProof/>
          <w:szCs w:val="22"/>
        </w:rPr>
        <w:t>Manter fora da vista e do alcance das crianças.</w:t>
      </w:r>
    </w:p>
    <w:p w14:paraId="71504A3C" w14:textId="77777777" w:rsidR="00663928" w:rsidRPr="0063119B" w:rsidRDefault="00663928" w:rsidP="00951279">
      <w:pPr>
        <w:suppressAutoHyphens/>
        <w:ind w:right="14"/>
        <w:rPr>
          <w:noProof/>
          <w:szCs w:val="22"/>
        </w:rPr>
      </w:pPr>
    </w:p>
    <w:p w14:paraId="303CDBE1" w14:textId="77777777" w:rsidR="00663928" w:rsidRPr="0063119B" w:rsidRDefault="00663928" w:rsidP="00951279">
      <w:pPr>
        <w:suppressAutoHyphens/>
        <w:ind w:right="14"/>
        <w:rPr>
          <w:noProof/>
          <w:szCs w:val="22"/>
        </w:rPr>
      </w:pPr>
    </w:p>
    <w:p w14:paraId="29CC18C9" w14:textId="77777777" w:rsidR="00663928" w:rsidRPr="0063119B" w:rsidRDefault="00663928"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7.</w:t>
      </w:r>
      <w:r w:rsidRPr="0063119B">
        <w:rPr>
          <w:b/>
          <w:noProof/>
          <w:szCs w:val="22"/>
        </w:rPr>
        <w:tab/>
        <w:t>OUTRAS ADVERTÊNCIAS ESPECIAIS, SE NECESSÁRIO</w:t>
      </w:r>
    </w:p>
    <w:p w14:paraId="15DFACE4" w14:textId="77777777" w:rsidR="00663928" w:rsidRPr="0063119B" w:rsidRDefault="00663928" w:rsidP="00951279">
      <w:pPr>
        <w:suppressAutoHyphens/>
        <w:ind w:right="14"/>
        <w:rPr>
          <w:noProof/>
          <w:szCs w:val="22"/>
        </w:rPr>
      </w:pPr>
    </w:p>
    <w:p w14:paraId="40F86073" w14:textId="77777777" w:rsidR="00663928" w:rsidRPr="0063119B" w:rsidRDefault="00663928" w:rsidP="00951279">
      <w:pPr>
        <w:suppressAutoHyphens/>
        <w:ind w:right="14"/>
        <w:rPr>
          <w:noProof/>
          <w:szCs w:val="22"/>
        </w:rPr>
      </w:pPr>
    </w:p>
    <w:p w14:paraId="1398E968" w14:textId="77777777" w:rsidR="00663928" w:rsidRPr="0063119B" w:rsidRDefault="00663928"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8.</w:t>
      </w:r>
      <w:r w:rsidRPr="0063119B">
        <w:rPr>
          <w:b/>
          <w:noProof/>
          <w:szCs w:val="22"/>
        </w:rPr>
        <w:tab/>
        <w:t>PRAZO DE VALIDADE</w:t>
      </w:r>
    </w:p>
    <w:p w14:paraId="6C3EF526" w14:textId="77777777" w:rsidR="00663928" w:rsidRPr="0063119B" w:rsidRDefault="00663928" w:rsidP="00951279">
      <w:pPr>
        <w:suppressAutoHyphens/>
        <w:rPr>
          <w:noProof/>
          <w:szCs w:val="22"/>
        </w:rPr>
      </w:pPr>
    </w:p>
    <w:p w14:paraId="464F9FC0" w14:textId="77777777" w:rsidR="00663928" w:rsidRPr="0063119B" w:rsidRDefault="00663928" w:rsidP="00951279">
      <w:pPr>
        <w:suppressAutoHyphens/>
        <w:rPr>
          <w:noProof/>
          <w:szCs w:val="22"/>
        </w:rPr>
      </w:pPr>
      <w:r w:rsidRPr="0063119B">
        <w:rPr>
          <w:noProof/>
          <w:szCs w:val="22"/>
        </w:rPr>
        <w:t>EXP</w:t>
      </w:r>
    </w:p>
    <w:p w14:paraId="77B066C8" w14:textId="77777777" w:rsidR="00663928" w:rsidRPr="0063119B" w:rsidRDefault="00663928" w:rsidP="00951279">
      <w:pPr>
        <w:suppressAutoHyphens/>
        <w:ind w:right="14"/>
        <w:rPr>
          <w:noProof/>
          <w:szCs w:val="22"/>
        </w:rPr>
      </w:pPr>
    </w:p>
    <w:p w14:paraId="45640549" w14:textId="77777777" w:rsidR="00663928" w:rsidRPr="0063119B" w:rsidRDefault="00663928" w:rsidP="00951279">
      <w:pPr>
        <w:suppressAutoHyphens/>
        <w:ind w:right="14"/>
        <w:rPr>
          <w:noProof/>
          <w:szCs w:val="22"/>
        </w:rPr>
      </w:pPr>
    </w:p>
    <w:p w14:paraId="292B9A76" w14:textId="77777777" w:rsidR="00663928" w:rsidRPr="0063119B" w:rsidRDefault="00663928"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9.</w:t>
      </w:r>
      <w:r w:rsidRPr="0063119B">
        <w:rPr>
          <w:b/>
          <w:noProof/>
          <w:szCs w:val="22"/>
        </w:rPr>
        <w:tab/>
        <w:t>CONDIÇÕES ESPECIAIS DE CONSERVAÇÃO</w:t>
      </w:r>
    </w:p>
    <w:p w14:paraId="08D16BA6" w14:textId="77777777" w:rsidR="00663928" w:rsidRPr="0063119B" w:rsidRDefault="00663928" w:rsidP="00951279">
      <w:pPr>
        <w:suppressAutoHyphens/>
        <w:rPr>
          <w:noProof/>
          <w:szCs w:val="22"/>
        </w:rPr>
      </w:pPr>
    </w:p>
    <w:p w14:paraId="651B7D6B" w14:textId="77777777" w:rsidR="00663928" w:rsidRPr="0063119B" w:rsidRDefault="00663928" w:rsidP="00951279">
      <w:pPr>
        <w:suppressAutoHyphens/>
        <w:ind w:right="14"/>
        <w:rPr>
          <w:b/>
          <w:noProof/>
          <w:szCs w:val="22"/>
        </w:rPr>
      </w:pPr>
    </w:p>
    <w:p w14:paraId="6AA761F6" w14:textId="77777777" w:rsidR="00663928" w:rsidRPr="0063119B" w:rsidRDefault="00663928" w:rsidP="00663928">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lastRenderedPageBreak/>
        <w:t>10.</w:t>
      </w:r>
      <w:r w:rsidRPr="0063119B">
        <w:rPr>
          <w:b/>
          <w:noProof/>
          <w:szCs w:val="22"/>
        </w:rPr>
        <w:tab/>
        <w:t>CUIDADOS ESPECIAIS QUANTO À ELIMINAÇÃO DO MEDICAMENTO NÃO UTILIZADO OU DOS RESÍDUOS PROVENIENTES DESSE MEDICAMENTO, SE APLICÁVEL</w:t>
      </w:r>
    </w:p>
    <w:p w14:paraId="32661061" w14:textId="77777777" w:rsidR="00663928" w:rsidRPr="0063119B" w:rsidRDefault="00663928" w:rsidP="00663928">
      <w:pPr>
        <w:suppressAutoHyphens/>
        <w:ind w:right="14"/>
        <w:rPr>
          <w:noProof/>
          <w:szCs w:val="22"/>
        </w:rPr>
      </w:pPr>
    </w:p>
    <w:p w14:paraId="108F364D" w14:textId="77777777" w:rsidR="00663928" w:rsidRPr="0063119B" w:rsidRDefault="00663928" w:rsidP="00663928">
      <w:pPr>
        <w:suppressAutoHyphens/>
        <w:ind w:right="14"/>
        <w:rPr>
          <w:bCs/>
          <w:noProof/>
          <w:szCs w:val="22"/>
        </w:rPr>
      </w:pPr>
    </w:p>
    <w:p w14:paraId="6122F260" w14:textId="77777777" w:rsidR="00663928" w:rsidRPr="0063119B" w:rsidRDefault="00663928" w:rsidP="00663928">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11.</w:t>
      </w:r>
      <w:r w:rsidRPr="0063119B">
        <w:rPr>
          <w:b/>
          <w:noProof/>
          <w:szCs w:val="22"/>
        </w:rPr>
        <w:tab/>
        <w:t>NOME E ENDEREÇO DO TITULAR DA AUTORIZAÇÃO DE INTRODUÇÃO NO MERCADO</w:t>
      </w:r>
    </w:p>
    <w:p w14:paraId="14B934E1" w14:textId="77777777" w:rsidR="00663928" w:rsidRPr="0063119B" w:rsidRDefault="00663928" w:rsidP="00663928">
      <w:pPr>
        <w:suppressAutoHyphens/>
        <w:ind w:right="14"/>
        <w:rPr>
          <w:noProof/>
          <w:szCs w:val="22"/>
        </w:rPr>
      </w:pPr>
    </w:p>
    <w:p w14:paraId="202E53B6" w14:textId="77777777" w:rsidR="005C1663" w:rsidRPr="0063119B" w:rsidRDefault="005C1663" w:rsidP="005C1663">
      <w:pPr>
        <w:keepNext/>
        <w:rPr>
          <w:szCs w:val="22"/>
          <w:lang w:val="en-GB"/>
        </w:rPr>
      </w:pPr>
      <w:r w:rsidRPr="0063119B">
        <w:rPr>
          <w:szCs w:val="22"/>
          <w:lang w:val="en-GB"/>
        </w:rPr>
        <w:t>Accord Healthcare S.L.U.</w:t>
      </w:r>
    </w:p>
    <w:p w14:paraId="2C4E3AE5" w14:textId="77777777" w:rsidR="005C1663" w:rsidRPr="0063119B" w:rsidRDefault="005C1663" w:rsidP="000B293C">
      <w:pPr>
        <w:suppressAutoHyphens/>
        <w:rPr>
          <w:noProof/>
          <w:szCs w:val="22"/>
          <w:highlight w:val="lightGray"/>
        </w:rPr>
      </w:pPr>
      <w:r w:rsidRPr="0063119B">
        <w:rPr>
          <w:noProof/>
          <w:szCs w:val="22"/>
          <w:highlight w:val="lightGray"/>
        </w:rPr>
        <w:t xml:space="preserve">World Trade Center, Moll de Barcelona s/n, Edifici Est, 6a Planta, </w:t>
      </w:r>
    </w:p>
    <w:p w14:paraId="50362B7F" w14:textId="77777777" w:rsidR="005C1663" w:rsidRPr="0063119B" w:rsidRDefault="005C1663" w:rsidP="000B293C">
      <w:pPr>
        <w:suppressAutoHyphens/>
        <w:rPr>
          <w:noProof/>
          <w:szCs w:val="22"/>
          <w:highlight w:val="lightGray"/>
        </w:rPr>
      </w:pPr>
      <w:r w:rsidRPr="0063119B">
        <w:rPr>
          <w:noProof/>
          <w:szCs w:val="22"/>
          <w:highlight w:val="lightGray"/>
        </w:rPr>
        <w:t>Barcelona, 08039</w:t>
      </w:r>
    </w:p>
    <w:p w14:paraId="492F8BD7" w14:textId="77777777" w:rsidR="00663928" w:rsidRPr="0063119B" w:rsidRDefault="005C1663" w:rsidP="00663928">
      <w:pPr>
        <w:suppressAutoHyphens/>
        <w:ind w:right="14"/>
        <w:rPr>
          <w:noProof/>
          <w:szCs w:val="22"/>
        </w:rPr>
      </w:pPr>
      <w:r w:rsidRPr="0063119B">
        <w:rPr>
          <w:noProof/>
          <w:szCs w:val="22"/>
          <w:highlight w:val="lightGray"/>
        </w:rPr>
        <w:t>Espanha</w:t>
      </w:r>
      <w:r w:rsidR="00060B8E" w:rsidRPr="0063119B">
        <w:rPr>
          <w:szCs w:val="22"/>
        </w:rPr>
        <w:t xml:space="preserve"> </w:t>
      </w:r>
      <w:r w:rsidR="00060B8E" w:rsidRPr="0063119B">
        <w:rPr>
          <w:noProof/>
          <w:szCs w:val="22"/>
          <w:highlight w:val="lightGray"/>
        </w:rPr>
        <w:t>(apenas aplicável para a embalagem exterior, não aplicável para o rótulo do frasco)</w:t>
      </w:r>
    </w:p>
    <w:p w14:paraId="401495BD" w14:textId="77777777" w:rsidR="00663928" w:rsidRPr="0063119B" w:rsidRDefault="00663928" w:rsidP="00663928">
      <w:pPr>
        <w:suppressAutoHyphens/>
        <w:ind w:right="14"/>
        <w:rPr>
          <w:noProof/>
          <w:szCs w:val="22"/>
        </w:rPr>
      </w:pPr>
    </w:p>
    <w:p w14:paraId="70C15D4E" w14:textId="77777777" w:rsidR="00663928" w:rsidRPr="0063119B" w:rsidRDefault="00663928" w:rsidP="00663928">
      <w:pPr>
        <w:suppressAutoHyphens/>
        <w:ind w:right="14"/>
        <w:rPr>
          <w:noProof/>
          <w:szCs w:val="22"/>
        </w:rPr>
      </w:pPr>
    </w:p>
    <w:p w14:paraId="45257DE2" w14:textId="77777777" w:rsidR="00663928" w:rsidRPr="0063119B" w:rsidRDefault="00663928" w:rsidP="00663928">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12.</w:t>
      </w:r>
      <w:r w:rsidRPr="0063119B">
        <w:rPr>
          <w:b/>
          <w:noProof/>
          <w:szCs w:val="22"/>
        </w:rPr>
        <w:tab/>
        <w:t>NÚMERO(S) DA AUTORIZAÇÃO DE INTRODUÇÃO NO MERCADO</w:t>
      </w:r>
    </w:p>
    <w:p w14:paraId="4A5B2D61" w14:textId="77777777" w:rsidR="00663928" w:rsidRPr="0063119B" w:rsidRDefault="00663928" w:rsidP="00663928">
      <w:pPr>
        <w:suppressAutoHyphens/>
        <w:ind w:right="14"/>
        <w:rPr>
          <w:noProof/>
          <w:szCs w:val="22"/>
        </w:rPr>
      </w:pPr>
    </w:p>
    <w:p w14:paraId="26E8B9C2" w14:textId="77777777" w:rsidR="00663928" w:rsidRDefault="00060B8E" w:rsidP="00663928">
      <w:pPr>
        <w:suppressAutoHyphens/>
        <w:ind w:right="14"/>
        <w:rPr>
          <w:noProof/>
          <w:szCs w:val="22"/>
        </w:rPr>
      </w:pPr>
      <w:r w:rsidRPr="0063119B">
        <w:rPr>
          <w:szCs w:val="22"/>
        </w:rPr>
        <w:t xml:space="preserve">EU/1/20/1488/021-023 </w:t>
      </w:r>
      <w:r w:rsidRPr="0063119B">
        <w:rPr>
          <w:noProof/>
          <w:szCs w:val="22"/>
          <w:highlight w:val="lightGray"/>
        </w:rPr>
        <w:t>(apenas aplicável para a embalagem exterior, não aplicável para o rótulo do frasco)</w:t>
      </w:r>
    </w:p>
    <w:p w14:paraId="492B00F2" w14:textId="77777777" w:rsidR="00394D5E" w:rsidRPr="0063119B" w:rsidRDefault="00394D5E" w:rsidP="00663928">
      <w:pPr>
        <w:suppressAutoHyphens/>
        <w:ind w:right="14"/>
        <w:rPr>
          <w:noProof/>
          <w:szCs w:val="22"/>
        </w:rPr>
      </w:pPr>
    </w:p>
    <w:p w14:paraId="11D029F8" w14:textId="77777777" w:rsidR="00663928" w:rsidRPr="0063119B" w:rsidRDefault="00663928" w:rsidP="00663928">
      <w:pPr>
        <w:suppressAutoHyphens/>
        <w:ind w:right="14"/>
        <w:rPr>
          <w:noProof/>
          <w:szCs w:val="22"/>
        </w:rPr>
      </w:pPr>
    </w:p>
    <w:p w14:paraId="79E6D1B4" w14:textId="77777777" w:rsidR="00663928" w:rsidRPr="0063119B" w:rsidRDefault="00663928" w:rsidP="00663928">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13.</w:t>
      </w:r>
      <w:r w:rsidRPr="0063119B">
        <w:rPr>
          <w:b/>
          <w:noProof/>
          <w:szCs w:val="22"/>
        </w:rPr>
        <w:tab/>
        <w:t>NÚMERO DO LOTE</w:t>
      </w:r>
    </w:p>
    <w:p w14:paraId="2707D297" w14:textId="77777777" w:rsidR="00663928" w:rsidRPr="0063119B" w:rsidRDefault="00663928" w:rsidP="00663928">
      <w:pPr>
        <w:rPr>
          <w:noProof/>
          <w:szCs w:val="22"/>
        </w:rPr>
      </w:pPr>
    </w:p>
    <w:p w14:paraId="7226A96B" w14:textId="77777777" w:rsidR="00663928" w:rsidRPr="0063119B" w:rsidRDefault="00394D5E" w:rsidP="00663928">
      <w:pPr>
        <w:rPr>
          <w:noProof/>
          <w:szCs w:val="22"/>
        </w:rPr>
      </w:pPr>
      <w:r>
        <w:rPr>
          <w:noProof/>
          <w:szCs w:val="22"/>
        </w:rPr>
        <w:t>Lot</w:t>
      </w:r>
    </w:p>
    <w:p w14:paraId="503E6169" w14:textId="77777777" w:rsidR="00663928" w:rsidRPr="0063119B" w:rsidRDefault="00663928" w:rsidP="00663928">
      <w:pPr>
        <w:rPr>
          <w:noProof/>
          <w:szCs w:val="22"/>
        </w:rPr>
      </w:pPr>
    </w:p>
    <w:p w14:paraId="042BD696" w14:textId="77777777" w:rsidR="00663928" w:rsidRPr="0063119B" w:rsidRDefault="00663928" w:rsidP="00663928">
      <w:pPr>
        <w:suppressAutoHyphens/>
        <w:ind w:right="14"/>
        <w:rPr>
          <w:noProof/>
          <w:szCs w:val="22"/>
        </w:rPr>
      </w:pPr>
    </w:p>
    <w:p w14:paraId="20D3D903" w14:textId="77777777" w:rsidR="00663928" w:rsidRPr="0063119B" w:rsidRDefault="00663928" w:rsidP="00663928">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14.</w:t>
      </w:r>
      <w:r w:rsidRPr="0063119B">
        <w:rPr>
          <w:b/>
          <w:noProof/>
          <w:szCs w:val="22"/>
        </w:rPr>
        <w:tab/>
        <w:t xml:space="preserve">CLASSIFICAÇÃO QUANTO À DISPENSA </w:t>
      </w:r>
      <w:r w:rsidRPr="0063119B">
        <w:rPr>
          <w:b/>
          <w:caps/>
          <w:noProof/>
          <w:szCs w:val="22"/>
        </w:rPr>
        <w:t>ao Público</w:t>
      </w:r>
    </w:p>
    <w:p w14:paraId="7A391B7B" w14:textId="77777777" w:rsidR="00663928" w:rsidRPr="0063119B" w:rsidRDefault="00663928" w:rsidP="00663928">
      <w:pPr>
        <w:suppressAutoHyphens/>
        <w:ind w:right="14"/>
        <w:rPr>
          <w:noProof/>
          <w:szCs w:val="22"/>
        </w:rPr>
      </w:pPr>
    </w:p>
    <w:p w14:paraId="7BE04440" w14:textId="77777777" w:rsidR="00663928" w:rsidRPr="0063119B" w:rsidRDefault="00663928" w:rsidP="00663928">
      <w:pPr>
        <w:suppressAutoHyphens/>
        <w:ind w:right="14"/>
        <w:rPr>
          <w:noProof/>
          <w:szCs w:val="22"/>
        </w:rPr>
      </w:pPr>
    </w:p>
    <w:p w14:paraId="65A75424" w14:textId="77777777" w:rsidR="00663928" w:rsidRPr="0063119B" w:rsidRDefault="00663928" w:rsidP="00663928">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15.</w:t>
      </w:r>
      <w:r w:rsidRPr="0063119B">
        <w:rPr>
          <w:b/>
          <w:noProof/>
          <w:szCs w:val="22"/>
        </w:rPr>
        <w:tab/>
        <w:t>INSTRUÇÕES DE UTILIZAÇÃO</w:t>
      </w:r>
    </w:p>
    <w:p w14:paraId="5F53E3E2" w14:textId="77777777" w:rsidR="00663928" w:rsidRPr="0063119B" w:rsidRDefault="00663928" w:rsidP="00663928">
      <w:pPr>
        <w:suppressAutoHyphens/>
        <w:ind w:right="14"/>
        <w:rPr>
          <w:noProof/>
          <w:szCs w:val="22"/>
        </w:rPr>
      </w:pPr>
    </w:p>
    <w:p w14:paraId="305A4A24" w14:textId="77777777" w:rsidR="00663928" w:rsidRPr="0063119B" w:rsidRDefault="00663928" w:rsidP="00663928">
      <w:pPr>
        <w:suppressAutoHyphens/>
        <w:ind w:right="14"/>
        <w:rPr>
          <w:noProof/>
          <w:szCs w:val="22"/>
        </w:rPr>
      </w:pPr>
    </w:p>
    <w:p w14:paraId="12DB1648" w14:textId="77777777" w:rsidR="00663928" w:rsidRPr="0063119B" w:rsidRDefault="00663928" w:rsidP="00663928">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16.</w:t>
      </w:r>
      <w:r w:rsidRPr="0063119B">
        <w:rPr>
          <w:b/>
          <w:noProof/>
          <w:szCs w:val="22"/>
        </w:rPr>
        <w:tab/>
      </w:r>
      <w:r w:rsidRPr="0063119B">
        <w:rPr>
          <w:b/>
          <w:caps/>
          <w:noProof/>
          <w:szCs w:val="22"/>
        </w:rPr>
        <w:t>Informação em Braille</w:t>
      </w:r>
    </w:p>
    <w:p w14:paraId="79F27B67" w14:textId="77777777" w:rsidR="00663928" w:rsidRPr="0063119B" w:rsidRDefault="00663928" w:rsidP="00663928">
      <w:pPr>
        <w:suppressAutoHyphens/>
        <w:ind w:right="14"/>
        <w:rPr>
          <w:noProof/>
          <w:szCs w:val="22"/>
        </w:rPr>
      </w:pPr>
    </w:p>
    <w:p w14:paraId="667527E9" w14:textId="77777777" w:rsidR="00663928" w:rsidRPr="0063119B" w:rsidRDefault="004B4602" w:rsidP="00663928">
      <w:pPr>
        <w:suppressAutoHyphens/>
        <w:ind w:right="14"/>
        <w:rPr>
          <w:noProof/>
          <w:szCs w:val="22"/>
          <w:highlight w:val="lightGray"/>
        </w:rPr>
      </w:pPr>
      <w:r>
        <w:rPr>
          <w:noProof/>
          <w:szCs w:val="22"/>
        </w:rPr>
        <w:t>r</w:t>
      </w:r>
      <w:r w:rsidR="00607DE4">
        <w:rPr>
          <w:noProof/>
          <w:szCs w:val="22"/>
        </w:rPr>
        <w:t>ivaroxabano</w:t>
      </w:r>
      <w:r w:rsidR="001F7D02" w:rsidRPr="0063119B">
        <w:rPr>
          <w:noProof/>
          <w:szCs w:val="22"/>
        </w:rPr>
        <w:t xml:space="preserve"> </w:t>
      </w:r>
      <w:r>
        <w:rPr>
          <w:noProof/>
          <w:szCs w:val="22"/>
        </w:rPr>
        <w:t>a</w:t>
      </w:r>
      <w:r w:rsidRPr="0063119B">
        <w:rPr>
          <w:noProof/>
          <w:szCs w:val="22"/>
        </w:rPr>
        <w:t xml:space="preserve">ccord </w:t>
      </w:r>
      <w:r w:rsidR="00083E72" w:rsidRPr="0063119B">
        <w:rPr>
          <w:noProof/>
          <w:szCs w:val="22"/>
        </w:rPr>
        <w:t>10</w:t>
      </w:r>
      <w:r w:rsidR="00663928" w:rsidRPr="0063119B">
        <w:rPr>
          <w:noProof/>
          <w:szCs w:val="22"/>
        </w:rPr>
        <w:t xml:space="preserve"> mg </w:t>
      </w:r>
      <w:r w:rsidR="00663928" w:rsidRPr="0063119B">
        <w:rPr>
          <w:noProof/>
          <w:szCs w:val="22"/>
          <w:highlight w:val="lightGray"/>
        </w:rPr>
        <w:t>(apenas aplicável para a embalagem exterior, não aplicável para o rótulo do frasco)</w:t>
      </w:r>
    </w:p>
    <w:p w14:paraId="3788FB79" w14:textId="77777777" w:rsidR="00663928" w:rsidRPr="0063119B" w:rsidRDefault="00663928" w:rsidP="00663928">
      <w:pPr>
        <w:suppressAutoHyphens/>
        <w:ind w:right="14"/>
        <w:rPr>
          <w:noProof/>
          <w:szCs w:val="22"/>
          <w:highlight w:val="lightGray"/>
        </w:rPr>
      </w:pPr>
    </w:p>
    <w:p w14:paraId="1D242507" w14:textId="77777777" w:rsidR="00663928" w:rsidRPr="0063119B" w:rsidRDefault="00663928" w:rsidP="00663928">
      <w:pPr>
        <w:suppressAutoHyphens/>
        <w:ind w:right="14"/>
        <w:rPr>
          <w:noProof/>
          <w:szCs w:val="22"/>
          <w:highlight w:val="lightGray"/>
        </w:rPr>
      </w:pPr>
    </w:p>
    <w:p w14:paraId="0EAD4FBE" w14:textId="77777777" w:rsidR="00663928" w:rsidRPr="0063119B" w:rsidRDefault="00663928" w:rsidP="00951279">
      <w:pPr>
        <w:keepNext/>
        <w:pBdr>
          <w:top w:val="single" w:sz="4" w:space="1" w:color="auto"/>
          <w:left w:val="single" w:sz="4" w:space="4" w:color="auto"/>
          <w:bottom w:val="single" w:sz="4" w:space="1" w:color="auto"/>
          <w:right w:val="single" w:sz="4" w:space="4" w:color="auto"/>
        </w:pBdr>
        <w:tabs>
          <w:tab w:val="left" w:pos="0"/>
        </w:tabs>
        <w:rPr>
          <w:i/>
          <w:noProof/>
          <w:szCs w:val="22"/>
        </w:rPr>
      </w:pPr>
      <w:r w:rsidRPr="0063119B">
        <w:rPr>
          <w:b/>
          <w:noProof/>
          <w:szCs w:val="22"/>
        </w:rPr>
        <w:t>17.</w:t>
      </w:r>
      <w:r w:rsidRPr="0063119B">
        <w:rPr>
          <w:b/>
          <w:noProof/>
          <w:szCs w:val="22"/>
        </w:rPr>
        <w:tab/>
        <w:t>IDENTIFICADOR ÚNICO – CÓDIGO DE BARRAS 2D</w:t>
      </w:r>
    </w:p>
    <w:p w14:paraId="29D8E977" w14:textId="77777777" w:rsidR="00663928" w:rsidRPr="0063119B" w:rsidRDefault="00663928" w:rsidP="00951279">
      <w:pPr>
        <w:rPr>
          <w:noProof/>
          <w:szCs w:val="22"/>
        </w:rPr>
      </w:pPr>
    </w:p>
    <w:p w14:paraId="018151FA" w14:textId="77777777" w:rsidR="00663928" w:rsidRPr="0063119B" w:rsidRDefault="00663928" w:rsidP="00951279">
      <w:pPr>
        <w:rPr>
          <w:noProof/>
          <w:szCs w:val="22"/>
          <w:shd w:val="clear" w:color="auto" w:fill="CCCCCC"/>
        </w:rPr>
      </w:pPr>
      <w:r w:rsidRPr="0063119B">
        <w:rPr>
          <w:noProof/>
          <w:szCs w:val="22"/>
          <w:highlight w:val="lightGray"/>
        </w:rPr>
        <w:t>Código de barras 2D com identificador único incluído.</w:t>
      </w:r>
      <w:r w:rsidRPr="0063119B">
        <w:rPr>
          <w:noProof/>
          <w:szCs w:val="22"/>
        </w:rPr>
        <w:t xml:space="preserve"> </w:t>
      </w:r>
      <w:r w:rsidRPr="0063119B">
        <w:rPr>
          <w:noProof/>
          <w:szCs w:val="22"/>
          <w:highlight w:val="lightGray"/>
        </w:rPr>
        <w:t>(apenas aplicável para a embalagem exterior, não aplicável para o rótulo do frasco)</w:t>
      </w:r>
    </w:p>
    <w:p w14:paraId="59328BD5" w14:textId="77777777" w:rsidR="00663928" w:rsidRDefault="00663928" w:rsidP="00951279">
      <w:pPr>
        <w:rPr>
          <w:noProof/>
          <w:szCs w:val="22"/>
          <w:shd w:val="clear" w:color="auto" w:fill="CCCCCC"/>
        </w:rPr>
      </w:pPr>
    </w:p>
    <w:p w14:paraId="032B4413" w14:textId="77777777" w:rsidR="00394D5E" w:rsidRPr="0063119B" w:rsidRDefault="00394D5E" w:rsidP="00951279">
      <w:pPr>
        <w:rPr>
          <w:noProof/>
          <w:szCs w:val="22"/>
          <w:shd w:val="clear" w:color="auto" w:fill="CCCCCC"/>
        </w:rPr>
      </w:pPr>
    </w:p>
    <w:p w14:paraId="2DDF35BD" w14:textId="77777777" w:rsidR="00663928" w:rsidRPr="0063119B" w:rsidRDefault="00663928" w:rsidP="00951279">
      <w:pPr>
        <w:rPr>
          <w:noProof/>
          <w:vanish/>
          <w:szCs w:val="22"/>
        </w:rPr>
      </w:pPr>
    </w:p>
    <w:p w14:paraId="671D6D46" w14:textId="77777777" w:rsidR="00663928" w:rsidRPr="0063119B" w:rsidRDefault="00663928" w:rsidP="00951279">
      <w:pPr>
        <w:keepNext/>
        <w:pBdr>
          <w:top w:val="single" w:sz="4" w:space="1" w:color="auto"/>
          <w:left w:val="single" w:sz="4" w:space="4" w:color="auto"/>
          <w:bottom w:val="single" w:sz="4" w:space="1" w:color="auto"/>
          <w:right w:val="single" w:sz="4" w:space="4" w:color="auto"/>
        </w:pBdr>
        <w:tabs>
          <w:tab w:val="left" w:pos="0"/>
        </w:tabs>
        <w:rPr>
          <w:b/>
          <w:noProof/>
          <w:szCs w:val="22"/>
        </w:rPr>
      </w:pPr>
      <w:r w:rsidRPr="0063119B">
        <w:rPr>
          <w:b/>
          <w:noProof/>
          <w:szCs w:val="22"/>
        </w:rPr>
        <w:t>18.</w:t>
      </w:r>
      <w:r w:rsidRPr="0063119B">
        <w:rPr>
          <w:b/>
          <w:noProof/>
          <w:szCs w:val="22"/>
        </w:rPr>
        <w:tab/>
        <w:t>IDENTIFICADOR ÚNICO - DADOS PARA LEITURA HUMANA</w:t>
      </w:r>
    </w:p>
    <w:p w14:paraId="6EF6108F" w14:textId="77777777" w:rsidR="00663928" w:rsidRPr="0063119B" w:rsidRDefault="00663928" w:rsidP="00951279">
      <w:pPr>
        <w:rPr>
          <w:noProof/>
          <w:szCs w:val="22"/>
        </w:rPr>
      </w:pPr>
    </w:p>
    <w:p w14:paraId="70E640FF" w14:textId="77777777" w:rsidR="00663928" w:rsidRPr="0063119B" w:rsidRDefault="00663928" w:rsidP="00951279">
      <w:pPr>
        <w:rPr>
          <w:szCs w:val="22"/>
        </w:rPr>
      </w:pPr>
      <w:r w:rsidRPr="0063119B">
        <w:rPr>
          <w:szCs w:val="22"/>
        </w:rPr>
        <w:t xml:space="preserve">PC </w:t>
      </w:r>
      <w:r w:rsidRPr="0063119B">
        <w:rPr>
          <w:noProof/>
          <w:szCs w:val="22"/>
          <w:highlight w:val="lightGray"/>
        </w:rPr>
        <w:t>(apenas aplicável para a embalagem exterior, não aplicável para o rótulo do frasco)</w:t>
      </w:r>
    </w:p>
    <w:p w14:paraId="4C586B00" w14:textId="77777777" w:rsidR="00663928" w:rsidRPr="0063119B" w:rsidRDefault="00663928" w:rsidP="00951279">
      <w:pPr>
        <w:rPr>
          <w:szCs w:val="22"/>
        </w:rPr>
      </w:pPr>
      <w:r w:rsidRPr="0063119B">
        <w:rPr>
          <w:szCs w:val="22"/>
        </w:rPr>
        <w:t xml:space="preserve">SN </w:t>
      </w:r>
      <w:r w:rsidRPr="0063119B">
        <w:rPr>
          <w:noProof/>
          <w:szCs w:val="22"/>
          <w:highlight w:val="lightGray"/>
        </w:rPr>
        <w:t>(apenas aplicável para a embalagem exterior, não aplicável para o rótulo do frasco)</w:t>
      </w:r>
    </w:p>
    <w:p w14:paraId="770DBC48" w14:textId="77777777" w:rsidR="00663928" w:rsidRPr="0063119B" w:rsidRDefault="00663928" w:rsidP="00951279">
      <w:pPr>
        <w:rPr>
          <w:szCs w:val="22"/>
        </w:rPr>
      </w:pPr>
      <w:r w:rsidRPr="0063119B">
        <w:rPr>
          <w:szCs w:val="22"/>
        </w:rPr>
        <w:t>NN</w:t>
      </w:r>
      <w:r w:rsidRPr="0063119B">
        <w:rPr>
          <w:noProof/>
          <w:szCs w:val="22"/>
          <w:highlight w:val="lightGray"/>
        </w:rPr>
        <w:t xml:space="preserve"> (apenas aplicável para a embalagem exterior, não aplicável para o rótulo do frasco)</w:t>
      </w:r>
    </w:p>
    <w:p w14:paraId="64FD1BD4" w14:textId="77777777" w:rsidR="00663928" w:rsidRPr="0063119B" w:rsidRDefault="00663928" w:rsidP="00951279">
      <w:pPr>
        <w:suppressAutoHyphens/>
        <w:ind w:right="14"/>
        <w:rPr>
          <w:noProof/>
          <w:szCs w:val="22"/>
          <w:highlight w:val="lightGray"/>
        </w:rPr>
      </w:pPr>
    </w:p>
    <w:p w14:paraId="5D216FA7" w14:textId="77777777" w:rsidR="00337111" w:rsidRPr="0063119B" w:rsidRDefault="00663928" w:rsidP="00337111">
      <w:pPr>
        <w:shd w:val="clear" w:color="auto" w:fill="FFFFFF"/>
        <w:suppressAutoHyphens/>
        <w:ind w:right="14"/>
        <w:rPr>
          <w:noProof/>
          <w:szCs w:val="22"/>
        </w:rPr>
      </w:pPr>
      <w:r w:rsidRPr="0063119B">
        <w:rPr>
          <w:noProof/>
          <w:szCs w:val="22"/>
        </w:rPr>
        <w:br w:type="page"/>
      </w:r>
    </w:p>
    <w:p w14:paraId="66C53920"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rPr>
          <w:b/>
          <w:caps/>
          <w:noProof/>
          <w:szCs w:val="22"/>
        </w:rPr>
      </w:pPr>
      <w:r w:rsidRPr="0063119B">
        <w:rPr>
          <w:b/>
          <w:noProof/>
          <w:szCs w:val="22"/>
        </w:rPr>
        <w:lastRenderedPageBreak/>
        <w:t xml:space="preserve">INDICAÇÕES A INCLUIR </w:t>
      </w:r>
      <w:r w:rsidRPr="0063119B">
        <w:rPr>
          <w:b/>
          <w:caps/>
          <w:noProof/>
          <w:szCs w:val="22"/>
        </w:rPr>
        <w:t>no acondicionamento secundário</w:t>
      </w:r>
    </w:p>
    <w:p w14:paraId="372D6A33"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rPr>
          <w:b/>
          <w:caps/>
          <w:noProof/>
          <w:szCs w:val="22"/>
        </w:rPr>
      </w:pPr>
    </w:p>
    <w:p w14:paraId="644FFDBE"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rPr>
          <w:b/>
          <w:caps/>
          <w:noProof/>
          <w:szCs w:val="22"/>
        </w:rPr>
      </w:pPr>
      <w:r w:rsidRPr="0063119B">
        <w:rPr>
          <w:b/>
          <w:caps/>
          <w:noProof/>
          <w:szCs w:val="22"/>
        </w:rPr>
        <w:t>Embalagem exterior para 15</w:t>
      </w:r>
      <w:r w:rsidR="005C1663" w:rsidRPr="0063119B">
        <w:rPr>
          <w:b/>
          <w:caps/>
          <w:noProof/>
          <w:szCs w:val="22"/>
        </w:rPr>
        <w:t> </w:t>
      </w:r>
      <w:r w:rsidRPr="0063119B">
        <w:rPr>
          <w:b/>
          <w:caps/>
          <w:noProof/>
          <w:szCs w:val="22"/>
        </w:rPr>
        <w:t>mg</w:t>
      </w:r>
    </w:p>
    <w:p w14:paraId="6BC64C58" w14:textId="77777777" w:rsidR="00337111" w:rsidRPr="0063119B" w:rsidRDefault="00337111" w:rsidP="00337111">
      <w:pPr>
        <w:suppressAutoHyphens/>
        <w:ind w:right="14"/>
        <w:rPr>
          <w:noProof/>
          <w:szCs w:val="22"/>
        </w:rPr>
      </w:pPr>
    </w:p>
    <w:p w14:paraId="316BC282" w14:textId="77777777" w:rsidR="00337111" w:rsidRPr="0063119B" w:rsidRDefault="00337111" w:rsidP="00337111">
      <w:pPr>
        <w:suppressAutoHyphens/>
        <w:ind w:right="14"/>
        <w:rPr>
          <w:noProof/>
          <w:szCs w:val="22"/>
        </w:rPr>
      </w:pPr>
    </w:p>
    <w:p w14:paraId="0E11B67E"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5892BB44" w14:textId="77777777" w:rsidR="00337111" w:rsidRPr="0063119B" w:rsidRDefault="00337111" w:rsidP="00337111">
      <w:pPr>
        <w:suppressAutoHyphens/>
        <w:ind w:right="14"/>
        <w:rPr>
          <w:noProof/>
          <w:szCs w:val="22"/>
        </w:rPr>
      </w:pPr>
    </w:p>
    <w:p w14:paraId="10270216" w14:textId="77777777" w:rsidR="00337111" w:rsidRPr="0063119B" w:rsidRDefault="00607DE4" w:rsidP="005500AB">
      <w:pPr>
        <w:suppressAutoHyphens/>
        <w:ind w:right="11"/>
        <w:outlineLvl w:val="2"/>
        <w:rPr>
          <w:noProof/>
          <w:szCs w:val="22"/>
        </w:rPr>
      </w:pPr>
      <w:r>
        <w:rPr>
          <w:noProof/>
          <w:szCs w:val="22"/>
        </w:rPr>
        <w:t>Rivaroxabano</w:t>
      </w:r>
      <w:r w:rsidR="001F7D02" w:rsidRPr="0063119B">
        <w:rPr>
          <w:noProof/>
          <w:szCs w:val="22"/>
        </w:rPr>
        <w:t xml:space="preserve"> Accord</w:t>
      </w:r>
      <w:r w:rsidR="00337111" w:rsidRPr="0063119B">
        <w:rPr>
          <w:noProof/>
          <w:szCs w:val="22"/>
        </w:rPr>
        <w:t xml:space="preserve"> 15 mg comprimidos revestidos por película</w:t>
      </w:r>
    </w:p>
    <w:p w14:paraId="4387CC6D" w14:textId="77777777" w:rsidR="00337111" w:rsidRPr="0063119B" w:rsidRDefault="000D7CE8" w:rsidP="00337111">
      <w:pPr>
        <w:suppressAutoHyphens/>
        <w:ind w:right="14"/>
        <w:rPr>
          <w:noProof/>
          <w:szCs w:val="22"/>
        </w:rPr>
      </w:pPr>
      <w:r w:rsidRPr="0063119B">
        <w:rPr>
          <w:noProof/>
          <w:szCs w:val="22"/>
        </w:rPr>
        <w:t>r</w:t>
      </w:r>
      <w:r w:rsidR="00337111" w:rsidRPr="0063119B">
        <w:rPr>
          <w:noProof/>
          <w:szCs w:val="22"/>
        </w:rPr>
        <w:t>ivaroxabano</w:t>
      </w:r>
    </w:p>
    <w:p w14:paraId="4BBA418C" w14:textId="77777777" w:rsidR="00337111" w:rsidRPr="0063119B" w:rsidRDefault="00337111" w:rsidP="00337111">
      <w:pPr>
        <w:suppressAutoHyphens/>
        <w:ind w:right="14"/>
        <w:rPr>
          <w:noProof/>
          <w:szCs w:val="22"/>
        </w:rPr>
      </w:pPr>
    </w:p>
    <w:p w14:paraId="43716A6E" w14:textId="77777777" w:rsidR="00337111" w:rsidRPr="0063119B" w:rsidRDefault="00337111" w:rsidP="00337111">
      <w:pPr>
        <w:suppressAutoHyphens/>
        <w:ind w:right="14"/>
        <w:rPr>
          <w:noProof/>
          <w:szCs w:val="22"/>
        </w:rPr>
      </w:pPr>
    </w:p>
    <w:p w14:paraId="710CDE3E"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2.</w:t>
      </w:r>
      <w:r w:rsidRPr="0063119B">
        <w:rPr>
          <w:b/>
          <w:noProof/>
          <w:szCs w:val="22"/>
        </w:rPr>
        <w:tab/>
        <w:t>DESCRIÇÃO DA(S) SUBSTÂNCIA(S) ATIVA(S)</w:t>
      </w:r>
    </w:p>
    <w:p w14:paraId="15B6DA06" w14:textId="77777777" w:rsidR="00337111" w:rsidRPr="0063119B" w:rsidRDefault="00337111" w:rsidP="00337111">
      <w:pPr>
        <w:suppressAutoHyphens/>
        <w:ind w:right="14"/>
        <w:rPr>
          <w:noProof/>
          <w:szCs w:val="22"/>
        </w:rPr>
      </w:pPr>
    </w:p>
    <w:p w14:paraId="22D6E86E" w14:textId="77777777" w:rsidR="00337111" w:rsidRPr="0063119B" w:rsidRDefault="00337111" w:rsidP="00337111">
      <w:pPr>
        <w:suppressAutoHyphens/>
        <w:ind w:right="14"/>
        <w:rPr>
          <w:noProof/>
          <w:szCs w:val="22"/>
        </w:rPr>
      </w:pPr>
      <w:r w:rsidRPr="0063119B">
        <w:rPr>
          <w:noProof/>
          <w:szCs w:val="22"/>
        </w:rPr>
        <w:t>Cada comprimido revestido por película contém 15 mg</w:t>
      </w:r>
      <w:r w:rsidR="005C1663" w:rsidRPr="0063119B">
        <w:rPr>
          <w:noProof/>
          <w:szCs w:val="22"/>
        </w:rPr>
        <w:t xml:space="preserve"> de</w:t>
      </w:r>
      <w:r w:rsidRPr="0063119B">
        <w:rPr>
          <w:noProof/>
          <w:szCs w:val="22"/>
        </w:rPr>
        <w:t xml:space="preserve"> rivaroxabano.</w:t>
      </w:r>
    </w:p>
    <w:p w14:paraId="299F8C0B" w14:textId="77777777" w:rsidR="00337111" w:rsidRPr="0063119B" w:rsidRDefault="00337111" w:rsidP="00337111">
      <w:pPr>
        <w:suppressAutoHyphens/>
        <w:ind w:right="14"/>
        <w:rPr>
          <w:noProof/>
          <w:szCs w:val="22"/>
        </w:rPr>
      </w:pPr>
    </w:p>
    <w:p w14:paraId="68CC51CB" w14:textId="77777777" w:rsidR="00337111" w:rsidRPr="0063119B" w:rsidRDefault="00337111" w:rsidP="00337111">
      <w:pPr>
        <w:suppressAutoHyphens/>
        <w:ind w:right="14"/>
        <w:rPr>
          <w:noProof/>
          <w:szCs w:val="22"/>
        </w:rPr>
      </w:pPr>
    </w:p>
    <w:p w14:paraId="016AC3BF"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LISTA DOS EXCIPIENTES</w:t>
      </w:r>
    </w:p>
    <w:p w14:paraId="77E4388C" w14:textId="77777777" w:rsidR="00337111" w:rsidRPr="0063119B" w:rsidRDefault="00337111" w:rsidP="00337111">
      <w:pPr>
        <w:suppressAutoHyphens/>
        <w:ind w:right="14"/>
        <w:rPr>
          <w:noProof/>
          <w:szCs w:val="22"/>
        </w:rPr>
      </w:pPr>
    </w:p>
    <w:p w14:paraId="095A3B9D" w14:textId="77777777" w:rsidR="00337111" w:rsidRPr="0063119B" w:rsidRDefault="00337111" w:rsidP="00337111">
      <w:pPr>
        <w:suppressAutoHyphens/>
        <w:ind w:right="14"/>
        <w:rPr>
          <w:noProof/>
          <w:szCs w:val="22"/>
        </w:rPr>
      </w:pPr>
      <w:r w:rsidRPr="0063119B">
        <w:rPr>
          <w:noProof/>
          <w:szCs w:val="22"/>
        </w:rPr>
        <w:t>Contém lactose</w:t>
      </w:r>
      <w:r w:rsidR="005C1663" w:rsidRPr="0063119B">
        <w:rPr>
          <w:noProof/>
          <w:szCs w:val="22"/>
        </w:rPr>
        <w:t xml:space="preserve"> mono-hidratada</w:t>
      </w:r>
      <w:r w:rsidRPr="0063119B">
        <w:rPr>
          <w:noProof/>
          <w:szCs w:val="22"/>
        </w:rPr>
        <w:t>.</w:t>
      </w:r>
    </w:p>
    <w:p w14:paraId="65ADB280" w14:textId="77777777" w:rsidR="00337111" w:rsidRPr="0063119B" w:rsidRDefault="00337111" w:rsidP="00337111">
      <w:pPr>
        <w:suppressAutoHyphens/>
        <w:ind w:right="14"/>
        <w:rPr>
          <w:noProof/>
          <w:szCs w:val="22"/>
        </w:rPr>
      </w:pPr>
    </w:p>
    <w:p w14:paraId="53A5C8BE" w14:textId="77777777" w:rsidR="00337111" w:rsidRPr="0063119B" w:rsidRDefault="00337111" w:rsidP="00337111">
      <w:pPr>
        <w:suppressAutoHyphens/>
        <w:ind w:right="14"/>
        <w:rPr>
          <w:noProof/>
          <w:szCs w:val="22"/>
        </w:rPr>
      </w:pPr>
    </w:p>
    <w:p w14:paraId="1A12FE9D"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FORMA FARMACÊUTICA E CONTEÚDO</w:t>
      </w:r>
    </w:p>
    <w:p w14:paraId="65BE7B7D" w14:textId="77777777" w:rsidR="00337111" w:rsidRPr="0063119B" w:rsidRDefault="00337111" w:rsidP="00337111">
      <w:pPr>
        <w:suppressAutoHyphens/>
        <w:ind w:right="14"/>
        <w:rPr>
          <w:noProof/>
          <w:szCs w:val="22"/>
        </w:rPr>
      </w:pPr>
    </w:p>
    <w:p w14:paraId="57945BED" w14:textId="77777777" w:rsidR="00943737" w:rsidRPr="0063119B" w:rsidRDefault="00943737" w:rsidP="00337111">
      <w:pPr>
        <w:suppressAutoHyphens/>
        <w:ind w:right="14"/>
        <w:rPr>
          <w:noProof/>
          <w:szCs w:val="22"/>
        </w:rPr>
      </w:pPr>
      <w:r w:rsidRPr="0063119B">
        <w:rPr>
          <w:noProof/>
          <w:szCs w:val="22"/>
        </w:rPr>
        <w:t>10 comprimidos revestidos por película</w:t>
      </w:r>
    </w:p>
    <w:p w14:paraId="7197740D" w14:textId="77777777" w:rsidR="00337111" w:rsidRPr="0063119B" w:rsidRDefault="00337111" w:rsidP="00337111">
      <w:pPr>
        <w:suppressAutoHyphens/>
        <w:ind w:right="14"/>
        <w:rPr>
          <w:noProof/>
          <w:szCs w:val="22"/>
        </w:rPr>
      </w:pPr>
      <w:r w:rsidRPr="0063119B">
        <w:rPr>
          <w:noProof/>
          <w:szCs w:val="22"/>
          <w:highlight w:val="lightGray"/>
        </w:rPr>
        <w:t>14 comprimidos revestidos por película</w:t>
      </w:r>
    </w:p>
    <w:p w14:paraId="5A4C1892" w14:textId="77777777" w:rsidR="00337111" w:rsidRPr="0063119B" w:rsidRDefault="00337111" w:rsidP="00337111">
      <w:pPr>
        <w:rPr>
          <w:noProof/>
          <w:szCs w:val="22"/>
          <w:highlight w:val="lightGray"/>
        </w:rPr>
      </w:pPr>
      <w:r w:rsidRPr="0063119B">
        <w:rPr>
          <w:noProof/>
          <w:szCs w:val="22"/>
          <w:highlight w:val="lightGray"/>
        </w:rPr>
        <w:t>28 comprimidos revestidos por película</w:t>
      </w:r>
    </w:p>
    <w:p w14:paraId="34579100" w14:textId="77777777" w:rsidR="00337111" w:rsidRPr="0063119B" w:rsidRDefault="005C1663" w:rsidP="00337111">
      <w:pPr>
        <w:rPr>
          <w:noProof/>
          <w:szCs w:val="22"/>
          <w:highlight w:val="lightGray"/>
        </w:rPr>
      </w:pPr>
      <w:r w:rsidRPr="0063119B">
        <w:rPr>
          <w:noProof/>
          <w:szCs w:val="22"/>
          <w:highlight w:val="lightGray"/>
        </w:rPr>
        <w:t>30</w:t>
      </w:r>
      <w:r w:rsidR="00337111" w:rsidRPr="0063119B">
        <w:rPr>
          <w:noProof/>
          <w:szCs w:val="22"/>
          <w:highlight w:val="lightGray"/>
        </w:rPr>
        <w:t> comprimidos revestidos por película</w:t>
      </w:r>
    </w:p>
    <w:p w14:paraId="1E627F6C" w14:textId="77777777" w:rsidR="00337111" w:rsidRPr="0063119B" w:rsidRDefault="005C1663" w:rsidP="00337111">
      <w:pPr>
        <w:rPr>
          <w:noProof/>
          <w:szCs w:val="22"/>
          <w:highlight w:val="lightGray"/>
        </w:rPr>
      </w:pPr>
      <w:r w:rsidRPr="0063119B">
        <w:rPr>
          <w:noProof/>
          <w:szCs w:val="22"/>
          <w:highlight w:val="lightGray"/>
        </w:rPr>
        <w:t>42</w:t>
      </w:r>
      <w:r w:rsidR="00337111" w:rsidRPr="0063119B">
        <w:rPr>
          <w:noProof/>
          <w:szCs w:val="22"/>
          <w:highlight w:val="lightGray"/>
        </w:rPr>
        <w:t> comprimidos revestidos por película</w:t>
      </w:r>
    </w:p>
    <w:p w14:paraId="43BF2495" w14:textId="77777777" w:rsidR="005C1663" w:rsidRPr="0063119B" w:rsidRDefault="005C1663" w:rsidP="005C1663">
      <w:pPr>
        <w:suppressAutoHyphens/>
        <w:ind w:right="14"/>
        <w:rPr>
          <w:noProof/>
          <w:szCs w:val="22"/>
        </w:rPr>
      </w:pPr>
      <w:r w:rsidRPr="0063119B">
        <w:rPr>
          <w:noProof/>
          <w:szCs w:val="22"/>
          <w:highlight w:val="lightGray"/>
        </w:rPr>
        <w:t>48 comprimidos revestidos por película</w:t>
      </w:r>
    </w:p>
    <w:p w14:paraId="16EB3382" w14:textId="77777777" w:rsidR="005C1663" w:rsidRPr="0063119B" w:rsidRDefault="005C1663" w:rsidP="005C1663">
      <w:pPr>
        <w:rPr>
          <w:noProof/>
          <w:szCs w:val="22"/>
          <w:highlight w:val="lightGray"/>
        </w:rPr>
      </w:pPr>
      <w:r w:rsidRPr="0063119B">
        <w:rPr>
          <w:noProof/>
          <w:szCs w:val="22"/>
          <w:highlight w:val="lightGray"/>
        </w:rPr>
        <w:t>56 comprimidos revestidos por película</w:t>
      </w:r>
    </w:p>
    <w:p w14:paraId="5823D1B9" w14:textId="77777777" w:rsidR="005C1663" w:rsidRPr="0063119B" w:rsidRDefault="005C1663" w:rsidP="005C1663">
      <w:pPr>
        <w:rPr>
          <w:noProof/>
          <w:szCs w:val="22"/>
          <w:highlight w:val="lightGray"/>
        </w:rPr>
      </w:pPr>
      <w:r w:rsidRPr="0063119B">
        <w:rPr>
          <w:noProof/>
          <w:szCs w:val="22"/>
          <w:highlight w:val="lightGray"/>
        </w:rPr>
        <w:t>90 comprimidos revestidos por película</w:t>
      </w:r>
    </w:p>
    <w:p w14:paraId="71319BB1" w14:textId="77777777" w:rsidR="005C1663" w:rsidRPr="0063119B" w:rsidRDefault="005C1663" w:rsidP="005C1663">
      <w:pPr>
        <w:rPr>
          <w:noProof/>
          <w:szCs w:val="22"/>
          <w:highlight w:val="lightGray"/>
        </w:rPr>
      </w:pPr>
      <w:r w:rsidRPr="0063119B">
        <w:rPr>
          <w:noProof/>
          <w:szCs w:val="22"/>
          <w:highlight w:val="lightGray"/>
        </w:rPr>
        <w:t>98 comprimidos revestidos por película</w:t>
      </w:r>
    </w:p>
    <w:p w14:paraId="172ECE50" w14:textId="77777777" w:rsidR="005C1663" w:rsidRPr="0063119B" w:rsidRDefault="005C1663" w:rsidP="005C1663">
      <w:pPr>
        <w:rPr>
          <w:noProof/>
          <w:szCs w:val="22"/>
          <w:highlight w:val="lightGray"/>
        </w:rPr>
      </w:pPr>
      <w:r w:rsidRPr="0063119B">
        <w:rPr>
          <w:noProof/>
          <w:szCs w:val="22"/>
          <w:highlight w:val="lightGray"/>
        </w:rPr>
        <w:t>100 comprimidos revestidos por película</w:t>
      </w:r>
    </w:p>
    <w:p w14:paraId="79AD9406" w14:textId="77777777" w:rsidR="00337111" w:rsidRPr="0063119B" w:rsidRDefault="00337111" w:rsidP="00337111">
      <w:pPr>
        <w:rPr>
          <w:noProof/>
          <w:szCs w:val="22"/>
          <w:highlight w:val="lightGray"/>
        </w:rPr>
      </w:pPr>
      <w:r w:rsidRPr="0063119B">
        <w:rPr>
          <w:noProof/>
          <w:szCs w:val="22"/>
          <w:highlight w:val="lightGray"/>
        </w:rPr>
        <w:t>10 x 1</w:t>
      </w:r>
      <w:r w:rsidR="005C1663" w:rsidRPr="0063119B">
        <w:rPr>
          <w:noProof/>
          <w:szCs w:val="22"/>
          <w:highlight w:val="lightGray"/>
        </w:rPr>
        <w:t> </w:t>
      </w:r>
      <w:r w:rsidRPr="0063119B">
        <w:rPr>
          <w:noProof/>
          <w:szCs w:val="22"/>
          <w:highlight w:val="lightGray"/>
        </w:rPr>
        <w:t>comprimidos revestidos por película</w:t>
      </w:r>
    </w:p>
    <w:p w14:paraId="13149687" w14:textId="77777777" w:rsidR="00337111" w:rsidRPr="0063119B" w:rsidRDefault="00337111" w:rsidP="00337111">
      <w:pPr>
        <w:rPr>
          <w:noProof/>
          <w:szCs w:val="22"/>
        </w:rPr>
      </w:pPr>
      <w:r w:rsidRPr="0063119B">
        <w:rPr>
          <w:noProof/>
          <w:szCs w:val="22"/>
          <w:highlight w:val="lightGray"/>
        </w:rPr>
        <w:t>100 x 1 comprimidos revestidos por película</w:t>
      </w:r>
    </w:p>
    <w:p w14:paraId="17DF85B3" w14:textId="77777777" w:rsidR="00337111" w:rsidRPr="0063119B" w:rsidRDefault="00337111" w:rsidP="00337111">
      <w:pPr>
        <w:suppressAutoHyphens/>
        <w:ind w:right="14"/>
        <w:rPr>
          <w:noProof/>
          <w:szCs w:val="22"/>
        </w:rPr>
      </w:pPr>
    </w:p>
    <w:p w14:paraId="7518D088" w14:textId="77777777" w:rsidR="00337111" w:rsidRPr="0063119B" w:rsidRDefault="00337111" w:rsidP="00337111">
      <w:pPr>
        <w:suppressAutoHyphens/>
        <w:ind w:right="14"/>
        <w:rPr>
          <w:noProof/>
          <w:szCs w:val="22"/>
        </w:rPr>
      </w:pPr>
    </w:p>
    <w:p w14:paraId="5404ED90"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t>MODO E VIA(S) DE ADMINISTRAÇÃO</w:t>
      </w:r>
    </w:p>
    <w:p w14:paraId="5C1A8667" w14:textId="77777777" w:rsidR="00337111" w:rsidRPr="0063119B" w:rsidRDefault="00337111" w:rsidP="00337111">
      <w:pPr>
        <w:suppressAutoHyphens/>
        <w:ind w:right="14"/>
        <w:rPr>
          <w:noProof/>
          <w:szCs w:val="22"/>
        </w:rPr>
      </w:pPr>
    </w:p>
    <w:p w14:paraId="00A2F623" w14:textId="77777777" w:rsidR="00337111" w:rsidRPr="0063119B" w:rsidRDefault="00337111" w:rsidP="00337111">
      <w:pPr>
        <w:suppressAutoHyphens/>
        <w:ind w:right="14"/>
        <w:rPr>
          <w:noProof/>
          <w:szCs w:val="22"/>
        </w:rPr>
      </w:pPr>
      <w:r w:rsidRPr="0063119B">
        <w:rPr>
          <w:noProof/>
          <w:szCs w:val="22"/>
        </w:rPr>
        <w:t>Consultar o folheto informativo antes de utilizar.</w:t>
      </w:r>
    </w:p>
    <w:p w14:paraId="06C95298" w14:textId="77777777" w:rsidR="00F723A9" w:rsidRPr="0063119B" w:rsidRDefault="00F723A9" w:rsidP="00F723A9">
      <w:pPr>
        <w:suppressAutoHyphens/>
        <w:ind w:right="14"/>
        <w:rPr>
          <w:noProof/>
          <w:szCs w:val="22"/>
        </w:rPr>
      </w:pPr>
      <w:r w:rsidRPr="0063119B">
        <w:rPr>
          <w:noProof/>
          <w:szCs w:val="22"/>
        </w:rPr>
        <w:t>Via oral.</w:t>
      </w:r>
    </w:p>
    <w:p w14:paraId="74723555" w14:textId="77777777" w:rsidR="00337111" w:rsidRPr="0063119B" w:rsidRDefault="00337111" w:rsidP="00337111">
      <w:pPr>
        <w:suppressAutoHyphens/>
        <w:ind w:right="14"/>
        <w:rPr>
          <w:noProof/>
          <w:szCs w:val="22"/>
        </w:rPr>
      </w:pPr>
    </w:p>
    <w:p w14:paraId="5C74F859" w14:textId="77777777" w:rsidR="00337111" w:rsidRPr="0063119B" w:rsidRDefault="00337111" w:rsidP="00337111">
      <w:pPr>
        <w:suppressAutoHyphens/>
        <w:ind w:right="14"/>
        <w:rPr>
          <w:noProof/>
          <w:szCs w:val="22"/>
        </w:rPr>
      </w:pPr>
    </w:p>
    <w:p w14:paraId="0E68574F"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6.</w:t>
      </w:r>
      <w:r w:rsidRPr="0063119B">
        <w:rPr>
          <w:b/>
          <w:noProof/>
          <w:szCs w:val="22"/>
        </w:rPr>
        <w:tab/>
        <w:t>ADVERTÊNCIA ESPECIAL DE QUE O MEDICAMENTO DEVE SER MANTIDO FORA DA VISTA E DO ALCANCE E DAS CRIANÇAS</w:t>
      </w:r>
    </w:p>
    <w:p w14:paraId="53EA3788" w14:textId="77777777" w:rsidR="00337111" w:rsidRPr="0063119B" w:rsidRDefault="00337111" w:rsidP="00337111">
      <w:pPr>
        <w:suppressAutoHyphens/>
        <w:ind w:right="14"/>
        <w:rPr>
          <w:noProof/>
          <w:szCs w:val="22"/>
        </w:rPr>
      </w:pPr>
    </w:p>
    <w:p w14:paraId="5B614155" w14:textId="77777777" w:rsidR="00337111" w:rsidRPr="0063119B" w:rsidRDefault="00337111" w:rsidP="00337111">
      <w:pPr>
        <w:suppressAutoHyphens/>
        <w:ind w:right="14"/>
        <w:rPr>
          <w:noProof/>
          <w:szCs w:val="22"/>
        </w:rPr>
      </w:pPr>
      <w:r w:rsidRPr="0063119B">
        <w:rPr>
          <w:noProof/>
          <w:szCs w:val="22"/>
        </w:rPr>
        <w:t>Manter fora da vista e do alcance das crianças.</w:t>
      </w:r>
    </w:p>
    <w:p w14:paraId="3D144D6B" w14:textId="77777777" w:rsidR="00337111" w:rsidRPr="0063119B" w:rsidRDefault="00337111" w:rsidP="00337111">
      <w:pPr>
        <w:suppressAutoHyphens/>
        <w:ind w:right="14"/>
        <w:rPr>
          <w:noProof/>
          <w:szCs w:val="22"/>
        </w:rPr>
      </w:pPr>
    </w:p>
    <w:p w14:paraId="4EEADF28" w14:textId="77777777" w:rsidR="00337111" w:rsidRPr="0063119B" w:rsidRDefault="00337111" w:rsidP="00337111">
      <w:pPr>
        <w:suppressAutoHyphens/>
        <w:ind w:right="14"/>
        <w:rPr>
          <w:noProof/>
          <w:szCs w:val="22"/>
        </w:rPr>
      </w:pPr>
    </w:p>
    <w:p w14:paraId="237FE0D8"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7.</w:t>
      </w:r>
      <w:r w:rsidRPr="0063119B">
        <w:rPr>
          <w:b/>
          <w:noProof/>
          <w:szCs w:val="22"/>
        </w:rPr>
        <w:tab/>
        <w:t>OUTRAS ADVERTÊNCIAS ESPECIAIS, SE NECESSÁRIO</w:t>
      </w:r>
    </w:p>
    <w:p w14:paraId="7BE173BD" w14:textId="77777777" w:rsidR="00337111" w:rsidRPr="0063119B" w:rsidRDefault="00337111" w:rsidP="00337111">
      <w:pPr>
        <w:suppressAutoHyphens/>
        <w:ind w:right="14"/>
        <w:rPr>
          <w:noProof/>
          <w:szCs w:val="22"/>
        </w:rPr>
      </w:pPr>
    </w:p>
    <w:p w14:paraId="13221F7C" w14:textId="77777777" w:rsidR="00337111" w:rsidRPr="0063119B" w:rsidRDefault="00337111" w:rsidP="00337111">
      <w:pPr>
        <w:suppressAutoHyphens/>
        <w:ind w:right="14"/>
        <w:rPr>
          <w:noProof/>
          <w:szCs w:val="22"/>
        </w:rPr>
      </w:pPr>
    </w:p>
    <w:p w14:paraId="1F1E9B69"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8.</w:t>
      </w:r>
      <w:r w:rsidRPr="0063119B">
        <w:rPr>
          <w:b/>
          <w:noProof/>
          <w:szCs w:val="22"/>
        </w:rPr>
        <w:tab/>
        <w:t>PRAZO DE VALIDADE</w:t>
      </w:r>
    </w:p>
    <w:p w14:paraId="743CC9EE" w14:textId="77777777" w:rsidR="00337111" w:rsidRPr="0063119B" w:rsidRDefault="00337111" w:rsidP="00337111">
      <w:pPr>
        <w:suppressAutoHyphens/>
        <w:rPr>
          <w:noProof/>
          <w:szCs w:val="22"/>
        </w:rPr>
      </w:pPr>
    </w:p>
    <w:p w14:paraId="5B1BB7E7" w14:textId="77777777" w:rsidR="00337111" w:rsidRPr="0063119B" w:rsidRDefault="00337111" w:rsidP="00337111">
      <w:pPr>
        <w:suppressAutoHyphens/>
        <w:rPr>
          <w:noProof/>
          <w:szCs w:val="22"/>
        </w:rPr>
      </w:pPr>
      <w:r w:rsidRPr="0063119B">
        <w:rPr>
          <w:noProof/>
          <w:szCs w:val="22"/>
        </w:rPr>
        <w:t>EXP</w:t>
      </w:r>
    </w:p>
    <w:p w14:paraId="516B1047" w14:textId="77777777" w:rsidR="00337111" w:rsidRPr="0063119B" w:rsidRDefault="00337111" w:rsidP="00337111">
      <w:pPr>
        <w:suppressAutoHyphens/>
        <w:ind w:right="14"/>
        <w:rPr>
          <w:noProof/>
          <w:szCs w:val="22"/>
        </w:rPr>
      </w:pPr>
    </w:p>
    <w:p w14:paraId="135C5B32" w14:textId="77777777" w:rsidR="00337111" w:rsidRPr="0063119B" w:rsidRDefault="00337111" w:rsidP="00337111">
      <w:pPr>
        <w:suppressAutoHyphens/>
        <w:ind w:right="14"/>
        <w:rPr>
          <w:noProof/>
          <w:szCs w:val="22"/>
        </w:rPr>
      </w:pPr>
    </w:p>
    <w:p w14:paraId="59235A1D" w14:textId="77777777" w:rsidR="00337111" w:rsidRPr="0063119B" w:rsidRDefault="00337111" w:rsidP="001E28F4">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9.</w:t>
      </w:r>
      <w:r w:rsidRPr="0063119B">
        <w:rPr>
          <w:b/>
          <w:noProof/>
          <w:szCs w:val="22"/>
        </w:rPr>
        <w:tab/>
        <w:t>CONDIÇÕES ESPECIAIS DE CONSERVAÇÃO</w:t>
      </w:r>
    </w:p>
    <w:p w14:paraId="3C44F948" w14:textId="77777777" w:rsidR="00337111" w:rsidRPr="0063119B" w:rsidRDefault="00337111" w:rsidP="001E28F4">
      <w:pPr>
        <w:keepNext/>
        <w:suppressAutoHyphens/>
        <w:rPr>
          <w:noProof/>
          <w:szCs w:val="22"/>
        </w:rPr>
      </w:pPr>
    </w:p>
    <w:p w14:paraId="3D1C0477" w14:textId="77777777" w:rsidR="00337111" w:rsidRPr="0063119B" w:rsidRDefault="00337111" w:rsidP="00337111">
      <w:pPr>
        <w:suppressAutoHyphens/>
        <w:ind w:right="14"/>
        <w:rPr>
          <w:b/>
          <w:noProof/>
          <w:szCs w:val="22"/>
        </w:rPr>
      </w:pPr>
    </w:p>
    <w:p w14:paraId="76E423BE"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10.</w:t>
      </w:r>
      <w:r w:rsidRPr="0063119B">
        <w:rPr>
          <w:b/>
          <w:noProof/>
          <w:szCs w:val="22"/>
        </w:rPr>
        <w:tab/>
        <w:t>CUIDADOS ESPECIAIS QUANTO À ELIMINAÇÃO DO MEDICAMENTO NÃO UTILIZADO OU DOS RESÍDUOS PROVENIENTES DESSE MEDICAMENTO, SE APLICÁVEL</w:t>
      </w:r>
    </w:p>
    <w:p w14:paraId="293C1A0C" w14:textId="77777777" w:rsidR="00337111" w:rsidRPr="0063119B" w:rsidRDefault="00337111" w:rsidP="00337111">
      <w:pPr>
        <w:suppressAutoHyphens/>
        <w:ind w:right="14"/>
        <w:rPr>
          <w:noProof/>
          <w:szCs w:val="22"/>
        </w:rPr>
      </w:pPr>
    </w:p>
    <w:p w14:paraId="01C0191A" w14:textId="77777777" w:rsidR="00337111" w:rsidRPr="0063119B" w:rsidRDefault="00337111" w:rsidP="00337111">
      <w:pPr>
        <w:suppressAutoHyphens/>
        <w:ind w:right="14"/>
        <w:rPr>
          <w:bCs/>
          <w:noProof/>
          <w:szCs w:val="22"/>
        </w:rPr>
      </w:pPr>
    </w:p>
    <w:p w14:paraId="418FACA6"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11.</w:t>
      </w:r>
      <w:r w:rsidRPr="0063119B">
        <w:rPr>
          <w:b/>
          <w:noProof/>
          <w:szCs w:val="22"/>
        </w:rPr>
        <w:tab/>
        <w:t>NOME E ENDEREÇO DO TITULAR DA AUTORIZAÇÃO DE INTRODUÇÃO NO MERCADO</w:t>
      </w:r>
    </w:p>
    <w:p w14:paraId="3FDF2A9C" w14:textId="77777777" w:rsidR="00337111" w:rsidRPr="0063119B" w:rsidRDefault="00337111" w:rsidP="00337111">
      <w:pPr>
        <w:suppressAutoHyphens/>
        <w:ind w:right="14"/>
        <w:rPr>
          <w:noProof/>
          <w:szCs w:val="22"/>
        </w:rPr>
      </w:pPr>
    </w:p>
    <w:p w14:paraId="6F726608" w14:textId="77777777" w:rsidR="005C1663" w:rsidRPr="0063119B" w:rsidRDefault="005C1663" w:rsidP="005C1663">
      <w:pPr>
        <w:keepNext/>
        <w:rPr>
          <w:szCs w:val="22"/>
          <w:lang w:val="en-GB"/>
        </w:rPr>
      </w:pPr>
      <w:r w:rsidRPr="0063119B">
        <w:rPr>
          <w:szCs w:val="22"/>
          <w:lang w:val="en-GB"/>
        </w:rPr>
        <w:t>Accord Healthcare S.L.U.</w:t>
      </w:r>
    </w:p>
    <w:p w14:paraId="12C12610" w14:textId="77777777" w:rsidR="005C1663" w:rsidRPr="0063119B" w:rsidRDefault="005C1663" w:rsidP="005C1663">
      <w:pPr>
        <w:rPr>
          <w:szCs w:val="22"/>
        </w:rPr>
      </w:pPr>
      <w:r w:rsidRPr="0063119B">
        <w:rPr>
          <w:szCs w:val="22"/>
        </w:rPr>
        <w:t>World Trade Center, Moll de Barcelona s/n, Edifici Est, 6</w:t>
      </w:r>
      <w:r w:rsidRPr="0063119B">
        <w:rPr>
          <w:szCs w:val="22"/>
          <w:vertAlign w:val="superscript"/>
        </w:rPr>
        <w:t>a</w:t>
      </w:r>
      <w:r w:rsidRPr="0063119B">
        <w:rPr>
          <w:szCs w:val="22"/>
        </w:rPr>
        <w:t xml:space="preserve"> Planta, </w:t>
      </w:r>
    </w:p>
    <w:p w14:paraId="16DDEFAF" w14:textId="77777777" w:rsidR="005C1663" w:rsidRPr="0063119B" w:rsidRDefault="005C1663" w:rsidP="005C1663">
      <w:pPr>
        <w:rPr>
          <w:szCs w:val="22"/>
        </w:rPr>
      </w:pPr>
      <w:r w:rsidRPr="0063119B">
        <w:rPr>
          <w:szCs w:val="22"/>
        </w:rPr>
        <w:t>Barcelona, 08039</w:t>
      </w:r>
    </w:p>
    <w:p w14:paraId="5B40C512" w14:textId="77777777" w:rsidR="00337111" w:rsidRPr="0063119B" w:rsidRDefault="005C1663" w:rsidP="00337111">
      <w:pPr>
        <w:suppressAutoHyphens/>
        <w:ind w:right="14"/>
        <w:rPr>
          <w:noProof/>
          <w:szCs w:val="22"/>
        </w:rPr>
      </w:pPr>
      <w:r w:rsidRPr="0063119B">
        <w:rPr>
          <w:szCs w:val="22"/>
        </w:rPr>
        <w:t>Espanha</w:t>
      </w:r>
    </w:p>
    <w:p w14:paraId="5ED51BBA" w14:textId="77777777" w:rsidR="00337111" w:rsidRPr="0063119B" w:rsidRDefault="00337111" w:rsidP="00337111">
      <w:pPr>
        <w:suppressAutoHyphens/>
        <w:ind w:right="14"/>
        <w:rPr>
          <w:noProof/>
          <w:szCs w:val="22"/>
        </w:rPr>
      </w:pPr>
    </w:p>
    <w:p w14:paraId="3095A6C2" w14:textId="77777777" w:rsidR="00337111" w:rsidRPr="0063119B" w:rsidRDefault="00337111" w:rsidP="00337111">
      <w:pPr>
        <w:suppressAutoHyphens/>
        <w:ind w:right="14"/>
        <w:rPr>
          <w:noProof/>
          <w:szCs w:val="22"/>
        </w:rPr>
      </w:pPr>
    </w:p>
    <w:p w14:paraId="782B2170"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12.</w:t>
      </w:r>
      <w:r w:rsidRPr="0063119B">
        <w:rPr>
          <w:b/>
          <w:noProof/>
          <w:szCs w:val="22"/>
        </w:rPr>
        <w:tab/>
        <w:t>NÚMERO(S) DA AUTORIZAÇÃO DE INTRODUÇÃO NO MERCADO</w:t>
      </w:r>
    </w:p>
    <w:p w14:paraId="29AEB209" w14:textId="77777777" w:rsidR="00337111" w:rsidRPr="0063119B" w:rsidRDefault="00337111" w:rsidP="00337111">
      <w:pPr>
        <w:suppressAutoHyphens/>
        <w:ind w:right="14"/>
        <w:rPr>
          <w:noProof/>
          <w:szCs w:val="22"/>
        </w:rPr>
      </w:pPr>
    </w:p>
    <w:p w14:paraId="2DF0CFEC" w14:textId="77777777" w:rsidR="00337111" w:rsidRDefault="007E26F4" w:rsidP="00337111">
      <w:pPr>
        <w:suppressAutoHyphens/>
        <w:ind w:right="14"/>
        <w:rPr>
          <w:szCs w:val="22"/>
        </w:rPr>
      </w:pPr>
      <w:r w:rsidRPr="0063119B">
        <w:rPr>
          <w:szCs w:val="22"/>
        </w:rPr>
        <w:t>EU/1/20/1488/024-035</w:t>
      </w:r>
    </w:p>
    <w:p w14:paraId="0A65639C" w14:textId="77777777" w:rsidR="00394D5E" w:rsidRPr="0063119B" w:rsidRDefault="00394D5E" w:rsidP="00337111">
      <w:pPr>
        <w:suppressAutoHyphens/>
        <w:ind w:right="14"/>
        <w:rPr>
          <w:b/>
          <w:noProof/>
          <w:szCs w:val="22"/>
        </w:rPr>
      </w:pPr>
    </w:p>
    <w:p w14:paraId="6EAB0719" w14:textId="77777777" w:rsidR="00337111" w:rsidRPr="0063119B" w:rsidRDefault="00337111" w:rsidP="00337111">
      <w:pPr>
        <w:suppressAutoHyphens/>
        <w:ind w:right="14"/>
        <w:rPr>
          <w:noProof/>
          <w:szCs w:val="22"/>
        </w:rPr>
      </w:pPr>
    </w:p>
    <w:p w14:paraId="323C4976"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13.</w:t>
      </w:r>
      <w:r w:rsidRPr="0063119B">
        <w:rPr>
          <w:b/>
          <w:noProof/>
          <w:szCs w:val="22"/>
        </w:rPr>
        <w:tab/>
        <w:t>NÚMERO DO LOTE</w:t>
      </w:r>
    </w:p>
    <w:p w14:paraId="4DDB059D" w14:textId="77777777" w:rsidR="00337111" w:rsidRPr="0063119B" w:rsidRDefault="00337111" w:rsidP="00337111">
      <w:pPr>
        <w:rPr>
          <w:noProof/>
          <w:szCs w:val="22"/>
        </w:rPr>
      </w:pPr>
    </w:p>
    <w:p w14:paraId="66733864" w14:textId="77777777" w:rsidR="00337111" w:rsidRPr="0063119B" w:rsidRDefault="00337111" w:rsidP="00337111">
      <w:pPr>
        <w:rPr>
          <w:noProof/>
          <w:szCs w:val="22"/>
        </w:rPr>
      </w:pPr>
      <w:r w:rsidRPr="0063119B">
        <w:rPr>
          <w:noProof/>
          <w:szCs w:val="22"/>
        </w:rPr>
        <w:t>Lot</w:t>
      </w:r>
    </w:p>
    <w:p w14:paraId="6D4744CB" w14:textId="77777777" w:rsidR="00337111" w:rsidRPr="0063119B" w:rsidRDefault="00337111" w:rsidP="00337111">
      <w:pPr>
        <w:rPr>
          <w:noProof/>
          <w:szCs w:val="22"/>
        </w:rPr>
      </w:pPr>
    </w:p>
    <w:p w14:paraId="6227123C" w14:textId="77777777" w:rsidR="00337111" w:rsidRPr="0063119B" w:rsidRDefault="00337111" w:rsidP="00337111">
      <w:pPr>
        <w:suppressAutoHyphens/>
        <w:ind w:right="14"/>
        <w:rPr>
          <w:noProof/>
          <w:szCs w:val="22"/>
        </w:rPr>
      </w:pPr>
    </w:p>
    <w:p w14:paraId="0FF3769E"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14.</w:t>
      </w:r>
      <w:r w:rsidRPr="0063119B">
        <w:rPr>
          <w:b/>
          <w:noProof/>
          <w:szCs w:val="22"/>
        </w:rPr>
        <w:tab/>
        <w:t xml:space="preserve">CLASSIFICAÇÃO QUANTO À DISPENSA </w:t>
      </w:r>
      <w:r w:rsidRPr="0063119B">
        <w:rPr>
          <w:b/>
          <w:caps/>
          <w:noProof/>
          <w:szCs w:val="22"/>
        </w:rPr>
        <w:t>ao Público</w:t>
      </w:r>
    </w:p>
    <w:p w14:paraId="0A1A57AE" w14:textId="77777777" w:rsidR="00337111" w:rsidRPr="0063119B" w:rsidRDefault="00337111" w:rsidP="00337111">
      <w:pPr>
        <w:suppressAutoHyphens/>
        <w:ind w:right="14"/>
        <w:rPr>
          <w:noProof/>
          <w:szCs w:val="22"/>
        </w:rPr>
      </w:pPr>
    </w:p>
    <w:p w14:paraId="2FA25E3E" w14:textId="77777777" w:rsidR="00337111" w:rsidRPr="0063119B" w:rsidRDefault="00337111" w:rsidP="00337111">
      <w:pPr>
        <w:suppressAutoHyphens/>
        <w:ind w:right="14"/>
        <w:rPr>
          <w:noProof/>
          <w:szCs w:val="22"/>
        </w:rPr>
      </w:pPr>
    </w:p>
    <w:p w14:paraId="03063490"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15.</w:t>
      </w:r>
      <w:r w:rsidRPr="0063119B">
        <w:rPr>
          <w:b/>
          <w:noProof/>
          <w:szCs w:val="22"/>
        </w:rPr>
        <w:tab/>
        <w:t>INSTRUÇÕES DE UTILIZAÇÃO</w:t>
      </w:r>
    </w:p>
    <w:p w14:paraId="201B2918" w14:textId="77777777" w:rsidR="00337111" w:rsidRPr="0063119B" w:rsidRDefault="00337111" w:rsidP="00337111">
      <w:pPr>
        <w:suppressAutoHyphens/>
        <w:ind w:right="14"/>
        <w:rPr>
          <w:noProof/>
          <w:szCs w:val="22"/>
        </w:rPr>
      </w:pPr>
    </w:p>
    <w:p w14:paraId="4D043AB6" w14:textId="77777777" w:rsidR="00337111" w:rsidRPr="0063119B" w:rsidRDefault="00337111" w:rsidP="00337111">
      <w:pPr>
        <w:suppressAutoHyphens/>
        <w:ind w:right="14"/>
        <w:rPr>
          <w:noProof/>
          <w:szCs w:val="22"/>
        </w:rPr>
      </w:pPr>
    </w:p>
    <w:p w14:paraId="364D436A" w14:textId="77777777" w:rsidR="00337111" w:rsidRPr="0063119B" w:rsidRDefault="00337111" w:rsidP="0033711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16.</w:t>
      </w:r>
      <w:r w:rsidRPr="0063119B">
        <w:rPr>
          <w:b/>
          <w:noProof/>
          <w:szCs w:val="22"/>
        </w:rPr>
        <w:tab/>
      </w:r>
      <w:r w:rsidRPr="0063119B">
        <w:rPr>
          <w:b/>
          <w:caps/>
          <w:noProof/>
          <w:szCs w:val="22"/>
        </w:rPr>
        <w:t>Informação em Braille</w:t>
      </w:r>
    </w:p>
    <w:p w14:paraId="4D20178B" w14:textId="77777777" w:rsidR="00337111" w:rsidRPr="0063119B" w:rsidRDefault="00337111" w:rsidP="00337111">
      <w:pPr>
        <w:suppressAutoHyphens/>
        <w:ind w:right="14"/>
        <w:rPr>
          <w:noProof/>
          <w:szCs w:val="22"/>
        </w:rPr>
      </w:pPr>
    </w:p>
    <w:p w14:paraId="633407C3" w14:textId="77777777" w:rsidR="00337111" w:rsidRPr="0063119B" w:rsidRDefault="004B4602" w:rsidP="00337111">
      <w:pPr>
        <w:suppressAutoHyphens/>
        <w:ind w:right="14"/>
        <w:rPr>
          <w:noProof/>
          <w:szCs w:val="22"/>
        </w:rPr>
      </w:pPr>
      <w:r>
        <w:rPr>
          <w:noProof/>
          <w:szCs w:val="22"/>
        </w:rPr>
        <w:t>r</w:t>
      </w:r>
      <w:r w:rsidR="00607DE4">
        <w:rPr>
          <w:noProof/>
          <w:szCs w:val="22"/>
        </w:rPr>
        <w:t>ivaroxabano</w:t>
      </w:r>
      <w:r w:rsidR="001F7D02" w:rsidRPr="0063119B">
        <w:rPr>
          <w:noProof/>
          <w:szCs w:val="22"/>
        </w:rPr>
        <w:t xml:space="preserve"> </w:t>
      </w:r>
      <w:r>
        <w:rPr>
          <w:noProof/>
          <w:szCs w:val="22"/>
        </w:rPr>
        <w:t>a</w:t>
      </w:r>
      <w:r w:rsidRPr="0063119B">
        <w:rPr>
          <w:noProof/>
          <w:szCs w:val="22"/>
        </w:rPr>
        <w:t xml:space="preserve">ccord </w:t>
      </w:r>
      <w:r w:rsidR="00337111" w:rsidRPr="0063119B">
        <w:rPr>
          <w:noProof/>
          <w:szCs w:val="22"/>
        </w:rPr>
        <w:t>15 mg</w:t>
      </w:r>
    </w:p>
    <w:p w14:paraId="5E1A9CA1" w14:textId="77777777" w:rsidR="00337111" w:rsidRPr="0063119B" w:rsidRDefault="00337111" w:rsidP="00337111">
      <w:pPr>
        <w:suppressAutoHyphens/>
        <w:ind w:right="14"/>
        <w:rPr>
          <w:noProof/>
          <w:szCs w:val="22"/>
        </w:rPr>
      </w:pPr>
    </w:p>
    <w:p w14:paraId="3DF7AFB2" w14:textId="77777777" w:rsidR="002A006C" w:rsidRPr="0063119B" w:rsidRDefault="002A006C" w:rsidP="00337111">
      <w:pPr>
        <w:suppressAutoHyphens/>
        <w:ind w:right="14"/>
        <w:rPr>
          <w:noProof/>
          <w:szCs w:val="22"/>
        </w:rPr>
      </w:pPr>
    </w:p>
    <w:p w14:paraId="621C0605" w14:textId="77777777" w:rsidR="002A006C" w:rsidRPr="0063119B" w:rsidRDefault="002A006C" w:rsidP="00951279">
      <w:pPr>
        <w:keepNext/>
        <w:pBdr>
          <w:top w:val="single" w:sz="4" w:space="1" w:color="auto"/>
          <w:left w:val="single" w:sz="4" w:space="4" w:color="auto"/>
          <w:bottom w:val="single" w:sz="4" w:space="1" w:color="auto"/>
          <w:right w:val="single" w:sz="4" w:space="4" w:color="auto"/>
        </w:pBdr>
        <w:tabs>
          <w:tab w:val="left" w:pos="0"/>
        </w:tabs>
        <w:rPr>
          <w:i/>
          <w:noProof/>
          <w:szCs w:val="22"/>
        </w:rPr>
      </w:pPr>
      <w:r w:rsidRPr="0063119B">
        <w:rPr>
          <w:b/>
          <w:noProof/>
          <w:szCs w:val="22"/>
        </w:rPr>
        <w:t>17.</w:t>
      </w:r>
      <w:r w:rsidRPr="0063119B">
        <w:rPr>
          <w:b/>
          <w:noProof/>
          <w:szCs w:val="22"/>
        </w:rPr>
        <w:tab/>
        <w:t>IDENTIFICADOR ÚNICO – CÓDIGO DE BARRAS 2D</w:t>
      </w:r>
    </w:p>
    <w:p w14:paraId="681FDD28" w14:textId="77777777" w:rsidR="002A006C" w:rsidRPr="0063119B" w:rsidRDefault="002A006C" w:rsidP="00951279">
      <w:pPr>
        <w:rPr>
          <w:noProof/>
          <w:szCs w:val="22"/>
        </w:rPr>
      </w:pPr>
    </w:p>
    <w:p w14:paraId="29744497" w14:textId="77777777" w:rsidR="002A006C" w:rsidRDefault="002A006C" w:rsidP="00951279">
      <w:pPr>
        <w:rPr>
          <w:noProof/>
          <w:szCs w:val="22"/>
        </w:rPr>
      </w:pPr>
      <w:r w:rsidRPr="0063119B">
        <w:rPr>
          <w:noProof/>
          <w:szCs w:val="22"/>
          <w:highlight w:val="lightGray"/>
        </w:rPr>
        <w:t>Código de barras 2D com identificador único incluído.</w:t>
      </w:r>
    </w:p>
    <w:p w14:paraId="6C780E66" w14:textId="77777777" w:rsidR="00F44978" w:rsidRPr="0063119B" w:rsidRDefault="00F44978" w:rsidP="00951279">
      <w:pPr>
        <w:rPr>
          <w:noProof/>
          <w:szCs w:val="22"/>
          <w:shd w:val="clear" w:color="auto" w:fill="CCCCCC"/>
        </w:rPr>
      </w:pPr>
    </w:p>
    <w:p w14:paraId="54CD4C13" w14:textId="77777777" w:rsidR="002A006C" w:rsidRPr="0063119B" w:rsidRDefault="002A006C" w:rsidP="00951279">
      <w:pPr>
        <w:rPr>
          <w:noProof/>
          <w:szCs w:val="22"/>
          <w:shd w:val="clear" w:color="auto" w:fill="CCCCCC"/>
        </w:rPr>
      </w:pPr>
    </w:p>
    <w:p w14:paraId="62EC59D4" w14:textId="77777777" w:rsidR="002A006C" w:rsidRPr="0063119B" w:rsidRDefault="002A006C" w:rsidP="00951279">
      <w:pPr>
        <w:rPr>
          <w:noProof/>
          <w:vanish/>
          <w:szCs w:val="22"/>
        </w:rPr>
      </w:pPr>
    </w:p>
    <w:p w14:paraId="203F0D8F" w14:textId="77777777" w:rsidR="002A006C" w:rsidRPr="0063119B" w:rsidRDefault="002A006C" w:rsidP="00261101">
      <w:pPr>
        <w:keepNext/>
        <w:pBdr>
          <w:top w:val="single" w:sz="4" w:space="1" w:color="auto"/>
          <w:left w:val="single" w:sz="4" w:space="4" w:color="auto"/>
          <w:bottom w:val="single" w:sz="4" w:space="1" w:color="auto"/>
          <w:right w:val="single" w:sz="4" w:space="4" w:color="auto"/>
        </w:pBdr>
        <w:tabs>
          <w:tab w:val="left" w:pos="0"/>
        </w:tabs>
        <w:rPr>
          <w:b/>
          <w:noProof/>
          <w:szCs w:val="22"/>
        </w:rPr>
      </w:pPr>
      <w:r w:rsidRPr="0063119B">
        <w:rPr>
          <w:b/>
          <w:noProof/>
          <w:szCs w:val="22"/>
        </w:rPr>
        <w:t>18.</w:t>
      </w:r>
      <w:r w:rsidRPr="0063119B">
        <w:rPr>
          <w:b/>
          <w:noProof/>
          <w:szCs w:val="22"/>
        </w:rPr>
        <w:tab/>
        <w:t>IDENTIFICADOR ÚNICO - DADOS PARA LEITURA HUMANA</w:t>
      </w:r>
    </w:p>
    <w:p w14:paraId="2DF7DDE0" w14:textId="77777777" w:rsidR="002A006C" w:rsidRPr="0063119B" w:rsidRDefault="002A006C" w:rsidP="00261101">
      <w:pPr>
        <w:keepNext/>
        <w:rPr>
          <w:noProof/>
          <w:szCs w:val="22"/>
        </w:rPr>
      </w:pPr>
    </w:p>
    <w:p w14:paraId="19079353" w14:textId="77777777" w:rsidR="002A006C" w:rsidRPr="0063119B" w:rsidRDefault="002A006C" w:rsidP="00261101">
      <w:pPr>
        <w:keepNext/>
        <w:rPr>
          <w:szCs w:val="22"/>
        </w:rPr>
      </w:pPr>
      <w:r w:rsidRPr="0063119B">
        <w:rPr>
          <w:szCs w:val="22"/>
        </w:rPr>
        <w:t xml:space="preserve">PC </w:t>
      </w:r>
    </w:p>
    <w:p w14:paraId="52AB8C6D" w14:textId="77777777" w:rsidR="002A006C" w:rsidRPr="0063119B" w:rsidRDefault="002A006C" w:rsidP="00261101">
      <w:pPr>
        <w:keepNext/>
        <w:rPr>
          <w:szCs w:val="22"/>
        </w:rPr>
      </w:pPr>
      <w:r w:rsidRPr="0063119B">
        <w:rPr>
          <w:szCs w:val="22"/>
        </w:rPr>
        <w:t xml:space="preserve">SN </w:t>
      </w:r>
    </w:p>
    <w:p w14:paraId="1A37110F" w14:textId="77777777" w:rsidR="002A006C" w:rsidRPr="0063119B" w:rsidRDefault="002A006C" w:rsidP="00261101">
      <w:pPr>
        <w:keepNext/>
        <w:rPr>
          <w:noProof/>
          <w:szCs w:val="22"/>
          <w:shd w:val="clear" w:color="auto" w:fill="CCCCCC"/>
        </w:rPr>
      </w:pPr>
      <w:r w:rsidRPr="0063119B">
        <w:rPr>
          <w:szCs w:val="22"/>
        </w:rPr>
        <w:t>NN</w:t>
      </w:r>
    </w:p>
    <w:p w14:paraId="4D962FA9" w14:textId="77777777" w:rsidR="00337111" w:rsidRPr="0063119B" w:rsidRDefault="001E28F4" w:rsidP="00951279">
      <w:pPr>
        <w:pBdr>
          <w:top w:val="single" w:sz="4" w:space="1" w:color="auto"/>
          <w:left w:val="single" w:sz="4" w:space="4" w:color="auto"/>
          <w:bottom w:val="single" w:sz="4" w:space="1" w:color="auto"/>
          <w:right w:val="single" w:sz="4" w:space="4" w:color="auto"/>
        </w:pBdr>
        <w:suppressAutoHyphens/>
        <w:rPr>
          <w:b/>
          <w:noProof/>
          <w:szCs w:val="22"/>
        </w:rPr>
      </w:pPr>
      <w:r w:rsidRPr="0063119B">
        <w:rPr>
          <w:noProof/>
          <w:szCs w:val="22"/>
        </w:rPr>
        <w:br w:type="page"/>
      </w:r>
      <w:r w:rsidR="00337111" w:rsidRPr="0063119B">
        <w:rPr>
          <w:b/>
          <w:noProof/>
          <w:szCs w:val="22"/>
        </w:rPr>
        <w:lastRenderedPageBreak/>
        <w:t>INDICAÇÕES MÍNIMAS A INCLUIR NAS EMBALAGENS “BLISTER” OU FITAS CONTENTORAS</w:t>
      </w:r>
    </w:p>
    <w:p w14:paraId="15AF3D9D"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rPr>
          <w:caps/>
          <w:noProof/>
          <w:szCs w:val="22"/>
        </w:rPr>
      </w:pPr>
    </w:p>
    <w:p w14:paraId="7EDB73FE"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rPr>
          <w:caps/>
          <w:noProof/>
          <w:szCs w:val="22"/>
        </w:rPr>
      </w:pPr>
      <w:r w:rsidRPr="0063119B">
        <w:rPr>
          <w:b/>
          <w:caps/>
          <w:noProof/>
          <w:szCs w:val="22"/>
        </w:rPr>
        <w:t>Blister para 15</w:t>
      </w:r>
      <w:r w:rsidR="00412ECE" w:rsidRPr="0063119B">
        <w:rPr>
          <w:b/>
          <w:caps/>
          <w:noProof/>
          <w:szCs w:val="22"/>
        </w:rPr>
        <w:t> </w:t>
      </w:r>
      <w:r w:rsidRPr="0063119B">
        <w:rPr>
          <w:b/>
          <w:caps/>
          <w:noProof/>
          <w:szCs w:val="22"/>
        </w:rPr>
        <w:t>mg</w:t>
      </w:r>
    </w:p>
    <w:p w14:paraId="43FDCDCF" w14:textId="77777777" w:rsidR="00337111" w:rsidRPr="0063119B" w:rsidRDefault="00337111" w:rsidP="00951279">
      <w:pPr>
        <w:suppressAutoHyphens/>
        <w:ind w:right="14"/>
        <w:rPr>
          <w:noProof/>
          <w:szCs w:val="22"/>
        </w:rPr>
      </w:pPr>
    </w:p>
    <w:p w14:paraId="7ACD65D2" w14:textId="77777777" w:rsidR="00337111" w:rsidRPr="0063119B" w:rsidRDefault="00337111" w:rsidP="00951279">
      <w:pPr>
        <w:suppressAutoHyphens/>
        <w:ind w:right="14"/>
        <w:rPr>
          <w:noProof/>
          <w:szCs w:val="22"/>
        </w:rPr>
      </w:pPr>
    </w:p>
    <w:p w14:paraId="34C83182"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7F202AC1" w14:textId="77777777" w:rsidR="00337111" w:rsidRPr="0063119B" w:rsidRDefault="00337111" w:rsidP="00951279">
      <w:pPr>
        <w:suppressAutoHyphens/>
        <w:ind w:right="14"/>
        <w:rPr>
          <w:noProof/>
          <w:szCs w:val="22"/>
        </w:rPr>
      </w:pPr>
    </w:p>
    <w:p w14:paraId="101528D9" w14:textId="77777777" w:rsidR="00337111" w:rsidRPr="0063119B" w:rsidRDefault="00607DE4" w:rsidP="00951279">
      <w:pPr>
        <w:suppressAutoHyphens/>
        <w:ind w:right="14"/>
        <w:rPr>
          <w:noProof/>
          <w:szCs w:val="22"/>
        </w:rPr>
      </w:pPr>
      <w:r>
        <w:rPr>
          <w:noProof/>
          <w:szCs w:val="22"/>
        </w:rPr>
        <w:t>Rivaroxabano</w:t>
      </w:r>
      <w:r w:rsidR="001F7D02" w:rsidRPr="0063119B">
        <w:rPr>
          <w:noProof/>
          <w:szCs w:val="22"/>
        </w:rPr>
        <w:t xml:space="preserve"> Accord</w:t>
      </w:r>
      <w:r w:rsidR="00337111" w:rsidRPr="0063119B">
        <w:rPr>
          <w:noProof/>
          <w:szCs w:val="22"/>
        </w:rPr>
        <w:t xml:space="preserve"> 15 mg comprimidos</w:t>
      </w:r>
    </w:p>
    <w:p w14:paraId="16CCD4B1" w14:textId="77777777" w:rsidR="00337111" w:rsidRPr="0063119B" w:rsidRDefault="000D7CE8" w:rsidP="00951279">
      <w:pPr>
        <w:suppressAutoHyphens/>
        <w:ind w:right="14"/>
        <w:rPr>
          <w:noProof/>
          <w:szCs w:val="22"/>
        </w:rPr>
      </w:pPr>
      <w:r w:rsidRPr="00394D5E">
        <w:rPr>
          <w:noProof/>
          <w:szCs w:val="22"/>
          <w:highlight w:val="lightGray"/>
        </w:rPr>
        <w:t>r</w:t>
      </w:r>
      <w:r w:rsidR="00337111" w:rsidRPr="00394D5E">
        <w:rPr>
          <w:noProof/>
          <w:szCs w:val="22"/>
          <w:highlight w:val="lightGray"/>
        </w:rPr>
        <w:t>ivaroxabano</w:t>
      </w:r>
    </w:p>
    <w:p w14:paraId="4B084532" w14:textId="77777777" w:rsidR="00337111" w:rsidRPr="0063119B" w:rsidRDefault="00337111" w:rsidP="00951279">
      <w:pPr>
        <w:suppressAutoHyphens/>
        <w:ind w:right="14"/>
        <w:rPr>
          <w:noProof/>
          <w:szCs w:val="22"/>
        </w:rPr>
      </w:pPr>
    </w:p>
    <w:p w14:paraId="1753602A" w14:textId="77777777" w:rsidR="00337111" w:rsidRPr="0063119B" w:rsidRDefault="00337111" w:rsidP="00951279">
      <w:pPr>
        <w:suppressAutoHyphens/>
        <w:ind w:right="14"/>
        <w:rPr>
          <w:noProof/>
          <w:szCs w:val="22"/>
        </w:rPr>
      </w:pPr>
    </w:p>
    <w:p w14:paraId="749CEC4B"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2.</w:t>
      </w:r>
      <w:r w:rsidRPr="0063119B">
        <w:rPr>
          <w:b/>
          <w:noProof/>
          <w:szCs w:val="22"/>
        </w:rPr>
        <w:tab/>
        <w:t>NOME DO TITULAR DA AUTORIZAÇÃO DE INTRODUÇÃO NO MERCADO</w:t>
      </w:r>
    </w:p>
    <w:p w14:paraId="4321EC90" w14:textId="77777777" w:rsidR="00337111" w:rsidRPr="0063119B" w:rsidRDefault="00337111" w:rsidP="00951279">
      <w:pPr>
        <w:suppressAutoHyphens/>
        <w:ind w:right="14"/>
        <w:rPr>
          <w:noProof/>
          <w:szCs w:val="22"/>
        </w:rPr>
      </w:pPr>
    </w:p>
    <w:p w14:paraId="077D18C6" w14:textId="77777777" w:rsidR="00337111" w:rsidRPr="0063119B" w:rsidRDefault="00412ECE" w:rsidP="00951279">
      <w:pPr>
        <w:suppressAutoHyphens/>
        <w:ind w:right="14"/>
        <w:rPr>
          <w:noProof/>
          <w:szCs w:val="22"/>
        </w:rPr>
      </w:pPr>
      <w:r w:rsidRPr="0063119B">
        <w:rPr>
          <w:noProof/>
          <w:szCs w:val="22"/>
        </w:rPr>
        <w:t>Accord</w:t>
      </w:r>
    </w:p>
    <w:p w14:paraId="652C09D7" w14:textId="77777777" w:rsidR="00337111" w:rsidRPr="0063119B" w:rsidRDefault="00337111" w:rsidP="00951279">
      <w:pPr>
        <w:suppressAutoHyphens/>
        <w:ind w:right="14"/>
        <w:rPr>
          <w:noProof/>
          <w:szCs w:val="22"/>
        </w:rPr>
      </w:pPr>
    </w:p>
    <w:p w14:paraId="658279DC" w14:textId="77777777" w:rsidR="00337111" w:rsidRPr="0063119B" w:rsidRDefault="00337111" w:rsidP="00951279">
      <w:pPr>
        <w:suppressAutoHyphens/>
        <w:ind w:right="14"/>
        <w:rPr>
          <w:noProof/>
          <w:szCs w:val="22"/>
        </w:rPr>
      </w:pPr>
    </w:p>
    <w:p w14:paraId="5989D752"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PRAZO DE VALIDADE</w:t>
      </w:r>
    </w:p>
    <w:p w14:paraId="18163BEF" w14:textId="77777777" w:rsidR="00337111" w:rsidRPr="0063119B" w:rsidRDefault="00337111" w:rsidP="00951279">
      <w:pPr>
        <w:rPr>
          <w:i/>
          <w:noProof/>
          <w:szCs w:val="22"/>
        </w:rPr>
      </w:pPr>
    </w:p>
    <w:p w14:paraId="2805FCD1" w14:textId="77777777" w:rsidR="00337111" w:rsidRPr="0063119B" w:rsidRDefault="00337111" w:rsidP="00951279">
      <w:pPr>
        <w:suppressAutoHyphens/>
        <w:rPr>
          <w:noProof/>
          <w:szCs w:val="22"/>
        </w:rPr>
      </w:pPr>
      <w:r w:rsidRPr="0063119B">
        <w:rPr>
          <w:noProof/>
          <w:szCs w:val="22"/>
        </w:rPr>
        <w:t>EXP</w:t>
      </w:r>
    </w:p>
    <w:p w14:paraId="08C0B239" w14:textId="77777777" w:rsidR="00337111" w:rsidRPr="0063119B" w:rsidRDefault="00337111" w:rsidP="00951279">
      <w:pPr>
        <w:suppressAutoHyphens/>
        <w:rPr>
          <w:noProof/>
          <w:szCs w:val="22"/>
        </w:rPr>
      </w:pPr>
    </w:p>
    <w:p w14:paraId="6381F571" w14:textId="77777777" w:rsidR="00337111" w:rsidRPr="0063119B" w:rsidRDefault="00337111" w:rsidP="00951279">
      <w:pPr>
        <w:suppressAutoHyphens/>
        <w:ind w:right="14"/>
        <w:rPr>
          <w:noProof/>
          <w:szCs w:val="22"/>
        </w:rPr>
      </w:pPr>
    </w:p>
    <w:p w14:paraId="0BB1EDDC"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NÚMERO DO LOTE</w:t>
      </w:r>
    </w:p>
    <w:p w14:paraId="43FEC36C" w14:textId="77777777" w:rsidR="00337111" w:rsidRPr="0063119B" w:rsidRDefault="00337111" w:rsidP="00951279">
      <w:pPr>
        <w:suppressAutoHyphens/>
        <w:ind w:right="14"/>
        <w:rPr>
          <w:noProof/>
          <w:szCs w:val="22"/>
        </w:rPr>
      </w:pPr>
    </w:p>
    <w:p w14:paraId="1F9BF069" w14:textId="77777777" w:rsidR="00337111" w:rsidRPr="0063119B" w:rsidRDefault="00337111" w:rsidP="00951279">
      <w:pPr>
        <w:rPr>
          <w:noProof/>
          <w:szCs w:val="22"/>
        </w:rPr>
      </w:pPr>
      <w:r w:rsidRPr="0063119B">
        <w:rPr>
          <w:noProof/>
          <w:szCs w:val="22"/>
        </w:rPr>
        <w:t>Lot</w:t>
      </w:r>
    </w:p>
    <w:p w14:paraId="3C62AE62" w14:textId="77777777" w:rsidR="00337111" w:rsidRPr="0063119B" w:rsidRDefault="00337111" w:rsidP="00951279">
      <w:pPr>
        <w:suppressAutoHyphens/>
        <w:ind w:right="14"/>
        <w:rPr>
          <w:noProof/>
          <w:szCs w:val="22"/>
        </w:rPr>
      </w:pPr>
    </w:p>
    <w:p w14:paraId="30C8AEF5" w14:textId="77777777" w:rsidR="00337111" w:rsidRPr="0063119B" w:rsidRDefault="00337111" w:rsidP="00951279">
      <w:pPr>
        <w:suppressAutoHyphens/>
        <w:ind w:right="14"/>
        <w:rPr>
          <w:noProof/>
          <w:szCs w:val="22"/>
        </w:rPr>
      </w:pPr>
    </w:p>
    <w:p w14:paraId="1DECC02D"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r>
      <w:r w:rsidRPr="0063119B">
        <w:rPr>
          <w:b/>
          <w:caps/>
          <w:noProof/>
          <w:szCs w:val="22"/>
        </w:rPr>
        <w:t>Outr</w:t>
      </w:r>
      <w:r w:rsidR="00412ECE" w:rsidRPr="0063119B">
        <w:rPr>
          <w:b/>
          <w:caps/>
          <w:noProof/>
          <w:szCs w:val="22"/>
        </w:rPr>
        <w:t>O</w:t>
      </w:r>
      <w:r w:rsidRPr="0063119B">
        <w:rPr>
          <w:b/>
          <w:caps/>
          <w:noProof/>
          <w:szCs w:val="22"/>
        </w:rPr>
        <w:t>s</w:t>
      </w:r>
    </w:p>
    <w:p w14:paraId="1E9549A7" w14:textId="77777777" w:rsidR="00337111" w:rsidRPr="0063119B" w:rsidRDefault="00337111" w:rsidP="00951279">
      <w:pPr>
        <w:suppressAutoHyphens/>
        <w:ind w:right="14"/>
        <w:rPr>
          <w:noProof/>
          <w:szCs w:val="22"/>
        </w:rPr>
      </w:pPr>
    </w:p>
    <w:p w14:paraId="60375432" w14:textId="77777777" w:rsidR="00337111" w:rsidRPr="0063119B" w:rsidRDefault="00337111" w:rsidP="00951279">
      <w:pPr>
        <w:suppressAutoHyphens/>
        <w:ind w:right="14"/>
        <w:rPr>
          <w:noProof/>
          <w:szCs w:val="22"/>
        </w:rPr>
      </w:pPr>
    </w:p>
    <w:p w14:paraId="45A5FBC6" w14:textId="77777777" w:rsidR="00412ECE" w:rsidRPr="0063119B" w:rsidRDefault="00337111" w:rsidP="00412ECE">
      <w:pPr>
        <w:suppressAutoHyphens/>
        <w:ind w:right="14"/>
        <w:rPr>
          <w:b/>
          <w:noProof/>
          <w:szCs w:val="22"/>
        </w:rPr>
      </w:pPr>
      <w:r w:rsidRPr="0063119B">
        <w:rPr>
          <w:noProof/>
          <w:szCs w:val="22"/>
        </w:rPr>
        <w:br w:type="page"/>
      </w:r>
    </w:p>
    <w:p w14:paraId="0BB8AD34"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rPr>
          <w:b/>
          <w:noProof/>
          <w:szCs w:val="22"/>
        </w:rPr>
      </w:pPr>
      <w:r w:rsidRPr="0063119B">
        <w:rPr>
          <w:b/>
          <w:noProof/>
          <w:szCs w:val="22"/>
        </w:rPr>
        <w:lastRenderedPageBreak/>
        <w:t>INDICAÇÕES MÍNIMAS A INCLUIR NAS EMBALAGENS “BLISTER” OU FITAS CONTENTORAS</w:t>
      </w:r>
    </w:p>
    <w:p w14:paraId="46D9684D"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rPr>
          <w:b/>
          <w:caps/>
          <w:noProof/>
          <w:szCs w:val="22"/>
        </w:rPr>
      </w:pPr>
    </w:p>
    <w:p w14:paraId="1D832598"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rPr>
          <w:b/>
          <w:noProof/>
          <w:szCs w:val="22"/>
        </w:rPr>
      </w:pPr>
      <w:r w:rsidRPr="0063119B">
        <w:rPr>
          <w:b/>
          <w:caps/>
          <w:noProof/>
          <w:szCs w:val="22"/>
        </w:rPr>
        <w:t>EMBALAGEM Blister PARA DOSE UNITÁRIA (10 X 1 comprimidos, 100 x 1 COMPRIMIDOS) para 15 mg</w:t>
      </w:r>
    </w:p>
    <w:p w14:paraId="4B4606F8" w14:textId="77777777" w:rsidR="00412ECE" w:rsidRPr="0063119B" w:rsidRDefault="00412ECE" w:rsidP="00412ECE">
      <w:pPr>
        <w:suppressAutoHyphens/>
        <w:ind w:right="14"/>
        <w:rPr>
          <w:noProof/>
          <w:szCs w:val="22"/>
        </w:rPr>
      </w:pPr>
    </w:p>
    <w:p w14:paraId="58862E43" w14:textId="77777777" w:rsidR="00412ECE" w:rsidRPr="0063119B" w:rsidRDefault="00412ECE" w:rsidP="00412ECE">
      <w:pPr>
        <w:suppressAutoHyphens/>
        <w:ind w:right="14"/>
        <w:rPr>
          <w:noProof/>
          <w:szCs w:val="22"/>
        </w:rPr>
      </w:pPr>
    </w:p>
    <w:p w14:paraId="2EA995D6"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3AE5EFE2" w14:textId="77777777" w:rsidR="00412ECE" w:rsidRPr="0063119B" w:rsidRDefault="00412ECE" w:rsidP="00412ECE">
      <w:pPr>
        <w:suppressAutoHyphens/>
        <w:ind w:right="14"/>
        <w:rPr>
          <w:noProof/>
          <w:szCs w:val="22"/>
        </w:rPr>
      </w:pPr>
    </w:p>
    <w:p w14:paraId="22309356" w14:textId="77777777" w:rsidR="00412ECE" w:rsidRPr="001B6FEC" w:rsidRDefault="00607DE4" w:rsidP="00412ECE">
      <w:pPr>
        <w:suppressAutoHyphens/>
        <w:ind w:right="14"/>
        <w:rPr>
          <w:noProof/>
          <w:szCs w:val="22"/>
        </w:rPr>
      </w:pPr>
      <w:r w:rsidRPr="001B6FEC">
        <w:rPr>
          <w:noProof/>
          <w:szCs w:val="22"/>
        </w:rPr>
        <w:t>Rivaroxabano</w:t>
      </w:r>
      <w:r w:rsidR="00412ECE" w:rsidRPr="001B6FEC">
        <w:rPr>
          <w:noProof/>
          <w:szCs w:val="22"/>
        </w:rPr>
        <w:t xml:space="preserve"> Accord 15 mg comprimidos</w:t>
      </w:r>
    </w:p>
    <w:p w14:paraId="3C9102BD" w14:textId="77777777" w:rsidR="00412ECE" w:rsidRPr="0063119B" w:rsidRDefault="00412ECE" w:rsidP="00412ECE">
      <w:pPr>
        <w:suppressAutoHyphens/>
        <w:ind w:right="14"/>
        <w:rPr>
          <w:noProof/>
          <w:szCs w:val="22"/>
        </w:rPr>
      </w:pPr>
    </w:p>
    <w:p w14:paraId="2222E4DA" w14:textId="77777777" w:rsidR="00412ECE" w:rsidRPr="0063119B" w:rsidRDefault="00412ECE" w:rsidP="00412ECE">
      <w:pPr>
        <w:suppressAutoHyphens/>
        <w:ind w:right="14"/>
        <w:rPr>
          <w:noProof/>
          <w:szCs w:val="22"/>
        </w:rPr>
      </w:pPr>
    </w:p>
    <w:p w14:paraId="2FB25105"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2.</w:t>
      </w:r>
      <w:r w:rsidRPr="0063119B">
        <w:rPr>
          <w:b/>
          <w:noProof/>
          <w:szCs w:val="22"/>
        </w:rPr>
        <w:tab/>
        <w:t>NOME DO TITULAR DA AUTORIZAÇÃO DE INTRODUÇÃO NO MERCADO</w:t>
      </w:r>
    </w:p>
    <w:p w14:paraId="66DAEDC7" w14:textId="77777777" w:rsidR="00412ECE" w:rsidRPr="0063119B" w:rsidRDefault="00412ECE" w:rsidP="00412ECE">
      <w:pPr>
        <w:suppressAutoHyphens/>
        <w:ind w:right="14"/>
        <w:rPr>
          <w:noProof/>
          <w:szCs w:val="22"/>
        </w:rPr>
      </w:pPr>
    </w:p>
    <w:p w14:paraId="77E0D7A3" w14:textId="77777777" w:rsidR="00412ECE" w:rsidRPr="0063119B" w:rsidRDefault="00412ECE" w:rsidP="00412ECE">
      <w:pPr>
        <w:suppressAutoHyphens/>
        <w:ind w:right="14"/>
        <w:rPr>
          <w:noProof/>
          <w:szCs w:val="22"/>
        </w:rPr>
      </w:pPr>
      <w:r w:rsidRPr="0063119B">
        <w:rPr>
          <w:noProof/>
          <w:szCs w:val="22"/>
        </w:rPr>
        <w:t>Accord</w:t>
      </w:r>
    </w:p>
    <w:p w14:paraId="07BD7B15" w14:textId="77777777" w:rsidR="00412ECE" w:rsidRPr="0063119B" w:rsidRDefault="00412ECE" w:rsidP="00412ECE">
      <w:pPr>
        <w:suppressAutoHyphens/>
        <w:ind w:right="14"/>
        <w:rPr>
          <w:noProof/>
          <w:szCs w:val="22"/>
        </w:rPr>
      </w:pPr>
    </w:p>
    <w:p w14:paraId="0B2799A4" w14:textId="77777777" w:rsidR="00412ECE" w:rsidRPr="0063119B" w:rsidRDefault="00412ECE" w:rsidP="00412ECE">
      <w:pPr>
        <w:suppressAutoHyphens/>
        <w:ind w:right="14"/>
        <w:rPr>
          <w:noProof/>
          <w:szCs w:val="22"/>
        </w:rPr>
      </w:pPr>
    </w:p>
    <w:p w14:paraId="093DE739"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PRAZO DE VALIDADE</w:t>
      </w:r>
    </w:p>
    <w:p w14:paraId="26DC237D" w14:textId="77777777" w:rsidR="00412ECE" w:rsidRPr="0063119B" w:rsidRDefault="00412ECE" w:rsidP="00412ECE">
      <w:pPr>
        <w:rPr>
          <w:i/>
          <w:noProof/>
          <w:szCs w:val="22"/>
        </w:rPr>
      </w:pPr>
    </w:p>
    <w:p w14:paraId="664A4B93" w14:textId="77777777" w:rsidR="00412ECE" w:rsidRPr="0063119B" w:rsidRDefault="00412ECE" w:rsidP="00412ECE">
      <w:pPr>
        <w:suppressAutoHyphens/>
        <w:rPr>
          <w:noProof/>
          <w:szCs w:val="22"/>
        </w:rPr>
      </w:pPr>
      <w:r w:rsidRPr="0063119B">
        <w:rPr>
          <w:noProof/>
          <w:szCs w:val="22"/>
        </w:rPr>
        <w:t>EXP</w:t>
      </w:r>
    </w:p>
    <w:p w14:paraId="4B422616" w14:textId="77777777" w:rsidR="00412ECE" w:rsidRPr="0063119B" w:rsidRDefault="00412ECE" w:rsidP="00412ECE">
      <w:pPr>
        <w:suppressAutoHyphens/>
        <w:rPr>
          <w:noProof/>
          <w:szCs w:val="22"/>
        </w:rPr>
      </w:pPr>
    </w:p>
    <w:p w14:paraId="43BBF21C" w14:textId="77777777" w:rsidR="00412ECE" w:rsidRPr="0063119B" w:rsidRDefault="00412ECE" w:rsidP="00412ECE">
      <w:pPr>
        <w:suppressAutoHyphens/>
        <w:ind w:right="14"/>
        <w:rPr>
          <w:noProof/>
          <w:szCs w:val="22"/>
        </w:rPr>
      </w:pPr>
    </w:p>
    <w:p w14:paraId="1C43E707"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NÚMERO DO LOTE</w:t>
      </w:r>
    </w:p>
    <w:p w14:paraId="7402BCA0" w14:textId="77777777" w:rsidR="00412ECE" w:rsidRPr="0063119B" w:rsidRDefault="00412ECE" w:rsidP="00412ECE">
      <w:pPr>
        <w:suppressAutoHyphens/>
        <w:ind w:right="14"/>
        <w:rPr>
          <w:noProof/>
          <w:szCs w:val="22"/>
        </w:rPr>
      </w:pPr>
    </w:p>
    <w:p w14:paraId="280B3219" w14:textId="77777777" w:rsidR="00412ECE" w:rsidRPr="0063119B" w:rsidRDefault="00412ECE" w:rsidP="00412ECE">
      <w:pPr>
        <w:rPr>
          <w:noProof/>
          <w:szCs w:val="22"/>
        </w:rPr>
      </w:pPr>
      <w:r w:rsidRPr="0063119B">
        <w:rPr>
          <w:noProof/>
          <w:szCs w:val="22"/>
        </w:rPr>
        <w:t>Lot</w:t>
      </w:r>
    </w:p>
    <w:p w14:paraId="508DB92E" w14:textId="77777777" w:rsidR="00412ECE" w:rsidRPr="0063119B" w:rsidRDefault="00412ECE" w:rsidP="00412ECE">
      <w:pPr>
        <w:suppressAutoHyphens/>
        <w:ind w:right="14"/>
        <w:rPr>
          <w:noProof/>
          <w:szCs w:val="22"/>
        </w:rPr>
      </w:pPr>
    </w:p>
    <w:p w14:paraId="6805FA37" w14:textId="77777777" w:rsidR="00412ECE" w:rsidRPr="0063119B" w:rsidRDefault="00412ECE" w:rsidP="00412ECE">
      <w:pPr>
        <w:suppressAutoHyphens/>
        <w:ind w:right="14"/>
        <w:rPr>
          <w:noProof/>
          <w:szCs w:val="22"/>
        </w:rPr>
      </w:pPr>
    </w:p>
    <w:p w14:paraId="485D0E62"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r>
      <w:r w:rsidRPr="0063119B">
        <w:rPr>
          <w:b/>
          <w:caps/>
          <w:noProof/>
          <w:szCs w:val="22"/>
        </w:rPr>
        <w:t>Outros</w:t>
      </w:r>
    </w:p>
    <w:p w14:paraId="34FDAFDA" w14:textId="77777777" w:rsidR="00412ECE" w:rsidRPr="0063119B" w:rsidRDefault="00412ECE" w:rsidP="00412ECE">
      <w:pPr>
        <w:suppressAutoHyphens/>
        <w:ind w:right="14"/>
        <w:rPr>
          <w:noProof/>
          <w:szCs w:val="22"/>
        </w:rPr>
      </w:pPr>
    </w:p>
    <w:p w14:paraId="03500767" w14:textId="77777777" w:rsidR="00412ECE" w:rsidRPr="0063119B" w:rsidRDefault="00412ECE" w:rsidP="00412ECE">
      <w:pPr>
        <w:suppressAutoHyphens/>
        <w:ind w:right="14"/>
        <w:rPr>
          <w:noProof/>
          <w:szCs w:val="22"/>
        </w:rPr>
      </w:pPr>
    </w:p>
    <w:p w14:paraId="3038BFA7" w14:textId="77777777" w:rsidR="00412ECE" w:rsidRPr="0063119B" w:rsidRDefault="00412ECE" w:rsidP="00412ECE">
      <w:pPr>
        <w:shd w:val="clear" w:color="auto" w:fill="FFFFFF"/>
        <w:suppressAutoHyphens/>
        <w:ind w:right="14"/>
        <w:rPr>
          <w:b/>
          <w:noProof/>
          <w:szCs w:val="22"/>
        </w:rPr>
      </w:pPr>
      <w:r w:rsidRPr="0063119B">
        <w:rPr>
          <w:noProof/>
          <w:szCs w:val="22"/>
        </w:rPr>
        <w:br w:type="page"/>
      </w:r>
    </w:p>
    <w:p w14:paraId="0C1D3D38"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rPr>
          <w:b/>
          <w:noProof/>
          <w:szCs w:val="22"/>
        </w:rPr>
      </w:pPr>
      <w:r w:rsidRPr="0063119B">
        <w:rPr>
          <w:b/>
          <w:noProof/>
          <w:szCs w:val="22"/>
        </w:rPr>
        <w:lastRenderedPageBreak/>
        <w:t>INDICAÇÕES MÍNIMAS A INCLUIR NAS EMBALAGENS “BLISTER” OU FITAS CONTENTORAS</w:t>
      </w:r>
    </w:p>
    <w:p w14:paraId="58C245C3"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rPr>
          <w:b/>
          <w:caps/>
          <w:noProof/>
          <w:szCs w:val="22"/>
        </w:rPr>
      </w:pPr>
    </w:p>
    <w:p w14:paraId="2FFB416D"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rPr>
          <w:noProof/>
          <w:szCs w:val="22"/>
        </w:rPr>
      </w:pPr>
      <w:r w:rsidRPr="0063119B">
        <w:rPr>
          <w:b/>
          <w:caps/>
          <w:noProof/>
          <w:szCs w:val="22"/>
        </w:rPr>
        <w:t>Blister para 15 mg (EMBALAGEM CALENDÁRIO - 14 COMPRIMIDOS)</w:t>
      </w:r>
    </w:p>
    <w:p w14:paraId="5509C88A" w14:textId="77777777" w:rsidR="00412ECE" w:rsidRPr="0063119B" w:rsidRDefault="00412ECE" w:rsidP="00412ECE">
      <w:pPr>
        <w:suppressAutoHyphens/>
        <w:ind w:right="14"/>
        <w:rPr>
          <w:noProof/>
          <w:szCs w:val="22"/>
        </w:rPr>
      </w:pPr>
    </w:p>
    <w:p w14:paraId="735F3D15"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27B73E80" w14:textId="77777777" w:rsidR="00412ECE" w:rsidRPr="0063119B" w:rsidRDefault="00412ECE" w:rsidP="00412ECE">
      <w:pPr>
        <w:suppressAutoHyphens/>
        <w:ind w:right="14"/>
        <w:rPr>
          <w:noProof/>
          <w:szCs w:val="22"/>
        </w:rPr>
      </w:pPr>
    </w:p>
    <w:p w14:paraId="3BE56F52" w14:textId="77777777" w:rsidR="00412ECE" w:rsidRPr="001B6FEC" w:rsidRDefault="00607DE4" w:rsidP="00412ECE">
      <w:pPr>
        <w:suppressAutoHyphens/>
        <w:ind w:right="14"/>
        <w:rPr>
          <w:noProof/>
          <w:szCs w:val="22"/>
        </w:rPr>
      </w:pPr>
      <w:r w:rsidRPr="001B6FEC">
        <w:rPr>
          <w:noProof/>
          <w:szCs w:val="22"/>
        </w:rPr>
        <w:t>Rivaroxabano</w:t>
      </w:r>
      <w:r w:rsidR="00412ECE" w:rsidRPr="001B6FEC">
        <w:rPr>
          <w:noProof/>
          <w:szCs w:val="22"/>
        </w:rPr>
        <w:t xml:space="preserve"> Accord 15 mg comprimidos </w:t>
      </w:r>
    </w:p>
    <w:p w14:paraId="6BEC66D1" w14:textId="77777777" w:rsidR="00412ECE" w:rsidRPr="001B6FEC" w:rsidRDefault="00412ECE" w:rsidP="00412ECE">
      <w:pPr>
        <w:suppressAutoHyphens/>
        <w:ind w:right="14"/>
        <w:rPr>
          <w:noProof/>
          <w:szCs w:val="22"/>
        </w:rPr>
      </w:pPr>
      <w:r w:rsidRPr="001B6FEC">
        <w:rPr>
          <w:noProof/>
          <w:szCs w:val="22"/>
          <w:highlight w:val="lightGray"/>
        </w:rPr>
        <w:t>rivaroxabano</w:t>
      </w:r>
    </w:p>
    <w:p w14:paraId="67314B72" w14:textId="77777777" w:rsidR="00412ECE" w:rsidRPr="001B6FEC" w:rsidRDefault="00412ECE" w:rsidP="00412ECE">
      <w:pPr>
        <w:suppressAutoHyphens/>
        <w:ind w:right="14"/>
        <w:rPr>
          <w:noProof/>
          <w:szCs w:val="22"/>
        </w:rPr>
      </w:pPr>
    </w:p>
    <w:p w14:paraId="6928476D" w14:textId="77777777" w:rsidR="00412ECE" w:rsidRPr="001B6FEC" w:rsidRDefault="00412ECE" w:rsidP="00412ECE">
      <w:pPr>
        <w:suppressAutoHyphens/>
        <w:ind w:right="14"/>
        <w:rPr>
          <w:noProof/>
          <w:szCs w:val="22"/>
        </w:rPr>
      </w:pPr>
    </w:p>
    <w:p w14:paraId="494919D5"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2.</w:t>
      </w:r>
      <w:r w:rsidRPr="0063119B">
        <w:rPr>
          <w:b/>
          <w:noProof/>
          <w:szCs w:val="22"/>
        </w:rPr>
        <w:tab/>
        <w:t>NOME DO TITULAR DA AUTORIZAÇÃO DE INTRODUÇÃO NO MERCADO</w:t>
      </w:r>
    </w:p>
    <w:p w14:paraId="1470D62D" w14:textId="77777777" w:rsidR="00412ECE" w:rsidRPr="0063119B" w:rsidRDefault="00412ECE" w:rsidP="00412ECE">
      <w:pPr>
        <w:suppressAutoHyphens/>
        <w:ind w:right="14"/>
        <w:rPr>
          <w:noProof/>
          <w:szCs w:val="22"/>
        </w:rPr>
      </w:pPr>
    </w:p>
    <w:p w14:paraId="47D52F00" w14:textId="77777777" w:rsidR="00412ECE" w:rsidRPr="0063119B" w:rsidRDefault="00412ECE" w:rsidP="00412ECE">
      <w:pPr>
        <w:suppressAutoHyphens/>
        <w:ind w:right="14"/>
        <w:rPr>
          <w:noProof/>
          <w:szCs w:val="22"/>
        </w:rPr>
      </w:pPr>
      <w:r w:rsidRPr="0063119B">
        <w:rPr>
          <w:noProof/>
          <w:szCs w:val="22"/>
        </w:rPr>
        <w:t>Accord</w:t>
      </w:r>
    </w:p>
    <w:p w14:paraId="5878E4BF" w14:textId="77777777" w:rsidR="00412ECE" w:rsidRPr="0063119B" w:rsidRDefault="00412ECE" w:rsidP="00412ECE">
      <w:pPr>
        <w:suppressAutoHyphens/>
        <w:ind w:right="14"/>
        <w:rPr>
          <w:noProof/>
          <w:szCs w:val="22"/>
        </w:rPr>
      </w:pPr>
    </w:p>
    <w:p w14:paraId="30EC53BF" w14:textId="77777777" w:rsidR="00412ECE" w:rsidRPr="0063119B" w:rsidRDefault="00412ECE" w:rsidP="00412ECE">
      <w:pPr>
        <w:suppressAutoHyphens/>
        <w:ind w:right="14"/>
        <w:rPr>
          <w:noProof/>
          <w:szCs w:val="22"/>
        </w:rPr>
      </w:pPr>
    </w:p>
    <w:p w14:paraId="7555907D"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PRAZO DE VALIDADE</w:t>
      </w:r>
    </w:p>
    <w:p w14:paraId="6E94FDE6" w14:textId="77777777" w:rsidR="00412ECE" w:rsidRPr="0063119B" w:rsidRDefault="00412ECE" w:rsidP="00412ECE">
      <w:pPr>
        <w:rPr>
          <w:i/>
          <w:noProof/>
          <w:szCs w:val="22"/>
        </w:rPr>
      </w:pPr>
    </w:p>
    <w:p w14:paraId="64DD4F5F" w14:textId="77777777" w:rsidR="00412ECE" w:rsidRPr="0063119B" w:rsidRDefault="00412ECE" w:rsidP="00412ECE">
      <w:pPr>
        <w:suppressAutoHyphens/>
        <w:rPr>
          <w:noProof/>
          <w:szCs w:val="22"/>
        </w:rPr>
      </w:pPr>
      <w:r w:rsidRPr="0063119B">
        <w:rPr>
          <w:noProof/>
          <w:szCs w:val="22"/>
        </w:rPr>
        <w:t>EXP</w:t>
      </w:r>
    </w:p>
    <w:p w14:paraId="193AE23B" w14:textId="77777777" w:rsidR="00412ECE" w:rsidRPr="0063119B" w:rsidRDefault="00412ECE" w:rsidP="00412ECE">
      <w:pPr>
        <w:suppressAutoHyphens/>
        <w:rPr>
          <w:noProof/>
          <w:szCs w:val="22"/>
        </w:rPr>
      </w:pPr>
    </w:p>
    <w:p w14:paraId="0305A86F" w14:textId="77777777" w:rsidR="00412ECE" w:rsidRPr="0063119B" w:rsidRDefault="00412ECE" w:rsidP="00412ECE">
      <w:pPr>
        <w:suppressAutoHyphens/>
        <w:ind w:right="14"/>
        <w:rPr>
          <w:noProof/>
          <w:szCs w:val="22"/>
        </w:rPr>
      </w:pPr>
    </w:p>
    <w:p w14:paraId="0B1B6A3E"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NÚMERO DO LOTE</w:t>
      </w:r>
    </w:p>
    <w:p w14:paraId="35C77DAE" w14:textId="77777777" w:rsidR="00412ECE" w:rsidRPr="0063119B" w:rsidRDefault="00412ECE" w:rsidP="00412ECE">
      <w:pPr>
        <w:suppressAutoHyphens/>
        <w:ind w:right="14"/>
        <w:rPr>
          <w:noProof/>
          <w:szCs w:val="22"/>
        </w:rPr>
      </w:pPr>
    </w:p>
    <w:p w14:paraId="412D4CAD" w14:textId="77777777" w:rsidR="00412ECE" w:rsidRPr="0063119B" w:rsidRDefault="00412ECE" w:rsidP="00412ECE">
      <w:pPr>
        <w:rPr>
          <w:noProof/>
          <w:szCs w:val="22"/>
        </w:rPr>
      </w:pPr>
      <w:r w:rsidRPr="0063119B">
        <w:rPr>
          <w:noProof/>
          <w:szCs w:val="22"/>
        </w:rPr>
        <w:t>Lot</w:t>
      </w:r>
    </w:p>
    <w:p w14:paraId="01E3568D" w14:textId="77777777" w:rsidR="00412ECE" w:rsidRPr="0063119B" w:rsidRDefault="00412ECE" w:rsidP="00412ECE">
      <w:pPr>
        <w:suppressAutoHyphens/>
        <w:ind w:right="14"/>
        <w:rPr>
          <w:noProof/>
          <w:szCs w:val="22"/>
        </w:rPr>
      </w:pPr>
    </w:p>
    <w:p w14:paraId="097C2090" w14:textId="77777777" w:rsidR="00412ECE" w:rsidRPr="0063119B" w:rsidRDefault="00412ECE" w:rsidP="00412ECE">
      <w:pPr>
        <w:suppressAutoHyphens/>
        <w:ind w:right="14"/>
        <w:rPr>
          <w:noProof/>
          <w:szCs w:val="22"/>
        </w:rPr>
      </w:pPr>
    </w:p>
    <w:p w14:paraId="79F9F6C6" w14:textId="77777777" w:rsidR="00412ECE" w:rsidRPr="0063119B" w:rsidRDefault="00412ECE" w:rsidP="00412ECE">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r>
      <w:r w:rsidRPr="0063119B">
        <w:rPr>
          <w:b/>
          <w:caps/>
          <w:noProof/>
          <w:szCs w:val="22"/>
        </w:rPr>
        <w:t>OutrOs</w:t>
      </w:r>
    </w:p>
    <w:p w14:paraId="057CFF30" w14:textId="77777777" w:rsidR="00412ECE" w:rsidRPr="0063119B" w:rsidRDefault="00412ECE" w:rsidP="00412ECE">
      <w:pPr>
        <w:suppressAutoHyphens/>
        <w:ind w:right="14"/>
        <w:rPr>
          <w:noProof/>
          <w:szCs w:val="22"/>
        </w:rPr>
      </w:pPr>
    </w:p>
    <w:p w14:paraId="275682F8" w14:textId="77777777" w:rsidR="00412ECE" w:rsidRPr="0063119B" w:rsidRDefault="00412ECE" w:rsidP="00412ECE">
      <w:pPr>
        <w:suppressAutoHyphens/>
        <w:ind w:right="14"/>
        <w:rPr>
          <w:noProof/>
          <w:szCs w:val="22"/>
        </w:rPr>
      </w:pPr>
      <w:r w:rsidRPr="0063119B">
        <w:rPr>
          <w:noProof/>
          <w:szCs w:val="22"/>
        </w:rPr>
        <w:t>Seg</w:t>
      </w:r>
    </w:p>
    <w:p w14:paraId="3CEB3637" w14:textId="77777777" w:rsidR="00412ECE" w:rsidRPr="0063119B" w:rsidRDefault="00412ECE" w:rsidP="00412ECE">
      <w:pPr>
        <w:suppressAutoHyphens/>
        <w:ind w:right="14"/>
        <w:rPr>
          <w:noProof/>
          <w:szCs w:val="22"/>
        </w:rPr>
      </w:pPr>
      <w:r w:rsidRPr="0063119B">
        <w:rPr>
          <w:noProof/>
          <w:szCs w:val="22"/>
        </w:rPr>
        <w:t>Ter</w:t>
      </w:r>
    </w:p>
    <w:p w14:paraId="268BB8D2" w14:textId="77777777" w:rsidR="00412ECE" w:rsidRPr="0063119B" w:rsidRDefault="00412ECE" w:rsidP="00412ECE">
      <w:pPr>
        <w:suppressAutoHyphens/>
        <w:ind w:right="14"/>
        <w:rPr>
          <w:noProof/>
          <w:szCs w:val="22"/>
        </w:rPr>
      </w:pPr>
      <w:r w:rsidRPr="0063119B">
        <w:rPr>
          <w:noProof/>
          <w:szCs w:val="22"/>
        </w:rPr>
        <w:t>Qua</w:t>
      </w:r>
    </w:p>
    <w:p w14:paraId="593E05C9" w14:textId="77777777" w:rsidR="00412ECE" w:rsidRPr="0063119B" w:rsidRDefault="00412ECE" w:rsidP="00412ECE">
      <w:pPr>
        <w:suppressAutoHyphens/>
        <w:ind w:right="14"/>
        <w:rPr>
          <w:noProof/>
          <w:szCs w:val="22"/>
        </w:rPr>
      </w:pPr>
      <w:r w:rsidRPr="0063119B">
        <w:rPr>
          <w:noProof/>
          <w:szCs w:val="22"/>
        </w:rPr>
        <w:t>Qui</w:t>
      </w:r>
    </w:p>
    <w:p w14:paraId="3B70E462" w14:textId="77777777" w:rsidR="00412ECE" w:rsidRPr="0063119B" w:rsidRDefault="00412ECE" w:rsidP="00412ECE">
      <w:pPr>
        <w:suppressAutoHyphens/>
        <w:ind w:right="14"/>
        <w:rPr>
          <w:noProof/>
          <w:szCs w:val="22"/>
        </w:rPr>
      </w:pPr>
      <w:r w:rsidRPr="0063119B">
        <w:rPr>
          <w:noProof/>
          <w:szCs w:val="22"/>
        </w:rPr>
        <w:t>Sex</w:t>
      </w:r>
    </w:p>
    <w:p w14:paraId="74F660CF" w14:textId="77777777" w:rsidR="00412ECE" w:rsidRPr="0063119B" w:rsidRDefault="00412ECE" w:rsidP="00412ECE">
      <w:pPr>
        <w:suppressAutoHyphens/>
        <w:ind w:right="14"/>
        <w:rPr>
          <w:noProof/>
          <w:szCs w:val="22"/>
        </w:rPr>
      </w:pPr>
      <w:r w:rsidRPr="0063119B">
        <w:rPr>
          <w:noProof/>
          <w:szCs w:val="22"/>
        </w:rPr>
        <w:t>Sab</w:t>
      </w:r>
    </w:p>
    <w:p w14:paraId="2AECE3E8" w14:textId="77777777" w:rsidR="00412ECE" w:rsidRPr="0063119B" w:rsidRDefault="00412ECE" w:rsidP="00412ECE">
      <w:pPr>
        <w:suppressAutoHyphens/>
        <w:ind w:right="14"/>
        <w:rPr>
          <w:noProof/>
          <w:szCs w:val="22"/>
        </w:rPr>
      </w:pPr>
      <w:r w:rsidRPr="0063119B">
        <w:rPr>
          <w:noProof/>
          <w:szCs w:val="22"/>
        </w:rPr>
        <w:t>Dom</w:t>
      </w:r>
    </w:p>
    <w:p w14:paraId="5CEFF4C0" w14:textId="77777777" w:rsidR="00412ECE" w:rsidRPr="0063119B" w:rsidRDefault="00412ECE" w:rsidP="00412ECE">
      <w:pPr>
        <w:suppressAutoHyphens/>
        <w:ind w:right="14"/>
        <w:rPr>
          <w:noProof/>
          <w:szCs w:val="22"/>
        </w:rPr>
      </w:pPr>
    </w:p>
    <w:p w14:paraId="7C8D4FCD" w14:textId="77777777" w:rsidR="00D517EA" w:rsidRPr="0063119B" w:rsidRDefault="001F10F8" w:rsidP="00951279">
      <w:pPr>
        <w:pBdr>
          <w:top w:val="single" w:sz="4" w:space="1" w:color="auto"/>
          <w:left w:val="single" w:sz="4" w:space="4" w:color="auto"/>
          <w:bottom w:val="single" w:sz="4" w:space="1" w:color="auto"/>
          <w:right w:val="single" w:sz="4" w:space="4" w:color="auto"/>
        </w:pBdr>
        <w:suppressAutoHyphens/>
        <w:rPr>
          <w:b/>
          <w:caps/>
          <w:noProof/>
          <w:szCs w:val="22"/>
        </w:rPr>
      </w:pPr>
      <w:r w:rsidRPr="0063119B">
        <w:rPr>
          <w:noProof/>
          <w:szCs w:val="22"/>
        </w:rPr>
        <w:br w:type="page"/>
      </w:r>
      <w:r w:rsidR="00D517EA" w:rsidRPr="0063119B">
        <w:rPr>
          <w:b/>
          <w:noProof/>
          <w:szCs w:val="22"/>
        </w:rPr>
        <w:lastRenderedPageBreak/>
        <w:t xml:space="preserve">INDICAÇÕES A INCLUIR </w:t>
      </w:r>
      <w:r w:rsidR="00D517EA" w:rsidRPr="0063119B">
        <w:rPr>
          <w:b/>
          <w:caps/>
          <w:noProof/>
          <w:szCs w:val="22"/>
        </w:rPr>
        <w:t>no acondicionamento secundário</w:t>
      </w:r>
      <w:r w:rsidR="00BA4C86" w:rsidRPr="0063119B">
        <w:rPr>
          <w:b/>
          <w:caps/>
          <w:noProof/>
          <w:szCs w:val="22"/>
        </w:rPr>
        <w:t xml:space="preserve"> e NO ACONDICIONAMENTO PRIMÁRIO</w:t>
      </w:r>
    </w:p>
    <w:p w14:paraId="543B5472"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rPr>
          <w:b/>
          <w:caps/>
          <w:noProof/>
          <w:szCs w:val="22"/>
        </w:rPr>
      </w:pPr>
    </w:p>
    <w:p w14:paraId="032385B1"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rPr>
          <w:b/>
          <w:caps/>
          <w:noProof/>
          <w:szCs w:val="22"/>
        </w:rPr>
      </w:pPr>
      <w:r w:rsidRPr="0063119B">
        <w:rPr>
          <w:b/>
          <w:caps/>
          <w:noProof/>
          <w:szCs w:val="22"/>
        </w:rPr>
        <w:t>Embalagem EXTERIOR e RÓTULO PARA FRASCOS DE PEAD PARA 15</w:t>
      </w:r>
      <w:r w:rsidR="00412ECE" w:rsidRPr="0063119B">
        <w:rPr>
          <w:b/>
          <w:caps/>
          <w:noProof/>
          <w:szCs w:val="22"/>
        </w:rPr>
        <w:t> </w:t>
      </w:r>
      <w:r w:rsidRPr="0063119B">
        <w:rPr>
          <w:b/>
          <w:caps/>
          <w:noProof/>
          <w:szCs w:val="22"/>
        </w:rPr>
        <w:t>MG</w:t>
      </w:r>
    </w:p>
    <w:p w14:paraId="04CC767A" w14:textId="77777777" w:rsidR="00D517EA" w:rsidRPr="0063119B" w:rsidRDefault="00D517EA" w:rsidP="00951279">
      <w:pPr>
        <w:suppressAutoHyphens/>
        <w:ind w:right="14"/>
        <w:rPr>
          <w:noProof/>
          <w:szCs w:val="22"/>
        </w:rPr>
      </w:pPr>
    </w:p>
    <w:p w14:paraId="32E9C904" w14:textId="77777777" w:rsidR="00D517EA" w:rsidRPr="0063119B" w:rsidRDefault="00D517EA" w:rsidP="00951279">
      <w:pPr>
        <w:suppressAutoHyphens/>
        <w:ind w:right="14"/>
        <w:rPr>
          <w:noProof/>
          <w:szCs w:val="22"/>
        </w:rPr>
      </w:pPr>
    </w:p>
    <w:p w14:paraId="4DD16CBE"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76459EDB" w14:textId="77777777" w:rsidR="00D517EA" w:rsidRPr="0063119B" w:rsidRDefault="00D517EA" w:rsidP="00951279">
      <w:pPr>
        <w:suppressAutoHyphens/>
        <w:ind w:right="14"/>
        <w:rPr>
          <w:noProof/>
          <w:szCs w:val="22"/>
        </w:rPr>
      </w:pPr>
    </w:p>
    <w:p w14:paraId="67EC3A62" w14:textId="77777777" w:rsidR="00D517EA" w:rsidRPr="0063119B" w:rsidRDefault="00607DE4" w:rsidP="00951279">
      <w:pPr>
        <w:suppressAutoHyphens/>
        <w:ind w:right="14"/>
        <w:rPr>
          <w:noProof/>
          <w:szCs w:val="22"/>
        </w:rPr>
      </w:pPr>
      <w:r>
        <w:rPr>
          <w:noProof/>
          <w:szCs w:val="22"/>
        </w:rPr>
        <w:t>Rivaroxabano</w:t>
      </w:r>
      <w:r w:rsidR="001F7D02" w:rsidRPr="0063119B">
        <w:rPr>
          <w:noProof/>
          <w:szCs w:val="22"/>
        </w:rPr>
        <w:t xml:space="preserve"> Accord</w:t>
      </w:r>
      <w:r w:rsidR="00D517EA" w:rsidRPr="0063119B">
        <w:rPr>
          <w:noProof/>
          <w:szCs w:val="22"/>
        </w:rPr>
        <w:t xml:space="preserve"> 15 mg comprimidos revestidos por película</w:t>
      </w:r>
    </w:p>
    <w:p w14:paraId="6C88A122" w14:textId="77777777" w:rsidR="00D517EA" w:rsidRPr="0063119B" w:rsidRDefault="00D517EA" w:rsidP="00951279">
      <w:pPr>
        <w:suppressAutoHyphens/>
        <w:ind w:right="14"/>
        <w:rPr>
          <w:noProof/>
          <w:szCs w:val="22"/>
        </w:rPr>
      </w:pPr>
      <w:r w:rsidRPr="0063119B">
        <w:rPr>
          <w:noProof/>
          <w:szCs w:val="22"/>
        </w:rPr>
        <w:t>rivaroxabano</w:t>
      </w:r>
    </w:p>
    <w:p w14:paraId="509A85E5" w14:textId="77777777" w:rsidR="00D517EA" w:rsidRPr="0063119B" w:rsidRDefault="00D517EA" w:rsidP="00951279">
      <w:pPr>
        <w:suppressAutoHyphens/>
        <w:ind w:right="14"/>
        <w:rPr>
          <w:noProof/>
          <w:szCs w:val="22"/>
        </w:rPr>
      </w:pPr>
    </w:p>
    <w:p w14:paraId="530F7570" w14:textId="77777777" w:rsidR="00D517EA" w:rsidRPr="0063119B" w:rsidRDefault="00D517EA" w:rsidP="00951279">
      <w:pPr>
        <w:suppressAutoHyphens/>
        <w:ind w:right="14"/>
        <w:rPr>
          <w:noProof/>
          <w:szCs w:val="22"/>
        </w:rPr>
      </w:pPr>
    </w:p>
    <w:p w14:paraId="13191BF6"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2.</w:t>
      </w:r>
      <w:r w:rsidRPr="0063119B">
        <w:rPr>
          <w:b/>
          <w:noProof/>
          <w:szCs w:val="22"/>
        </w:rPr>
        <w:tab/>
        <w:t>DESCRIÇÃO DA(S) SUBSTÂNCIA(S) ATIVA(S)</w:t>
      </w:r>
    </w:p>
    <w:p w14:paraId="455270C7" w14:textId="77777777" w:rsidR="00D517EA" w:rsidRPr="0063119B" w:rsidRDefault="00D517EA" w:rsidP="00951279">
      <w:pPr>
        <w:suppressAutoHyphens/>
        <w:ind w:right="14"/>
        <w:rPr>
          <w:noProof/>
          <w:szCs w:val="22"/>
        </w:rPr>
      </w:pPr>
    </w:p>
    <w:p w14:paraId="06BD55EB" w14:textId="77777777" w:rsidR="00D517EA" w:rsidRPr="0063119B" w:rsidRDefault="00D517EA" w:rsidP="00951279">
      <w:pPr>
        <w:suppressAutoHyphens/>
        <w:ind w:right="14"/>
        <w:rPr>
          <w:noProof/>
          <w:szCs w:val="22"/>
        </w:rPr>
      </w:pPr>
      <w:r w:rsidRPr="0063119B">
        <w:rPr>
          <w:noProof/>
          <w:szCs w:val="22"/>
        </w:rPr>
        <w:t xml:space="preserve">Cada comprimido revestido por película contém 15 mg </w:t>
      </w:r>
      <w:r w:rsidR="00412ECE" w:rsidRPr="0063119B">
        <w:rPr>
          <w:noProof/>
          <w:szCs w:val="22"/>
        </w:rPr>
        <w:t xml:space="preserve">de </w:t>
      </w:r>
      <w:r w:rsidRPr="0063119B">
        <w:rPr>
          <w:noProof/>
          <w:szCs w:val="22"/>
        </w:rPr>
        <w:t>rivaroxabano.</w:t>
      </w:r>
    </w:p>
    <w:p w14:paraId="2895C0C2" w14:textId="77777777" w:rsidR="00D517EA" w:rsidRPr="0063119B" w:rsidRDefault="00D517EA" w:rsidP="00951279">
      <w:pPr>
        <w:suppressAutoHyphens/>
        <w:ind w:right="14"/>
        <w:rPr>
          <w:noProof/>
          <w:szCs w:val="22"/>
        </w:rPr>
      </w:pPr>
    </w:p>
    <w:p w14:paraId="1410A8A6" w14:textId="77777777" w:rsidR="00D517EA" w:rsidRPr="0063119B" w:rsidRDefault="00D517EA" w:rsidP="00951279">
      <w:pPr>
        <w:suppressAutoHyphens/>
        <w:ind w:right="14"/>
        <w:rPr>
          <w:noProof/>
          <w:szCs w:val="22"/>
        </w:rPr>
      </w:pPr>
    </w:p>
    <w:p w14:paraId="5E22976F"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LISTA DOS EXCIPIENTES</w:t>
      </w:r>
    </w:p>
    <w:p w14:paraId="701860D4" w14:textId="77777777" w:rsidR="00D517EA" w:rsidRPr="0063119B" w:rsidRDefault="00D517EA" w:rsidP="00951279">
      <w:pPr>
        <w:suppressAutoHyphens/>
        <w:ind w:right="14"/>
        <w:rPr>
          <w:noProof/>
          <w:szCs w:val="22"/>
        </w:rPr>
      </w:pPr>
    </w:p>
    <w:p w14:paraId="7247873E" w14:textId="77777777" w:rsidR="00D517EA" w:rsidRPr="0063119B" w:rsidRDefault="00D517EA" w:rsidP="00951279">
      <w:pPr>
        <w:suppressAutoHyphens/>
        <w:ind w:right="14"/>
        <w:rPr>
          <w:noProof/>
          <w:szCs w:val="22"/>
        </w:rPr>
      </w:pPr>
      <w:r w:rsidRPr="0063119B">
        <w:rPr>
          <w:noProof/>
          <w:szCs w:val="22"/>
        </w:rPr>
        <w:t>Contém lactose</w:t>
      </w:r>
      <w:r w:rsidR="00412ECE" w:rsidRPr="0063119B">
        <w:rPr>
          <w:noProof/>
          <w:szCs w:val="22"/>
        </w:rPr>
        <w:t xml:space="preserve"> mono-hidratada</w:t>
      </w:r>
      <w:r w:rsidRPr="0063119B">
        <w:rPr>
          <w:noProof/>
          <w:szCs w:val="22"/>
        </w:rPr>
        <w:t>.</w:t>
      </w:r>
    </w:p>
    <w:p w14:paraId="3D1C5AD2" w14:textId="77777777" w:rsidR="00D517EA" w:rsidRPr="0063119B" w:rsidRDefault="00D517EA" w:rsidP="00951279">
      <w:pPr>
        <w:suppressAutoHyphens/>
        <w:ind w:right="14"/>
        <w:rPr>
          <w:noProof/>
          <w:szCs w:val="22"/>
        </w:rPr>
      </w:pPr>
    </w:p>
    <w:p w14:paraId="03D50987" w14:textId="77777777" w:rsidR="00D517EA" w:rsidRPr="0063119B" w:rsidRDefault="00D517EA" w:rsidP="00951279">
      <w:pPr>
        <w:suppressAutoHyphens/>
        <w:ind w:right="14"/>
        <w:rPr>
          <w:noProof/>
          <w:szCs w:val="22"/>
        </w:rPr>
      </w:pPr>
    </w:p>
    <w:p w14:paraId="1EDB2E5A"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FORMA FARMACÊUTICA E CONTEÚDO</w:t>
      </w:r>
    </w:p>
    <w:p w14:paraId="598DEFE9" w14:textId="77777777" w:rsidR="00D517EA" w:rsidRPr="0063119B" w:rsidRDefault="00D517EA" w:rsidP="00951279">
      <w:pPr>
        <w:suppressAutoHyphens/>
        <w:ind w:right="14"/>
        <w:rPr>
          <w:noProof/>
          <w:szCs w:val="22"/>
        </w:rPr>
      </w:pPr>
    </w:p>
    <w:p w14:paraId="3539A6D8" w14:textId="77777777" w:rsidR="00D517EA" w:rsidRPr="0063119B" w:rsidRDefault="00412ECE" w:rsidP="00951279">
      <w:pPr>
        <w:suppressAutoHyphens/>
        <w:ind w:right="14"/>
        <w:rPr>
          <w:noProof/>
          <w:szCs w:val="22"/>
        </w:rPr>
      </w:pPr>
      <w:r w:rsidRPr="0063119B">
        <w:rPr>
          <w:noProof/>
          <w:szCs w:val="22"/>
        </w:rPr>
        <w:t>30 </w:t>
      </w:r>
      <w:r w:rsidR="00D517EA" w:rsidRPr="0063119B">
        <w:rPr>
          <w:noProof/>
          <w:szCs w:val="22"/>
        </w:rPr>
        <w:t>comprimidos revestidos por película</w:t>
      </w:r>
    </w:p>
    <w:p w14:paraId="7FC28734" w14:textId="77777777" w:rsidR="00412ECE" w:rsidRPr="0063119B" w:rsidRDefault="00C7492C" w:rsidP="00951279">
      <w:pPr>
        <w:suppressAutoHyphens/>
        <w:ind w:right="14"/>
        <w:rPr>
          <w:noProof/>
          <w:szCs w:val="22"/>
        </w:rPr>
      </w:pPr>
      <w:r w:rsidRPr="0063119B">
        <w:rPr>
          <w:noProof/>
          <w:szCs w:val="22"/>
          <w:highlight w:val="lightGray"/>
        </w:rPr>
        <w:t>9</w:t>
      </w:r>
      <w:r w:rsidR="00412ECE" w:rsidRPr="0063119B">
        <w:rPr>
          <w:noProof/>
          <w:szCs w:val="22"/>
          <w:highlight w:val="lightGray"/>
        </w:rPr>
        <w:t>0 comprimidos revestidos por película</w:t>
      </w:r>
    </w:p>
    <w:p w14:paraId="64C9D4D1" w14:textId="77777777" w:rsidR="00C7492C" w:rsidRPr="0063119B" w:rsidRDefault="00C7492C" w:rsidP="00951279">
      <w:pPr>
        <w:suppressAutoHyphens/>
        <w:ind w:right="14"/>
        <w:rPr>
          <w:noProof/>
          <w:szCs w:val="22"/>
        </w:rPr>
      </w:pPr>
      <w:r w:rsidRPr="0063119B">
        <w:rPr>
          <w:noProof/>
          <w:szCs w:val="22"/>
          <w:highlight w:val="lightGray"/>
        </w:rPr>
        <w:t>500 comprimidos revestidos por película</w:t>
      </w:r>
    </w:p>
    <w:p w14:paraId="2DF64ABE" w14:textId="77777777" w:rsidR="00D517EA" w:rsidRPr="0063119B" w:rsidRDefault="00D517EA" w:rsidP="00951279">
      <w:pPr>
        <w:suppressAutoHyphens/>
        <w:ind w:right="14"/>
        <w:rPr>
          <w:noProof/>
          <w:szCs w:val="22"/>
        </w:rPr>
      </w:pPr>
    </w:p>
    <w:p w14:paraId="5C9E1551" w14:textId="77777777" w:rsidR="00D517EA" w:rsidRPr="0063119B" w:rsidRDefault="00D517EA" w:rsidP="00951279">
      <w:pPr>
        <w:suppressAutoHyphens/>
        <w:ind w:right="14"/>
        <w:rPr>
          <w:noProof/>
          <w:szCs w:val="22"/>
        </w:rPr>
      </w:pPr>
    </w:p>
    <w:p w14:paraId="37A4AA67"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t>MODO E VIA(S) DE ADMINISTRAÇÃO</w:t>
      </w:r>
    </w:p>
    <w:p w14:paraId="432A136D" w14:textId="77777777" w:rsidR="00D517EA" w:rsidRPr="0063119B" w:rsidRDefault="00D517EA" w:rsidP="00951279">
      <w:pPr>
        <w:suppressAutoHyphens/>
        <w:ind w:right="14"/>
        <w:rPr>
          <w:noProof/>
          <w:szCs w:val="22"/>
        </w:rPr>
      </w:pPr>
    </w:p>
    <w:p w14:paraId="4038068D" w14:textId="77777777" w:rsidR="00D517EA" w:rsidRPr="0063119B" w:rsidRDefault="00D517EA" w:rsidP="00951279">
      <w:pPr>
        <w:suppressAutoHyphens/>
        <w:ind w:right="14"/>
        <w:rPr>
          <w:noProof/>
          <w:szCs w:val="22"/>
        </w:rPr>
      </w:pPr>
      <w:r w:rsidRPr="0063119B">
        <w:rPr>
          <w:noProof/>
          <w:szCs w:val="22"/>
        </w:rPr>
        <w:t>Consultar o folheto informativo antes de utilizar.</w:t>
      </w:r>
    </w:p>
    <w:p w14:paraId="406033C7" w14:textId="77777777" w:rsidR="00F723A9" w:rsidRPr="0063119B" w:rsidRDefault="00F723A9" w:rsidP="00951279">
      <w:pPr>
        <w:suppressAutoHyphens/>
        <w:ind w:right="14"/>
        <w:rPr>
          <w:noProof/>
          <w:szCs w:val="22"/>
        </w:rPr>
      </w:pPr>
      <w:r w:rsidRPr="0063119B">
        <w:rPr>
          <w:noProof/>
          <w:szCs w:val="22"/>
        </w:rPr>
        <w:t>Via oral.</w:t>
      </w:r>
    </w:p>
    <w:p w14:paraId="45AF29FE" w14:textId="77777777" w:rsidR="00D517EA" w:rsidRPr="0063119B" w:rsidRDefault="00D517EA" w:rsidP="00951279">
      <w:pPr>
        <w:suppressAutoHyphens/>
        <w:ind w:right="14"/>
        <w:rPr>
          <w:noProof/>
          <w:szCs w:val="22"/>
        </w:rPr>
      </w:pPr>
    </w:p>
    <w:p w14:paraId="6BEAC0CC" w14:textId="77777777" w:rsidR="00D517EA" w:rsidRPr="0063119B" w:rsidRDefault="00D517EA" w:rsidP="00951279">
      <w:pPr>
        <w:suppressAutoHyphens/>
        <w:ind w:right="14"/>
        <w:rPr>
          <w:noProof/>
          <w:szCs w:val="22"/>
        </w:rPr>
      </w:pPr>
    </w:p>
    <w:p w14:paraId="27F355E9"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6.</w:t>
      </w:r>
      <w:r w:rsidRPr="0063119B">
        <w:rPr>
          <w:b/>
          <w:noProof/>
          <w:szCs w:val="22"/>
        </w:rPr>
        <w:tab/>
        <w:t>ADVERTÊNCIA ESPECIAL DE QUE O MEDICAMENTO DEVE SER MANTIDO FORA DA VISTA E DO ALCANCE E DAS CRIANÇAS</w:t>
      </w:r>
    </w:p>
    <w:p w14:paraId="3D33929A" w14:textId="77777777" w:rsidR="00D517EA" w:rsidRPr="0063119B" w:rsidRDefault="00D517EA" w:rsidP="00951279">
      <w:pPr>
        <w:suppressAutoHyphens/>
        <w:ind w:right="14"/>
        <w:rPr>
          <w:noProof/>
          <w:szCs w:val="22"/>
        </w:rPr>
      </w:pPr>
    </w:p>
    <w:p w14:paraId="7E8BF84E" w14:textId="77777777" w:rsidR="00D517EA" w:rsidRPr="0063119B" w:rsidRDefault="00D517EA" w:rsidP="00951279">
      <w:pPr>
        <w:suppressAutoHyphens/>
        <w:ind w:right="14"/>
        <w:rPr>
          <w:noProof/>
          <w:szCs w:val="22"/>
        </w:rPr>
      </w:pPr>
      <w:r w:rsidRPr="0063119B">
        <w:rPr>
          <w:noProof/>
          <w:szCs w:val="22"/>
        </w:rPr>
        <w:t>Manter fora da vista e do alcance das crianças.</w:t>
      </w:r>
    </w:p>
    <w:p w14:paraId="5AC1CAC9" w14:textId="77777777" w:rsidR="00D517EA" w:rsidRPr="0063119B" w:rsidRDefault="00D517EA" w:rsidP="00951279">
      <w:pPr>
        <w:suppressAutoHyphens/>
        <w:ind w:right="14"/>
        <w:rPr>
          <w:noProof/>
          <w:szCs w:val="22"/>
        </w:rPr>
      </w:pPr>
    </w:p>
    <w:p w14:paraId="578D6400" w14:textId="77777777" w:rsidR="00D517EA" w:rsidRPr="0063119B" w:rsidRDefault="00D517EA" w:rsidP="00951279">
      <w:pPr>
        <w:suppressAutoHyphens/>
        <w:ind w:right="14"/>
        <w:rPr>
          <w:noProof/>
          <w:szCs w:val="22"/>
        </w:rPr>
      </w:pPr>
    </w:p>
    <w:p w14:paraId="66422BD0"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7.</w:t>
      </w:r>
      <w:r w:rsidRPr="0063119B">
        <w:rPr>
          <w:b/>
          <w:noProof/>
          <w:szCs w:val="22"/>
        </w:rPr>
        <w:tab/>
        <w:t>OUTRAS ADVERTÊNCIAS ESPECIAIS, SE NECESSÁRIO</w:t>
      </w:r>
    </w:p>
    <w:p w14:paraId="1397C646" w14:textId="77777777" w:rsidR="00D517EA" w:rsidRPr="0063119B" w:rsidRDefault="00D517EA" w:rsidP="00951279">
      <w:pPr>
        <w:suppressAutoHyphens/>
        <w:ind w:right="14"/>
        <w:rPr>
          <w:noProof/>
          <w:szCs w:val="22"/>
        </w:rPr>
      </w:pPr>
    </w:p>
    <w:p w14:paraId="409E1AA3" w14:textId="77777777" w:rsidR="00D517EA" w:rsidRPr="0063119B" w:rsidRDefault="00D517EA" w:rsidP="00951279">
      <w:pPr>
        <w:suppressAutoHyphens/>
        <w:ind w:right="14"/>
        <w:rPr>
          <w:noProof/>
          <w:szCs w:val="22"/>
        </w:rPr>
      </w:pPr>
    </w:p>
    <w:p w14:paraId="0C70A354"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8.</w:t>
      </w:r>
      <w:r w:rsidRPr="0063119B">
        <w:rPr>
          <w:b/>
          <w:noProof/>
          <w:szCs w:val="22"/>
        </w:rPr>
        <w:tab/>
        <w:t>PRAZO DE VALIDADE</w:t>
      </w:r>
    </w:p>
    <w:p w14:paraId="58368543" w14:textId="77777777" w:rsidR="00D517EA" w:rsidRPr="0063119B" w:rsidRDefault="00D517EA" w:rsidP="00951279">
      <w:pPr>
        <w:suppressAutoHyphens/>
        <w:rPr>
          <w:noProof/>
          <w:szCs w:val="22"/>
        </w:rPr>
      </w:pPr>
    </w:p>
    <w:p w14:paraId="3EA33A93" w14:textId="77777777" w:rsidR="00D517EA" w:rsidRPr="0063119B" w:rsidRDefault="00D517EA" w:rsidP="00951279">
      <w:pPr>
        <w:suppressAutoHyphens/>
        <w:rPr>
          <w:noProof/>
          <w:szCs w:val="22"/>
        </w:rPr>
      </w:pPr>
      <w:r w:rsidRPr="0063119B">
        <w:rPr>
          <w:noProof/>
          <w:szCs w:val="22"/>
        </w:rPr>
        <w:t>EXP</w:t>
      </w:r>
    </w:p>
    <w:p w14:paraId="170AEE13" w14:textId="77777777" w:rsidR="00D517EA" w:rsidRPr="0063119B" w:rsidRDefault="00D517EA" w:rsidP="00951279">
      <w:pPr>
        <w:suppressAutoHyphens/>
        <w:ind w:right="14"/>
        <w:rPr>
          <w:noProof/>
          <w:szCs w:val="22"/>
        </w:rPr>
      </w:pPr>
    </w:p>
    <w:p w14:paraId="195C0C1F"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9.</w:t>
      </w:r>
      <w:r w:rsidRPr="0063119B">
        <w:rPr>
          <w:b/>
          <w:noProof/>
          <w:szCs w:val="22"/>
        </w:rPr>
        <w:tab/>
        <w:t>CONDIÇÕES ESPECIAIS DE CONSERVAÇÃO</w:t>
      </w:r>
    </w:p>
    <w:p w14:paraId="7B49C418" w14:textId="77777777" w:rsidR="00D517EA" w:rsidRPr="0063119B" w:rsidRDefault="00D517EA" w:rsidP="00951279">
      <w:pPr>
        <w:suppressAutoHyphens/>
        <w:rPr>
          <w:noProof/>
          <w:szCs w:val="22"/>
        </w:rPr>
      </w:pPr>
    </w:p>
    <w:p w14:paraId="57F4CDD2" w14:textId="77777777" w:rsidR="00D517EA" w:rsidRPr="0063119B" w:rsidRDefault="00D517EA" w:rsidP="00951279">
      <w:pPr>
        <w:suppressAutoHyphens/>
        <w:ind w:right="14"/>
        <w:rPr>
          <w:b/>
          <w:noProof/>
          <w:szCs w:val="22"/>
        </w:rPr>
      </w:pPr>
    </w:p>
    <w:p w14:paraId="6588C9ED"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10.</w:t>
      </w:r>
      <w:r w:rsidRPr="0063119B">
        <w:rPr>
          <w:b/>
          <w:noProof/>
          <w:szCs w:val="22"/>
        </w:rPr>
        <w:tab/>
        <w:t>CUIDADOS ESPECIAIS QUANTO À ELIMINAÇÃO DO MEDICAMENTO NÃO UTILIZADO OU DOS RESÍDUOS PROVENIENTES DESSE MEDICAMENTO, SE APLICÁVEL</w:t>
      </w:r>
    </w:p>
    <w:p w14:paraId="4BB784BB" w14:textId="77777777" w:rsidR="00D517EA" w:rsidRPr="0063119B" w:rsidRDefault="00D517EA" w:rsidP="00951279">
      <w:pPr>
        <w:suppressAutoHyphens/>
        <w:ind w:right="14"/>
        <w:rPr>
          <w:noProof/>
          <w:szCs w:val="22"/>
        </w:rPr>
      </w:pPr>
    </w:p>
    <w:p w14:paraId="5A6BC888" w14:textId="77777777" w:rsidR="00D517EA" w:rsidRPr="0063119B" w:rsidRDefault="00D517EA" w:rsidP="00951279">
      <w:pPr>
        <w:suppressAutoHyphens/>
        <w:ind w:right="14"/>
        <w:rPr>
          <w:bCs/>
          <w:noProof/>
          <w:szCs w:val="22"/>
        </w:rPr>
      </w:pPr>
    </w:p>
    <w:p w14:paraId="73F8F7FF"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11.</w:t>
      </w:r>
      <w:r w:rsidRPr="0063119B">
        <w:rPr>
          <w:b/>
          <w:noProof/>
          <w:szCs w:val="22"/>
        </w:rPr>
        <w:tab/>
        <w:t>NOME E ENDEREÇO DO TITULAR DA AUTORIZAÇÃO DE INTRODUÇÃO NO MERCADO</w:t>
      </w:r>
    </w:p>
    <w:p w14:paraId="314EF5BD" w14:textId="77777777" w:rsidR="00D517EA" w:rsidRPr="0063119B" w:rsidRDefault="00D517EA" w:rsidP="00951279">
      <w:pPr>
        <w:suppressAutoHyphens/>
        <w:ind w:right="14"/>
        <w:rPr>
          <w:noProof/>
          <w:szCs w:val="22"/>
        </w:rPr>
      </w:pPr>
    </w:p>
    <w:p w14:paraId="3D361021" w14:textId="77777777" w:rsidR="00C7492C" w:rsidRPr="0063119B" w:rsidRDefault="00C7492C" w:rsidP="00C7492C">
      <w:pPr>
        <w:keepNext/>
        <w:rPr>
          <w:szCs w:val="22"/>
          <w:lang w:val="en-GB"/>
        </w:rPr>
      </w:pPr>
      <w:r w:rsidRPr="0063119B">
        <w:rPr>
          <w:szCs w:val="22"/>
          <w:lang w:val="en-GB"/>
        </w:rPr>
        <w:t>Accord Healthcare S.L.U.</w:t>
      </w:r>
    </w:p>
    <w:p w14:paraId="5E158BDE" w14:textId="77777777" w:rsidR="00C7492C" w:rsidRPr="0063119B" w:rsidRDefault="00C7492C" w:rsidP="000B293C">
      <w:pPr>
        <w:suppressAutoHyphens/>
        <w:rPr>
          <w:noProof/>
          <w:szCs w:val="22"/>
          <w:highlight w:val="lightGray"/>
        </w:rPr>
      </w:pPr>
      <w:r w:rsidRPr="0063119B">
        <w:rPr>
          <w:noProof/>
          <w:szCs w:val="22"/>
          <w:highlight w:val="lightGray"/>
        </w:rPr>
        <w:t xml:space="preserve">World Trade Center, Moll de Barcelona s/n, Edifici Est, 6a Planta, </w:t>
      </w:r>
    </w:p>
    <w:p w14:paraId="7BA3A13B" w14:textId="77777777" w:rsidR="00C7492C" w:rsidRPr="0063119B" w:rsidRDefault="00C7492C" w:rsidP="000B293C">
      <w:pPr>
        <w:suppressAutoHyphens/>
        <w:rPr>
          <w:noProof/>
          <w:szCs w:val="22"/>
          <w:highlight w:val="lightGray"/>
        </w:rPr>
      </w:pPr>
      <w:r w:rsidRPr="0063119B">
        <w:rPr>
          <w:noProof/>
          <w:szCs w:val="22"/>
          <w:highlight w:val="lightGray"/>
        </w:rPr>
        <w:t>Barcelona, 08039</w:t>
      </w:r>
    </w:p>
    <w:p w14:paraId="4F6D4F9D" w14:textId="77777777" w:rsidR="00D517EA" w:rsidRPr="0063119B" w:rsidRDefault="00C7492C" w:rsidP="00951279">
      <w:pPr>
        <w:suppressAutoHyphens/>
        <w:ind w:right="14"/>
        <w:rPr>
          <w:noProof/>
          <w:szCs w:val="22"/>
        </w:rPr>
      </w:pPr>
      <w:r w:rsidRPr="0063119B">
        <w:rPr>
          <w:noProof/>
          <w:szCs w:val="22"/>
          <w:highlight w:val="lightGray"/>
        </w:rPr>
        <w:t>Espanha</w:t>
      </w:r>
      <w:r w:rsidR="007E26F4" w:rsidRPr="0063119B">
        <w:rPr>
          <w:szCs w:val="22"/>
        </w:rPr>
        <w:t xml:space="preserve"> </w:t>
      </w:r>
      <w:bookmarkStart w:id="17" w:name="_Hlk51174509"/>
      <w:r w:rsidR="007E26F4" w:rsidRPr="0063119B">
        <w:rPr>
          <w:noProof/>
          <w:szCs w:val="22"/>
          <w:highlight w:val="lightGray"/>
        </w:rPr>
        <w:t>(apenas aplicável para a embalagem exterior, não aplicável para o rótulo do frasco)</w:t>
      </w:r>
      <w:bookmarkEnd w:id="17"/>
    </w:p>
    <w:p w14:paraId="2F942B8E" w14:textId="77777777" w:rsidR="00D517EA" w:rsidRPr="0063119B" w:rsidRDefault="00D517EA" w:rsidP="00951279">
      <w:pPr>
        <w:suppressAutoHyphens/>
        <w:ind w:right="14"/>
        <w:rPr>
          <w:noProof/>
          <w:szCs w:val="22"/>
        </w:rPr>
      </w:pPr>
    </w:p>
    <w:p w14:paraId="6257A12E" w14:textId="77777777" w:rsidR="00D517EA" w:rsidRPr="0063119B" w:rsidRDefault="00D517EA" w:rsidP="00951279">
      <w:pPr>
        <w:suppressAutoHyphens/>
        <w:ind w:right="14"/>
        <w:rPr>
          <w:noProof/>
          <w:szCs w:val="22"/>
        </w:rPr>
      </w:pPr>
    </w:p>
    <w:p w14:paraId="56CF3D33"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12.</w:t>
      </w:r>
      <w:r w:rsidRPr="0063119B">
        <w:rPr>
          <w:b/>
          <w:noProof/>
          <w:szCs w:val="22"/>
        </w:rPr>
        <w:tab/>
        <w:t>NÚMERO(S) DA AUTORIZAÇÃO DE INTRODUÇÃO NO MERCADO</w:t>
      </w:r>
    </w:p>
    <w:p w14:paraId="676B9F0C" w14:textId="77777777" w:rsidR="00D517EA" w:rsidRPr="0063119B" w:rsidRDefault="00D517EA" w:rsidP="00951279">
      <w:pPr>
        <w:suppressAutoHyphens/>
        <w:ind w:right="14"/>
        <w:rPr>
          <w:noProof/>
          <w:szCs w:val="22"/>
        </w:rPr>
      </w:pPr>
    </w:p>
    <w:p w14:paraId="26C1812D" w14:textId="77777777" w:rsidR="00D517EA" w:rsidRDefault="007E26F4" w:rsidP="000B293C">
      <w:pPr>
        <w:tabs>
          <w:tab w:val="left" w:pos="1680"/>
          <w:tab w:val="left" w:pos="5880"/>
        </w:tabs>
        <w:rPr>
          <w:noProof/>
          <w:szCs w:val="22"/>
        </w:rPr>
      </w:pPr>
      <w:r w:rsidRPr="0063119B">
        <w:rPr>
          <w:szCs w:val="22"/>
        </w:rPr>
        <w:t xml:space="preserve">EU/1/20/1488/036-038 </w:t>
      </w:r>
      <w:r w:rsidRPr="0063119B">
        <w:rPr>
          <w:noProof/>
          <w:szCs w:val="22"/>
          <w:highlight w:val="lightGray"/>
        </w:rPr>
        <w:t>(apenas aplicável para a embalagem exterior, não aplicável para o rótulo do frasco)</w:t>
      </w:r>
    </w:p>
    <w:p w14:paraId="688571D0" w14:textId="77777777" w:rsidR="00394D5E" w:rsidRPr="0063119B" w:rsidRDefault="00394D5E" w:rsidP="000B293C">
      <w:pPr>
        <w:tabs>
          <w:tab w:val="left" w:pos="1680"/>
          <w:tab w:val="left" w:pos="5880"/>
        </w:tabs>
        <w:rPr>
          <w:noProof/>
          <w:szCs w:val="22"/>
        </w:rPr>
      </w:pPr>
    </w:p>
    <w:p w14:paraId="626C29ED" w14:textId="77777777" w:rsidR="00D517EA" w:rsidRPr="0063119B" w:rsidRDefault="00D517EA" w:rsidP="00951279">
      <w:pPr>
        <w:suppressAutoHyphens/>
        <w:ind w:right="14"/>
        <w:rPr>
          <w:noProof/>
          <w:szCs w:val="22"/>
        </w:rPr>
      </w:pPr>
    </w:p>
    <w:p w14:paraId="6A91627B"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13.</w:t>
      </w:r>
      <w:r w:rsidRPr="0063119B">
        <w:rPr>
          <w:b/>
          <w:noProof/>
          <w:szCs w:val="22"/>
        </w:rPr>
        <w:tab/>
        <w:t>NÚMERO DO LOTE</w:t>
      </w:r>
    </w:p>
    <w:p w14:paraId="667BEC69" w14:textId="77777777" w:rsidR="00D517EA" w:rsidRPr="0063119B" w:rsidRDefault="00D517EA" w:rsidP="00951279">
      <w:pPr>
        <w:rPr>
          <w:noProof/>
          <w:szCs w:val="22"/>
        </w:rPr>
      </w:pPr>
    </w:p>
    <w:p w14:paraId="3B296F48" w14:textId="77777777" w:rsidR="00D517EA" w:rsidRPr="0063119B" w:rsidRDefault="00394D5E" w:rsidP="00951279">
      <w:pPr>
        <w:rPr>
          <w:noProof/>
          <w:szCs w:val="22"/>
        </w:rPr>
      </w:pPr>
      <w:r>
        <w:rPr>
          <w:noProof/>
          <w:szCs w:val="22"/>
        </w:rPr>
        <w:t>Lot</w:t>
      </w:r>
    </w:p>
    <w:p w14:paraId="3F9EEFA7" w14:textId="77777777" w:rsidR="00D517EA" w:rsidRPr="0063119B" w:rsidRDefault="00D517EA" w:rsidP="00951279">
      <w:pPr>
        <w:rPr>
          <w:noProof/>
          <w:szCs w:val="22"/>
        </w:rPr>
      </w:pPr>
    </w:p>
    <w:p w14:paraId="4F5CB2FB" w14:textId="77777777" w:rsidR="00D517EA" w:rsidRPr="0063119B" w:rsidRDefault="00D517EA" w:rsidP="00951279">
      <w:pPr>
        <w:suppressAutoHyphens/>
        <w:ind w:right="14"/>
        <w:rPr>
          <w:noProof/>
          <w:szCs w:val="22"/>
        </w:rPr>
      </w:pPr>
    </w:p>
    <w:p w14:paraId="324B34CE"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14.</w:t>
      </w:r>
      <w:r w:rsidRPr="0063119B">
        <w:rPr>
          <w:b/>
          <w:noProof/>
          <w:szCs w:val="22"/>
        </w:rPr>
        <w:tab/>
        <w:t xml:space="preserve">CLASSIFICAÇÃO QUANTO À DISPENSA </w:t>
      </w:r>
      <w:r w:rsidRPr="0063119B">
        <w:rPr>
          <w:b/>
          <w:caps/>
          <w:noProof/>
          <w:szCs w:val="22"/>
        </w:rPr>
        <w:t>ao Público</w:t>
      </w:r>
    </w:p>
    <w:p w14:paraId="0A3592B7" w14:textId="77777777" w:rsidR="00D517EA" w:rsidRPr="0063119B" w:rsidRDefault="00D517EA" w:rsidP="00951279">
      <w:pPr>
        <w:suppressAutoHyphens/>
        <w:ind w:right="14"/>
        <w:rPr>
          <w:noProof/>
          <w:szCs w:val="22"/>
        </w:rPr>
      </w:pPr>
    </w:p>
    <w:p w14:paraId="444A1BB8" w14:textId="77777777" w:rsidR="00D517EA" w:rsidRPr="0063119B" w:rsidRDefault="0009626C" w:rsidP="00951279">
      <w:pPr>
        <w:suppressAutoHyphens/>
        <w:ind w:right="14"/>
        <w:rPr>
          <w:noProof/>
          <w:szCs w:val="22"/>
        </w:rPr>
      </w:pPr>
      <w:r w:rsidRPr="0063119B">
        <w:rPr>
          <w:noProof/>
          <w:szCs w:val="22"/>
        </w:rPr>
        <w:t xml:space="preserve"> </w:t>
      </w:r>
    </w:p>
    <w:p w14:paraId="6A16463F"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15.</w:t>
      </w:r>
      <w:r w:rsidRPr="0063119B">
        <w:rPr>
          <w:b/>
          <w:noProof/>
          <w:szCs w:val="22"/>
        </w:rPr>
        <w:tab/>
        <w:t>INSTRUÇÕES DE UTILIZAÇÃO</w:t>
      </w:r>
    </w:p>
    <w:p w14:paraId="7391C802" w14:textId="77777777" w:rsidR="00D517EA" w:rsidRPr="0063119B" w:rsidRDefault="00D517EA" w:rsidP="00951279">
      <w:pPr>
        <w:suppressAutoHyphens/>
        <w:ind w:right="14"/>
        <w:rPr>
          <w:noProof/>
          <w:szCs w:val="22"/>
        </w:rPr>
      </w:pPr>
    </w:p>
    <w:p w14:paraId="3AB2EEDC" w14:textId="77777777" w:rsidR="00D517EA" w:rsidRPr="0063119B" w:rsidRDefault="00D517EA" w:rsidP="00951279">
      <w:pPr>
        <w:suppressAutoHyphens/>
        <w:ind w:right="14"/>
        <w:rPr>
          <w:noProof/>
          <w:szCs w:val="22"/>
        </w:rPr>
      </w:pPr>
    </w:p>
    <w:p w14:paraId="7D824AC1" w14:textId="77777777" w:rsidR="00D517EA" w:rsidRPr="0063119B" w:rsidRDefault="00D517EA"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16.</w:t>
      </w:r>
      <w:r w:rsidRPr="0063119B">
        <w:rPr>
          <w:b/>
          <w:noProof/>
          <w:szCs w:val="22"/>
        </w:rPr>
        <w:tab/>
      </w:r>
      <w:r w:rsidRPr="0063119B">
        <w:rPr>
          <w:b/>
          <w:caps/>
          <w:noProof/>
          <w:szCs w:val="22"/>
        </w:rPr>
        <w:t>Informação em Braille</w:t>
      </w:r>
    </w:p>
    <w:p w14:paraId="0A7AD058" w14:textId="77777777" w:rsidR="00D517EA" w:rsidRPr="0063119B" w:rsidRDefault="00D517EA" w:rsidP="00951279">
      <w:pPr>
        <w:suppressAutoHyphens/>
        <w:ind w:right="14"/>
        <w:rPr>
          <w:noProof/>
          <w:szCs w:val="22"/>
        </w:rPr>
      </w:pPr>
    </w:p>
    <w:p w14:paraId="249767C2" w14:textId="77777777" w:rsidR="00D517EA" w:rsidRPr="0063119B" w:rsidRDefault="004B4602" w:rsidP="00951279">
      <w:pPr>
        <w:suppressAutoHyphens/>
        <w:ind w:right="14"/>
        <w:rPr>
          <w:noProof/>
          <w:szCs w:val="22"/>
          <w:highlight w:val="lightGray"/>
        </w:rPr>
      </w:pPr>
      <w:r>
        <w:rPr>
          <w:noProof/>
          <w:szCs w:val="22"/>
        </w:rPr>
        <w:t>r</w:t>
      </w:r>
      <w:r w:rsidR="00607DE4">
        <w:rPr>
          <w:noProof/>
          <w:szCs w:val="22"/>
        </w:rPr>
        <w:t>ivaroxabano</w:t>
      </w:r>
      <w:r w:rsidR="001F7D02" w:rsidRPr="0063119B">
        <w:rPr>
          <w:noProof/>
          <w:szCs w:val="22"/>
        </w:rPr>
        <w:t xml:space="preserve"> </w:t>
      </w:r>
      <w:r>
        <w:rPr>
          <w:noProof/>
          <w:szCs w:val="22"/>
        </w:rPr>
        <w:t>a</w:t>
      </w:r>
      <w:r w:rsidRPr="0063119B">
        <w:rPr>
          <w:noProof/>
          <w:szCs w:val="22"/>
        </w:rPr>
        <w:t xml:space="preserve">ccord </w:t>
      </w:r>
      <w:r w:rsidR="00D517EA" w:rsidRPr="0063119B">
        <w:rPr>
          <w:noProof/>
          <w:szCs w:val="22"/>
        </w:rPr>
        <w:t xml:space="preserve">15 mg </w:t>
      </w:r>
      <w:r w:rsidR="00D517EA" w:rsidRPr="0063119B">
        <w:rPr>
          <w:noProof/>
          <w:szCs w:val="22"/>
          <w:highlight w:val="lightGray"/>
        </w:rPr>
        <w:t>(apenas aplicável para a embal</w:t>
      </w:r>
      <w:r w:rsidR="005F51EF" w:rsidRPr="0063119B">
        <w:rPr>
          <w:noProof/>
          <w:szCs w:val="22"/>
          <w:highlight w:val="lightGray"/>
        </w:rPr>
        <w:t>a</w:t>
      </w:r>
      <w:r w:rsidR="00D517EA" w:rsidRPr="0063119B">
        <w:rPr>
          <w:noProof/>
          <w:szCs w:val="22"/>
          <w:highlight w:val="lightGray"/>
        </w:rPr>
        <w:t>gem exterior, não aplicável para o rótulo do frasco)</w:t>
      </w:r>
    </w:p>
    <w:p w14:paraId="5F744242" w14:textId="77777777" w:rsidR="0009626C" w:rsidRPr="0063119B" w:rsidRDefault="0009626C" w:rsidP="00951279">
      <w:pPr>
        <w:suppressAutoHyphens/>
        <w:ind w:right="14"/>
        <w:rPr>
          <w:noProof/>
          <w:szCs w:val="22"/>
          <w:highlight w:val="lightGray"/>
        </w:rPr>
      </w:pPr>
    </w:p>
    <w:p w14:paraId="0A1ED471" w14:textId="77777777" w:rsidR="0009626C" w:rsidRPr="0063119B" w:rsidRDefault="0009626C" w:rsidP="00951279">
      <w:pPr>
        <w:suppressAutoHyphens/>
        <w:ind w:right="14"/>
        <w:rPr>
          <w:noProof/>
          <w:szCs w:val="22"/>
          <w:highlight w:val="lightGray"/>
        </w:rPr>
      </w:pPr>
    </w:p>
    <w:p w14:paraId="5BC8AD32" w14:textId="77777777" w:rsidR="0009626C" w:rsidRPr="0063119B" w:rsidRDefault="0009626C" w:rsidP="00951279">
      <w:pPr>
        <w:keepNext/>
        <w:pBdr>
          <w:top w:val="single" w:sz="4" w:space="1" w:color="auto"/>
          <w:left w:val="single" w:sz="4" w:space="4" w:color="auto"/>
          <w:bottom w:val="single" w:sz="4" w:space="1" w:color="auto"/>
          <w:right w:val="single" w:sz="4" w:space="4" w:color="auto"/>
        </w:pBdr>
        <w:tabs>
          <w:tab w:val="left" w:pos="0"/>
        </w:tabs>
        <w:rPr>
          <w:i/>
          <w:noProof/>
          <w:szCs w:val="22"/>
        </w:rPr>
      </w:pPr>
      <w:r w:rsidRPr="0063119B">
        <w:rPr>
          <w:b/>
          <w:noProof/>
          <w:szCs w:val="22"/>
        </w:rPr>
        <w:t>17.</w:t>
      </w:r>
      <w:r w:rsidRPr="0063119B">
        <w:rPr>
          <w:b/>
          <w:noProof/>
          <w:szCs w:val="22"/>
        </w:rPr>
        <w:tab/>
        <w:t>IDENTIFICADOR ÚNICO – CÓDIGO DE BARRAS 2D</w:t>
      </w:r>
    </w:p>
    <w:p w14:paraId="3CA92F35" w14:textId="77777777" w:rsidR="0009626C" w:rsidRPr="0063119B" w:rsidRDefault="0009626C" w:rsidP="00951279">
      <w:pPr>
        <w:rPr>
          <w:noProof/>
          <w:szCs w:val="22"/>
        </w:rPr>
      </w:pPr>
    </w:p>
    <w:p w14:paraId="4184C824" w14:textId="77777777" w:rsidR="0009626C" w:rsidRPr="0063119B" w:rsidRDefault="0009626C" w:rsidP="00951279">
      <w:pPr>
        <w:rPr>
          <w:noProof/>
          <w:szCs w:val="22"/>
          <w:shd w:val="clear" w:color="auto" w:fill="CCCCCC"/>
        </w:rPr>
      </w:pPr>
      <w:r w:rsidRPr="0063119B">
        <w:rPr>
          <w:noProof/>
          <w:szCs w:val="22"/>
          <w:highlight w:val="lightGray"/>
        </w:rPr>
        <w:t>Código de barras 2D com identificador único incluído.</w:t>
      </w:r>
      <w:r w:rsidRPr="0063119B">
        <w:rPr>
          <w:noProof/>
          <w:szCs w:val="22"/>
        </w:rPr>
        <w:t xml:space="preserve"> </w:t>
      </w:r>
      <w:r w:rsidRPr="0063119B">
        <w:rPr>
          <w:noProof/>
          <w:szCs w:val="22"/>
          <w:highlight w:val="lightGray"/>
        </w:rPr>
        <w:t>(apenas aplicável para a embalagem exterior, não aplicável para o rótulo do frasco)</w:t>
      </w:r>
    </w:p>
    <w:p w14:paraId="1DFED649" w14:textId="77777777" w:rsidR="0009626C" w:rsidRDefault="0009626C" w:rsidP="00951279">
      <w:pPr>
        <w:rPr>
          <w:noProof/>
          <w:szCs w:val="22"/>
          <w:shd w:val="clear" w:color="auto" w:fill="CCCCCC"/>
        </w:rPr>
      </w:pPr>
    </w:p>
    <w:p w14:paraId="546F73C1" w14:textId="77777777" w:rsidR="00394D5E" w:rsidRPr="0063119B" w:rsidRDefault="00394D5E" w:rsidP="00951279">
      <w:pPr>
        <w:rPr>
          <w:noProof/>
          <w:szCs w:val="22"/>
          <w:shd w:val="clear" w:color="auto" w:fill="CCCCCC"/>
        </w:rPr>
      </w:pPr>
    </w:p>
    <w:p w14:paraId="52B886A8" w14:textId="77777777" w:rsidR="0009626C" w:rsidRPr="0063119B" w:rsidRDefault="0009626C" w:rsidP="00951279">
      <w:pPr>
        <w:rPr>
          <w:noProof/>
          <w:vanish/>
          <w:szCs w:val="22"/>
        </w:rPr>
      </w:pPr>
    </w:p>
    <w:p w14:paraId="0C12C92E" w14:textId="77777777" w:rsidR="0009626C" w:rsidRPr="0063119B" w:rsidRDefault="0009626C" w:rsidP="00951279">
      <w:pPr>
        <w:keepNext/>
        <w:pBdr>
          <w:top w:val="single" w:sz="4" w:space="1" w:color="auto"/>
          <w:left w:val="single" w:sz="4" w:space="4" w:color="auto"/>
          <w:bottom w:val="single" w:sz="4" w:space="1" w:color="auto"/>
          <w:right w:val="single" w:sz="4" w:space="4" w:color="auto"/>
        </w:pBdr>
        <w:tabs>
          <w:tab w:val="left" w:pos="0"/>
        </w:tabs>
        <w:rPr>
          <w:b/>
          <w:noProof/>
          <w:szCs w:val="22"/>
        </w:rPr>
      </w:pPr>
      <w:r w:rsidRPr="0063119B">
        <w:rPr>
          <w:b/>
          <w:noProof/>
          <w:szCs w:val="22"/>
        </w:rPr>
        <w:t>18.</w:t>
      </w:r>
      <w:r w:rsidRPr="0063119B">
        <w:rPr>
          <w:b/>
          <w:noProof/>
          <w:szCs w:val="22"/>
        </w:rPr>
        <w:tab/>
        <w:t>IDENTIFICADOR ÚNICO - DADOS PARA LEITURA HUMANA</w:t>
      </w:r>
    </w:p>
    <w:p w14:paraId="47BC9DA3" w14:textId="77777777" w:rsidR="0009626C" w:rsidRPr="0063119B" w:rsidRDefault="0009626C" w:rsidP="00261101">
      <w:pPr>
        <w:keepNext/>
        <w:rPr>
          <w:noProof/>
          <w:szCs w:val="22"/>
        </w:rPr>
      </w:pPr>
    </w:p>
    <w:p w14:paraId="29F84B56" w14:textId="77777777" w:rsidR="0009626C" w:rsidRPr="0063119B" w:rsidRDefault="0009626C" w:rsidP="00261101">
      <w:pPr>
        <w:keepNext/>
        <w:rPr>
          <w:szCs w:val="22"/>
        </w:rPr>
      </w:pPr>
      <w:r w:rsidRPr="0063119B">
        <w:rPr>
          <w:szCs w:val="22"/>
        </w:rPr>
        <w:t xml:space="preserve">PC </w:t>
      </w:r>
      <w:r w:rsidRPr="0063119B">
        <w:rPr>
          <w:noProof/>
          <w:szCs w:val="22"/>
          <w:highlight w:val="lightGray"/>
        </w:rPr>
        <w:t>(apenas aplicável para a embalagem exterior, não aplicável para o rótulo do frasco)</w:t>
      </w:r>
    </w:p>
    <w:p w14:paraId="356EE2E8" w14:textId="77777777" w:rsidR="0009626C" w:rsidRPr="0063119B" w:rsidRDefault="0009626C" w:rsidP="00261101">
      <w:pPr>
        <w:keepNext/>
        <w:rPr>
          <w:szCs w:val="22"/>
        </w:rPr>
      </w:pPr>
      <w:r w:rsidRPr="0063119B">
        <w:rPr>
          <w:szCs w:val="22"/>
        </w:rPr>
        <w:t xml:space="preserve">SN </w:t>
      </w:r>
      <w:r w:rsidRPr="0063119B">
        <w:rPr>
          <w:noProof/>
          <w:szCs w:val="22"/>
          <w:highlight w:val="lightGray"/>
        </w:rPr>
        <w:t>(apenas aplicável para a embalagem exterior, não aplicável para o rótulo do frasco)</w:t>
      </w:r>
    </w:p>
    <w:p w14:paraId="7A03AEC0" w14:textId="77777777" w:rsidR="0009626C" w:rsidRPr="0063119B" w:rsidRDefault="0009626C" w:rsidP="00261101">
      <w:pPr>
        <w:keepNext/>
        <w:rPr>
          <w:szCs w:val="22"/>
        </w:rPr>
      </w:pPr>
      <w:r w:rsidRPr="0063119B">
        <w:rPr>
          <w:szCs w:val="22"/>
        </w:rPr>
        <w:t>NN</w:t>
      </w:r>
      <w:r w:rsidRPr="0063119B">
        <w:rPr>
          <w:noProof/>
          <w:szCs w:val="22"/>
          <w:highlight w:val="lightGray"/>
        </w:rPr>
        <w:t xml:space="preserve"> (apenas aplicável para a embalagem exterior, não aplicável para o rótulo do frasco)</w:t>
      </w:r>
    </w:p>
    <w:p w14:paraId="7A53FF19" w14:textId="77777777" w:rsidR="00D517EA" w:rsidRPr="0063119B" w:rsidRDefault="001F10F8" w:rsidP="00951279">
      <w:pPr>
        <w:suppressAutoHyphens/>
        <w:ind w:right="14"/>
        <w:rPr>
          <w:noProof/>
          <w:szCs w:val="22"/>
        </w:rPr>
      </w:pPr>
      <w:r w:rsidRPr="0063119B">
        <w:rPr>
          <w:noProof/>
          <w:szCs w:val="22"/>
        </w:rPr>
        <w:br w:type="page"/>
      </w:r>
    </w:p>
    <w:p w14:paraId="036E4BF6" w14:textId="77777777" w:rsidR="00337111" w:rsidRPr="0063119B" w:rsidRDefault="00337111" w:rsidP="00951279">
      <w:pPr>
        <w:pBdr>
          <w:top w:val="single" w:sz="4" w:space="1" w:color="auto"/>
          <w:left w:val="single" w:sz="4" w:space="4" w:color="auto"/>
          <w:bottom w:val="single" w:sz="4" w:space="1" w:color="auto"/>
          <w:right w:val="single" w:sz="4" w:space="4" w:color="auto"/>
        </w:pBdr>
        <w:shd w:val="clear" w:color="auto" w:fill="FFFFFF"/>
        <w:suppressAutoHyphens/>
        <w:ind w:right="14"/>
        <w:rPr>
          <w:b/>
          <w:caps/>
          <w:noProof/>
          <w:szCs w:val="22"/>
        </w:rPr>
      </w:pPr>
      <w:r w:rsidRPr="0063119B">
        <w:rPr>
          <w:b/>
          <w:noProof/>
          <w:szCs w:val="22"/>
        </w:rPr>
        <w:lastRenderedPageBreak/>
        <w:t xml:space="preserve">INDICAÇÕES A INCLUIR </w:t>
      </w:r>
      <w:r w:rsidRPr="0063119B">
        <w:rPr>
          <w:b/>
          <w:caps/>
          <w:noProof/>
          <w:szCs w:val="22"/>
        </w:rPr>
        <w:t>no acondicionamento secundário</w:t>
      </w:r>
    </w:p>
    <w:p w14:paraId="3964C2CE" w14:textId="77777777" w:rsidR="00337111" w:rsidRPr="0063119B" w:rsidRDefault="00337111" w:rsidP="00951279">
      <w:pPr>
        <w:pBdr>
          <w:top w:val="single" w:sz="4" w:space="1" w:color="auto"/>
          <w:left w:val="single" w:sz="4" w:space="4" w:color="auto"/>
          <w:bottom w:val="single" w:sz="4" w:space="1" w:color="auto"/>
          <w:right w:val="single" w:sz="4" w:space="4" w:color="auto"/>
        </w:pBdr>
        <w:shd w:val="clear" w:color="auto" w:fill="FFFFFF"/>
        <w:suppressAutoHyphens/>
        <w:ind w:right="14"/>
        <w:rPr>
          <w:b/>
          <w:noProof/>
          <w:szCs w:val="22"/>
        </w:rPr>
      </w:pPr>
    </w:p>
    <w:p w14:paraId="699239A4" w14:textId="77777777" w:rsidR="00337111" w:rsidRPr="0063119B" w:rsidRDefault="00337111" w:rsidP="00951279">
      <w:pPr>
        <w:pBdr>
          <w:top w:val="single" w:sz="4" w:space="1" w:color="auto"/>
          <w:left w:val="single" w:sz="4" w:space="4" w:color="auto"/>
          <w:bottom w:val="single" w:sz="4" w:space="1" w:color="auto"/>
          <w:right w:val="single" w:sz="4" w:space="4" w:color="auto"/>
        </w:pBdr>
        <w:shd w:val="clear" w:color="auto" w:fill="FFFFFF"/>
        <w:suppressAutoHyphens/>
        <w:ind w:right="14"/>
        <w:rPr>
          <w:b/>
          <w:caps/>
          <w:noProof/>
          <w:szCs w:val="22"/>
        </w:rPr>
      </w:pPr>
      <w:r w:rsidRPr="0063119B">
        <w:rPr>
          <w:b/>
          <w:caps/>
          <w:noProof/>
          <w:szCs w:val="22"/>
        </w:rPr>
        <w:t>Embalagem exterior para 20</w:t>
      </w:r>
      <w:r w:rsidR="00C7492C" w:rsidRPr="0063119B">
        <w:rPr>
          <w:b/>
          <w:caps/>
          <w:noProof/>
          <w:szCs w:val="22"/>
        </w:rPr>
        <w:t> </w:t>
      </w:r>
      <w:r w:rsidRPr="0063119B">
        <w:rPr>
          <w:b/>
          <w:caps/>
          <w:noProof/>
          <w:szCs w:val="22"/>
        </w:rPr>
        <w:t>mg</w:t>
      </w:r>
    </w:p>
    <w:p w14:paraId="29BA3C7E" w14:textId="77777777" w:rsidR="00337111" w:rsidRPr="0063119B" w:rsidRDefault="00337111" w:rsidP="00951279">
      <w:pPr>
        <w:suppressAutoHyphens/>
        <w:ind w:right="14"/>
        <w:rPr>
          <w:noProof/>
          <w:szCs w:val="22"/>
        </w:rPr>
      </w:pPr>
    </w:p>
    <w:p w14:paraId="68AF8789" w14:textId="77777777" w:rsidR="00337111" w:rsidRPr="0063119B" w:rsidRDefault="00337111" w:rsidP="00951279">
      <w:pPr>
        <w:suppressAutoHyphens/>
        <w:ind w:right="14"/>
        <w:rPr>
          <w:noProof/>
          <w:szCs w:val="22"/>
        </w:rPr>
      </w:pPr>
    </w:p>
    <w:p w14:paraId="30EF83D6"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6FA18640" w14:textId="77777777" w:rsidR="00337111" w:rsidRPr="0063119B" w:rsidRDefault="00337111" w:rsidP="00951279">
      <w:pPr>
        <w:suppressAutoHyphens/>
        <w:ind w:right="14"/>
        <w:rPr>
          <w:noProof/>
          <w:szCs w:val="22"/>
        </w:rPr>
      </w:pPr>
    </w:p>
    <w:p w14:paraId="22A83977" w14:textId="77777777" w:rsidR="00337111" w:rsidRPr="0063119B" w:rsidRDefault="00607DE4" w:rsidP="005500AB">
      <w:pPr>
        <w:suppressAutoHyphens/>
        <w:ind w:right="11"/>
        <w:outlineLvl w:val="2"/>
        <w:rPr>
          <w:noProof/>
          <w:szCs w:val="22"/>
        </w:rPr>
      </w:pPr>
      <w:r>
        <w:rPr>
          <w:noProof/>
          <w:szCs w:val="22"/>
        </w:rPr>
        <w:t>Rivaroxabano</w:t>
      </w:r>
      <w:r w:rsidR="001F7D02" w:rsidRPr="0063119B">
        <w:rPr>
          <w:noProof/>
          <w:szCs w:val="22"/>
        </w:rPr>
        <w:t xml:space="preserve"> Accord</w:t>
      </w:r>
      <w:r w:rsidR="00337111" w:rsidRPr="0063119B">
        <w:rPr>
          <w:noProof/>
          <w:szCs w:val="22"/>
        </w:rPr>
        <w:t xml:space="preserve"> 20 mg comprimidos revestidos por película</w:t>
      </w:r>
    </w:p>
    <w:p w14:paraId="2AB15995" w14:textId="77777777" w:rsidR="00337111" w:rsidRPr="0063119B" w:rsidRDefault="000D7CE8" w:rsidP="00951279">
      <w:pPr>
        <w:suppressAutoHyphens/>
        <w:ind w:right="14"/>
        <w:rPr>
          <w:noProof/>
          <w:szCs w:val="22"/>
        </w:rPr>
      </w:pPr>
      <w:r w:rsidRPr="0063119B">
        <w:rPr>
          <w:noProof/>
          <w:szCs w:val="22"/>
        </w:rPr>
        <w:t>r</w:t>
      </w:r>
      <w:r w:rsidR="00337111" w:rsidRPr="0063119B">
        <w:rPr>
          <w:noProof/>
          <w:szCs w:val="22"/>
        </w:rPr>
        <w:t>ivaroxabano</w:t>
      </w:r>
    </w:p>
    <w:p w14:paraId="70C66A50" w14:textId="77777777" w:rsidR="00337111" w:rsidRPr="0063119B" w:rsidRDefault="00337111" w:rsidP="00951279">
      <w:pPr>
        <w:suppressAutoHyphens/>
        <w:ind w:right="14"/>
        <w:rPr>
          <w:noProof/>
          <w:szCs w:val="22"/>
        </w:rPr>
      </w:pPr>
    </w:p>
    <w:p w14:paraId="06E98051" w14:textId="77777777" w:rsidR="00337111" w:rsidRPr="0063119B" w:rsidRDefault="00337111" w:rsidP="00951279">
      <w:pPr>
        <w:suppressAutoHyphens/>
        <w:ind w:right="14"/>
        <w:rPr>
          <w:noProof/>
          <w:szCs w:val="22"/>
        </w:rPr>
      </w:pPr>
    </w:p>
    <w:p w14:paraId="46EC63A4"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2.</w:t>
      </w:r>
      <w:r w:rsidRPr="0063119B">
        <w:rPr>
          <w:b/>
          <w:noProof/>
          <w:szCs w:val="22"/>
        </w:rPr>
        <w:tab/>
        <w:t>DESCRIÇÃO DA(S) SUBSTÂNCIA(S) ATIVA(S)</w:t>
      </w:r>
    </w:p>
    <w:p w14:paraId="75B7579A" w14:textId="77777777" w:rsidR="00337111" w:rsidRPr="0063119B" w:rsidRDefault="00337111" w:rsidP="00951279">
      <w:pPr>
        <w:suppressAutoHyphens/>
        <w:ind w:right="14"/>
        <w:rPr>
          <w:noProof/>
          <w:szCs w:val="22"/>
        </w:rPr>
      </w:pPr>
    </w:p>
    <w:p w14:paraId="15A8A4A9" w14:textId="77777777" w:rsidR="00337111" w:rsidRPr="0063119B" w:rsidRDefault="00337111" w:rsidP="00951279">
      <w:pPr>
        <w:suppressAutoHyphens/>
        <w:ind w:right="14"/>
        <w:rPr>
          <w:noProof/>
          <w:szCs w:val="22"/>
        </w:rPr>
      </w:pPr>
      <w:r w:rsidRPr="0063119B">
        <w:rPr>
          <w:noProof/>
          <w:szCs w:val="22"/>
        </w:rPr>
        <w:t xml:space="preserve">Cada comprimido revestido por película contém 20 mg </w:t>
      </w:r>
      <w:r w:rsidR="00C7492C" w:rsidRPr="0063119B">
        <w:rPr>
          <w:noProof/>
          <w:szCs w:val="22"/>
        </w:rPr>
        <w:t xml:space="preserve">de </w:t>
      </w:r>
      <w:r w:rsidRPr="0063119B">
        <w:rPr>
          <w:noProof/>
          <w:szCs w:val="22"/>
        </w:rPr>
        <w:t>rivaroxabano.</w:t>
      </w:r>
    </w:p>
    <w:p w14:paraId="01C1A8A9" w14:textId="77777777" w:rsidR="00337111" w:rsidRPr="0063119B" w:rsidRDefault="00337111" w:rsidP="00951279">
      <w:pPr>
        <w:suppressAutoHyphens/>
        <w:ind w:right="14"/>
        <w:rPr>
          <w:noProof/>
          <w:szCs w:val="22"/>
        </w:rPr>
      </w:pPr>
    </w:p>
    <w:p w14:paraId="7D7016E2" w14:textId="77777777" w:rsidR="00337111" w:rsidRPr="0063119B" w:rsidRDefault="00337111" w:rsidP="00951279">
      <w:pPr>
        <w:suppressAutoHyphens/>
        <w:ind w:right="14"/>
        <w:rPr>
          <w:noProof/>
          <w:szCs w:val="22"/>
        </w:rPr>
      </w:pPr>
    </w:p>
    <w:p w14:paraId="502AE4D9"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LISTA DOS EXCIPIENTES</w:t>
      </w:r>
    </w:p>
    <w:p w14:paraId="189A3645" w14:textId="77777777" w:rsidR="00337111" w:rsidRPr="0063119B" w:rsidRDefault="00337111" w:rsidP="00951279">
      <w:pPr>
        <w:suppressAutoHyphens/>
        <w:ind w:right="14"/>
        <w:rPr>
          <w:noProof/>
          <w:szCs w:val="22"/>
        </w:rPr>
      </w:pPr>
    </w:p>
    <w:p w14:paraId="6F20BBF2" w14:textId="77777777" w:rsidR="00337111" w:rsidRPr="0063119B" w:rsidRDefault="00337111" w:rsidP="00951279">
      <w:pPr>
        <w:suppressAutoHyphens/>
        <w:ind w:right="14"/>
        <w:rPr>
          <w:noProof/>
          <w:szCs w:val="22"/>
        </w:rPr>
      </w:pPr>
      <w:r w:rsidRPr="0063119B">
        <w:rPr>
          <w:noProof/>
          <w:szCs w:val="22"/>
        </w:rPr>
        <w:t>Contém lactose</w:t>
      </w:r>
      <w:r w:rsidR="00C7492C" w:rsidRPr="0063119B">
        <w:rPr>
          <w:noProof/>
          <w:szCs w:val="22"/>
        </w:rPr>
        <w:t xml:space="preserve"> mono-hidratada</w:t>
      </w:r>
      <w:r w:rsidRPr="0063119B">
        <w:rPr>
          <w:noProof/>
          <w:szCs w:val="22"/>
        </w:rPr>
        <w:t>.</w:t>
      </w:r>
    </w:p>
    <w:p w14:paraId="55D72CAC" w14:textId="77777777" w:rsidR="00337111" w:rsidRPr="0063119B" w:rsidRDefault="00337111" w:rsidP="00951279">
      <w:pPr>
        <w:suppressAutoHyphens/>
        <w:ind w:right="14"/>
        <w:rPr>
          <w:noProof/>
          <w:szCs w:val="22"/>
        </w:rPr>
      </w:pPr>
    </w:p>
    <w:p w14:paraId="3AD9A2C5" w14:textId="77777777" w:rsidR="00337111" w:rsidRPr="0063119B" w:rsidRDefault="00337111" w:rsidP="00951279">
      <w:pPr>
        <w:suppressAutoHyphens/>
        <w:ind w:right="14"/>
        <w:rPr>
          <w:noProof/>
          <w:szCs w:val="22"/>
        </w:rPr>
      </w:pPr>
    </w:p>
    <w:p w14:paraId="4A4622B4"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FORMA FARMACÊUTICA E CONTEÚDO</w:t>
      </w:r>
    </w:p>
    <w:p w14:paraId="7FAE23A3" w14:textId="77777777" w:rsidR="00337111" w:rsidRPr="0063119B" w:rsidRDefault="00337111" w:rsidP="00951279">
      <w:pPr>
        <w:suppressAutoHyphens/>
        <w:ind w:right="14"/>
        <w:rPr>
          <w:noProof/>
          <w:szCs w:val="22"/>
        </w:rPr>
      </w:pPr>
    </w:p>
    <w:p w14:paraId="569A12A8" w14:textId="77777777" w:rsidR="00943737" w:rsidRPr="0063119B" w:rsidRDefault="00943737" w:rsidP="00951279">
      <w:pPr>
        <w:suppressAutoHyphens/>
        <w:ind w:right="14"/>
        <w:rPr>
          <w:noProof/>
          <w:szCs w:val="22"/>
        </w:rPr>
      </w:pPr>
      <w:r w:rsidRPr="0063119B">
        <w:rPr>
          <w:noProof/>
          <w:szCs w:val="22"/>
        </w:rPr>
        <w:t>10 comprimidos revestidos por película</w:t>
      </w:r>
    </w:p>
    <w:p w14:paraId="6FCAAD57" w14:textId="77777777" w:rsidR="00337111" w:rsidRPr="0063119B" w:rsidRDefault="00337111" w:rsidP="00951279">
      <w:pPr>
        <w:suppressAutoHyphens/>
        <w:ind w:right="14"/>
        <w:rPr>
          <w:noProof/>
          <w:szCs w:val="22"/>
        </w:rPr>
      </w:pPr>
      <w:r w:rsidRPr="0063119B">
        <w:rPr>
          <w:noProof/>
          <w:szCs w:val="22"/>
          <w:highlight w:val="lightGray"/>
        </w:rPr>
        <w:t>14 comprimidos revestidos por película</w:t>
      </w:r>
    </w:p>
    <w:p w14:paraId="4D68DB8A" w14:textId="77777777" w:rsidR="00337111" w:rsidRPr="0063119B" w:rsidRDefault="00337111" w:rsidP="00951279">
      <w:pPr>
        <w:rPr>
          <w:noProof/>
          <w:szCs w:val="22"/>
          <w:highlight w:val="lightGray"/>
        </w:rPr>
      </w:pPr>
      <w:r w:rsidRPr="0063119B">
        <w:rPr>
          <w:noProof/>
          <w:szCs w:val="22"/>
          <w:highlight w:val="lightGray"/>
        </w:rPr>
        <w:t>28 comprimidos revestidos por película</w:t>
      </w:r>
    </w:p>
    <w:p w14:paraId="4ABB1D91" w14:textId="77777777" w:rsidR="00C7492C" w:rsidRPr="0063119B" w:rsidRDefault="00C7492C" w:rsidP="00C7492C">
      <w:pPr>
        <w:suppressAutoHyphens/>
        <w:ind w:right="14"/>
        <w:rPr>
          <w:noProof/>
          <w:szCs w:val="22"/>
        </w:rPr>
      </w:pPr>
      <w:r w:rsidRPr="0063119B">
        <w:rPr>
          <w:noProof/>
          <w:szCs w:val="22"/>
          <w:highlight w:val="lightGray"/>
        </w:rPr>
        <w:t>30 comprimidos revestidos por película</w:t>
      </w:r>
    </w:p>
    <w:p w14:paraId="076A14C1" w14:textId="77777777" w:rsidR="00C7492C" w:rsidRPr="0063119B" w:rsidRDefault="00C7492C" w:rsidP="00C7492C">
      <w:pPr>
        <w:rPr>
          <w:noProof/>
          <w:szCs w:val="22"/>
          <w:highlight w:val="lightGray"/>
        </w:rPr>
      </w:pPr>
      <w:r w:rsidRPr="0063119B">
        <w:rPr>
          <w:noProof/>
          <w:szCs w:val="22"/>
          <w:highlight w:val="lightGray"/>
        </w:rPr>
        <w:t>42 comprimidos revestidos por película</w:t>
      </w:r>
    </w:p>
    <w:p w14:paraId="0BAAD1C2" w14:textId="77777777" w:rsidR="00C7492C" w:rsidRPr="0063119B" w:rsidRDefault="00C7492C" w:rsidP="00C7492C">
      <w:pPr>
        <w:suppressAutoHyphens/>
        <w:ind w:right="14"/>
        <w:rPr>
          <w:noProof/>
          <w:szCs w:val="22"/>
        </w:rPr>
      </w:pPr>
      <w:r w:rsidRPr="0063119B">
        <w:rPr>
          <w:noProof/>
          <w:szCs w:val="22"/>
          <w:highlight w:val="lightGray"/>
        </w:rPr>
        <w:t>56 comprimidos revestidos por película</w:t>
      </w:r>
    </w:p>
    <w:p w14:paraId="333DC84F" w14:textId="77777777" w:rsidR="00C7492C" w:rsidRPr="0063119B" w:rsidRDefault="00C7492C" w:rsidP="00C7492C">
      <w:pPr>
        <w:rPr>
          <w:noProof/>
          <w:szCs w:val="22"/>
          <w:highlight w:val="lightGray"/>
        </w:rPr>
      </w:pPr>
      <w:r w:rsidRPr="0063119B">
        <w:rPr>
          <w:noProof/>
          <w:szCs w:val="22"/>
          <w:highlight w:val="lightGray"/>
        </w:rPr>
        <w:t>90 comprimidos revestidos por película</w:t>
      </w:r>
    </w:p>
    <w:p w14:paraId="643A4774" w14:textId="77777777" w:rsidR="00337111" w:rsidRPr="0063119B" w:rsidRDefault="00337111" w:rsidP="00951279">
      <w:pPr>
        <w:rPr>
          <w:noProof/>
          <w:szCs w:val="22"/>
          <w:highlight w:val="lightGray"/>
        </w:rPr>
      </w:pPr>
      <w:r w:rsidRPr="0063119B">
        <w:rPr>
          <w:noProof/>
          <w:szCs w:val="22"/>
          <w:highlight w:val="lightGray"/>
        </w:rPr>
        <w:t>98 comprimidos revestidos por película</w:t>
      </w:r>
    </w:p>
    <w:p w14:paraId="2AD4154B" w14:textId="77777777" w:rsidR="00C7492C" w:rsidRPr="0063119B" w:rsidRDefault="00C7492C" w:rsidP="00951279">
      <w:pPr>
        <w:rPr>
          <w:noProof/>
          <w:szCs w:val="22"/>
          <w:highlight w:val="lightGray"/>
        </w:rPr>
      </w:pPr>
      <w:r w:rsidRPr="0063119B">
        <w:rPr>
          <w:noProof/>
          <w:szCs w:val="22"/>
          <w:highlight w:val="lightGray"/>
        </w:rPr>
        <w:t>100 comprimidos revestidos por película</w:t>
      </w:r>
    </w:p>
    <w:p w14:paraId="2541A428" w14:textId="77777777" w:rsidR="00337111" w:rsidRPr="0063119B" w:rsidRDefault="00337111" w:rsidP="00951279">
      <w:pPr>
        <w:rPr>
          <w:noProof/>
          <w:szCs w:val="22"/>
          <w:highlight w:val="lightGray"/>
        </w:rPr>
      </w:pPr>
      <w:r w:rsidRPr="0063119B">
        <w:rPr>
          <w:noProof/>
          <w:szCs w:val="22"/>
          <w:highlight w:val="lightGray"/>
        </w:rPr>
        <w:t>10 x 1</w:t>
      </w:r>
      <w:r w:rsidR="00C7492C" w:rsidRPr="0063119B">
        <w:rPr>
          <w:noProof/>
          <w:szCs w:val="22"/>
          <w:highlight w:val="lightGray"/>
        </w:rPr>
        <w:t> </w:t>
      </w:r>
      <w:r w:rsidRPr="0063119B">
        <w:rPr>
          <w:noProof/>
          <w:szCs w:val="22"/>
          <w:highlight w:val="lightGray"/>
        </w:rPr>
        <w:t>comprimidos revestidos por película</w:t>
      </w:r>
    </w:p>
    <w:p w14:paraId="62435810" w14:textId="77777777" w:rsidR="00337111" w:rsidRPr="0063119B" w:rsidRDefault="00337111" w:rsidP="00951279">
      <w:pPr>
        <w:rPr>
          <w:noProof/>
          <w:szCs w:val="22"/>
        </w:rPr>
      </w:pPr>
      <w:r w:rsidRPr="0063119B">
        <w:rPr>
          <w:noProof/>
          <w:szCs w:val="22"/>
          <w:highlight w:val="lightGray"/>
        </w:rPr>
        <w:t>100 x 1 comprimidos revestidos por película</w:t>
      </w:r>
    </w:p>
    <w:p w14:paraId="4C964D3B" w14:textId="77777777" w:rsidR="00337111" w:rsidRPr="0063119B" w:rsidRDefault="00337111" w:rsidP="00951279">
      <w:pPr>
        <w:suppressAutoHyphens/>
        <w:ind w:right="14"/>
        <w:rPr>
          <w:noProof/>
          <w:szCs w:val="22"/>
        </w:rPr>
      </w:pPr>
    </w:p>
    <w:p w14:paraId="3D1DAE18" w14:textId="77777777" w:rsidR="00337111" w:rsidRPr="0063119B" w:rsidRDefault="00337111" w:rsidP="00951279">
      <w:pPr>
        <w:suppressAutoHyphens/>
        <w:ind w:right="14"/>
        <w:rPr>
          <w:noProof/>
          <w:szCs w:val="22"/>
        </w:rPr>
      </w:pPr>
    </w:p>
    <w:p w14:paraId="36ACAA82"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t>MODO E VIA(S) DE ADMINISTRAÇÃO</w:t>
      </w:r>
    </w:p>
    <w:p w14:paraId="19160443" w14:textId="77777777" w:rsidR="00337111" w:rsidRPr="0063119B" w:rsidRDefault="00337111" w:rsidP="00951279">
      <w:pPr>
        <w:suppressAutoHyphens/>
        <w:ind w:right="14"/>
        <w:rPr>
          <w:noProof/>
          <w:szCs w:val="22"/>
        </w:rPr>
      </w:pPr>
    </w:p>
    <w:p w14:paraId="7CAE394E" w14:textId="77777777" w:rsidR="00337111" w:rsidRPr="0063119B" w:rsidRDefault="00337111" w:rsidP="00951279">
      <w:pPr>
        <w:suppressAutoHyphens/>
        <w:ind w:right="14"/>
        <w:rPr>
          <w:noProof/>
          <w:szCs w:val="22"/>
        </w:rPr>
      </w:pPr>
      <w:r w:rsidRPr="0063119B">
        <w:rPr>
          <w:noProof/>
          <w:szCs w:val="22"/>
        </w:rPr>
        <w:t>Consultar o folheto informativo antes de utilizar.</w:t>
      </w:r>
    </w:p>
    <w:p w14:paraId="42D963AA" w14:textId="77777777" w:rsidR="00F723A9" w:rsidRPr="0063119B" w:rsidRDefault="00F723A9" w:rsidP="00951279">
      <w:pPr>
        <w:suppressAutoHyphens/>
        <w:ind w:right="14"/>
        <w:rPr>
          <w:noProof/>
          <w:szCs w:val="22"/>
        </w:rPr>
      </w:pPr>
      <w:r w:rsidRPr="0063119B">
        <w:rPr>
          <w:noProof/>
          <w:szCs w:val="22"/>
        </w:rPr>
        <w:t>Via oral.</w:t>
      </w:r>
    </w:p>
    <w:p w14:paraId="28D15430" w14:textId="77777777" w:rsidR="00337111" w:rsidRPr="0063119B" w:rsidRDefault="00337111" w:rsidP="00951279">
      <w:pPr>
        <w:suppressAutoHyphens/>
        <w:ind w:right="14"/>
        <w:rPr>
          <w:noProof/>
          <w:szCs w:val="22"/>
        </w:rPr>
      </w:pPr>
    </w:p>
    <w:p w14:paraId="019790B4" w14:textId="77777777" w:rsidR="00337111" w:rsidRPr="0063119B" w:rsidRDefault="00337111" w:rsidP="00951279">
      <w:pPr>
        <w:suppressAutoHyphens/>
        <w:ind w:right="14"/>
        <w:rPr>
          <w:noProof/>
          <w:szCs w:val="22"/>
        </w:rPr>
      </w:pPr>
    </w:p>
    <w:p w14:paraId="2E970602"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6.</w:t>
      </w:r>
      <w:r w:rsidRPr="0063119B">
        <w:rPr>
          <w:b/>
          <w:noProof/>
          <w:szCs w:val="22"/>
        </w:rPr>
        <w:tab/>
        <w:t>ADVERTÊNCIA ESPECIAL DE QUE O MEDICAMENTO DEVE SER MANTIDO FORA DA VISTA E DO ALCANCE DAS CRIANÇAS</w:t>
      </w:r>
    </w:p>
    <w:p w14:paraId="72CE528A" w14:textId="77777777" w:rsidR="00337111" w:rsidRPr="0063119B" w:rsidRDefault="00337111" w:rsidP="00951279">
      <w:pPr>
        <w:suppressAutoHyphens/>
        <w:ind w:right="14"/>
        <w:rPr>
          <w:noProof/>
          <w:szCs w:val="22"/>
        </w:rPr>
      </w:pPr>
    </w:p>
    <w:p w14:paraId="70417F57" w14:textId="77777777" w:rsidR="00337111" w:rsidRPr="0063119B" w:rsidRDefault="00337111" w:rsidP="00951279">
      <w:pPr>
        <w:suppressAutoHyphens/>
        <w:ind w:right="14"/>
        <w:rPr>
          <w:noProof/>
          <w:szCs w:val="22"/>
        </w:rPr>
      </w:pPr>
      <w:r w:rsidRPr="0063119B">
        <w:rPr>
          <w:noProof/>
          <w:szCs w:val="22"/>
        </w:rPr>
        <w:t>Manter fora da vista e do alcance das crianças.</w:t>
      </w:r>
    </w:p>
    <w:p w14:paraId="1BBF10F0" w14:textId="77777777" w:rsidR="00337111" w:rsidRPr="0063119B" w:rsidRDefault="00337111" w:rsidP="00951279">
      <w:pPr>
        <w:suppressAutoHyphens/>
        <w:ind w:right="14"/>
        <w:rPr>
          <w:noProof/>
          <w:szCs w:val="22"/>
        </w:rPr>
      </w:pPr>
    </w:p>
    <w:p w14:paraId="0BF9830F" w14:textId="77777777" w:rsidR="00337111" w:rsidRPr="0063119B" w:rsidRDefault="00337111" w:rsidP="00951279">
      <w:pPr>
        <w:suppressAutoHyphens/>
        <w:ind w:right="14"/>
        <w:rPr>
          <w:noProof/>
          <w:szCs w:val="22"/>
        </w:rPr>
      </w:pPr>
    </w:p>
    <w:p w14:paraId="7E258EF1"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7.</w:t>
      </w:r>
      <w:r w:rsidRPr="0063119B">
        <w:rPr>
          <w:b/>
          <w:noProof/>
          <w:szCs w:val="22"/>
        </w:rPr>
        <w:tab/>
        <w:t>OUTRAS ADVERTÊNCIAS ESPECIAIS, SE NECESSÁRIO</w:t>
      </w:r>
    </w:p>
    <w:p w14:paraId="01E9B21C" w14:textId="77777777" w:rsidR="00337111" w:rsidRPr="0063119B" w:rsidRDefault="00337111" w:rsidP="00951279">
      <w:pPr>
        <w:suppressAutoHyphens/>
        <w:ind w:right="14"/>
        <w:rPr>
          <w:noProof/>
          <w:szCs w:val="22"/>
        </w:rPr>
      </w:pPr>
    </w:p>
    <w:p w14:paraId="7D6287B4" w14:textId="77777777" w:rsidR="00337111" w:rsidRPr="0063119B" w:rsidRDefault="00337111" w:rsidP="00951279">
      <w:pPr>
        <w:suppressAutoHyphens/>
        <w:ind w:right="14"/>
        <w:rPr>
          <w:noProof/>
          <w:szCs w:val="22"/>
        </w:rPr>
      </w:pPr>
    </w:p>
    <w:p w14:paraId="47FCF2B0"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8.</w:t>
      </w:r>
      <w:r w:rsidRPr="0063119B">
        <w:rPr>
          <w:b/>
          <w:noProof/>
          <w:szCs w:val="22"/>
        </w:rPr>
        <w:tab/>
        <w:t>PRAZO DE VALIDADE</w:t>
      </w:r>
    </w:p>
    <w:p w14:paraId="4DF722E0" w14:textId="77777777" w:rsidR="00337111" w:rsidRPr="0063119B" w:rsidRDefault="00337111" w:rsidP="00951279">
      <w:pPr>
        <w:suppressAutoHyphens/>
        <w:rPr>
          <w:noProof/>
          <w:szCs w:val="22"/>
        </w:rPr>
      </w:pPr>
    </w:p>
    <w:p w14:paraId="1D01DC85" w14:textId="77777777" w:rsidR="00337111" w:rsidRPr="0063119B" w:rsidRDefault="00337111" w:rsidP="00951279">
      <w:pPr>
        <w:suppressAutoHyphens/>
        <w:rPr>
          <w:noProof/>
          <w:szCs w:val="22"/>
        </w:rPr>
      </w:pPr>
      <w:r w:rsidRPr="0063119B">
        <w:rPr>
          <w:noProof/>
          <w:szCs w:val="22"/>
        </w:rPr>
        <w:t>EXP</w:t>
      </w:r>
    </w:p>
    <w:p w14:paraId="6B75986E" w14:textId="77777777" w:rsidR="00337111" w:rsidRPr="0063119B" w:rsidRDefault="00337111" w:rsidP="00951279">
      <w:pPr>
        <w:suppressAutoHyphens/>
        <w:ind w:right="14"/>
        <w:rPr>
          <w:noProof/>
          <w:szCs w:val="22"/>
        </w:rPr>
      </w:pPr>
    </w:p>
    <w:p w14:paraId="1965A40E" w14:textId="77777777" w:rsidR="001E28F4" w:rsidRPr="0063119B" w:rsidRDefault="001E28F4" w:rsidP="00951279">
      <w:pPr>
        <w:suppressAutoHyphens/>
        <w:ind w:right="14"/>
        <w:rPr>
          <w:noProof/>
          <w:szCs w:val="22"/>
        </w:rPr>
      </w:pPr>
    </w:p>
    <w:p w14:paraId="6B537CBB"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9.</w:t>
      </w:r>
      <w:r w:rsidRPr="0063119B">
        <w:rPr>
          <w:b/>
          <w:noProof/>
          <w:szCs w:val="22"/>
        </w:rPr>
        <w:tab/>
        <w:t>CONDIÇÕES ESPECIAIS DE CONSERVAÇÃO</w:t>
      </w:r>
    </w:p>
    <w:p w14:paraId="7CE5155B" w14:textId="77777777" w:rsidR="001E28F4" w:rsidRPr="0063119B" w:rsidRDefault="001E28F4" w:rsidP="00951279">
      <w:pPr>
        <w:suppressAutoHyphens/>
        <w:ind w:right="14"/>
        <w:rPr>
          <w:noProof/>
          <w:szCs w:val="22"/>
        </w:rPr>
      </w:pPr>
    </w:p>
    <w:p w14:paraId="7B7134F9" w14:textId="77777777" w:rsidR="001E28F4" w:rsidRPr="0063119B" w:rsidRDefault="001E28F4" w:rsidP="00951279">
      <w:pPr>
        <w:suppressAutoHyphens/>
        <w:ind w:right="14"/>
        <w:rPr>
          <w:noProof/>
          <w:szCs w:val="22"/>
        </w:rPr>
      </w:pPr>
    </w:p>
    <w:p w14:paraId="410A2A78"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10.</w:t>
      </w:r>
      <w:r w:rsidRPr="0063119B">
        <w:rPr>
          <w:b/>
          <w:noProof/>
          <w:szCs w:val="22"/>
        </w:rPr>
        <w:tab/>
        <w:t>CUIDADOS ESPECIAIS QUANTO À ELIMINAÇÃO DO MEDICAMENTO NÃO UTILIZADO OU DOS RESÍDUOS PROVENIENTES DESSE MEDICAMENTO, SE APLICÁVEL</w:t>
      </w:r>
    </w:p>
    <w:p w14:paraId="3E0C1ABB" w14:textId="77777777" w:rsidR="00337111" w:rsidRPr="0063119B" w:rsidRDefault="00337111" w:rsidP="00951279">
      <w:pPr>
        <w:suppressAutoHyphens/>
        <w:ind w:right="14"/>
        <w:rPr>
          <w:noProof/>
          <w:szCs w:val="22"/>
        </w:rPr>
      </w:pPr>
    </w:p>
    <w:p w14:paraId="716A494E" w14:textId="77777777" w:rsidR="00337111" w:rsidRPr="0063119B" w:rsidRDefault="00337111" w:rsidP="00951279">
      <w:pPr>
        <w:suppressAutoHyphens/>
        <w:ind w:right="14"/>
        <w:rPr>
          <w:bCs/>
          <w:noProof/>
          <w:szCs w:val="22"/>
        </w:rPr>
      </w:pPr>
    </w:p>
    <w:p w14:paraId="158B1938"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11.</w:t>
      </w:r>
      <w:r w:rsidRPr="0063119B">
        <w:rPr>
          <w:b/>
          <w:noProof/>
          <w:szCs w:val="22"/>
        </w:rPr>
        <w:tab/>
        <w:t>NOME E ENDEREÇO DO TITULAR DA AUTORIZAÇÃO DE INTRODUÇÃO NO MERCADO</w:t>
      </w:r>
    </w:p>
    <w:p w14:paraId="145331C5" w14:textId="77777777" w:rsidR="00337111" w:rsidRPr="0063119B" w:rsidRDefault="00337111" w:rsidP="00951279">
      <w:pPr>
        <w:suppressAutoHyphens/>
        <w:ind w:right="14"/>
        <w:rPr>
          <w:noProof/>
          <w:szCs w:val="22"/>
        </w:rPr>
      </w:pPr>
    </w:p>
    <w:p w14:paraId="56A8FD6D" w14:textId="77777777" w:rsidR="00C7492C" w:rsidRPr="0063119B" w:rsidRDefault="00C7492C" w:rsidP="00C7492C">
      <w:pPr>
        <w:keepNext/>
        <w:rPr>
          <w:szCs w:val="22"/>
          <w:lang w:val="en-GB"/>
        </w:rPr>
      </w:pPr>
      <w:r w:rsidRPr="0063119B">
        <w:rPr>
          <w:szCs w:val="22"/>
          <w:lang w:val="en-GB"/>
        </w:rPr>
        <w:t>Accord Healthcare S.L.U.</w:t>
      </w:r>
    </w:p>
    <w:p w14:paraId="2C0F148B" w14:textId="77777777" w:rsidR="00C7492C" w:rsidRPr="0063119B" w:rsidRDefault="00C7492C" w:rsidP="00C7492C">
      <w:pPr>
        <w:rPr>
          <w:szCs w:val="22"/>
        </w:rPr>
      </w:pPr>
      <w:r w:rsidRPr="0063119B">
        <w:rPr>
          <w:szCs w:val="22"/>
        </w:rPr>
        <w:t>World Trade Center, Moll de Barcelona s/n, Edifici Est, 6</w:t>
      </w:r>
      <w:r w:rsidRPr="0063119B">
        <w:rPr>
          <w:szCs w:val="22"/>
          <w:vertAlign w:val="superscript"/>
        </w:rPr>
        <w:t>a</w:t>
      </w:r>
      <w:r w:rsidRPr="0063119B">
        <w:rPr>
          <w:szCs w:val="22"/>
        </w:rPr>
        <w:t xml:space="preserve"> Planta, </w:t>
      </w:r>
    </w:p>
    <w:p w14:paraId="5993D915" w14:textId="77777777" w:rsidR="00C7492C" w:rsidRPr="0063119B" w:rsidRDefault="00C7492C" w:rsidP="00C7492C">
      <w:pPr>
        <w:rPr>
          <w:szCs w:val="22"/>
        </w:rPr>
      </w:pPr>
      <w:r w:rsidRPr="0063119B">
        <w:rPr>
          <w:szCs w:val="22"/>
        </w:rPr>
        <w:t>Barcelona, 08039</w:t>
      </w:r>
    </w:p>
    <w:p w14:paraId="17FBEA80" w14:textId="77777777" w:rsidR="00337111" w:rsidRPr="0063119B" w:rsidRDefault="00C7492C" w:rsidP="00951279">
      <w:pPr>
        <w:suppressAutoHyphens/>
        <w:ind w:right="14"/>
        <w:rPr>
          <w:noProof/>
          <w:szCs w:val="22"/>
        </w:rPr>
      </w:pPr>
      <w:r w:rsidRPr="0063119B">
        <w:rPr>
          <w:szCs w:val="22"/>
        </w:rPr>
        <w:t>Espanha</w:t>
      </w:r>
    </w:p>
    <w:p w14:paraId="365FEB3F" w14:textId="77777777" w:rsidR="00337111" w:rsidRPr="0063119B" w:rsidRDefault="00337111" w:rsidP="00951279">
      <w:pPr>
        <w:suppressAutoHyphens/>
        <w:ind w:right="14"/>
        <w:rPr>
          <w:noProof/>
          <w:szCs w:val="22"/>
        </w:rPr>
      </w:pPr>
    </w:p>
    <w:p w14:paraId="18D092F3" w14:textId="77777777" w:rsidR="00337111" w:rsidRPr="0063119B" w:rsidRDefault="00337111" w:rsidP="00951279">
      <w:pPr>
        <w:suppressAutoHyphens/>
        <w:ind w:right="14"/>
        <w:rPr>
          <w:noProof/>
          <w:szCs w:val="22"/>
        </w:rPr>
      </w:pPr>
    </w:p>
    <w:p w14:paraId="14A23D8F"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12.</w:t>
      </w:r>
      <w:r w:rsidRPr="0063119B">
        <w:rPr>
          <w:b/>
          <w:noProof/>
          <w:szCs w:val="22"/>
        </w:rPr>
        <w:tab/>
        <w:t>NÚMERO(S) DA AUTORIZAÇÃO DE INTRODUÇÃO NO MERCADO</w:t>
      </w:r>
    </w:p>
    <w:p w14:paraId="2F206327" w14:textId="77777777" w:rsidR="00337111" w:rsidRPr="0063119B" w:rsidRDefault="00337111" w:rsidP="00951279">
      <w:pPr>
        <w:suppressAutoHyphens/>
        <w:ind w:right="14"/>
        <w:rPr>
          <w:noProof/>
          <w:szCs w:val="22"/>
        </w:rPr>
      </w:pPr>
    </w:p>
    <w:p w14:paraId="08889E98" w14:textId="77777777" w:rsidR="00C67E2F" w:rsidRPr="0063119B" w:rsidRDefault="00B536CB" w:rsidP="00951279">
      <w:pPr>
        <w:tabs>
          <w:tab w:val="left" w:pos="1680"/>
          <w:tab w:val="left" w:pos="5880"/>
        </w:tabs>
        <w:rPr>
          <w:noProof/>
          <w:szCs w:val="22"/>
          <w:highlight w:val="lightGray"/>
        </w:rPr>
      </w:pPr>
      <w:r w:rsidRPr="0063119B">
        <w:rPr>
          <w:szCs w:val="22"/>
        </w:rPr>
        <w:t>EU/1/20/1488/040-050</w:t>
      </w:r>
    </w:p>
    <w:p w14:paraId="7C38F55F" w14:textId="77777777" w:rsidR="00337111" w:rsidRPr="0063119B" w:rsidRDefault="00337111" w:rsidP="00951279">
      <w:pPr>
        <w:suppressAutoHyphens/>
        <w:ind w:right="14"/>
        <w:rPr>
          <w:noProof/>
          <w:szCs w:val="22"/>
        </w:rPr>
      </w:pPr>
    </w:p>
    <w:p w14:paraId="302A3AA5" w14:textId="77777777" w:rsidR="00337111" w:rsidRPr="0063119B" w:rsidRDefault="00337111" w:rsidP="00951279">
      <w:pPr>
        <w:suppressAutoHyphens/>
        <w:ind w:right="14"/>
        <w:rPr>
          <w:noProof/>
          <w:szCs w:val="22"/>
        </w:rPr>
      </w:pPr>
    </w:p>
    <w:p w14:paraId="5F188C9A"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13.</w:t>
      </w:r>
      <w:r w:rsidRPr="0063119B">
        <w:rPr>
          <w:b/>
          <w:noProof/>
          <w:szCs w:val="22"/>
        </w:rPr>
        <w:tab/>
        <w:t>NÚMERO DO LOTE</w:t>
      </w:r>
    </w:p>
    <w:p w14:paraId="4BD6E6C8" w14:textId="77777777" w:rsidR="00337111" w:rsidRPr="0063119B" w:rsidRDefault="00337111" w:rsidP="00951279">
      <w:pPr>
        <w:rPr>
          <w:noProof/>
          <w:szCs w:val="22"/>
        </w:rPr>
      </w:pPr>
    </w:p>
    <w:p w14:paraId="0E6063A5" w14:textId="77777777" w:rsidR="00337111" w:rsidRPr="0063119B" w:rsidRDefault="00337111" w:rsidP="00951279">
      <w:pPr>
        <w:rPr>
          <w:noProof/>
          <w:szCs w:val="22"/>
        </w:rPr>
      </w:pPr>
      <w:r w:rsidRPr="0063119B">
        <w:rPr>
          <w:noProof/>
          <w:szCs w:val="22"/>
        </w:rPr>
        <w:t>Lot</w:t>
      </w:r>
    </w:p>
    <w:p w14:paraId="22DB7461" w14:textId="77777777" w:rsidR="00337111" w:rsidRPr="0063119B" w:rsidRDefault="00337111" w:rsidP="00951279">
      <w:pPr>
        <w:rPr>
          <w:noProof/>
          <w:szCs w:val="22"/>
        </w:rPr>
      </w:pPr>
    </w:p>
    <w:p w14:paraId="580C72FF" w14:textId="77777777" w:rsidR="00337111" w:rsidRPr="0063119B" w:rsidRDefault="00337111" w:rsidP="00951279">
      <w:pPr>
        <w:suppressAutoHyphens/>
        <w:ind w:right="14"/>
        <w:rPr>
          <w:noProof/>
          <w:szCs w:val="22"/>
        </w:rPr>
      </w:pPr>
    </w:p>
    <w:p w14:paraId="70A47E98"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14.</w:t>
      </w:r>
      <w:r w:rsidRPr="0063119B">
        <w:rPr>
          <w:b/>
          <w:noProof/>
          <w:szCs w:val="22"/>
        </w:rPr>
        <w:tab/>
        <w:t xml:space="preserve">CLASSIFICAÇÃO QUANTO À DISPENSA </w:t>
      </w:r>
      <w:r w:rsidRPr="0063119B">
        <w:rPr>
          <w:b/>
          <w:caps/>
          <w:noProof/>
          <w:szCs w:val="22"/>
        </w:rPr>
        <w:t>ao Público</w:t>
      </w:r>
    </w:p>
    <w:p w14:paraId="719984E0" w14:textId="77777777" w:rsidR="00337111" w:rsidRPr="0063119B" w:rsidRDefault="00337111" w:rsidP="00951279">
      <w:pPr>
        <w:suppressAutoHyphens/>
        <w:ind w:right="14"/>
        <w:rPr>
          <w:noProof/>
          <w:szCs w:val="22"/>
        </w:rPr>
      </w:pPr>
    </w:p>
    <w:p w14:paraId="298B88BA" w14:textId="77777777" w:rsidR="00337111" w:rsidRPr="0063119B" w:rsidRDefault="00337111" w:rsidP="00951279">
      <w:pPr>
        <w:suppressAutoHyphens/>
        <w:ind w:right="14"/>
        <w:rPr>
          <w:noProof/>
          <w:szCs w:val="22"/>
        </w:rPr>
      </w:pPr>
    </w:p>
    <w:p w14:paraId="69090B14"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15.</w:t>
      </w:r>
      <w:r w:rsidRPr="0063119B">
        <w:rPr>
          <w:b/>
          <w:noProof/>
          <w:szCs w:val="22"/>
        </w:rPr>
        <w:tab/>
        <w:t>INSTRUÇÕES DE UTILIZAÇÃO</w:t>
      </w:r>
    </w:p>
    <w:p w14:paraId="1AFAF15C" w14:textId="77777777" w:rsidR="00337111" w:rsidRPr="0063119B" w:rsidRDefault="00337111" w:rsidP="00951279">
      <w:pPr>
        <w:suppressAutoHyphens/>
        <w:ind w:right="14"/>
        <w:rPr>
          <w:noProof/>
          <w:szCs w:val="22"/>
        </w:rPr>
      </w:pPr>
    </w:p>
    <w:p w14:paraId="280A09E6" w14:textId="77777777" w:rsidR="00337111" w:rsidRPr="0063119B" w:rsidRDefault="00337111" w:rsidP="00951279">
      <w:pPr>
        <w:suppressAutoHyphens/>
        <w:ind w:right="14"/>
        <w:rPr>
          <w:noProof/>
          <w:szCs w:val="22"/>
        </w:rPr>
      </w:pPr>
    </w:p>
    <w:p w14:paraId="242A8E3B" w14:textId="77777777" w:rsidR="00337111" w:rsidRPr="0063119B" w:rsidRDefault="00337111"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16.</w:t>
      </w:r>
      <w:r w:rsidRPr="0063119B">
        <w:rPr>
          <w:b/>
          <w:noProof/>
          <w:szCs w:val="22"/>
        </w:rPr>
        <w:tab/>
      </w:r>
      <w:r w:rsidRPr="0063119B">
        <w:rPr>
          <w:b/>
          <w:caps/>
          <w:noProof/>
          <w:szCs w:val="22"/>
        </w:rPr>
        <w:t>Informação em Braille</w:t>
      </w:r>
    </w:p>
    <w:p w14:paraId="0F9F2077" w14:textId="77777777" w:rsidR="00337111" w:rsidRPr="0063119B" w:rsidRDefault="00337111" w:rsidP="00951279">
      <w:pPr>
        <w:suppressAutoHyphens/>
        <w:ind w:right="14"/>
        <w:rPr>
          <w:noProof/>
          <w:szCs w:val="22"/>
        </w:rPr>
      </w:pPr>
    </w:p>
    <w:p w14:paraId="66AD1D17" w14:textId="77777777" w:rsidR="00337111" w:rsidRPr="0063119B" w:rsidRDefault="004B4602" w:rsidP="00951279">
      <w:pPr>
        <w:suppressAutoHyphens/>
        <w:ind w:right="14"/>
        <w:rPr>
          <w:noProof/>
          <w:szCs w:val="22"/>
        </w:rPr>
      </w:pPr>
      <w:r>
        <w:rPr>
          <w:noProof/>
          <w:szCs w:val="22"/>
        </w:rPr>
        <w:t>r</w:t>
      </w:r>
      <w:r w:rsidR="00607DE4">
        <w:rPr>
          <w:noProof/>
          <w:szCs w:val="22"/>
        </w:rPr>
        <w:t>ivaroxabano</w:t>
      </w:r>
      <w:r w:rsidR="001F7D02" w:rsidRPr="0063119B">
        <w:rPr>
          <w:noProof/>
          <w:szCs w:val="22"/>
        </w:rPr>
        <w:t xml:space="preserve"> </w:t>
      </w:r>
      <w:r>
        <w:rPr>
          <w:noProof/>
          <w:szCs w:val="22"/>
        </w:rPr>
        <w:t>a</w:t>
      </w:r>
      <w:r w:rsidRPr="0063119B">
        <w:rPr>
          <w:noProof/>
          <w:szCs w:val="22"/>
        </w:rPr>
        <w:t xml:space="preserve">ccord </w:t>
      </w:r>
      <w:r w:rsidR="00337111" w:rsidRPr="0063119B">
        <w:rPr>
          <w:noProof/>
          <w:szCs w:val="22"/>
        </w:rPr>
        <w:t>20 mg</w:t>
      </w:r>
    </w:p>
    <w:p w14:paraId="1A41ED79" w14:textId="77777777" w:rsidR="00337111" w:rsidRPr="0063119B" w:rsidRDefault="00337111" w:rsidP="00951279">
      <w:pPr>
        <w:suppressAutoHyphens/>
        <w:ind w:right="14"/>
        <w:rPr>
          <w:noProof/>
          <w:szCs w:val="22"/>
        </w:rPr>
      </w:pPr>
    </w:p>
    <w:p w14:paraId="6E4006EF" w14:textId="77777777" w:rsidR="00103958" w:rsidRPr="0063119B" w:rsidRDefault="00103958" w:rsidP="00951279">
      <w:pPr>
        <w:suppressAutoHyphens/>
        <w:ind w:right="14"/>
        <w:rPr>
          <w:noProof/>
          <w:szCs w:val="22"/>
        </w:rPr>
      </w:pPr>
    </w:p>
    <w:p w14:paraId="2956DFB5" w14:textId="77777777" w:rsidR="00103958" w:rsidRPr="0063119B" w:rsidRDefault="00103958" w:rsidP="00951279">
      <w:pPr>
        <w:keepNext/>
        <w:pBdr>
          <w:top w:val="single" w:sz="4" w:space="1" w:color="auto"/>
          <w:left w:val="single" w:sz="4" w:space="4" w:color="auto"/>
          <w:bottom w:val="single" w:sz="4" w:space="1" w:color="auto"/>
          <w:right w:val="single" w:sz="4" w:space="4" w:color="auto"/>
        </w:pBdr>
        <w:tabs>
          <w:tab w:val="left" w:pos="0"/>
        </w:tabs>
        <w:rPr>
          <w:i/>
          <w:noProof/>
          <w:szCs w:val="22"/>
        </w:rPr>
      </w:pPr>
      <w:r w:rsidRPr="0063119B">
        <w:rPr>
          <w:b/>
          <w:noProof/>
          <w:szCs w:val="22"/>
        </w:rPr>
        <w:t>17.</w:t>
      </w:r>
      <w:r w:rsidRPr="0063119B">
        <w:rPr>
          <w:b/>
          <w:noProof/>
          <w:szCs w:val="22"/>
        </w:rPr>
        <w:tab/>
        <w:t>IDENTIFICADOR ÚNICO – CÓDIGO DE BARRAS 2D</w:t>
      </w:r>
    </w:p>
    <w:p w14:paraId="04D0F75A" w14:textId="77777777" w:rsidR="00103958" w:rsidRPr="0063119B" w:rsidRDefault="00103958" w:rsidP="00951279">
      <w:pPr>
        <w:rPr>
          <w:noProof/>
          <w:szCs w:val="22"/>
        </w:rPr>
      </w:pPr>
    </w:p>
    <w:p w14:paraId="5FADEDF1" w14:textId="77777777" w:rsidR="00103958" w:rsidRPr="0063119B" w:rsidRDefault="00103958" w:rsidP="00951279">
      <w:pPr>
        <w:rPr>
          <w:noProof/>
          <w:szCs w:val="22"/>
          <w:shd w:val="clear" w:color="auto" w:fill="CCCCCC"/>
        </w:rPr>
      </w:pPr>
      <w:r w:rsidRPr="0063119B">
        <w:rPr>
          <w:noProof/>
          <w:szCs w:val="22"/>
          <w:highlight w:val="lightGray"/>
        </w:rPr>
        <w:t>Código de barras 2D com identificador único incluído.</w:t>
      </w:r>
    </w:p>
    <w:p w14:paraId="2E8E23DF" w14:textId="77777777" w:rsidR="00103958" w:rsidRPr="0063119B" w:rsidRDefault="00103958" w:rsidP="00951279">
      <w:pPr>
        <w:rPr>
          <w:noProof/>
          <w:szCs w:val="22"/>
          <w:shd w:val="clear" w:color="auto" w:fill="CCCCCC"/>
        </w:rPr>
      </w:pPr>
    </w:p>
    <w:p w14:paraId="1E02FC61" w14:textId="77777777" w:rsidR="00103958" w:rsidRPr="0063119B" w:rsidRDefault="00BA6DE9" w:rsidP="00951279">
      <w:pPr>
        <w:rPr>
          <w:noProof/>
          <w:vanish/>
          <w:szCs w:val="22"/>
        </w:rPr>
      </w:pPr>
      <w:r w:rsidRPr="0063119B">
        <w:rPr>
          <w:noProof/>
          <w:vanish/>
          <w:szCs w:val="22"/>
        </w:rPr>
        <w:br w:type="column"/>
      </w:r>
    </w:p>
    <w:p w14:paraId="7398CAF6" w14:textId="77777777" w:rsidR="00103958" w:rsidRPr="0063119B" w:rsidRDefault="00103958" w:rsidP="00951279">
      <w:pPr>
        <w:keepNext/>
        <w:pBdr>
          <w:top w:val="single" w:sz="4" w:space="1" w:color="auto"/>
          <w:left w:val="single" w:sz="4" w:space="4" w:color="auto"/>
          <w:bottom w:val="single" w:sz="4" w:space="1" w:color="auto"/>
          <w:right w:val="single" w:sz="4" w:space="4" w:color="auto"/>
        </w:pBdr>
        <w:tabs>
          <w:tab w:val="left" w:pos="0"/>
        </w:tabs>
        <w:rPr>
          <w:b/>
          <w:noProof/>
          <w:szCs w:val="22"/>
        </w:rPr>
      </w:pPr>
      <w:r w:rsidRPr="0063119B">
        <w:rPr>
          <w:b/>
          <w:noProof/>
          <w:szCs w:val="22"/>
        </w:rPr>
        <w:t>18.</w:t>
      </w:r>
      <w:r w:rsidRPr="0063119B">
        <w:rPr>
          <w:b/>
          <w:noProof/>
          <w:szCs w:val="22"/>
        </w:rPr>
        <w:tab/>
        <w:t>IDENTIFICADOR ÚNICO - DADOS PARA LEITURA HUMANA</w:t>
      </w:r>
    </w:p>
    <w:p w14:paraId="47AF2246" w14:textId="77777777" w:rsidR="00103958" w:rsidRPr="0063119B" w:rsidRDefault="00103958" w:rsidP="00261101">
      <w:pPr>
        <w:keepNext/>
        <w:rPr>
          <w:noProof/>
          <w:szCs w:val="22"/>
        </w:rPr>
      </w:pPr>
    </w:p>
    <w:p w14:paraId="24C2A848" w14:textId="77777777" w:rsidR="00103958" w:rsidRPr="0063119B" w:rsidRDefault="00103958" w:rsidP="00261101">
      <w:pPr>
        <w:keepNext/>
        <w:rPr>
          <w:szCs w:val="22"/>
        </w:rPr>
      </w:pPr>
      <w:r w:rsidRPr="0063119B">
        <w:rPr>
          <w:szCs w:val="22"/>
        </w:rPr>
        <w:t xml:space="preserve">PC </w:t>
      </w:r>
    </w:p>
    <w:p w14:paraId="5ABE8542" w14:textId="77777777" w:rsidR="00103958" w:rsidRPr="0063119B" w:rsidRDefault="00103958" w:rsidP="00261101">
      <w:pPr>
        <w:keepNext/>
        <w:rPr>
          <w:szCs w:val="22"/>
        </w:rPr>
      </w:pPr>
      <w:r w:rsidRPr="0063119B">
        <w:rPr>
          <w:szCs w:val="22"/>
        </w:rPr>
        <w:t xml:space="preserve">SN </w:t>
      </w:r>
    </w:p>
    <w:p w14:paraId="5A0B0A2B" w14:textId="77777777" w:rsidR="00103958" w:rsidRPr="0063119B" w:rsidRDefault="00103958" w:rsidP="00261101">
      <w:pPr>
        <w:keepNext/>
        <w:rPr>
          <w:szCs w:val="22"/>
        </w:rPr>
      </w:pPr>
      <w:r w:rsidRPr="0063119B">
        <w:rPr>
          <w:szCs w:val="22"/>
        </w:rPr>
        <w:t>NN</w:t>
      </w:r>
    </w:p>
    <w:p w14:paraId="7492019D" w14:textId="77777777" w:rsidR="00103958" w:rsidRPr="0063119B" w:rsidRDefault="00103958" w:rsidP="00951279">
      <w:pPr>
        <w:suppressAutoHyphens/>
        <w:ind w:right="14"/>
        <w:rPr>
          <w:noProof/>
          <w:szCs w:val="22"/>
        </w:rPr>
      </w:pPr>
    </w:p>
    <w:p w14:paraId="2054D6C1" w14:textId="77777777" w:rsidR="00C7492C" w:rsidRPr="0063119B" w:rsidRDefault="001F10F8" w:rsidP="00C7492C">
      <w:pPr>
        <w:pBdr>
          <w:top w:val="single" w:sz="4" w:space="1" w:color="auto"/>
          <w:left w:val="single" w:sz="4" w:space="4" w:color="auto"/>
          <w:bottom w:val="single" w:sz="4" w:space="1" w:color="auto"/>
          <w:right w:val="single" w:sz="4" w:space="4" w:color="auto"/>
        </w:pBdr>
        <w:suppressAutoHyphens/>
        <w:rPr>
          <w:b/>
          <w:noProof/>
          <w:szCs w:val="22"/>
        </w:rPr>
      </w:pPr>
      <w:r w:rsidRPr="0063119B">
        <w:rPr>
          <w:noProof/>
          <w:szCs w:val="22"/>
        </w:rPr>
        <w:br w:type="page"/>
      </w:r>
      <w:r w:rsidR="00C7492C" w:rsidRPr="0063119B">
        <w:rPr>
          <w:b/>
          <w:noProof/>
          <w:szCs w:val="22"/>
        </w:rPr>
        <w:lastRenderedPageBreak/>
        <w:t>INDICAÇÕES MÍNIMAS A INCLUIR NAS EMBALAGENS “BLISTER” OU FITAS CONTENTORAS</w:t>
      </w:r>
    </w:p>
    <w:p w14:paraId="71BF612F"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rPr>
          <w:caps/>
          <w:noProof/>
          <w:szCs w:val="22"/>
        </w:rPr>
      </w:pPr>
    </w:p>
    <w:p w14:paraId="56003552"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rPr>
          <w:caps/>
          <w:noProof/>
          <w:szCs w:val="22"/>
        </w:rPr>
      </w:pPr>
      <w:r w:rsidRPr="0063119B">
        <w:rPr>
          <w:b/>
          <w:caps/>
          <w:noProof/>
          <w:szCs w:val="22"/>
        </w:rPr>
        <w:t>Blister para 20 mg</w:t>
      </w:r>
    </w:p>
    <w:p w14:paraId="610A5E55" w14:textId="77777777" w:rsidR="00C7492C" w:rsidRPr="0063119B" w:rsidRDefault="00C7492C" w:rsidP="00C7492C">
      <w:pPr>
        <w:suppressAutoHyphens/>
        <w:ind w:right="14"/>
        <w:rPr>
          <w:noProof/>
          <w:szCs w:val="22"/>
        </w:rPr>
      </w:pPr>
    </w:p>
    <w:p w14:paraId="65D1D106" w14:textId="77777777" w:rsidR="00C7492C" w:rsidRPr="0063119B" w:rsidRDefault="00C7492C" w:rsidP="00C7492C">
      <w:pPr>
        <w:suppressAutoHyphens/>
        <w:ind w:right="14"/>
        <w:rPr>
          <w:noProof/>
          <w:szCs w:val="22"/>
        </w:rPr>
      </w:pPr>
    </w:p>
    <w:p w14:paraId="3D4CAD78"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41A7A9B6" w14:textId="77777777" w:rsidR="00C7492C" w:rsidRPr="0063119B" w:rsidRDefault="00C7492C" w:rsidP="00C7492C">
      <w:pPr>
        <w:suppressAutoHyphens/>
        <w:ind w:right="14"/>
        <w:rPr>
          <w:noProof/>
          <w:szCs w:val="22"/>
        </w:rPr>
      </w:pPr>
    </w:p>
    <w:p w14:paraId="58269224" w14:textId="77777777" w:rsidR="00C7492C" w:rsidRPr="0063119B" w:rsidRDefault="00607DE4" w:rsidP="00C7492C">
      <w:pPr>
        <w:suppressAutoHyphens/>
        <w:ind w:right="14"/>
        <w:rPr>
          <w:noProof/>
          <w:szCs w:val="22"/>
        </w:rPr>
      </w:pPr>
      <w:r>
        <w:rPr>
          <w:noProof/>
          <w:szCs w:val="22"/>
        </w:rPr>
        <w:t>Rivaroxabano</w:t>
      </w:r>
      <w:r w:rsidR="00C7492C" w:rsidRPr="0063119B">
        <w:rPr>
          <w:noProof/>
          <w:szCs w:val="22"/>
        </w:rPr>
        <w:t xml:space="preserve"> Accord 20 mg comprimidos</w:t>
      </w:r>
    </w:p>
    <w:p w14:paraId="5AC165EA" w14:textId="77777777" w:rsidR="00C7492C" w:rsidRPr="0063119B" w:rsidRDefault="00C7492C" w:rsidP="00C7492C">
      <w:pPr>
        <w:suppressAutoHyphens/>
        <w:ind w:right="14"/>
        <w:rPr>
          <w:noProof/>
          <w:szCs w:val="22"/>
        </w:rPr>
      </w:pPr>
      <w:r w:rsidRPr="00394D5E">
        <w:rPr>
          <w:noProof/>
          <w:szCs w:val="22"/>
          <w:highlight w:val="lightGray"/>
        </w:rPr>
        <w:t>rivaroxabano</w:t>
      </w:r>
    </w:p>
    <w:p w14:paraId="486F9EFE" w14:textId="77777777" w:rsidR="00C7492C" w:rsidRPr="0063119B" w:rsidRDefault="00C7492C" w:rsidP="00C7492C">
      <w:pPr>
        <w:suppressAutoHyphens/>
        <w:ind w:right="14"/>
        <w:rPr>
          <w:noProof/>
          <w:szCs w:val="22"/>
        </w:rPr>
      </w:pPr>
    </w:p>
    <w:p w14:paraId="7D336012" w14:textId="77777777" w:rsidR="00C7492C" w:rsidRPr="0063119B" w:rsidRDefault="00C7492C" w:rsidP="00C7492C">
      <w:pPr>
        <w:suppressAutoHyphens/>
        <w:ind w:right="14"/>
        <w:rPr>
          <w:noProof/>
          <w:szCs w:val="22"/>
        </w:rPr>
      </w:pPr>
    </w:p>
    <w:p w14:paraId="36F97EA9"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2.</w:t>
      </w:r>
      <w:r w:rsidRPr="0063119B">
        <w:rPr>
          <w:b/>
          <w:noProof/>
          <w:szCs w:val="22"/>
        </w:rPr>
        <w:tab/>
        <w:t>NOME DO TITULAR DA AUTORIZAÇÃO DE INTRODUÇÃO NO MERCADO</w:t>
      </w:r>
    </w:p>
    <w:p w14:paraId="1C7CF76F" w14:textId="77777777" w:rsidR="00C7492C" w:rsidRPr="0063119B" w:rsidRDefault="00C7492C" w:rsidP="00C7492C">
      <w:pPr>
        <w:suppressAutoHyphens/>
        <w:ind w:right="14"/>
        <w:rPr>
          <w:noProof/>
          <w:szCs w:val="22"/>
        </w:rPr>
      </w:pPr>
    </w:p>
    <w:p w14:paraId="012D0F3B" w14:textId="77777777" w:rsidR="00C7492C" w:rsidRPr="0063119B" w:rsidRDefault="00C7492C" w:rsidP="00C7492C">
      <w:pPr>
        <w:suppressAutoHyphens/>
        <w:ind w:right="14"/>
        <w:rPr>
          <w:noProof/>
          <w:szCs w:val="22"/>
        </w:rPr>
      </w:pPr>
      <w:r w:rsidRPr="0063119B">
        <w:rPr>
          <w:noProof/>
          <w:szCs w:val="22"/>
        </w:rPr>
        <w:t>Accord</w:t>
      </w:r>
    </w:p>
    <w:p w14:paraId="38ADFCDC" w14:textId="77777777" w:rsidR="00C7492C" w:rsidRPr="0063119B" w:rsidRDefault="00C7492C" w:rsidP="00C7492C">
      <w:pPr>
        <w:suppressAutoHyphens/>
        <w:ind w:right="14"/>
        <w:rPr>
          <w:noProof/>
          <w:szCs w:val="22"/>
        </w:rPr>
      </w:pPr>
    </w:p>
    <w:p w14:paraId="05CA6722" w14:textId="77777777" w:rsidR="00C7492C" w:rsidRPr="0063119B" w:rsidRDefault="00C7492C" w:rsidP="00C7492C">
      <w:pPr>
        <w:suppressAutoHyphens/>
        <w:ind w:right="14"/>
        <w:rPr>
          <w:noProof/>
          <w:szCs w:val="22"/>
        </w:rPr>
      </w:pPr>
    </w:p>
    <w:p w14:paraId="40E32ECF"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PRAZO DE VALIDADE</w:t>
      </w:r>
    </w:p>
    <w:p w14:paraId="6687A286" w14:textId="77777777" w:rsidR="00C7492C" w:rsidRPr="0063119B" w:rsidRDefault="00C7492C" w:rsidP="00C7492C">
      <w:pPr>
        <w:rPr>
          <w:i/>
          <w:noProof/>
          <w:szCs w:val="22"/>
        </w:rPr>
      </w:pPr>
    </w:p>
    <w:p w14:paraId="7C72DB06" w14:textId="77777777" w:rsidR="00C7492C" w:rsidRPr="0063119B" w:rsidRDefault="00C7492C" w:rsidP="00C7492C">
      <w:pPr>
        <w:suppressAutoHyphens/>
        <w:rPr>
          <w:noProof/>
          <w:szCs w:val="22"/>
        </w:rPr>
      </w:pPr>
      <w:r w:rsidRPr="0063119B">
        <w:rPr>
          <w:noProof/>
          <w:szCs w:val="22"/>
        </w:rPr>
        <w:t>EXP</w:t>
      </w:r>
    </w:p>
    <w:p w14:paraId="5D49680B" w14:textId="77777777" w:rsidR="00C7492C" w:rsidRPr="0063119B" w:rsidRDefault="00C7492C" w:rsidP="00C7492C">
      <w:pPr>
        <w:suppressAutoHyphens/>
        <w:rPr>
          <w:noProof/>
          <w:szCs w:val="22"/>
        </w:rPr>
      </w:pPr>
    </w:p>
    <w:p w14:paraId="6429595E" w14:textId="77777777" w:rsidR="00C7492C" w:rsidRPr="0063119B" w:rsidRDefault="00C7492C" w:rsidP="00C7492C">
      <w:pPr>
        <w:suppressAutoHyphens/>
        <w:ind w:right="14"/>
        <w:rPr>
          <w:noProof/>
          <w:szCs w:val="22"/>
        </w:rPr>
      </w:pPr>
    </w:p>
    <w:p w14:paraId="21565027"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NÚMERO DO LOTE</w:t>
      </w:r>
    </w:p>
    <w:p w14:paraId="074DBC51" w14:textId="77777777" w:rsidR="00C7492C" w:rsidRPr="0063119B" w:rsidRDefault="00C7492C" w:rsidP="00C7492C">
      <w:pPr>
        <w:suppressAutoHyphens/>
        <w:ind w:right="14"/>
        <w:rPr>
          <w:noProof/>
          <w:szCs w:val="22"/>
        </w:rPr>
      </w:pPr>
    </w:p>
    <w:p w14:paraId="4C3E223A" w14:textId="77777777" w:rsidR="00C7492C" w:rsidRPr="0063119B" w:rsidRDefault="00C7492C" w:rsidP="00C7492C">
      <w:pPr>
        <w:rPr>
          <w:noProof/>
          <w:szCs w:val="22"/>
        </w:rPr>
      </w:pPr>
      <w:r w:rsidRPr="0063119B">
        <w:rPr>
          <w:noProof/>
          <w:szCs w:val="22"/>
        </w:rPr>
        <w:t>Lot</w:t>
      </w:r>
    </w:p>
    <w:p w14:paraId="06B3EAC2" w14:textId="77777777" w:rsidR="00C7492C" w:rsidRPr="0063119B" w:rsidRDefault="00C7492C" w:rsidP="00C7492C">
      <w:pPr>
        <w:suppressAutoHyphens/>
        <w:ind w:right="14"/>
        <w:rPr>
          <w:noProof/>
          <w:szCs w:val="22"/>
        </w:rPr>
      </w:pPr>
    </w:p>
    <w:p w14:paraId="3F41C63B" w14:textId="77777777" w:rsidR="00C7492C" w:rsidRPr="0063119B" w:rsidRDefault="00C7492C" w:rsidP="00C7492C">
      <w:pPr>
        <w:suppressAutoHyphens/>
        <w:ind w:right="14"/>
        <w:rPr>
          <w:noProof/>
          <w:szCs w:val="22"/>
        </w:rPr>
      </w:pPr>
    </w:p>
    <w:p w14:paraId="595E9049"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r>
      <w:r w:rsidRPr="0063119B">
        <w:rPr>
          <w:b/>
          <w:caps/>
          <w:noProof/>
          <w:szCs w:val="22"/>
        </w:rPr>
        <w:t>OutrOs</w:t>
      </w:r>
    </w:p>
    <w:p w14:paraId="1BD22BF8" w14:textId="77777777" w:rsidR="00C7492C" w:rsidRPr="0063119B" w:rsidRDefault="00C7492C" w:rsidP="00C7492C">
      <w:pPr>
        <w:suppressAutoHyphens/>
        <w:ind w:right="14"/>
        <w:rPr>
          <w:noProof/>
          <w:szCs w:val="22"/>
        </w:rPr>
      </w:pPr>
    </w:p>
    <w:p w14:paraId="68ED8EB3" w14:textId="77777777" w:rsidR="00C7492C" w:rsidRPr="0063119B" w:rsidRDefault="00C7492C" w:rsidP="00C7492C">
      <w:pPr>
        <w:suppressAutoHyphens/>
        <w:ind w:right="14"/>
        <w:rPr>
          <w:noProof/>
          <w:szCs w:val="22"/>
        </w:rPr>
      </w:pPr>
    </w:p>
    <w:p w14:paraId="7C885F69" w14:textId="77777777" w:rsidR="00C7492C" w:rsidRPr="0063119B" w:rsidRDefault="00C7492C" w:rsidP="00C7492C">
      <w:pPr>
        <w:suppressAutoHyphens/>
        <w:ind w:right="14"/>
        <w:rPr>
          <w:b/>
          <w:noProof/>
          <w:szCs w:val="22"/>
        </w:rPr>
      </w:pPr>
      <w:r w:rsidRPr="0063119B">
        <w:rPr>
          <w:noProof/>
          <w:szCs w:val="22"/>
        </w:rPr>
        <w:br w:type="page"/>
      </w:r>
    </w:p>
    <w:p w14:paraId="16C13F0D"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rPr>
          <w:b/>
          <w:noProof/>
          <w:szCs w:val="22"/>
        </w:rPr>
      </w:pPr>
      <w:r w:rsidRPr="0063119B">
        <w:rPr>
          <w:b/>
          <w:noProof/>
          <w:szCs w:val="22"/>
        </w:rPr>
        <w:lastRenderedPageBreak/>
        <w:t>INDICAÇÕES MÍNIMAS A INCLUIR NAS EMBALAGENS “BLISTER” OU FITAS CONTENTORAS</w:t>
      </w:r>
    </w:p>
    <w:p w14:paraId="0E9C8B99"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rPr>
          <w:b/>
          <w:caps/>
          <w:noProof/>
          <w:szCs w:val="22"/>
        </w:rPr>
      </w:pPr>
    </w:p>
    <w:p w14:paraId="26A43710"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rPr>
          <w:b/>
          <w:noProof/>
          <w:szCs w:val="22"/>
        </w:rPr>
      </w:pPr>
      <w:r w:rsidRPr="0063119B">
        <w:rPr>
          <w:b/>
          <w:caps/>
          <w:noProof/>
          <w:szCs w:val="22"/>
        </w:rPr>
        <w:t xml:space="preserve">EMBALAGEM Blister PARA DOSE UNITÁRIA (10 X 1 comprimidos, 100 x 1 COMPRIMIDOS) para </w:t>
      </w:r>
      <w:r w:rsidR="00AF70C5" w:rsidRPr="0063119B">
        <w:rPr>
          <w:b/>
          <w:caps/>
          <w:noProof/>
          <w:szCs w:val="22"/>
        </w:rPr>
        <w:t>20</w:t>
      </w:r>
      <w:r w:rsidRPr="0063119B">
        <w:rPr>
          <w:b/>
          <w:caps/>
          <w:noProof/>
          <w:szCs w:val="22"/>
        </w:rPr>
        <w:t> mg</w:t>
      </w:r>
    </w:p>
    <w:p w14:paraId="04E1296C" w14:textId="77777777" w:rsidR="00C7492C" w:rsidRPr="0063119B" w:rsidRDefault="00C7492C" w:rsidP="00C7492C">
      <w:pPr>
        <w:suppressAutoHyphens/>
        <w:ind w:right="14"/>
        <w:rPr>
          <w:noProof/>
          <w:szCs w:val="22"/>
        </w:rPr>
      </w:pPr>
    </w:p>
    <w:p w14:paraId="4CFEC816" w14:textId="77777777" w:rsidR="00C7492C" w:rsidRPr="0063119B" w:rsidRDefault="00C7492C" w:rsidP="00C7492C">
      <w:pPr>
        <w:suppressAutoHyphens/>
        <w:ind w:right="14"/>
        <w:rPr>
          <w:noProof/>
          <w:szCs w:val="22"/>
        </w:rPr>
      </w:pPr>
    </w:p>
    <w:p w14:paraId="654EC224"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197ACA3A" w14:textId="77777777" w:rsidR="00C7492C" w:rsidRPr="0063119B" w:rsidRDefault="00C7492C" w:rsidP="00C7492C">
      <w:pPr>
        <w:suppressAutoHyphens/>
        <w:ind w:right="14"/>
        <w:rPr>
          <w:noProof/>
          <w:szCs w:val="22"/>
        </w:rPr>
      </w:pPr>
    </w:p>
    <w:p w14:paraId="16ACE32C" w14:textId="77777777" w:rsidR="00C7492C" w:rsidRPr="001B6FEC" w:rsidRDefault="00607DE4" w:rsidP="00C7492C">
      <w:pPr>
        <w:suppressAutoHyphens/>
        <w:ind w:right="14"/>
        <w:rPr>
          <w:noProof/>
          <w:szCs w:val="22"/>
        </w:rPr>
      </w:pPr>
      <w:r w:rsidRPr="001B6FEC">
        <w:rPr>
          <w:noProof/>
          <w:szCs w:val="22"/>
        </w:rPr>
        <w:t>Rivaroxabano</w:t>
      </w:r>
      <w:r w:rsidR="00C7492C" w:rsidRPr="001B6FEC">
        <w:rPr>
          <w:noProof/>
          <w:szCs w:val="22"/>
        </w:rPr>
        <w:t xml:space="preserve"> Accord </w:t>
      </w:r>
      <w:r w:rsidR="00AF70C5" w:rsidRPr="001B6FEC">
        <w:rPr>
          <w:noProof/>
          <w:szCs w:val="22"/>
        </w:rPr>
        <w:t>20</w:t>
      </w:r>
      <w:r w:rsidR="00C7492C" w:rsidRPr="001B6FEC">
        <w:rPr>
          <w:noProof/>
          <w:szCs w:val="22"/>
        </w:rPr>
        <w:t> mg</w:t>
      </w:r>
      <w:r w:rsidR="00FE12A1" w:rsidRPr="001B6FEC">
        <w:rPr>
          <w:noProof/>
          <w:szCs w:val="22"/>
        </w:rPr>
        <w:t xml:space="preserve"> </w:t>
      </w:r>
      <w:r w:rsidR="00FE12A1" w:rsidRPr="0063119B">
        <w:rPr>
          <w:noProof/>
          <w:szCs w:val="22"/>
        </w:rPr>
        <w:t>comprimidos</w:t>
      </w:r>
    </w:p>
    <w:p w14:paraId="0193C922" w14:textId="77777777" w:rsidR="00C7492C" w:rsidRPr="0063119B" w:rsidRDefault="00C7492C" w:rsidP="00C7492C">
      <w:pPr>
        <w:suppressAutoHyphens/>
        <w:ind w:right="14"/>
        <w:rPr>
          <w:noProof/>
          <w:szCs w:val="22"/>
        </w:rPr>
      </w:pPr>
    </w:p>
    <w:p w14:paraId="1D97CF08" w14:textId="77777777" w:rsidR="00C7492C" w:rsidRPr="0063119B" w:rsidRDefault="00C7492C" w:rsidP="00C7492C">
      <w:pPr>
        <w:suppressAutoHyphens/>
        <w:ind w:right="14"/>
        <w:rPr>
          <w:noProof/>
          <w:szCs w:val="22"/>
        </w:rPr>
      </w:pPr>
    </w:p>
    <w:p w14:paraId="63EE29CA"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2.</w:t>
      </w:r>
      <w:r w:rsidRPr="0063119B">
        <w:rPr>
          <w:b/>
          <w:noProof/>
          <w:szCs w:val="22"/>
        </w:rPr>
        <w:tab/>
        <w:t>NOME DO TITULAR DA AUTORIZAÇÃO DE INTRODUÇÃO NO MERCADO</w:t>
      </w:r>
    </w:p>
    <w:p w14:paraId="42C62574" w14:textId="77777777" w:rsidR="00C7492C" w:rsidRPr="0063119B" w:rsidRDefault="00C7492C" w:rsidP="00C7492C">
      <w:pPr>
        <w:suppressAutoHyphens/>
        <w:ind w:right="14"/>
        <w:rPr>
          <w:noProof/>
          <w:szCs w:val="22"/>
        </w:rPr>
      </w:pPr>
    </w:p>
    <w:p w14:paraId="4697A70F" w14:textId="77777777" w:rsidR="00C7492C" w:rsidRPr="0063119B" w:rsidRDefault="00C7492C" w:rsidP="00C7492C">
      <w:pPr>
        <w:suppressAutoHyphens/>
        <w:ind w:right="14"/>
        <w:rPr>
          <w:noProof/>
          <w:szCs w:val="22"/>
        </w:rPr>
      </w:pPr>
      <w:r w:rsidRPr="0063119B">
        <w:rPr>
          <w:noProof/>
          <w:szCs w:val="22"/>
        </w:rPr>
        <w:t>Accord</w:t>
      </w:r>
    </w:p>
    <w:p w14:paraId="42F0D513" w14:textId="77777777" w:rsidR="00C7492C" w:rsidRPr="0063119B" w:rsidRDefault="00C7492C" w:rsidP="00C7492C">
      <w:pPr>
        <w:suppressAutoHyphens/>
        <w:ind w:right="14"/>
        <w:rPr>
          <w:noProof/>
          <w:szCs w:val="22"/>
        </w:rPr>
      </w:pPr>
    </w:p>
    <w:p w14:paraId="2C2AFF96" w14:textId="77777777" w:rsidR="00C7492C" w:rsidRPr="0063119B" w:rsidRDefault="00C7492C" w:rsidP="00C7492C">
      <w:pPr>
        <w:suppressAutoHyphens/>
        <w:ind w:right="14"/>
        <w:rPr>
          <w:noProof/>
          <w:szCs w:val="22"/>
        </w:rPr>
      </w:pPr>
    </w:p>
    <w:p w14:paraId="089BF47D"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PRAZO DE VALIDADE</w:t>
      </w:r>
    </w:p>
    <w:p w14:paraId="61FF0E77" w14:textId="77777777" w:rsidR="00C7492C" w:rsidRPr="0063119B" w:rsidRDefault="00C7492C" w:rsidP="00C7492C">
      <w:pPr>
        <w:rPr>
          <w:i/>
          <w:noProof/>
          <w:szCs w:val="22"/>
        </w:rPr>
      </w:pPr>
    </w:p>
    <w:p w14:paraId="10DAC7C5" w14:textId="77777777" w:rsidR="00C7492C" w:rsidRPr="0063119B" w:rsidRDefault="00C7492C" w:rsidP="00C7492C">
      <w:pPr>
        <w:suppressAutoHyphens/>
        <w:rPr>
          <w:noProof/>
          <w:szCs w:val="22"/>
        </w:rPr>
      </w:pPr>
      <w:r w:rsidRPr="0063119B">
        <w:rPr>
          <w:noProof/>
          <w:szCs w:val="22"/>
        </w:rPr>
        <w:t>EXP</w:t>
      </w:r>
    </w:p>
    <w:p w14:paraId="342E908E" w14:textId="77777777" w:rsidR="00C7492C" w:rsidRPr="0063119B" w:rsidRDefault="00C7492C" w:rsidP="00C7492C">
      <w:pPr>
        <w:suppressAutoHyphens/>
        <w:rPr>
          <w:noProof/>
          <w:szCs w:val="22"/>
        </w:rPr>
      </w:pPr>
    </w:p>
    <w:p w14:paraId="796C7611" w14:textId="77777777" w:rsidR="00C7492C" w:rsidRPr="0063119B" w:rsidRDefault="00C7492C" w:rsidP="00C7492C">
      <w:pPr>
        <w:suppressAutoHyphens/>
        <w:ind w:right="14"/>
        <w:rPr>
          <w:noProof/>
          <w:szCs w:val="22"/>
        </w:rPr>
      </w:pPr>
    </w:p>
    <w:p w14:paraId="50FA6C40"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NÚMERO DO LOTE</w:t>
      </w:r>
    </w:p>
    <w:p w14:paraId="3217B9AE" w14:textId="77777777" w:rsidR="00C7492C" w:rsidRPr="0063119B" w:rsidRDefault="00C7492C" w:rsidP="00C7492C">
      <w:pPr>
        <w:suppressAutoHyphens/>
        <w:ind w:right="14"/>
        <w:rPr>
          <w:noProof/>
          <w:szCs w:val="22"/>
        </w:rPr>
      </w:pPr>
    </w:p>
    <w:p w14:paraId="533B074D" w14:textId="77777777" w:rsidR="00C7492C" w:rsidRPr="0063119B" w:rsidRDefault="00C7492C" w:rsidP="00C7492C">
      <w:pPr>
        <w:rPr>
          <w:noProof/>
          <w:szCs w:val="22"/>
        </w:rPr>
      </w:pPr>
      <w:r w:rsidRPr="0063119B">
        <w:rPr>
          <w:noProof/>
          <w:szCs w:val="22"/>
        </w:rPr>
        <w:t>Lot</w:t>
      </w:r>
    </w:p>
    <w:p w14:paraId="1A93EC91" w14:textId="77777777" w:rsidR="00C7492C" w:rsidRPr="0063119B" w:rsidRDefault="00C7492C" w:rsidP="00C7492C">
      <w:pPr>
        <w:suppressAutoHyphens/>
        <w:ind w:right="14"/>
        <w:rPr>
          <w:noProof/>
          <w:szCs w:val="22"/>
        </w:rPr>
      </w:pPr>
    </w:p>
    <w:p w14:paraId="37E7371D" w14:textId="77777777" w:rsidR="00C7492C" w:rsidRPr="0063119B" w:rsidRDefault="00C7492C" w:rsidP="00C7492C">
      <w:pPr>
        <w:suppressAutoHyphens/>
        <w:ind w:right="14"/>
        <w:rPr>
          <w:noProof/>
          <w:szCs w:val="22"/>
        </w:rPr>
      </w:pPr>
    </w:p>
    <w:p w14:paraId="3C3A3578"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r>
      <w:r w:rsidRPr="0063119B">
        <w:rPr>
          <w:b/>
          <w:caps/>
          <w:noProof/>
          <w:szCs w:val="22"/>
        </w:rPr>
        <w:t>Outros</w:t>
      </w:r>
    </w:p>
    <w:p w14:paraId="2021FF95" w14:textId="77777777" w:rsidR="00C7492C" w:rsidRPr="0063119B" w:rsidRDefault="00C7492C" w:rsidP="00C7492C">
      <w:pPr>
        <w:suppressAutoHyphens/>
        <w:ind w:right="14"/>
        <w:rPr>
          <w:noProof/>
          <w:szCs w:val="22"/>
        </w:rPr>
      </w:pPr>
    </w:p>
    <w:p w14:paraId="5356B971" w14:textId="77777777" w:rsidR="00C7492C" w:rsidRPr="0063119B" w:rsidRDefault="00C7492C" w:rsidP="00C7492C">
      <w:pPr>
        <w:suppressAutoHyphens/>
        <w:ind w:right="14"/>
        <w:rPr>
          <w:noProof/>
          <w:szCs w:val="22"/>
        </w:rPr>
      </w:pPr>
    </w:p>
    <w:p w14:paraId="4114F460" w14:textId="77777777" w:rsidR="00C7492C" w:rsidRPr="0063119B" w:rsidRDefault="00C7492C" w:rsidP="00C7492C">
      <w:pPr>
        <w:shd w:val="clear" w:color="auto" w:fill="FFFFFF"/>
        <w:suppressAutoHyphens/>
        <w:ind w:right="14"/>
        <w:rPr>
          <w:b/>
          <w:noProof/>
          <w:szCs w:val="22"/>
        </w:rPr>
      </w:pPr>
      <w:r w:rsidRPr="0063119B">
        <w:rPr>
          <w:noProof/>
          <w:szCs w:val="22"/>
        </w:rPr>
        <w:br w:type="page"/>
      </w:r>
    </w:p>
    <w:p w14:paraId="5BEFD5EC"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rPr>
          <w:b/>
          <w:noProof/>
          <w:szCs w:val="22"/>
        </w:rPr>
      </w:pPr>
      <w:r w:rsidRPr="0063119B">
        <w:rPr>
          <w:b/>
          <w:noProof/>
          <w:szCs w:val="22"/>
        </w:rPr>
        <w:lastRenderedPageBreak/>
        <w:t>INDICAÇÕES MÍNIMAS A INCLUIR NAS EMBALAGENS “BLISTER” OU FITAS CONTENTORAS</w:t>
      </w:r>
    </w:p>
    <w:p w14:paraId="1AEEB0C7"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rPr>
          <w:b/>
          <w:caps/>
          <w:noProof/>
          <w:szCs w:val="22"/>
        </w:rPr>
      </w:pPr>
    </w:p>
    <w:p w14:paraId="5200874D"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rPr>
          <w:noProof/>
          <w:szCs w:val="22"/>
        </w:rPr>
      </w:pPr>
      <w:r w:rsidRPr="0063119B">
        <w:rPr>
          <w:b/>
          <w:caps/>
          <w:noProof/>
          <w:szCs w:val="22"/>
        </w:rPr>
        <w:t xml:space="preserve">Blister para </w:t>
      </w:r>
      <w:r w:rsidR="00AF70C5" w:rsidRPr="0063119B">
        <w:rPr>
          <w:b/>
          <w:caps/>
          <w:noProof/>
          <w:szCs w:val="22"/>
        </w:rPr>
        <w:t>20</w:t>
      </w:r>
      <w:r w:rsidRPr="0063119B">
        <w:rPr>
          <w:b/>
          <w:caps/>
          <w:noProof/>
          <w:szCs w:val="22"/>
        </w:rPr>
        <w:t> mg (EMBALAGEM CALENDÁRIO - 14 COMPRIMIDOS)</w:t>
      </w:r>
    </w:p>
    <w:p w14:paraId="795379F9" w14:textId="77777777" w:rsidR="00C7492C" w:rsidRPr="0063119B" w:rsidRDefault="00C7492C" w:rsidP="00C7492C">
      <w:pPr>
        <w:suppressAutoHyphens/>
        <w:ind w:right="14"/>
        <w:rPr>
          <w:noProof/>
          <w:szCs w:val="22"/>
        </w:rPr>
      </w:pPr>
    </w:p>
    <w:p w14:paraId="127B3FF8"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1D51BFF9" w14:textId="77777777" w:rsidR="00C7492C" w:rsidRPr="0063119B" w:rsidRDefault="00C7492C" w:rsidP="00C7492C">
      <w:pPr>
        <w:suppressAutoHyphens/>
        <w:ind w:right="14"/>
        <w:rPr>
          <w:noProof/>
          <w:szCs w:val="22"/>
        </w:rPr>
      </w:pPr>
    </w:p>
    <w:p w14:paraId="643E73BE" w14:textId="77777777" w:rsidR="00C7492C" w:rsidRPr="0063119B" w:rsidRDefault="00607DE4" w:rsidP="00C7492C">
      <w:pPr>
        <w:suppressAutoHyphens/>
        <w:ind w:right="14"/>
        <w:rPr>
          <w:noProof/>
          <w:szCs w:val="22"/>
        </w:rPr>
      </w:pPr>
      <w:r>
        <w:rPr>
          <w:noProof/>
          <w:szCs w:val="22"/>
        </w:rPr>
        <w:t>Rivaroxabano</w:t>
      </w:r>
      <w:r w:rsidR="00C7492C" w:rsidRPr="0063119B">
        <w:rPr>
          <w:noProof/>
          <w:szCs w:val="22"/>
        </w:rPr>
        <w:t xml:space="preserve"> Accord </w:t>
      </w:r>
      <w:r w:rsidR="00FE12A1">
        <w:rPr>
          <w:noProof/>
          <w:szCs w:val="22"/>
        </w:rPr>
        <w:t>20</w:t>
      </w:r>
      <w:r w:rsidR="00C7492C" w:rsidRPr="0063119B">
        <w:rPr>
          <w:noProof/>
          <w:szCs w:val="22"/>
        </w:rPr>
        <w:t> mg comprimidos</w:t>
      </w:r>
    </w:p>
    <w:p w14:paraId="4AEB3A62" w14:textId="77777777" w:rsidR="00C7492C" w:rsidRPr="0063119B" w:rsidRDefault="00C7492C" w:rsidP="00C7492C">
      <w:pPr>
        <w:suppressAutoHyphens/>
        <w:ind w:right="14"/>
        <w:rPr>
          <w:noProof/>
          <w:szCs w:val="22"/>
        </w:rPr>
      </w:pPr>
      <w:r w:rsidRPr="00394D5E">
        <w:rPr>
          <w:noProof/>
          <w:szCs w:val="22"/>
          <w:highlight w:val="lightGray"/>
        </w:rPr>
        <w:t>rivaroxabano</w:t>
      </w:r>
    </w:p>
    <w:p w14:paraId="3D2B8CD4" w14:textId="77777777" w:rsidR="00C7492C" w:rsidRPr="0063119B" w:rsidRDefault="00C7492C" w:rsidP="00C7492C">
      <w:pPr>
        <w:suppressAutoHyphens/>
        <w:ind w:right="14"/>
        <w:rPr>
          <w:noProof/>
          <w:szCs w:val="22"/>
        </w:rPr>
      </w:pPr>
    </w:p>
    <w:p w14:paraId="4AC688F1" w14:textId="77777777" w:rsidR="00C7492C" w:rsidRPr="0063119B" w:rsidRDefault="00C7492C" w:rsidP="00C7492C">
      <w:pPr>
        <w:suppressAutoHyphens/>
        <w:ind w:right="14"/>
        <w:rPr>
          <w:noProof/>
          <w:szCs w:val="22"/>
        </w:rPr>
      </w:pPr>
    </w:p>
    <w:p w14:paraId="3D805CEB"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2.</w:t>
      </w:r>
      <w:r w:rsidRPr="0063119B">
        <w:rPr>
          <w:b/>
          <w:noProof/>
          <w:szCs w:val="22"/>
        </w:rPr>
        <w:tab/>
        <w:t>NOME DO TITULAR DA AUTORIZAÇÃO DE INTRODUÇÃO NO MERCADO</w:t>
      </w:r>
    </w:p>
    <w:p w14:paraId="00797546" w14:textId="77777777" w:rsidR="00C7492C" w:rsidRPr="0063119B" w:rsidRDefault="00C7492C" w:rsidP="00C7492C">
      <w:pPr>
        <w:suppressAutoHyphens/>
        <w:ind w:right="14"/>
        <w:rPr>
          <w:noProof/>
          <w:szCs w:val="22"/>
        </w:rPr>
      </w:pPr>
    </w:p>
    <w:p w14:paraId="4E949FFF" w14:textId="77777777" w:rsidR="00C7492C" w:rsidRPr="0063119B" w:rsidRDefault="00C7492C" w:rsidP="00C7492C">
      <w:pPr>
        <w:suppressAutoHyphens/>
        <w:ind w:right="14"/>
        <w:rPr>
          <w:noProof/>
          <w:szCs w:val="22"/>
        </w:rPr>
      </w:pPr>
      <w:r w:rsidRPr="0063119B">
        <w:rPr>
          <w:noProof/>
          <w:szCs w:val="22"/>
        </w:rPr>
        <w:t>Accord</w:t>
      </w:r>
    </w:p>
    <w:p w14:paraId="36CAE1DD" w14:textId="77777777" w:rsidR="00C7492C" w:rsidRPr="0063119B" w:rsidRDefault="00C7492C" w:rsidP="00C7492C">
      <w:pPr>
        <w:suppressAutoHyphens/>
        <w:ind w:right="14"/>
        <w:rPr>
          <w:noProof/>
          <w:szCs w:val="22"/>
        </w:rPr>
      </w:pPr>
    </w:p>
    <w:p w14:paraId="2047B3A1" w14:textId="77777777" w:rsidR="00C7492C" w:rsidRPr="0063119B" w:rsidRDefault="00C7492C" w:rsidP="00C7492C">
      <w:pPr>
        <w:suppressAutoHyphens/>
        <w:ind w:right="14"/>
        <w:rPr>
          <w:noProof/>
          <w:szCs w:val="22"/>
        </w:rPr>
      </w:pPr>
    </w:p>
    <w:p w14:paraId="79C2E0E1"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PRAZO DE VALIDADE</w:t>
      </w:r>
    </w:p>
    <w:p w14:paraId="443A1D30" w14:textId="77777777" w:rsidR="00C7492C" w:rsidRPr="0063119B" w:rsidRDefault="00C7492C" w:rsidP="00C7492C">
      <w:pPr>
        <w:rPr>
          <w:i/>
          <w:noProof/>
          <w:szCs w:val="22"/>
        </w:rPr>
      </w:pPr>
    </w:p>
    <w:p w14:paraId="047E8140" w14:textId="77777777" w:rsidR="00C7492C" w:rsidRPr="0063119B" w:rsidRDefault="00C7492C" w:rsidP="00C7492C">
      <w:pPr>
        <w:suppressAutoHyphens/>
        <w:rPr>
          <w:noProof/>
          <w:szCs w:val="22"/>
        </w:rPr>
      </w:pPr>
      <w:r w:rsidRPr="0063119B">
        <w:rPr>
          <w:noProof/>
          <w:szCs w:val="22"/>
        </w:rPr>
        <w:t>EXP</w:t>
      </w:r>
    </w:p>
    <w:p w14:paraId="04311A51" w14:textId="77777777" w:rsidR="00C7492C" w:rsidRPr="0063119B" w:rsidRDefault="00C7492C" w:rsidP="00C7492C">
      <w:pPr>
        <w:suppressAutoHyphens/>
        <w:rPr>
          <w:noProof/>
          <w:szCs w:val="22"/>
        </w:rPr>
      </w:pPr>
    </w:p>
    <w:p w14:paraId="6ACB5364" w14:textId="77777777" w:rsidR="00C7492C" w:rsidRPr="0063119B" w:rsidRDefault="00C7492C" w:rsidP="00C7492C">
      <w:pPr>
        <w:suppressAutoHyphens/>
        <w:ind w:right="14"/>
        <w:rPr>
          <w:noProof/>
          <w:szCs w:val="22"/>
        </w:rPr>
      </w:pPr>
    </w:p>
    <w:p w14:paraId="154B057D"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NÚMERO DO LOTE</w:t>
      </w:r>
    </w:p>
    <w:p w14:paraId="7A1E3E16" w14:textId="77777777" w:rsidR="00C7492C" w:rsidRPr="0063119B" w:rsidRDefault="00C7492C" w:rsidP="00C7492C">
      <w:pPr>
        <w:suppressAutoHyphens/>
        <w:ind w:right="14"/>
        <w:rPr>
          <w:noProof/>
          <w:szCs w:val="22"/>
        </w:rPr>
      </w:pPr>
    </w:p>
    <w:p w14:paraId="7540BC3D" w14:textId="77777777" w:rsidR="00C7492C" w:rsidRPr="0063119B" w:rsidRDefault="00C7492C" w:rsidP="00C7492C">
      <w:pPr>
        <w:rPr>
          <w:noProof/>
          <w:szCs w:val="22"/>
        </w:rPr>
      </w:pPr>
      <w:r w:rsidRPr="0063119B">
        <w:rPr>
          <w:noProof/>
          <w:szCs w:val="22"/>
        </w:rPr>
        <w:t>Lot</w:t>
      </w:r>
    </w:p>
    <w:p w14:paraId="4F825FE1" w14:textId="77777777" w:rsidR="00C7492C" w:rsidRPr="0063119B" w:rsidRDefault="00C7492C" w:rsidP="00C7492C">
      <w:pPr>
        <w:suppressAutoHyphens/>
        <w:ind w:right="14"/>
        <w:rPr>
          <w:noProof/>
          <w:szCs w:val="22"/>
        </w:rPr>
      </w:pPr>
    </w:p>
    <w:p w14:paraId="57A50DFC" w14:textId="77777777" w:rsidR="00C7492C" w:rsidRPr="0063119B" w:rsidRDefault="00C7492C" w:rsidP="00C7492C">
      <w:pPr>
        <w:suppressAutoHyphens/>
        <w:ind w:right="14"/>
        <w:rPr>
          <w:noProof/>
          <w:szCs w:val="22"/>
        </w:rPr>
      </w:pPr>
    </w:p>
    <w:p w14:paraId="72164ED1" w14:textId="77777777" w:rsidR="00C7492C" w:rsidRPr="0063119B" w:rsidRDefault="00C7492C" w:rsidP="00C7492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r>
      <w:r w:rsidRPr="0063119B">
        <w:rPr>
          <w:b/>
          <w:caps/>
          <w:noProof/>
          <w:szCs w:val="22"/>
        </w:rPr>
        <w:t>OutrOs</w:t>
      </w:r>
    </w:p>
    <w:p w14:paraId="5CDA92B2" w14:textId="77777777" w:rsidR="00C7492C" w:rsidRPr="0063119B" w:rsidRDefault="00C7492C" w:rsidP="00C7492C">
      <w:pPr>
        <w:suppressAutoHyphens/>
        <w:ind w:right="14"/>
        <w:rPr>
          <w:noProof/>
          <w:szCs w:val="22"/>
        </w:rPr>
      </w:pPr>
    </w:p>
    <w:p w14:paraId="483AB0B9" w14:textId="77777777" w:rsidR="00C7492C" w:rsidRPr="0063119B" w:rsidRDefault="00C7492C" w:rsidP="00C7492C">
      <w:pPr>
        <w:suppressAutoHyphens/>
        <w:ind w:right="14"/>
        <w:rPr>
          <w:noProof/>
          <w:szCs w:val="22"/>
        </w:rPr>
      </w:pPr>
      <w:r w:rsidRPr="0063119B">
        <w:rPr>
          <w:noProof/>
          <w:szCs w:val="22"/>
        </w:rPr>
        <w:t>Seg</w:t>
      </w:r>
    </w:p>
    <w:p w14:paraId="0E9A7EEE" w14:textId="77777777" w:rsidR="00C7492C" w:rsidRPr="0063119B" w:rsidRDefault="00C7492C" w:rsidP="00C7492C">
      <w:pPr>
        <w:suppressAutoHyphens/>
        <w:ind w:right="14"/>
        <w:rPr>
          <w:noProof/>
          <w:szCs w:val="22"/>
        </w:rPr>
      </w:pPr>
      <w:r w:rsidRPr="0063119B">
        <w:rPr>
          <w:noProof/>
          <w:szCs w:val="22"/>
        </w:rPr>
        <w:t>Ter</w:t>
      </w:r>
    </w:p>
    <w:p w14:paraId="58041C25" w14:textId="77777777" w:rsidR="00C7492C" w:rsidRPr="0063119B" w:rsidRDefault="00C7492C" w:rsidP="00C7492C">
      <w:pPr>
        <w:suppressAutoHyphens/>
        <w:ind w:right="14"/>
        <w:rPr>
          <w:noProof/>
          <w:szCs w:val="22"/>
        </w:rPr>
      </w:pPr>
      <w:r w:rsidRPr="0063119B">
        <w:rPr>
          <w:noProof/>
          <w:szCs w:val="22"/>
        </w:rPr>
        <w:t>Qua</w:t>
      </w:r>
    </w:p>
    <w:p w14:paraId="30B88D4F" w14:textId="77777777" w:rsidR="00C7492C" w:rsidRPr="0063119B" w:rsidRDefault="00C7492C" w:rsidP="00C7492C">
      <w:pPr>
        <w:suppressAutoHyphens/>
        <w:ind w:right="14"/>
        <w:rPr>
          <w:noProof/>
          <w:szCs w:val="22"/>
        </w:rPr>
      </w:pPr>
      <w:r w:rsidRPr="0063119B">
        <w:rPr>
          <w:noProof/>
          <w:szCs w:val="22"/>
        </w:rPr>
        <w:t>Qui</w:t>
      </w:r>
    </w:p>
    <w:p w14:paraId="3311EFAF" w14:textId="77777777" w:rsidR="00C7492C" w:rsidRPr="0063119B" w:rsidRDefault="00C7492C" w:rsidP="00C7492C">
      <w:pPr>
        <w:suppressAutoHyphens/>
        <w:ind w:right="14"/>
        <w:rPr>
          <w:noProof/>
          <w:szCs w:val="22"/>
        </w:rPr>
      </w:pPr>
      <w:r w:rsidRPr="0063119B">
        <w:rPr>
          <w:noProof/>
          <w:szCs w:val="22"/>
        </w:rPr>
        <w:t>Sex</w:t>
      </w:r>
    </w:p>
    <w:p w14:paraId="5224DA33" w14:textId="77777777" w:rsidR="00C7492C" w:rsidRPr="0063119B" w:rsidRDefault="00C7492C" w:rsidP="00C7492C">
      <w:pPr>
        <w:suppressAutoHyphens/>
        <w:ind w:right="14"/>
        <w:rPr>
          <w:noProof/>
          <w:szCs w:val="22"/>
        </w:rPr>
      </w:pPr>
      <w:r w:rsidRPr="0063119B">
        <w:rPr>
          <w:noProof/>
          <w:szCs w:val="22"/>
        </w:rPr>
        <w:t>Sab</w:t>
      </w:r>
    </w:p>
    <w:p w14:paraId="6AD3B742" w14:textId="77777777" w:rsidR="00C7492C" w:rsidRPr="0063119B" w:rsidRDefault="00C7492C" w:rsidP="00C7492C">
      <w:pPr>
        <w:suppressAutoHyphens/>
        <w:ind w:right="14"/>
        <w:rPr>
          <w:noProof/>
          <w:szCs w:val="22"/>
        </w:rPr>
      </w:pPr>
      <w:r w:rsidRPr="0063119B">
        <w:rPr>
          <w:noProof/>
          <w:szCs w:val="22"/>
        </w:rPr>
        <w:t>Dom</w:t>
      </w:r>
    </w:p>
    <w:p w14:paraId="572A4BEC" w14:textId="77777777" w:rsidR="00C7492C" w:rsidRPr="0063119B" w:rsidRDefault="00C7492C" w:rsidP="00C7492C">
      <w:pPr>
        <w:suppressAutoHyphens/>
        <w:ind w:right="14"/>
        <w:rPr>
          <w:noProof/>
          <w:szCs w:val="22"/>
        </w:rPr>
      </w:pPr>
    </w:p>
    <w:p w14:paraId="0CAF7AC6" w14:textId="77777777" w:rsidR="0030169E" w:rsidRPr="0063119B" w:rsidRDefault="001F10F8" w:rsidP="00951279">
      <w:pPr>
        <w:suppressAutoHyphens/>
        <w:ind w:right="14"/>
        <w:jc w:val="center"/>
        <w:rPr>
          <w:noProof/>
          <w:szCs w:val="22"/>
        </w:rPr>
      </w:pPr>
      <w:r w:rsidRPr="0063119B">
        <w:rPr>
          <w:noProof/>
          <w:szCs w:val="22"/>
        </w:rPr>
        <w:br w:type="page"/>
      </w:r>
    </w:p>
    <w:p w14:paraId="4305AFD5"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rPr>
          <w:b/>
          <w:caps/>
          <w:noProof/>
          <w:szCs w:val="22"/>
        </w:rPr>
      </w:pPr>
      <w:r w:rsidRPr="0063119B">
        <w:rPr>
          <w:b/>
          <w:noProof/>
          <w:szCs w:val="22"/>
        </w:rPr>
        <w:lastRenderedPageBreak/>
        <w:t xml:space="preserve">INDICAÇÕES A INCLUIR </w:t>
      </w:r>
      <w:r w:rsidRPr="0063119B">
        <w:rPr>
          <w:b/>
          <w:caps/>
          <w:noProof/>
          <w:szCs w:val="22"/>
        </w:rPr>
        <w:t>no acondicionamento secundário</w:t>
      </w:r>
      <w:r w:rsidR="00A803BD" w:rsidRPr="0063119B">
        <w:rPr>
          <w:b/>
          <w:caps/>
          <w:noProof/>
          <w:szCs w:val="22"/>
        </w:rPr>
        <w:t xml:space="preserve"> E NO ACONDICIONAMENTO PRIMÁRIO</w:t>
      </w:r>
    </w:p>
    <w:p w14:paraId="4C37572B"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rPr>
          <w:b/>
          <w:caps/>
          <w:noProof/>
          <w:szCs w:val="22"/>
        </w:rPr>
      </w:pPr>
    </w:p>
    <w:p w14:paraId="0217EFD5"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rPr>
          <w:b/>
          <w:caps/>
          <w:noProof/>
          <w:szCs w:val="22"/>
        </w:rPr>
      </w:pPr>
      <w:r w:rsidRPr="0063119B">
        <w:rPr>
          <w:b/>
          <w:caps/>
          <w:noProof/>
          <w:szCs w:val="22"/>
        </w:rPr>
        <w:t>Embalagem EXTERIOR e RÓTULO PARA FRASCOS DE PEAD PARA 20</w:t>
      </w:r>
      <w:r w:rsidR="00AF70C5" w:rsidRPr="0063119B">
        <w:rPr>
          <w:b/>
          <w:caps/>
          <w:noProof/>
          <w:szCs w:val="22"/>
        </w:rPr>
        <w:t> </w:t>
      </w:r>
      <w:r w:rsidRPr="0063119B">
        <w:rPr>
          <w:b/>
          <w:caps/>
          <w:noProof/>
          <w:szCs w:val="22"/>
        </w:rPr>
        <w:t>MG</w:t>
      </w:r>
    </w:p>
    <w:p w14:paraId="6B585E5F" w14:textId="77777777" w:rsidR="0030169E" w:rsidRPr="0063119B" w:rsidRDefault="0030169E" w:rsidP="00951279">
      <w:pPr>
        <w:suppressAutoHyphens/>
        <w:ind w:right="14"/>
        <w:rPr>
          <w:noProof/>
          <w:szCs w:val="22"/>
        </w:rPr>
      </w:pPr>
    </w:p>
    <w:p w14:paraId="382951DC" w14:textId="77777777" w:rsidR="0030169E" w:rsidRPr="0063119B" w:rsidRDefault="0030169E" w:rsidP="00951279">
      <w:pPr>
        <w:suppressAutoHyphens/>
        <w:ind w:right="14"/>
        <w:rPr>
          <w:noProof/>
          <w:szCs w:val="22"/>
        </w:rPr>
      </w:pPr>
    </w:p>
    <w:p w14:paraId="24362C55"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4D4F7053" w14:textId="77777777" w:rsidR="0030169E" w:rsidRPr="0063119B" w:rsidRDefault="0030169E" w:rsidP="00951279">
      <w:pPr>
        <w:suppressAutoHyphens/>
        <w:ind w:right="14"/>
        <w:rPr>
          <w:noProof/>
          <w:szCs w:val="22"/>
        </w:rPr>
      </w:pPr>
    </w:p>
    <w:p w14:paraId="7B9509DF" w14:textId="77777777" w:rsidR="0030169E" w:rsidRPr="0063119B" w:rsidRDefault="00607DE4" w:rsidP="00951279">
      <w:pPr>
        <w:suppressAutoHyphens/>
        <w:ind w:right="14"/>
        <w:rPr>
          <w:noProof/>
          <w:szCs w:val="22"/>
        </w:rPr>
      </w:pPr>
      <w:r>
        <w:rPr>
          <w:noProof/>
          <w:szCs w:val="22"/>
        </w:rPr>
        <w:t>Rivaroxabano</w:t>
      </w:r>
      <w:r w:rsidR="001F7D02" w:rsidRPr="0063119B">
        <w:rPr>
          <w:noProof/>
          <w:szCs w:val="22"/>
        </w:rPr>
        <w:t xml:space="preserve"> Accord</w:t>
      </w:r>
      <w:r w:rsidR="0030169E" w:rsidRPr="0063119B">
        <w:rPr>
          <w:noProof/>
          <w:szCs w:val="22"/>
        </w:rPr>
        <w:t xml:space="preserve"> 20 mg comprimidos revestidos por película</w:t>
      </w:r>
    </w:p>
    <w:p w14:paraId="1FA8BB88" w14:textId="77777777" w:rsidR="0030169E" w:rsidRPr="0063119B" w:rsidRDefault="0030169E" w:rsidP="00951279">
      <w:pPr>
        <w:suppressAutoHyphens/>
        <w:ind w:right="14"/>
        <w:rPr>
          <w:noProof/>
          <w:szCs w:val="22"/>
        </w:rPr>
      </w:pPr>
      <w:r w:rsidRPr="0063119B">
        <w:rPr>
          <w:noProof/>
          <w:szCs w:val="22"/>
        </w:rPr>
        <w:t>rivaroxabano</w:t>
      </w:r>
    </w:p>
    <w:p w14:paraId="272F0C47" w14:textId="77777777" w:rsidR="0030169E" w:rsidRPr="0063119B" w:rsidRDefault="0030169E" w:rsidP="00951279">
      <w:pPr>
        <w:suppressAutoHyphens/>
        <w:ind w:right="14"/>
        <w:rPr>
          <w:noProof/>
          <w:szCs w:val="22"/>
        </w:rPr>
      </w:pPr>
    </w:p>
    <w:p w14:paraId="52F6B84A" w14:textId="77777777" w:rsidR="0030169E" w:rsidRPr="0063119B" w:rsidRDefault="0030169E" w:rsidP="00951279">
      <w:pPr>
        <w:suppressAutoHyphens/>
        <w:ind w:right="14"/>
        <w:rPr>
          <w:noProof/>
          <w:szCs w:val="22"/>
        </w:rPr>
      </w:pPr>
    </w:p>
    <w:p w14:paraId="5E08C712"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2.</w:t>
      </w:r>
      <w:r w:rsidRPr="0063119B">
        <w:rPr>
          <w:b/>
          <w:noProof/>
          <w:szCs w:val="22"/>
        </w:rPr>
        <w:tab/>
        <w:t>DESCRIÇÃO DA(S) SUBSTÂNCIA(S) ATIVA(S)</w:t>
      </w:r>
    </w:p>
    <w:p w14:paraId="11C9F5BA" w14:textId="77777777" w:rsidR="0030169E" w:rsidRPr="0063119B" w:rsidRDefault="0030169E" w:rsidP="00951279">
      <w:pPr>
        <w:suppressAutoHyphens/>
        <w:ind w:right="14"/>
        <w:rPr>
          <w:noProof/>
          <w:szCs w:val="22"/>
        </w:rPr>
      </w:pPr>
    </w:p>
    <w:p w14:paraId="0BE4A189" w14:textId="77777777" w:rsidR="0030169E" w:rsidRPr="0063119B" w:rsidRDefault="0030169E" w:rsidP="00951279">
      <w:pPr>
        <w:suppressAutoHyphens/>
        <w:ind w:right="14"/>
        <w:rPr>
          <w:noProof/>
          <w:szCs w:val="22"/>
        </w:rPr>
      </w:pPr>
      <w:r w:rsidRPr="0063119B">
        <w:rPr>
          <w:noProof/>
          <w:szCs w:val="22"/>
        </w:rPr>
        <w:t>Cada comprimido revestido por película contém 20 mg</w:t>
      </w:r>
      <w:r w:rsidR="00AF70C5" w:rsidRPr="0063119B">
        <w:rPr>
          <w:noProof/>
          <w:szCs w:val="22"/>
        </w:rPr>
        <w:t xml:space="preserve"> de</w:t>
      </w:r>
      <w:r w:rsidRPr="0063119B">
        <w:rPr>
          <w:noProof/>
          <w:szCs w:val="22"/>
        </w:rPr>
        <w:t xml:space="preserve"> rivaroxabano.</w:t>
      </w:r>
    </w:p>
    <w:p w14:paraId="5D15CAC0" w14:textId="77777777" w:rsidR="0030169E" w:rsidRPr="0063119B" w:rsidRDefault="0030169E" w:rsidP="00951279">
      <w:pPr>
        <w:suppressAutoHyphens/>
        <w:ind w:right="14"/>
        <w:rPr>
          <w:noProof/>
          <w:szCs w:val="22"/>
        </w:rPr>
      </w:pPr>
    </w:p>
    <w:p w14:paraId="28101A9E" w14:textId="77777777" w:rsidR="0030169E" w:rsidRPr="0063119B" w:rsidRDefault="0030169E" w:rsidP="00951279">
      <w:pPr>
        <w:suppressAutoHyphens/>
        <w:ind w:right="14"/>
        <w:rPr>
          <w:noProof/>
          <w:szCs w:val="22"/>
        </w:rPr>
      </w:pPr>
    </w:p>
    <w:p w14:paraId="0CD9E456"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LISTA DOS EXCIPIENTES</w:t>
      </w:r>
    </w:p>
    <w:p w14:paraId="1E196EEB" w14:textId="77777777" w:rsidR="0030169E" w:rsidRPr="0063119B" w:rsidRDefault="0030169E" w:rsidP="00951279">
      <w:pPr>
        <w:suppressAutoHyphens/>
        <w:ind w:right="14"/>
        <w:rPr>
          <w:noProof/>
          <w:szCs w:val="22"/>
        </w:rPr>
      </w:pPr>
    </w:p>
    <w:p w14:paraId="50C0DF46" w14:textId="77777777" w:rsidR="0030169E" w:rsidRPr="0063119B" w:rsidRDefault="0030169E" w:rsidP="00951279">
      <w:pPr>
        <w:suppressAutoHyphens/>
        <w:ind w:right="14"/>
        <w:rPr>
          <w:noProof/>
          <w:szCs w:val="22"/>
        </w:rPr>
      </w:pPr>
      <w:r w:rsidRPr="0063119B">
        <w:rPr>
          <w:noProof/>
          <w:szCs w:val="22"/>
        </w:rPr>
        <w:t>Contém lactose</w:t>
      </w:r>
      <w:r w:rsidR="00AF70C5" w:rsidRPr="0063119B">
        <w:rPr>
          <w:noProof/>
          <w:szCs w:val="22"/>
        </w:rPr>
        <w:t xml:space="preserve"> mono-hidratda</w:t>
      </w:r>
      <w:r w:rsidRPr="0063119B">
        <w:rPr>
          <w:noProof/>
          <w:szCs w:val="22"/>
        </w:rPr>
        <w:t>.</w:t>
      </w:r>
    </w:p>
    <w:p w14:paraId="12425939" w14:textId="77777777" w:rsidR="0030169E" w:rsidRPr="0063119B" w:rsidRDefault="0030169E" w:rsidP="00951279">
      <w:pPr>
        <w:suppressAutoHyphens/>
        <w:ind w:right="14"/>
        <w:rPr>
          <w:noProof/>
          <w:szCs w:val="22"/>
        </w:rPr>
      </w:pPr>
    </w:p>
    <w:p w14:paraId="16659C8D" w14:textId="77777777" w:rsidR="0030169E" w:rsidRPr="0063119B" w:rsidRDefault="0030169E" w:rsidP="00951279">
      <w:pPr>
        <w:suppressAutoHyphens/>
        <w:ind w:right="14"/>
        <w:rPr>
          <w:noProof/>
          <w:szCs w:val="22"/>
        </w:rPr>
      </w:pPr>
    </w:p>
    <w:p w14:paraId="53339394"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FORMA FARMACÊUTICA E CONTEÚDO</w:t>
      </w:r>
    </w:p>
    <w:p w14:paraId="7CB1841B" w14:textId="77777777" w:rsidR="0030169E" w:rsidRPr="0063119B" w:rsidRDefault="0030169E" w:rsidP="00951279">
      <w:pPr>
        <w:suppressAutoHyphens/>
        <w:ind w:right="14"/>
        <w:rPr>
          <w:noProof/>
          <w:szCs w:val="22"/>
        </w:rPr>
      </w:pPr>
    </w:p>
    <w:p w14:paraId="4125FCDD" w14:textId="77777777" w:rsidR="0030169E" w:rsidRPr="0063119B" w:rsidRDefault="00AF70C5" w:rsidP="00951279">
      <w:pPr>
        <w:suppressAutoHyphens/>
        <w:ind w:right="14"/>
        <w:rPr>
          <w:noProof/>
          <w:szCs w:val="22"/>
        </w:rPr>
      </w:pPr>
      <w:r w:rsidRPr="0063119B">
        <w:rPr>
          <w:noProof/>
          <w:szCs w:val="22"/>
        </w:rPr>
        <w:t>30 </w:t>
      </w:r>
      <w:r w:rsidR="0030169E" w:rsidRPr="0063119B">
        <w:rPr>
          <w:noProof/>
          <w:szCs w:val="22"/>
        </w:rPr>
        <w:t>comprimidos revestidos por película</w:t>
      </w:r>
    </w:p>
    <w:p w14:paraId="69628A44" w14:textId="77777777" w:rsidR="00715E11" w:rsidRPr="0063119B" w:rsidRDefault="00715E11" w:rsidP="00951279">
      <w:pPr>
        <w:suppressAutoHyphens/>
        <w:ind w:right="14"/>
        <w:rPr>
          <w:noProof/>
          <w:szCs w:val="22"/>
        </w:rPr>
      </w:pPr>
      <w:r w:rsidRPr="0063119B">
        <w:rPr>
          <w:noProof/>
          <w:szCs w:val="22"/>
          <w:highlight w:val="lightGray"/>
        </w:rPr>
        <w:t>90 comprimidos revestidos por película</w:t>
      </w:r>
    </w:p>
    <w:p w14:paraId="045F46B2" w14:textId="77777777" w:rsidR="00715E11" w:rsidRPr="0063119B" w:rsidRDefault="00715E11" w:rsidP="00951279">
      <w:pPr>
        <w:suppressAutoHyphens/>
        <w:ind w:right="14"/>
        <w:rPr>
          <w:noProof/>
          <w:szCs w:val="22"/>
        </w:rPr>
      </w:pPr>
      <w:r w:rsidRPr="0063119B">
        <w:rPr>
          <w:noProof/>
          <w:szCs w:val="22"/>
          <w:highlight w:val="lightGray"/>
        </w:rPr>
        <w:t>500 comprimidos revestidos por película</w:t>
      </w:r>
    </w:p>
    <w:p w14:paraId="5627D508" w14:textId="77777777" w:rsidR="0030169E" w:rsidRPr="0063119B" w:rsidRDefault="0030169E" w:rsidP="00951279">
      <w:pPr>
        <w:suppressAutoHyphens/>
        <w:ind w:right="14"/>
        <w:rPr>
          <w:noProof/>
          <w:szCs w:val="22"/>
        </w:rPr>
      </w:pPr>
    </w:p>
    <w:p w14:paraId="512480DA" w14:textId="77777777" w:rsidR="0030169E" w:rsidRPr="0063119B" w:rsidRDefault="0030169E" w:rsidP="00951279">
      <w:pPr>
        <w:suppressAutoHyphens/>
        <w:ind w:right="14"/>
        <w:rPr>
          <w:noProof/>
          <w:szCs w:val="22"/>
        </w:rPr>
      </w:pPr>
    </w:p>
    <w:p w14:paraId="00700916"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t>MODO E VIA(S) DE ADMINISTRAÇÃO</w:t>
      </w:r>
    </w:p>
    <w:p w14:paraId="651934F5" w14:textId="77777777" w:rsidR="0030169E" w:rsidRPr="0063119B" w:rsidRDefault="0030169E" w:rsidP="00951279">
      <w:pPr>
        <w:suppressAutoHyphens/>
        <w:ind w:right="14"/>
        <w:rPr>
          <w:noProof/>
          <w:szCs w:val="22"/>
        </w:rPr>
      </w:pPr>
    </w:p>
    <w:p w14:paraId="13117C0A" w14:textId="77777777" w:rsidR="0030169E" w:rsidRPr="0063119B" w:rsidRDefault="0030169E" w:rsidP="00951279">
      <w:pPr>
        <w:suppressAutoHyphens/>
        <w:ind w:right="14"/>
        <w:rPr>
          <w:noProof/>
          <w:szCs w:val="22"/>
        </w:rPr>
      </w:pPr>
      <w:r w:rsidRPr="0063119B">
        <w:rPr>
          <w:noProof/>
          <w:szCs w:val="22"/>
        </w:rPr>
        <w:t>Consultar o folheto informativo antes de utilizar.</w:t>
      </w:r>
    </w:p>
    <w:p w14:paraId="20D05331" w14:textId="77777777" w:rsidR="00F723A9" w:rsidRPr="0063119B" w:rsidRDefault="00F723A9" w:rsidP="00951279">
      <w:pPr>
        <w:suppressAutoHyphens/>
        <w:ind w:right="14"/>
        <w:rPr>
          <w:noProof/>
          <w:szCs w:val="22"/>
        </w:rPr>
      </w:pPr>
      <w:r w:rsidRPr="0063119B">
        <w:rPr>
          <w:noProof/>
          <w:szCs w:val="22"/>
        </w:rPr>
        <w:t>Via oral.</w:t>
      </w:r>
    </w:p>
    <w:p w14:paraId="7314442E" w14:textId="77777777" w:rsidR="0030169E" w:rsidRPr="0063119B" w:rsidRDefault="0030169E" w:rsidP="00951279">
      <w:pPr>
        <w:suppressAutoHyphens/>
        <w:ind w:right="14"/>
        <w:rPr>
          <w:noProof/>
          <w:szCs w:val="22"/>
        </w:rPr>
      </w:pPr>
    </w:p>
    <w:p w14:paraId="6B88A08E" w14:textId="77777777" w:rsidR="0030169E" w:rsidRPr="0063119B" w:rsidRDefault="0030169E" w:rsidP="00951279">
      <w:pPr>
        <w:suppressAutoHyphens/>
        <w:ind w:right="14"/>
        <w:rPr>
          <w:noProof/>
          <w:szCs w:val="22"/>
        </w:rPr>
      </w:pPr>
    </w:p>
    <w:p w14:paraId="73844D8F"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6.</w:t>
      </w:r>
      <w:r w:rsidRPr="0063119B">
        <w:rPr>
          <w:b/>
          <w:noProof/>
          <w:szCs w:val="22"/>
        </w:rPr>
        <w:tab/>
        <w:t>ADVERTÊNCIA ESPECIAL DE QUE O MEDICAMENTO DEVE SER MANTIDO FORA DA VISTA E DO ALCANCE E DAS CRIANÇAS</w:t>
      </w:r>
    </w:p>
    <w:p w14:paraId="35A06F65" w14:textId="77777777" w:rsidR="0030169E" w:rsidRPr="0063119B" w:rsidRDefault="0030169E" w:rsidP="00951279">
      <w:pPr>
        <w:suppressAutoHyphens/>
        <w:ind w:right="14"/>
        <w:rPr>
          <w:noProof/>
          <w:szCs w:val="22"/>
        </w:rPr>
      </w:pPr>
    </w:p>
    <w:p w14:paraId="66DE46B0" w14:textId="77777777" w:rsidR="0030169E" w:rsidRPr="0063119B" w:rsidRDefault="0030169E" w:rsidP="00951279">
      <w:pPr>
        <w:suppressAutoHyphens/>
        <w:ind w:right="14"/>
        <w:rPr>
          <w:noProof/>
          <w:szCs w:val="22"/>
        </w:rPr>
      </w:pPr>
      <w:r w:rsidRPr="0063119B">
        <w:rPr>
          <w:noProof/>
          <w:szCs w:val="22"/>
        </w:rPr>
        <w:t>Manter fora da vista e do alcance das crianças.</w:t>
      </w:r>
    </w:p>
    <w:p w14:paraId="784AB556" w14:textId="77777777" w:rsidR="0030169E" w:rsidRPr="0063119B" w:rsidRDefault="0030169E" w:rsidP="00951279">
      <w:pPr>
        <w:suppressAutoHyphens/>
        <w:ind w:right="14"/>
        <w:rPr>
          <w:noProof/>
          <w:szCs w:val="22"/>
        </w:rPr>
      </w:pPr>
    </w:p>
    <w:p w14:paraId="651B978E" w14:textId="77777777" w:rsidR="0030169E" w:rsidRPr="0063119B" w:rsidRDefault="0030169E" w:rsidP="00951279">
      <w:pPr>
        <w:suppressAutoHyphens/>
        <w:ind w:right="14"/>
        <w:rPr>
          <w:noProof/>
          <w:szCs w:val="22"/>
        </w:rPr>
      </w:pPr>
    </w:p>
    <w:p w14:paraId="6E921167"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7.</w:t>
      </w:r>
      <w:r w:rsidRPr="0063119B">
        <w:rPr>
          <w:b/>
          <w:noProof/>
          <w:szCs w:val="22"/>
        </w:rPr>
        <w:tab/>
        <w:t>OUTRAS ADVERTÊNCIAS ESPECIAIS, SE NECESSÁRIO</w:t>
      </w:r>
    </w:p>
    <w:p w14:paraId="74B28F0E" w14:textId="77777777" w:rsidR="0030169E" w:rsidRPr="0063119B" w:rsidRDefault="0030169E" w:rsidP="00951279">
      <w:pPr>
        <w:suppressAutoHyphens/>
        <w:ind w:right="14"/>
        <w:rPr>
          <w:noProof/>
          <w:szCs w:val="22"/>
        </w:rPr>
      </w:pPr>
    </w:p>
    <w:p w14:paraId="012708FF" w14:textId="77777777" w:rsidR="0030169E" w:rsidRPr="0063119B" w:rsidRDefault="0030169E" w:rsidP="00951279">
      <w:pPr>
        <w:suppressAutoHyphens/>
        <w:ind w:right="14"/>
        <w:rPr>
          <w:noProof/>
          <w:szCs w:val="22"/>
        </w:rPr>
      </w:pPr>
    </w:p>
    <w:p w14:paraId="5190CA52"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8.</w:t>
      </w:r>
      <w:r w:rsidRPr="0063119B">
        <w:rPr>
          <w:b/>
          <w:noProof/>
          <w:szCs w:val="22"/>
        </w:rPr>
        <w:tab/>
        <w:t>PRAZO DE VALIDADE</w:t>
      </w:r>
    </w:p>
    <w:p w14:paraId="3AAE81A9" w14:textId="77777777" w:rsidR="0030169E" w:rsidRPr="0063119B" w:rsidRDefault="0030169E" w:rsidP="00951279">
      <w:pPr>
        <w:suppressAutoHyphens/>
        <w:rPr>
          <w:noProof/>
          <w:szCs w:val="22"/>
        </w:rPr>
      </w:pPr>
    </w:p>
    <w:p w14:paraId="53B0F57A" w14:textId="77777777" w:rsidR="0030169E" w:rsidRPr="0063119B" w:rsidRDefault="0030169E" w:rsidP="00951279">
      <w:pPr>
        <w:suppressAutoHyphens/>
        <w:rPr>
          <w:noProof/>
          <w:szCs w:val="22"/>
        </w:rPr>
      </w:pPr>
      <w:r w:rsidRPr="0063119B">
        <w:rPr>
          <w:noProof/>
          <w:szCs w:val="22"/>
        </w:rPr>
        <w:t>EXP</w:t>
      </w:r>
    </w:p>
    <w:p w14:paraId="46C6354B" w14:textId="77777777" w:rsidR="0030169E" w:rsidRPr="0063119B" w:rsidRDefault="0030169E" w:rsidP="00951279">
      <w:pPr>
        <w:suppressAutoHyphens/>
        <w:ind w:right="14"/>
        <w:rPr>
          <w:noProof/>
          <w:szCs w:val="22"/>
        </w:rPr>
      </w:pPr>
    </w:p>
    <w:p w14:paraId="3CF74E45"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9.</w:t>
      </w:r>
      <w:r w:rsidRPr="0063119B">
        <w:rPr>
          <w:b/>
          <w:noProof/>
          <w:szCs w:val="22"/>
        </w:rPr>
        <w:tab/>
        <w:t>CONDIÇÕES ESPECIAIS DE CONSERVAÇÃO</w:t>
      </w:r>
    </w:p>
    <w:p w14:paraId="7682869A" w14:textId="77777777" w:rsidR="0030169E" w:rsidRPr="0063119B" w:rsidRDefault="0030169E" w:rsidP="00951279">
      <w:pPr>
        <w:suppressAutoHyphens/>
        <w:rPr>
          <w:noProof/>
          <w:szCs w:val="22"/>
        </w:rPr>
      </w:pPr>
    </w:p>
    <w:p w14:paraId="0872C479" w14:textId="77777777" w:rsidR="0030169E" w:rsidRPr="0063119B" w:rsidRDefault="0030169E" w:rsidP="00951279">
      <w:pPr>
        <w:suppressAutoHyphens/>
        <w:ind w:right="14"/>
        <w:rPr>
          <w:b/>
          <w:noProof/>
          <w:szCs w:val="22"/>
        </w:rPr>
      </w:pPr>
    </w:p>
    <w:p w14:paraId="35E8199E"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10.</w:t>
      </w:r>
      <w:r w:rsidRPr="0063119B">
        <w:rPr>
          <w:b/>
          <w:noProof/>
          <w:szCs w:val="22"/>
        </w:rPr>
        <w:tab/>
        <w:t>CUIDADOS ESPECIAIS QUANTO À ELIMINAÇÃO DO MEDICAMENTO NÃO UTILIZADO OU DOS RESÍDUOS PROVENIENTES DESSE MEDICAMENTO, SE APLICÁVEL</w:t>
      </w:r>
    </w:p>
    <w:p w14:paraId="242B9D10" w14:textId="77777777" w:rsidR="0030169E" w:rsidRPr="0063119B" w:rsidRDefault="0030169E" w:rsidP="00951279">
      <w:pPr>
        <w:suppressAutoHyphens/>
        <w:ind w:right="14"/>
        <w:rPr>
          <w:noProof/>
          <w:szCs w:val="22"/>
        </w:rPr>
      </w:pPr>
    </w:p>
    <w:p w14:paraId="38354069" w14:textId="77777777" w:rsidR="0030169E" w:rsidRPr="0063119B" w:rsidRDefault="0030169E" w:rsidP="00951279">
      <w:pPr>
        <w:suppressAutoHyphens/>
        <w:ind w:right="14"/>
        <w:rPr>
          <w:bCs/>
          <w:noProof/>
          <w:szCs w:val="22"/>
        </w:rPr>
      </w:pPr>
    </w:p>
    <w:p w14:paraId="6DF4CE90"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11.</w:t>
      </w:r>
      <w:r w:rsidRPr="0063119B">
        <w:rPr>
          <w:b/>
          <w:noProof/>
          <w:szCs w:val="22"/>
        </w:rPr>
        <w:tab/>
        <w:t>NOME E ENDEREÇO DO TITULAR DA AUTORIZAÇÃO DE INTRODUÇÃO NO MERCADO</w:t>
      </w:r>
    </w:p>
    <w:p w14:paraId="63A56305" w14:textId="77777777" w:rsidR="0030169E" w:rsidRPr="0063119B" w:rsidRDefault="0030169E" w:rsidP="00951279">
      <w:pPr>
        <w:suppressAutoHyphens/>
        <w:ind w:right="14"/>
        <w:rPr>
          <w:noProof/>
          <w:szCs w:val="22"/>
        </w:rPr>
      </w:pPr>
    </w:p>
    <w:p w14:paraId="5AD4A8A2" w14:textId="77777777" w:rsidR="00715E11" w:rsidRPr="0063119B" w:rsidRDefault="00715E11" w:rsidP="00715E11">
      <w:pPr>
        <w:keepNext/>
        <w:rPr>
          <w:szCs w:val="22"/>
          <w:lang w:val="en-GB"/>
        </w:rPr>
      </w:pPr>
      <w:r w:rsidRPr="0063119B">
        <w:rPr>
          <w:szCs w:val="22"/>
          <w:lang w:val="en-GB"/>
        </w:rPr>
        <w:t>Accord Healthcare S.L.U.</w:t>
      </w:r>
    </w:p>
    <w:p w14:paraId="2B562552" w14:textId="77777777" w:rsidR="00715E11" w:rsidRPr="00FE12A1" w:rsidRDefault="00715E11" w:rsidP="00715E11">
      <w:pPr>
        <w:rPr>
          <w:szCs w:val="22"/>
          <w:highlight w:val="lightGray"/>
        </w:rPr>
      </w:pPr>
      <w:r w:rsidRPr="00FE12A1">
        <w:rPr>
          <w:szCs w:val="22"/>
          <w:highlight w:val="lightGray"/>
        </w:rPr>
        <w:t>World Trade Center, Moll de Barcelona s/n, Edifici Est, 6</w:t>
      </w:r>
      <w:r w:rsidRPr="00FE12A1">
        <w:rPr>
          <w:szCs w:val="22"/>
          <w:highlight w:val="lightGray"/>
          <w:vertAlign w:val="superscript"/>
        </w:rPr>
        <w:t>a</w:t>
      </w:r>
      <w:r w:rsidRPr="00FE12A1">
        <w:rPr>
          <w:szCs w:val="22"/>
          <w:highlight w:val="lightGray"/>
        </w:rPr>
        <w:t xml:space="preserve"> Planta, </w:t>
      </w:r>
    </w:p>
    <w:p w14:paraId="22E285CB" w14:textId="77777777" w:rsidR="00715E11" w:rsidRPr="00FE12A1" w:rsidRDefault="00715E11" w:rsidP="00715E11">
      <w:pPr>
        <w:rPr>
          <w:szCs w:val="22"/>
          <w:highlight w:val="lightGray"/>
        </w:rPr>
      </w:pPr>
      <w:r w:rsidRPr="00FE12A1">
        <w:rPr>
          <w:szCs w:val="22"/>
          <w:highlight w:val="lightGray"/>
        </w:rPr>
        <w:t>Barcelona, 08039</w:t>
      </w:r>
    </w:p>
    <w:p w14:paraId="67338FC4" w14:textId="77777777" w:rsidR="00B536CB" w:rsidRPr="0063119B" w:rsidRDefault="00715E11" w:rsidP="00B536CB">
      <w:pPr>
        <w:rPr>
          <w:szCs w:val="22"/>
        </w:rPr>
      </w:pPr>
      <w:r w:rsidRPr="00FE12A1">
        <w:rPr>
          <w:szCs w:val="22"/>
          <w:highlight w:val="lightGray"/>
        </w:rPr>
        <w:t>Espanha</w:t>
      </w:r>
      <w:r w:rsidR="00B536CB" w:rsidRPr="00FE12A1">
        <w:rPr>
          <w:szCs w:val="22"/>
          <w:highlight w:val="lightGray"/>
        </w:rPr>
        <w:t xml:space="preserve"> </w:t>
      </w:r>
      <w:r w:rsidR="00B536CB" w:rsidRPr="00FE12A1">
        <w:rPr>
          <w:noProof/>
          <w:szCs w:val="22"/>
          <w:highlight w:val="lightGray"/>
        </w:rPr>
        <w:t>(apenas aplicável para a embalagem exterior, não aplicável para o rótulo do frasco)</w:t>
      </w:r>
    </w:p>
    <w:p w14:paraId="401F35EF" w14:textId="77777777" w:rsidR="0030169E" w:rsidRPr="0063119B" w:rsidRDefault="0030169E" w:rsidP="00951279">
      <w:pPr>
        <w:suppressAutoHyphens/>
        <w:ind w:right="14"/>
        <w:rPr>
          <w:noProof/>
          <w:szCs w:val="22"/>
        </w:rPr>
      </w:pPr>
    </w:p>
    <w:p w14:paraId="0864E29A" w14:textId="77777777" w:rsidR="0030169E" w:rsidRPr="0063119B" w:rsidRDefault="0030169E" w:rsidP="00951279">
      <w:pPr>
        <w:suppressAutoHyphens/>
        <w:ind w:right="14"/>
        <w:rPr>
          <w:noProof/>
          <w:szCs w:val="22"/>
        </w:rPr>
      </w:pPr>
    </w:p>
    <w:p w14:paraId="2155DA15"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12.</w:t>
      </w:r>
      <w:r w:rsidRPr="0063119B">
        <w:rPr>
          <w:b/>
          <w:noProof/>
          <w:szCs w:val="22"/>
        </w:rPr>
        <w:tab/>
        <w:t>NÚMERO(S) DA AUTORIZAÇÃO DE INTRODUÇÃO NO MERCADO</w:t>
      </w:r>
    </w:p>
    <w:p w14:paraId="759C0A94" w14:textId="77777777" w:rsidR="0030169E" w:rsidRPr="0063119B" w:rsidRDefault="0030169E" w:rsidP="00951279">
      <w:pPr>
        <w:suppressAutoHyphens/>
        <w:ind w:right="14"/>
        <w:rPr>
          <w:noProof/>
          <w:szCs w:val="22"/>
        </w:rPr>
      </w:pPr>
    </w:p>
    <w:p w14:paraId="7E4EBD62" w14:textId="77777777" w:rsidR="00B536CB" w:rsidRPr="0063119B" w:rsidRDefault="00B536CB" w:rsidP="00B536CB">
      <w:pPr>
        <w:rPr>
          <w:szCs w:val="22"/>
        </w:rPr>
      </w:pPr>
      <w:r w:rsidRPr="0063119B">
        <w:rPr>
          <w:szCs w:val="22"/>
        </w:rPr>
        <w:t xml:space="preserve">EU/1/20/1488/051-053 </w:t>
      </w:r>
      <w:r w:rsidRPr="0063119B">
        <w:rPr>
          <w:noProof/>
          <w:szCs w:val="22"/>
          <w:highlight w:val="lightGray"/>
        </w:rPr>
        <w:t>(apenas aplicável para a embalagem exterior, não aplicável para o rótulo do frasco)</w:t>
      </w:r>
    </w:p>
    <w:p w14:paraId="2DC44EEA" w14:textId="77777777" w:rsidR="0030169E" w:rsidRPr="0063119B" w:rsidRDefault="0030169E" w:rsidP="00951279">
      <w:pPr>
        <w:suppressAutoHyphens/>
        <w:ind w:right="14"/>
        <w:rPr>
          <w:noProof/>
          <w:szCs w:val="22"/>
        </w:rPr>
      </w:pPr>
    </w:p>
    <w:p w14:paraId="5F1439A7" w14:textId="77777777" w:rsidR="0030169E" w:rsidRPr="0063119B" w:rsidRDefault="0030169E" w:rsidP="00951279">
      <w:pPr>
        <w:suppressAutoHyphens/>
        <w:ind w:right="14"/>
        <w:rPr>
          <w:noProof/>
          <w:szCs w:val="22"/>
        </w:rPr>
      </w:pPr>
    </w:p>
    <w:p w14:paraId="25F4A2EC"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13.</w:t>
      </w:r>
      <w:r w:rsidRPr="0063119B">
        <w:rPr>
          <w:b/>
          <w:noProof/>
          <w:szCs w:val="22"/>
        </w:rPr>
        <w:tab/>
        <w:t>NÚMERO DO LOTE</w:t>
      </w:r>
    </w:p>
    <w:p w14:paraId="351AF6C0" w14:textId="77777777" w:rsidR="0030169E" w:rsidRPr="0063119B" w:rsidRDefault="0030169E" w:rsidP="00951279">
      <w:pPr>
        <w:rPr>
          <w:noProof/>
          <w:szCs w:val="22"/>
        </w:rPr>
      </w:pPr>
    </w:p>
    <w:p w14:paraId="6678F45F" w14:textId="77777777" w:rsidR="0030169E" w:rsidRPr="0063119B" w:rsidRDefault="00394D5E" w:rsidP="00951279">
      <w:pPr>
        <w:rPr>
          <w:noProof/>
          <w:szCs w:val="22"/>
        </w:rPr>
      </w:pPr>
      <w:r>
        <w:rPr>
          <w:noProof/>
          <w:szCs w:val="22"/>
        </w:rPr>
        <w:t>Lot</w:t>
      </w:r>
    </w:p>
    <w:p w14:paraId="4943CB6F" w14:textId="77777777" w:rsidR="0030169E" w:rsidRPr="0063119B" w:rsidRDefault="0030169E" w:rsidP="00951279">
      <w:pPr>
        <w:rPr>
          <w:noProof/>
          <w:szCs w:val="22"/>
        </w:rPr>
      </w:pPr>
    </w:p>
    <w:p w14:paraId="48E042E1" w14:textId="77777777" w:rsidR="0030169E" w:rsidRPr="0063119B" w:rsidRDefault="0030169E" w:rsidP="00951279">
      <w:pPr>
        <w:suppressAutoHyphens/>
        <w:ind w:right="14"/>
        <w:rPr>
          <w:noProof/>
          <w:szCs w:val="22"/>
        </w:rPr>
      </w:pPr>
    </w:p>
    <w:p w14:paraId="5E729E9C"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14.</w:t>
      </w:r>
      <w:r w:rsidRPr="0063119B">
        <w:rPr>
          <w:b/>
          <w:noProof/>
          <w:szCs w:val="22"/>
        </w:rPr>
        <w:tab/>
        <w:t xml:space="preserve">CLASSIFICAÇÃO QUANTO À DISPENSA </w:t>
      </w:r>
      <w:r w:rsidRPr="0063119B">
        <w:rPr>
          <w:b/>
          <w:caps/>
          <w:noProof/>
          <w:szCs w:val="22"/>
        </w:rPr>
        <w:t>ao Público</w:t>
      </w:r>
    </w:p>
    <w:p w14:paraId="6E3B9D96" w14:textId="77777777" w:rsidR="0030169E" w:rsidRPr="0063119B" w:rsidRDefault="0030169E" w:rsidP="00951279">
      <w:pPr>
        <w:suppressAutoHyphens/>
        <w:ind w:right="14"/>
        <w:rPr>
          <w:noProof/>
          <w:szCs w:val="22"/>
        </w:rPr>
      </w:pPr>
    </w:p>
    <w:p w14:paraId="0019784F" w14:textId="77777777" w:rsidR="0030169E" w:rsidRPr="0063119B" w:rsidRDefault="0030169E" w:rsidP="00951279">
      <w:pPr>
        <w:suppressAutoHyphens/>
        <w:ind w:right="14"/>
        <w:rPr>
          <w:noProof/>
          <w:szCs w:val="22"/>
        </w:rPr>
      </w:pPr>
    </w:p>
    <w:p w14:paraId="6C292911"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15.</w:t>
      </w:r>
      <w:r w:rsidRPr="0063119B">
        <w:rPr>
          <w:b/>
          <w:noProof/>
          <w:szCs w:val="22"/>
        </w:rPr>
        <w:tab/>
        <w:t>INSTRUÇÕES DE UTILIZAÇÃO</w:t>
      </w:r>
    </w:p>
    <w:p w14:paraId="02195E21" w14:textId="77777777" w:rsidR="0030169E" w:rsidRPr="0063119B" w:rsidRDefault="0030169E" w:rsidP="00951279">
      <w:pPr>
        <w:suppressAutoHyphens/>
        <w:ind w:right="14"/>
        <w:rPr>
          <w:noProof/>
          <w:szCs w:val="22"/>
        </w:rPr>
      </w:pPr>
    </w:p>
    <w:p w14:paraId="223CB6F0" w14:textId="77777777" w:rsidR="0030169E" w:rsidRPr="0063119B" w:rsidRDefault="0030169E" w:rsidP="00951279">
      <w:pPr>
        <w:suppressAutoHyphens/>
        <w:ind w:right="14"/>
        <w:rPr>
          <w:noProof/>
          <w:szCs w:val="22"/>
        </w:rPr>
      </w:pPr>
    </w:p>
    <w:p w14:paraId="0E42C958" w14:textId="77777777" w:rsidR="0030169E" w:rsidRPr="0063119B" w:rsidRDefault="0030169E"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16.</w:t>
      </w:r>
      <w:r w:rsidRPr="0063119B">
        <w:rPr>
          <w:b/>
          <w:noProof/>
          <w:szCs w:val="22"/>
        </w:rPr>
        <w:tab/>
      </w:r>
      <w:r w:rsidRPr="0063119B">
        <w:rPr>
          <w:b/>
          <w:caps/>
          <w:noProof/>
          <w:szCs w:val="22"/>
        </w:rPr>
        <w:t>Informação em Braille</w:t>
      </w:r>
    </w:p>
    <w:p w14:paraId="3332E945" w14:textId="77777777" w:rsidR="0030169E" w:rsidRPr="0063119B" w:rsidRDefault="0030169E" w:rsidP="00951279">
      <w:pPr>
        <w:suppressAutoHyphens/>
        <w:ind w:right="14"/>
        <w:rPr>
          <w:noProof/>
          <w:szCs w:val="22"/>
        </w:rPr>
      </w:pPr>
    </w:p>
    <w:p w14:paraId="432BCDAA" w14:textId="77777777" w:rsidR="0030169E" w:rsidRPr="0063119B" w:rsidRDefault="004B4602" w:rsidP="00951279">
      <w:pPr>
        <w:suppressAutoHyphens/>
        <w:ind w:right="14"/>
        <w:rPr>
          <w:noProof/>
          <w:szCs w:val="22"/>
        </w:rPr>
      </w:pPr>
      <w:r>
        <w:rPr>
          <w:noProof/>
          <w:szCs w:val="22"/>
        </w:rPr>
        <w:t>r</w:t>
      </w:r>
      <w:r w:rsidR="00607DE4">
        <w:rPr>
          <w:noProof/>
          <w:szCs w:val="22"/>
        </w:rPr>
        <w:t>ivaroxabano</w:t>
      </w:r>
      <w:r w:rsidR="001F7D02" w:rsidRPr="0063119B">
        <w:rPr>
          <w:noProof/>
          <w:szCs w:val="22"/>
        </w:rPr>
        <w:t xml:space="preserve"> </w:t>
      </w:r>
      <w:r>
        <w:rPr>
          <w:noProof/>
          <w:szCs w:val="22"/>
        </w:rPr>
        <w:t>a</w:t>
      </w:r>
      <w:r w:rsidRPr="0063119B">
        <w:rPr>
          <w:noProof/>
          <w:szCs w:val="22"/>
        </w:rPr>
        <w:t xml:space="preserve">ccord </w:t>
      </w:r>
      <w:r w:rsidR="0030169E" w:rsidRPr="0063119B">
        <w:rPr>
          <w:noProof/>
          <w:szCs w:val="22"/>
        </w:rPr>
        <w:t xml:space="preserve">20 mg </w:t>
      </w:r>
      <w:r w:rsidR="0030169E" w:rsidRPr="0063119B">
        <w:rPr>
          <w:noProof/>
          <w:szCs w:val="22"/>
          <w:highlight w:val="lightGray"/>
        </w:rPr>
        <w:t>(apenas aplicável para a embal</w:t>
      </w:r>
      <w:r w:rsidR="00B76C41" w:rsidRPr="0063119B">
        <w:rPr>
          <w:noProof/>
          <w:szCs w:val="22"/>
          <w:highlight w:val="lightGray"/>
        </w:rPr>
        <w:t>a</w:t>
      </w:r>
      <w:r w:rsidR="0030169E" w:rsidRPr="0063119B">
        <w:rPr>
          <w:noProof/>
          <w:szCs w:val="22"/>
          <w:highlight w:val="lightGray"/>
        </w:rPr>
        <w:t>gem exterior, não aplicável para o rótulo do frasco)</w:t>
      </w:r>
    </w:p>
    <w:p w14:paraId="027DC52F" w14:textId="77777777" w:rsidR="00D9773D" w:rsidRPr="0063119B" w:rsidRDefault="00D9773D" w:rsidP="00951279">
      <w:pPr>
        <w:suppressAutoHyphens/>
        <w:ind w:right="14"/>
        <w:rPr>
          <w:noProof/>
          <w:szCs w:val="22"/>
        </w:rPr>
      </w:pPr>
    </w:p>
    <w:p w14:paraId="2E02480F" w14:textId="77777777" w:rsidR="00B74914" w:rsidRPr="0063119B" w:rsidRDefault="00B74914" w:rsidP="00951279">
      <w:pPr>
        <w:suppressAutoHyphens/>
        <w:ind w:right="14"/>
        <w:rPr>
          <w:noProof/>
          <w:szCs w:val="22"/>
        </w:rPr>
      </w:pPr>
    </w:p>
    <w:p w14:paraId="289332D5" w14:textId="77777777" w:rsidR="00B74914" w:rsidRPr="0063119B" w:rsidRDefault="00B74914" w:rsidP="00951279">
      <w:pPr>
        <w:keepNext/>
        <w:pBdr>
          <w:top w:val="single" w:sz="4" w:space="1" w:color="auto"/>
          <w:left w:val="single" w:sz="4" w:space="4" w:color="auto"/>
          <w:bottom w:val="single" w:sz="4" w:space="1" w:color="auto"/>
          <w:right w:val="single" w:sz="4" w:space="4" w:color="auto"/>
        </w:pBdr>
        <w:tabs>
          <w:tab w:val="left" w:pos="0"/>
        </w:tabs>
        <w:rPr>
          <w:i/>
          <w:noProof/>
          <w:szCs w:val="22"/>
        </w:rPr>
      </w:pPr>
      <w:r w:rsidRPr="0063119B">
        <w:rPr>
          <w:b/>
          <w:noProof/>
          <w:szCs w:val="22"/>
        </w:rPr>
        <w:t>17.</w:t>
      </w:r>
      <w:r w:rsidRPr="0063119B">
        <w:rPr>
          <w:b/>
          <w:noProof/>
          <w:szCs w:val="22"/>
        </w:rPr>
        <w:tab/>
        <w:t>IDENTIFICADOR ÚNICO – CÓDIGO DE BARRAS 2D</w:t>
      </w:r>
    </w:p>
    <w:p w14:paraId="3211D585" w14:textId="77777777" w:rsidR="00B74914" w:rsidRPr="0063119B" w:rsidRDefault="00B74914" w:rsidP="00951279">
      <w:pPr>
        <w:rPr>
          <w:noProof/>
          <w:szCs w:val="22"/>
        </w:rPr>
      </w:pPr>
    </w:p>
    <w:p w14:paraId="7139155F" w14:textId="77777777" w:rsidR="00B74914" w:rsidRPr="0063119B" w:rsidRDefault="00B74914" w:rsidP="00951279">
      <w:pPr>
        <w:suppressAutoHyphens/>
        <w:ind w:right="14"/>
        <w:rPr>
          <w:noProof/>
          <w:szCs w:val="22"/>
        </w:rPr>
      </w:pPr>
      <w:r w:rsidRPr="0063119B">
        <w:rPr>
          <w:noProof/>
          <w:szCs w:val="22"/>
          <w:highlight w:val="lightGray"/>
        </w:rPr>
        <w:t>Código de barras 2D com identificador único incluído.</w:t>
      </w:r>
      <w:r w:rsidRPr="0063119B">
        <w:rPr>
          <w:noProof/>
          <w:szCs w:val="22"/>
        </w:rPr>
        <w:t xml:space="preserve"> </w:t>
      </w:r>
      <w:r w:rsidRPr="0063119B">
        <w:rPr>
          <w:noProof/>
          <w:szCs w:val="22"/>
          <w:highlight w:val="lightGray"/>
        </w:rPr>
        <w:t>(apenas aplicável para a embalagem exterior, não aplicável para o rótulo do frasco)</w:t>
      </w:r>
    </w:p>
    <w:p w14:paraId="35F5D759" w14:textId="77777777" w:rsidR="00B74914" w:rsidRPr="0063119B" w:rsidRDefault="00B74914" w:rsidP="00951279">
      <w:pPr>
        <w:rPr>
          <w:noProof/>
          <w:szCs w:val="22"/>
          <w:shd w:val="clear" w:color="auto" w:fill="CCCCCC"/>
        </w:rPr>
      </w:pPr>
    </w:p>
    <w:p w14:paraId="3353324C" w14:textId="77777777" w:rsidR="00B74914" w:rsidRPr="0063119B" w:rsidRDefault="00B74914" w:rsidP="00951279">
      <w:pPr>
        <w:rPr>
          <w:noProof/>
          <w:szCs w:val="22"/>
          <w:shd w:val="clear" w:color="auto" w:fill="CCCCCC"/>
        </w:rPr>
      </w:pPr>
    </w:p>
    <w:p w14:paraId="19BD5398" w14:textId="77777777" w:rsidR="00B74914" w:rsidRPr="0063119B" w:rsidRDefault="00B74914" w:rsidP="00951279">
      <w:pPr>
        <w:rPr>
          <w:noProof/>
          <w:vanish/>
          <w:szCs w:val="22"/>
        </w:rPr>
      </w:pPr>
    </w:p>
    <w:p w14:paraId="0F3CBAB9" w14:textId="77777777" w:rsidR="00B74914" w:rsidRPr="0063119B" w:rsidRDefault="00B74914" w:rsidP="00951279">
      <w:pPr>
        <w:keepNext/>
        <w:pBdr>
          <w:top w:val="single" w:sz="4" w:space="1" w:color="auto"/>
          <w:left w:val="single" w:sz="4" w:space="4" w:color="auto"/>
          <w:bottom w:val="single" w:sz="4" w:space="1" w:color="auto"/>
          <w:right w:val="single" w:sz="4" w:space="4" w:color="auto"/>
        </w:pBdr>
        <w:tabs>
          <w:tab w:val="left" w:pos="0"/>
        </w:tabs>
        <w:rPr>
          <w:b/>
          <w:noProof/>
          <w:szCs w:val="22"/>
        </w:rPr>
      </w:pPr>
      <w:r w:rsidRPr="0063119B">
        <w:rPr>
          <w:b/>
          <w:noProof/>
          <w:szCs w:val="22"/>
        </w:rPr>
        <w:t>18.</w:t>
      </w:r>
      <w:r w:rsidRPr="0063119B">
        <w:rPr>
          <w:b/>
          <w:noProof/>
          <w:szCs w:val="22"/>
        </w:rPr>
        <w:tab/>
        <w:t>IDENTIFICADOR ÚNICO - DADOS PARA LEITURA HUMANA</w:t>
      </w:r>
    </w:p>
    <w:p w14:paraId="27D41025" w14:textId="77777777" w:rsidR="00B74914" w:rsidRPr="0063119B" w:rsidRDefault="00B74914" w:rsidP="00261101">
      <w:pPr>
        <w:keepNext/>
        <w:rPr>
          <w:noProof/>
          <w:szCs w:val="22"/>
        </w:rPr>
      </w:pPr>
    </w:p>
    <w:p w14:paraId="0D7C131E" w14:textId="77777777" w:rsidR="00B74914" w:rsidRPr="0063119B" w:rsidRDefault="00B74914" w:rsidP="00261101">
      <w:pPr>
        <w:keepNext/>
        <w:suppressAutoHyphens/>
        <w:ind w:right="14"/>
        <w:rPr>
          <w:noProof/>
          <w:szCs w:val="22"/>
        </w:rPr>
      </w:pPr>
      <w:r w:rsidRPr="0063119B">
        <w:rPr>
          <w:szCs w:val="22"/>
        </w:rPr>
        <w:t xml:space="preserve">PC </w:t>
      </w:r>
      <w:r w:rsidRPr="0063119B">
        <w:rPr>
          <w:noProof/>
          <w:szCs w:val="22"/>
          <w:highlight w:val="lightGray"/>
        </w:rPr>
        <w:t>(apenas aplicável para a embalagem exterior, não aplicável para o rótulo do frasco)</w:t>
      </w:r>
    </w:p>
    <w:p w14:paraId="6BF617CC" w14:textId="77777777" w:rsidR="00B74914" w:rsidRPr="0063119B" w:rsidRDefault="00B74914" w:rsidP="00261101">
      <w:pPr>
        <w:keepNext/>
        <w:suppressAutoHyphens/>
        <w:ind w:right="14"/>
        <w:rPr>
          <w:noProof/>
          <w:szCs w:val="22"/>
        </w:rPr>
      </w:pPr>
      <w:r w:rsidRPr="0063119B">
        <w:rPr>
          <w:szCs w:val="22"/>
        </w:rPr>
        <w:t xml:space="preserve">SN </w:t>
      </w:r>
      <w:r w:rsidRPr="0063119B">
        <w:rPr>
          <w:noProof/>
          <w:szCs w:val="22"/>
          <w:highlight w:val="lightGray"/>
        </w:rPr>
        <w:t>(apenas aplicável para a embalagem exterior, não aplicável para o rótulo do frasco)</w:t>
      </w:r>
    </w:p>
    <w:p w14:paraId="5AFBEC43" w14:textId="77777777" w:rsidR="00B74914" w:rsidRPr="0063119B" w:rsidRDefault="00B74914" w:rsidP="00261101">
      <w:pPr>
        <w:keepNext/>
        <w:suppressAutoHyphens/>
        <w:ind w:right="14"/>
        <w:rPr>
          <w:noProof/>
          <w:szCs w:val="22"/>
        </w:rPr>
      </w:pPr>
      <w:r w:rsidRPr="0063119B">
        <w:rPr>
          <w:szCs w:val="22"/>
        </w:rPr>
        <w:t xml:space="preserve">NN </w:t>
      </w:r>
      <w:r w:rsidRPr="0063119B">
        <w:rPr>
          <w:noProof/>
          <w:szCs w:val="22"/>
          <w:highlight w:val="lightGray"/>
        </w:rPr>
        <w:t>(apenas aplicável para a embalagem exterior, não aplicável para o rótulo do frasco)</w:t>
      </w:r>
    </w:p>
    <w:p w14:paraId="0DA3A9A0" w14:textId="77777777" w:rsidR="001E28F4" w:rsidRPr="0063119B" w:rsidRDefault="001E28F4" w:rsidP="00951279">
      <w:pPr>
        <w:suppressAutoHyphens/>
        <w:ind w:right="14"/>
        <w:rPr>
          <w:noProof/>
          <w:szCs w:val="22"/>
        </w:rPr>
      </w:pPr>
      <w:r w:rsidRPr="0063119B">
        <w:rPr>
          <w:noProof/>
          <w:szCs w:val="22"/>
        </w:rPr>
        <w:br w:type="page"/>
      </w:r>
    </w:p>
    <w:p w14:paraId="5AAF0616" w14:textId="77777777" w:rsidR="001E28F4" w:rsidRPr="0063119B" w:rsidRDefault="001E28F4" w:rsidP="00951279">
      <w:pPr>
        <w:pBdr>
          <w:top w:val="single" w:sz="4" w:space="1" w:color="auto"/>
          <w:left w:val="single" w:sz="4" w:space="4" w:color="auto"/>
          <w:bottom w:val="single" w:sz="4" w:space="1" w:color="auto"/>
          <w:right w:val="single" w:sz="4" w:space="4" w:color="auto"/>
        </w:pBdr>
        <w:shd w:val="clear" w:color="auto" w:fill="FFFFFF"/>
        <w:suppressAutoHyphens/>
        <w:ind w:right="14"/>
        <w:rPr>
          <w:b/>
          <w:caps/>
          <w:noProof/>
          <w:szCs w:val="22"/>
        </w:rPr>
      </w:pPr>
      <w:r w:rsidRPr="0063119B">
        <w:rPr>
          <w:b/>
          <w:caps/>
          <w:noProof/>
          <w:szCs w:val="22"/>
        </w:rPr>
        <w:lastRenderedPageBreak/>
        <w:t xml:space="preserve">embalagem secundária </w:t>
      </w:r>
      <w:r w:rsidR="009B1C28" w:rsidRPr="0063119B">
        <w:rPr>
          <w:b/>
          <w:caps/>
          <w:noProof/>
          <w:szCs w:val="22"/>
        </w:rPr>
        <w:t xml:space="preserve">Da </w:t>
      </w:r>
      <w:r w:rsidRPr="0063119B">
        <w:rPr>
          <w:b/>
          <w:caps/>
          <w:noProof/>
          <w:szCs w:val="22"/>
        </w:rPr>
        <w:t xml:space="preserve">embalagem </w:t>
      </w:r>
      <w:r w:rsidR="00CA5FE3" w:rsidRPr="0063119B">
        <w:rPr>
          <w:b/>
          <w:caps/>
          <w:noProof/>
          <w:szCs w:val="22"/>
        </w:rPr>
        <w:t xml:space="preserve">de tratamento inicial </w:t>
      </w:r>
      <w:r w:rsidRPr="0063119B">
        <w:rPr>
          <w:b/>
          <w:caps/>
          <w:noProof/>
          <w:szCs w:val="22"/>
        </w:rPr>
        <w:t>(42</w:t>
      </w:r>
      <w:r w:rsidR="009B1C28" w:rsidRPr="0063119B">
        <w:rPr>
          <w:b/>
          <w:caps/>
          <w:noProof/>
          <w:szCs w:val="22"/>
        </w:rPr>
        <w:t> </w:t>
      </w:r>
      <w:r w:rsidRPr="0063119B">
        <w:rPr>
          <w:b/>
          <w:caps/>
          <w:noProof/>
          <w:szCs w:val="22"/>
        </w:rPr>
        <w:t>comprimidos revestidos por película de 15</w:t>
      </w:r>
      <w:r w:rsidR="009B1C28" w:rsidRPr="0063119B">
        <w:rPr>
          <w:b/>
          <w:caps/>
          <w:noProof/>
          <w:szCs w:val="22"/>
        </w:rPr>
        <w:t> </w:t>
      </w:r>
      <w:r w:rsidRPr="0063119B">
        <w:rPr>
          <w:b/>
          <w:caps/>
          <w:noProof/>
          <w:szCs w:val="22"/>
        </w:rPr>
        <w:t>mg e 7</w:t>
      </w:r>
      <w:r w:rsidR="009B1C28" w:rsidRPr="0063119B">
        <w:rPr>
          <w:b/>
          <w:caps/>
          <w:noProof/>
          <w:szCs w:val="22"/>
        </w:rPr>
        <w:t> </w:t>
      </w:r>
      <w:r w:rsidRPr="0063119B">
        <w:rPr>
          <w:b/>
          <w:caps/>
          <w:noProof/>
          <w:szCs w:val="22"/>
        </w:rPr>
        <w:t>comprimidos revestidos POR PElÍCULA de 20</w:t>
      </w:r>
      <w:r w:rsidR="009B1C28" w:rsidRPr="0063119B">
        <w:rPr>
          <w:b/>
          <w:caps/>
          <w:noProof/>
          <w:szCs w:val="22"/>
        </w:rPr>
        <w:t> </w:t>
      </w:r>
      <w:r w:rsidRPr="0063119B">
        <w:rPr>
          <w:b/>
          <w:caps/>
          <w:noProof/>
          <w:szCs w:val="22"/>
        </w:rPr>
        <w:t>mg) (incluindo blue box)</w:t>
      </w:r>
    </w:p>
    <w:p w14:paraId="07896538" w14:textId="77777777" w:rsidR="001E28F4" w:rsidRPr="0063119B" w:rsidRDefault="001E28F4" w:rsidP="00951279">
      <w:pPr>
        <w:suppressAutoHyphens/>
        <w:ind w:right="14"/>
        <w:rPr>
          <w:noProof/>
          <w:szCs w:val="22"/>
        </w:rPr>
      </w:pPr>
    </w:p>
    <w:p w14:paraId="3CFCC60C" w14:textId="77777777" w:rsidR="001E28F4" w:rsidRPr="0063119B" w:rsidRDefault="001E28F4" w:rsidP="00951279">
      <w:pPr>
        <w:suppressAutoHyphens/>
        <w:ind w:right="14"/>
        <w:rPr>
          <w:noProof/>
          <w:szCs w:val="22"/>
        </w:rPr>
      </w:pPr>
    </w:p>
    <w:p w14:paraId="484696BF"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w:t>
      </w:r>
      <w:r w:rsidRPr="0063119B">
        <w:rPr>
          <w:b/>
          <w:noProof/>
          <w:szCs w:val="22"/>
        </w:rPr>
        <w:tab/>
        <w:t>NOME DO MEDICAMENTO</w:t>
      </w:r>
    </w:p>
    <w:p w14:paraId="5711F5CD" w14:textId="77777777" w:rsidR="001E28F4" w:rsidRPr="0063119B" w:rsidRDefault="001E28F4" w:rsidP="00951279">
      <w:pPr>
        <w:suppressAutoHyphens/>
        <w:ind w:right="14"/>
        <w:rPr>
          <w:noProof/>
          <w:szCs w:val="22"/>
        </w:rPr>
      </w:pPr>
    </w:p>
    <w:p w14:paraId="670FA033" w14:textId="77777777" w:rsidR="001E28F4" w:rsidRPr="0063119B" w:rsidRDefault="00607DE4" w:rsidP="00951279">
      <w:pPr>
        <w:suppressAutoHyphens/>
        <w:ind w:right="14"/>
        <w:rPr>
          <w:noProof/>
          <w:szCs w:val="22"/>
        </w:rPr>
      </w:pPr>
      <w:r>
        <w:rPr>
          <w:noProof/>
          <w:szCs w:val="22"/>
        </w:rPr>
        <w:t>Rivaroxabano</w:t>
      </w:r>
      <w:r w:rsidR="001F7D02" w:rsidRPr="0063119B">
        <w:rPr>
          <w:noProof/>
          <w:szCs w:val="22"/>
        </w:rPr>
        <w:t xml:space="preserve"> Accord</w:t>
      </w:r>
      <w:r w:rsidR="001E28F4" w:rsidRPr="0063119B">
        <w:rPr>
          <w:noProof/>
          <w:szCs w:val="22"/>
        </w:rPr>
        <w:t xml:space="preserve"> 15 mg </w:t>
      </w:r>
    </w:p>
    <w:p w14:paraId="5D819F7D" w14:textId="77777777" w:rsidR="001E28F4" w:rsidRPr="001B6FEC" w:rsidRDefault="00607DE4" w:rsidP="00951279">
      <w:pPr>
        <w:suppressAutoHyphens/>
        <w:ind w:right="14"/>
        <w:rPr>
          <w:noProof/>
          <w:szCs w:val="22"/>
        </w:rPr>
      </w:pPr>
      <w:r w:rsidRPr="001B6FEC">
        <w:rPr>
          <w:noProof/>
          <w:szCs w:val="22"/>
        </w:rPr>
        <w:t>Rivaroxabano</w:t>
      </w:r>
      <w:r w:rsidR="001F7D02" w:rsidRPr="001B6FEC">
        <w:rPr>
          <w:noProof/>
          <w:szCs w:val="22"/>
        </w:rPr>
        <w:t xml:space="preserve"> Accord</w:t>
      </w:r>
      <w:r w:rsidR="001E28F4" w:rsidRPr="001B6FEC">
        <w:rPr>
          <w:noProof/>
          <w:szCs w:val="22"/>
        </w:rPr>
        <w:t xml:space="preserve"> 20</w:t>
      </w:r>
      <w:r w:rsidR="009B1C28" w:rsidRPr="001B6FEC">
        <w:rPr>
          <w:noProof/>
          <w:szCs w:val="22"/>
        </w:rPr>
        <w:t> </w:t>
      </w:r>
      <w:r w:rsidR="001E28F4" w:rsidRPr="001B6FEC">
        <w:rPr>
          <w:noProof/>
          <w:szCs w:val="22"/>
        </w:rPr>
        <w:t>mg</w:t>
      </w:r>
    </w:p>
    <w:p w14:paraId="50D06BE1" w14:textId="77777777" w:rsidR="001E28F4" w:rsidRPr="001B6FEC" w:rsidRDefault="001E28F4" w:rsidP="00951279">
      <w:pPr>
        <w:suppressAutoHyphens/>
        <w:ind w:right="14"/>
        <w:rPr>
          <w:noProof/>
          <w:szCs w:val="22"/>
        </w:rPr>
      </w:pPr>
      <w:r w:rsidRPr="001B6FEC">
        <w:rPr>
          <w:noProof/>
          <w:szCs w:val="22"/>
        </w:rPr>
        <w:t>comprimidos revestidos por película</w:t>
      </w:r>
    </w:p>
    <w:p w14:paraId="66C77F09" w14:textId="77777777" w:rsidR="001E28F4" w:rsidRPr="0063119B" w:rsidRDefault="001E28F4" w:rsidP="00951279">
      <w:pPr>
        <w:suppressAutoHyphens/>
        <w:ind w:right="14"/>
        <w:rPr>
          <w:noProof/>
          <w:szCs w:val="22"/>
        </w:rPr>
      </w:pPr>
      <w:r w:rsidRPr="0063119B">
        <w:rPr>
          <w:noProof/>
          <w:szCs w:val="22"/>
        </w:rPr>
        <w:t>rivaroxabano</w:t>
      </w:r>
    </w:p>
    <w:p w14:paraId="0E61767B" w14:textId="77777777" w:rsidR="001E28F4" w:rsidRPr="0063119B" w:rsidRDefault="001E28F4" w:rsidP="00951279">
      <w:pPr>
        <w:suppressAutoHyphens/>
        <w:ind w:right="14"/>
        <w:rPr>
          <w:noProof/>
          <w:szCs w:val="22"/>
        </w:rPr>
      </w:pPr>
    </w:p>
    <w:p w14:paraId="4C0B09F9" w14:textId="77777777" w:rsidR="001E28F4" w:rsidRPr="0063119B" w:rsidRDefault="001E28F4" w:rsidP="00951279">
      <w:pPr>
        <w:suppressAutoHyphens/>
        <w:ind w:right="14"/>
        <w:rPr>
          <w:noProof/>
          <w:szCs w:val="22"/>
        </w:rPr>
      </w:pPr>
    </w:p>
    <w:p w14:paraId="5E8A85A0"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2.</w:t>
      </w:r>
      <w:r w:rsidRPr="0063119B">
        <w:rPr>
          <w:b/>
          <w:noProof/>
          <w:szCs w:val="22"/>
        </w:rPr>
        <w:tab/>
        <w:t>DESCRIÇÃO DA(S) SUBSTÂNCIA(S) ATIVA(S)</w:t>
      </w:r>
    </w:p>
    <w:p w14:paraId="033521BF" w14:textId="77777777" w:rsidR="001E28F4" w:rsidRPr="0063119B" w:rsidRDefault="001E28F4" w:rsidP="00951279">
      <w:pPr>
        <w:suppressAutoHyphens/>
        <w:ind w:right="14"/>
        <w:rPr>
          <w:noProof/>
          <w:szCs w:val="22"/>
        </w:rPr>
      </w:pPr>
    </w:p>
    <w:p w14:paraId="285C4EF7" w14:textId="77777777" w:rsidR="001E28F4" w:rsidRPr="0063119B" w:rsidRDefault="001E28F4" w:rsidP="00951279">
      <w:pPr>
        <w:suppressAutoHyphens/>
        <w:ind w:right="14"/>
        <w:rPr>
          <w:noProof/>
          <w:szCs w:val="22"/>
        </w:rPr>
      </w:pPr>
      <w:r w:rsidRPr="0063119B">
        <w:rPr>
          <w:noProof/>
          <w:szCs w:val="22"/>
        </w:rPr>
        <w:t>Cada comprimido revestido por película vermelho para a semana</w:t>
      </w:r>
      <w:r w:rsidR="009B1C28" w:rsidRPr="0063119B">
        <w:rPr>
          <w:noProof/>
          <w:szCs w:val="22"/>
        </w:rPr>
        <w:t> </w:t>
      </w:r>
      <w:r w:rsidRPr="0063119B">
        <w:rPr>
          <w:noProof/>
          <w:szCs w:val="22"/>
        </w:rPr>
        <w:t>1, 2 e 3 contém 15 mg de rivaroxabano.</w:t>
      </w:r>
    </w:p>
    <w:p w14:paraId="784E2482" w14:textId="77777777" w:rsidR="001E28F4" w:rsidRPr="0063119B" w:rsidRDefault="001E28F4" w:rsidP="00951279">
      <w:pPr>
        <w:suppressAutoHyphens/>
        <w:ind w:right="14"/>
        <w:rPr>
          <w:noProof/>
          <w:szCs w:val="22"/>
        </w:rPr>
      </w:pPr>
      <w:r w:rsidRPr="0063119B">
        <w:rPr>
          <w:noProof/>
          <w:szCs w:val="22"/>
        </w:rPr>
        <w:t xml:space="preserve">Cada comprimido revestido por película vermelho </w:t>
      </w:r>
      <w:r w:rsidR="009B1C28" w:rsidRPr="0063119B">
        <w:rPr>
          <w:noProof/>
          <w:szCs w:val="22"/>
        </w:rPr>
        <w:t xml:space="preserve">escuro </w:t>
      </w:r>
      <w:r w:rsidRPr="0063119B">
        <w:rPr>
          <w:noProof/>
          <w:szCs w:val="22"/>
        </w:rPr>
        <w:t>para a semana</w:t>
      </w:r>
      <w:r w:rsidR="009B1C28" w:rsidRPr="0063119B">
        <w:rPr>
          <w:noProof/>
          <w:szCs w:val="22"/>
        </w:rPr>
        <w:t> </w:t>
      </w:r>
      <w:r w:rsidRPr="0063119B">
        <w:rPr>
          <w:noProof/>
          <w:szCs w:val="22"/>
        </w:rPr>
        <w:t>4 contém 20 mg de rivaroxabano.</w:t>
      </w:r>
    </w:p>
    <w:p w14:paraId="68DB8AB5" w14:textId="77777777" w:rsidR="001E28F4" w:rsidRPr="0063119B" w:rsidRDefault="001E28F4" w:rsidP="00951279">
      <w:pPr>
        <w:suppressAutoHyphens/>
        <w:ind w:right="14"/>
        <w:rPr>
          <w:noProof/>
          <w:szCs w:val="22"/>
        </w:rPr>
      </w:pPr>
    </w:p>
    <w:p w14:paraId="496528C8" w14:textId="77777777" w:rsidR="001E28F4" w:rsidRPr="0063119B" w:rsidRDefault="001E28F4" w:rsidP="00951279">
      <w:pPr>
        <w:suppressAutoHyphens/>
        <w:ind w:right="14"/>
        <w:rPr>
          <w:noProof/>
          <w:szCs w:val="22"/>
        </w:rPr>
      </w:pPr>
    </w:p>
    <w:p w14:paraId="48DA5121"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3.</w:t>
      </w:r>
      <w:r w:rsidRPr="0063119B">
        <w:rPr>
          <w:b/>
          <w:noProof/>
          <w:szCs w:val="22"/>
        </w:rPr>
        <w:tab/>
        <w:t>LISTA DOS EXCIPIENTES</w:t>
      </w:r>
    </w:p>
    <w:p w14:paraId="7A673BF9" w14:textId="77777777" w:rsidR="001E28F4" w:rsidRPr="0063119B" w:rsidRDefault="001E28F4" w:rsidP="00951279">
      <w:pPr>
        <w:suppressAutoHyphens/>
        <w:ind w:right="14"/>
        <w:rPr>
          <w:noProof/>
          <w:szCs w:val="22"/>
        </w:rPr>
      </w:pPr>
    </w:p>
    <w:p w14:paraId="6574A941" w14:textId="77777777" w:rsidR="001E28F4" w:rsidRPr="0063119B" w:rsidRDefault="001E28F4" w:rsidP="00951279">
      <w:pPr>
        <w:suppressAutoHyphens/>
        <w:ind w:right="14"/>
        <w:rPr>
          <w:noProof/>
          <w:szCs w:val="22"/>
        </w:rPr>
      </w:pPr>
      <w:r w:rsidRPr="0063119B">
        <w:rPr>
          <w:noProof/>
          <w:szCs w:val="22"/>
        </w:rPr>
        <w:t>Contém lactose</w:t>
      </w:r>
      <w:r w:rsidR="009B1C28" w:rsidRPr="0063119B">
        <w:rPr>
          <w:noProof/>
          <w:szCs w:val="22"/>
        </w:rPr>
        <w:t xml:space="preserve"> mono-hidratada</w:t>
      </w:r>
      <w:r w:rsidRPr="0063119B">
        <w:rPr>
          <w:noProof/>
          <w:szCs w:val="22"/>
        </w:rPr>
        <w:t>.</w:t>
      </w:r>
    </w:p>
    <w:p w14:paraId="478E0EBC" w14:textId="77777777" w:rsidR="001E28F4" w:rsidRPr="0063119B" w:rsidRDefault="001E28F4" w:rsidP="00951279">
      <w:pPr>
        <w:suppressAutoHyphens/>
        <w:ind w:right="14"/>
        <w:rPr>
          <w:noProof/>
          <w:szCs w:val="22"/>
        </w:rPr>
      </w:pPr>
    </w:p>
    <w:p w14:paraId="2FD82042" w14:textId="77777777" w:rsidR="001E28F4" w:rsidRPr="0063119B" w:rsidRDefault="001E28F4" w:rsidP="00951279">
      <w:pPr>
        <w:suppressAutoHyphens/>
        <w:ind w:right="14"/>
        <w:rPr>
          <w:noProof/>
          <w:szCs w:val="22"/>
        </w:rPr>
      </w:pPr>
    </w:p>
    <w:p w14:paraId="115A5547"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4.</w:t>
      </w:r>
      <w:r w:rsidRPr="0063119B">
        <w:rPr>
          <w:b/>
          <w:noProof/>
          <w:szCs w:val="22"/>
        </w:rPr>
        <w:tab/>
        <w:t>FORMA FARMACÊUTICA E CONTEÚDO</w:t>
      </w:r>
    </w:p>
    <w:p w14:paraId="51863B57" w14:textId="77777777" w:rsidR="001E28F4" w:rsidRPr="0063119B" w:rsidRDefault="001E28F4" w:rsidP="00951279">
      <w:pPr>
        <w:suppressAutoHyphens/>
        <w:ind w:right="14"/>
        <w:rPr>
          <w:noProof/>
          <w:szCs w:val="22"/>
        </w:rPr>
      </w:pPr>
    </w:p>
    <w:p w14:paraId="259F5B70" w14:textId="77777777" w:rsidR="001E28F4" w:rsidRPr="0063119B" w:rsidRDefault="001E28F4" w:rsidP="00951279">
      <w:pPr>
        <w:suppressAutoHyphens/>
        <w:ind w:right="14"/>
        <w:rPr>
          <w:noProof/>
          <w:szCs w:val="22"/>
        </w:rPr>
      </w:pPr>
      <w:r w:rsidRPr="0063119B">
        <w:rPr>
          <w:noProof/>
          <w:szCs w:val="22"/>
        </w:rPr>
        <w:t>Cada embalagem de 49</w:t>
      </w:r>
      <w:r w:rsidR="009B1C28" w:rsidRPr="0063119B">
        <w:rPr>
          <w:noProof/>
          <w:szCs w:val="22"/>
        </w:rPr>
        <w:t> </w:t>
      </w:r>
      <w:r w:rsidRPr="0063119B">
        <w:rPr>
          <w:noProof/>
          <w:szCs w:val="22"/>
        </w:rPr>
        <w:t xml:space="preserve">comprimidos revestidos por película contém: </w:t>
      </w:r>
    </w:p>
    <w:p w14:paraId="6D83A190" w14:textId="77777777" w:rsidR="001E28F4" w:rsidRPr="0063119B" w:rsidRDefault="001E28F4" w:rsidP="00951279">
      <w:pPr>
        <w:suppressAutoHyphens/>
        <w:ind w:right="14"/>
        <w:rPr>
          <w:noProof/>
          <w:szCs w:val="22"/>
        </w:rPr>
      </w:pPr>
      <w:r w:rsidRPr="0063119B">
        <w:rPr>
          <w:noProof/>
          <w:szCs w:val="22"/>
        </w:rPr>
        <w:t>42</w:t>
      </w:r>
      <w:r w:rsidR="009B1C28" w:rsidRPr="0063119B">
        <w:rPr>
          <w:noProof/>
          <w:szCs w:val="22"/>
        </w:rPr>
        <w:t> </w:t>
      </w:r>
      <w:r w:rsidRPr="0063119B">
        <w:rPr>
          <w:noProof/>
          <w:szCs w:val="22"/>
        </w:rPr>
        <w:t>comprimidos revestidos por película de 15</w:t>
      </w:r>
      <w:r w:rsidR="009B1C28" w:rsidRPr="0063119B">
        <w:rPr>
          <w:noProof/>
          <w:szCs w:val="22"/>
        </w:rPr>
        <w:t> </w:t>
      </w:r>
      <w:r w:rsidRPr="0063119B">
        <w:rPr>
          <w:noProof/>
          <w:szCs w:val="22"/>
        </w:rPr>
        <w:t>mg de rivaroxabano.</w:t>
      </w:r>
    </w:p>
    <w:p w14:paraId="6DDA1542" w14:textId="77777777" w:rsidR="001E28F4" w:rsidRPr="0063119B" w:rsidRDefault="001E28F4" w:rsidP="00951279">
      <w:pPr>
        <w:suppressAutoHyphens/>
        <w:ind w:right="14"/>
        <w:rPr>
          <w:noProof/>
          <w:szCs w:val="22"/>
        </w:rPr>
      </w:pPr>
      <w:r w:rsidRPr="0063119B">
        <w:rPr>
          <w:noProof/>
          <w:szCs w:val="22"/>
        </w:rPr>
        <w:t>7</w:t>
      </w:r>
      <w:r w:rsidR="009B1C28" w:rsidRPr="0063119B">
        <w:rPr>
          <w:noProof/>
          <w:szCs w:val="22"/>
        </w:rPr>
        <w:t> </w:t>
      </w:r>
      <w:r w:rsidRPr="0063119B">
        <w:rPr>
          <w:noProof/>
          <w:szCs w:val="22"/>
        </w:rPr>
        <w:t>comprimidos revestidos por película de 20</w:t>
      </w:r>
      <w:r w:rsidR="009B1C28" w:rsidRPr="0063119B">
        <w:rPr>
          <w:noProof/>
          <w:szCs w:val="22"/>
        </w:rPr>
        <w:t> </w:t>
      </w:r>
      <w:r w:rsidRPr="0063119B">
        <w:rPr>
          <w:noProof/>
          <w:szCs w:val="22"/>
        </w:rPr>
        <w:t>mg de rivaroxabano.</w:t>
      </w:r>
    </w:p>
    <w:p w14:paraId="626E803B" w14:textId="77777777" w:rsidR="001E28F4" w:rsidRPr="0063119B" w:rsidRDefault="001E28F4" w:rsidP="00951279">
      <w:pPr>
        <w:suppressAutoHyphens/>
        <w:ind w:right="14"/>
        <w:rPr>
          <w:noProof/>
          <w:szCs w:val="22"/>
        </w:rPr>
      </w:pPr>
    </w:p>
    <w:p w14:paraId="443A4FFE"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5.</w:t>
      </w:r>
      <w:r w:rsidRPr="0063119B">
        <w:rPr>
          <w:b/>
          <w:noProof/>
          <w:szCs w:val="22"/>
        </w:rPr>
        <w:tab/>
        <w:t>MODO E VIA(S) DE ADMINISTRAÇÃO</w:t>
      </w:r>
    </w:p>
    <w:p w14:paraId="0C1BA715" w14:textId="77777777" w:rsidR="001E28F4" w:rsidRPr="0063119B" w:rsidRDefault="001E28F4" w:rsidP="00951279">
      <w:pPr>
        <w:suppressAutoHyphens/>
        <w:ind w:right="14"/>
        <w:rPr>
          <w:noProof/>
          <w:szCs w:val="22"/>
        </w:rPr>
      </w:pPr>
    </w:p>
    <w:p w14:paraId="1BE58202" w14:textId="77777777" w:rsidR="001E28F4" w:rsidRPr="0063119B" w:rsidRDefault="001E28F4" w:rsidP="00951279">
      <w:pPr>
        <w:suppressAutoHyphens/>
        <w:ind w:right="14"/>
        <w:rPr>
          <w:noProof/>
          <w:szCs w:val="22"/>
        </w:rPr>
      </w:pPr>
      <w:r w:rsidRPr="0063119B">
        <w:rPr>
          <w:noProof/>
          <w:szCs w:val="22"/>
        </w:rPr>
        <w:t>Consultar o folheto informativo antes de utilizar.</w:t>
      </w:r>
    </w:p>
    <w:p w14:paraId="4EB9551A" w14:textId="77777777" w:rsidR="00F723A9" w:rsidRPr="0063119B" w:rsidRDefault="00F723A9" w:rsidP="00951279">
      <w:pPr>
        <w:suppressAutoHyphens/>
        <w:ind w:right="14"/>
        <w:rPr>
          <w:noProof/>
          <w:szCs w:val="22"/>
        </w:rPr>
      </w:pPr>
      <w:r w:rsidRPr="0063119B">
        <w:rPr>
          <w:noProof/>
          <w:szCs w:val="22"/>
        </w:rPr>
        <w:t>Via oral.</w:t>
      </w:r>
    </w:p>
    <w:p w14:paraId="3702A023" w14:textId="77777777" w:rsidR="00CA5FE3" w:rsidRPr="0063119B" w:rsidRDefault="00CA5FE3" w:rsidP="00951279">
      <w:pPr>
        <w:suppressAutoHyphens/>
        <w:ind w:right="14"/>
        <w:rPr>
          <w:noProof/>
          <w:szCs w:val="22"/>
        </w:rPr>
      </w:pPr>
    </w:p>
    <w:p w14:paraId="7AC62272" w14:textId="77777777" w:rsidR="00CA5FE3" w:rsidRPr="0063119B" w:rsidRDefault="00CC5F7D" w:rsidP="005500AB">
      <w:pPr>
        <w:suppressAutoHyphens/>
        <w:ind w:right="11"/>
        <w:outlineLvl w:val="2"/>
        <w:rPr>
          <w:noProof/>
          <w:szCs w:val="22"/>
        </w:rPr>
      </w:pPr>
      <w:r w:rsidRPr="0063119B">
        <w:rPr>
          <w:noProof/>
          <w:szCs w:val="22"/>
        </w:rPr>
        <w:t>Embalagem de tratamento inicial</w:t>
      </w:r>
    </w:p>
    <w:p w14:paraId="1E247769" w14:textId="77777777" w:rsidR="00CC5F7D" w:rsidRPr="0063119B" w:rsidRDefault="00CC5F7D" w:rsidP="00951279">
      <w:pPr>
        <w:suppressAutoHyphens/>
        <w:ind w:right="14"/>
        <w:rPr>
          <w:noProof/>
          <w:szCs w:val="22"/>
        </w:rPr>
      </w:pPr>
    </w:p>
    <w:p w14:paraId="7805C4B1" w14:textId="77777777" w:rsidR="00CC5F7D" w:rsidRPr="0063119B" w:rsidRDefault="00CC5F7D" w:rsidP="00951279">
      <w:pPr>
        <w:suppressAutoHyphens/>
        <w:ind w:right="14"/>
        <w:rPr>
          <w:noProof/>
          <w:szCs w:val="22"/>
        </w:rPr>
      </w:pPr>
      <w:r w:rsidRPr="0063119B">
        <w:rPr>
          <w:noProof/>
          <w:szCs w:val="22"/>
        </w:rPr>
        <w:t>Esta embalagem de tratamento inicial destina-se apenas às primeiras 4 semanas de tratamento.</w:t>
      </w:r>
    </w:p>
    <w:p w14:paraId="1057BA6E" w14:textId="77777777" w:rsidR="00CC5F7D" w:rsidRPr="0063119B" w:rsidRDefault="00CC5F7D" w:rsidP="00951279">
      <w:pPr>
        <w:suppressAutoHyphens/>
        <w:ind w:right="14"/>
        <w:rPr>
          <w:noProof/>
          <w:szCs w:val="22"/>
        </w:rPr>
      </w:pPr>
    </w:p>
    <w:p w14:paraId="1097D8D1" w14:textId="77777777" w:rsidR="00CC5F7D" w:rsidRPr="0063119B" w:rsidRDefault="009B1C28" w:rsidP="00951279">
      <w:pPr>
        <w:suppressAutoHyphens/>
        <w:ind w:right="14"/>
        <w:rPr>
          <w:noProof/>
          <w:szCs w:val="22"/>
        </w:rPr>
      </w:pPr>
      <w:r w:rsidRPr="0063119B">
        <w:rPr>
          <w:noProof/>
          <w:szCs w:val="22"/>
        </w:rPr>
        <w:t>DOSE</w:t>
      </w:r>
      <w:r w:rsidR="00CC5F7D" w:rsidRPr="0063119B">
        <w:rPr>
          <w:noProof/>
          <w:szCs w:val="22"/>
        </w:rPr>
        <w:t xml:space="preserve">: </w:t>
      </w:r>
    </w:p>
    <w:p w14:paraId="2C658F03" w14:textId="77777777" w:rsidR="00CC5F7D" w:rsidRPr="0063119B" w:rsidRDefault="00CC5F7D" w:rsidP="00951279">
      <w:pPr>
        <w:suppressAutoHyphens/>
        <w:ind w:right="14"/>
        <w:rPr>
          <w:noProof/>
          <w:szCs w:val="22"/>
        </w:rPr>
      </w:pPr>
      <w:r w:rsidRPr="0063119B">
        <w:rPr>
          <w:noProof/>
          <w:szCs w:val="22"/>
        </w:rPr>
        <w:t>Do dia</w:t>
      </w:r>
      <w:r w:rsidR="00031047" w:rsidRPr="0063119B">
        <w:rPr>
          <w:noProof/>
          <w:szCs w:val="22"/>
        </w:rPr>
        <w:t> </w:t>
      </w:r>
      <w:r w:rsidRPr="0063119B">
        <w:rPr>
          <w:noProof/>
          <w:szCs w:val="22"/>
        </w:rPr>
        <w:t>1 ao dia</w:t>
      </w:r>
      <w:r w:rsidR="00031047" w:rsidRPr="0063119B">
        <w:rPr>
          <w:noProof/>
          <w:szCs w:val="22"/>
        </w:rPr>
        <w:t> </w:t>
      </w:r>
      <w:r w:rsidRPr="0063119B">
        <w:rPr>
          <w:noProof/>
          <w:szCs w:val="22"/>
        </w:rPr>
        <w:t>21: um comprimido de 15</w:t>
      </w:r>
      <w:r w:rsidR="00031047" w:rsidRPr="0063119B">
        <w:rPr>
          <w:noProof/>
          <w:szCs w:val="22"/>
        </w:rPr>
        <w:t> </w:t>
      </w:r>
      <w:r w:rsidRPr="0063119B">
        <w:rPr>
          <w:noProof/>
          <w:szCs w:val="22"/>
        </w:rPr>
        <w:t>mg duas vezes ao dia (um comprimido de 15</w:t>
      </w:r>
      <w:r w:rsidR="00031047" w:rsidRPr="0063119B">
        <w:rPr>
          <w:noProof/>
          <w:szCs w:val="22"/>
        </w:rPr>
        <w:t> </w:t>
      </w:r>
      <w:r w:rsidRPr="0063119B">
        <w:rPr>
          <w:noProof/>
          <w:szCs w:val="22"/>
        </w:rPr>
        <w:t>mg de manhã e um comprimido à noite) com alimentos.</w:t>
      </w:r>
    </w:p>
    <w:p w14:paraId="4F2C2BB3" w14:textId="77777777" w:rsidR="00CC5F7D" w:rsidRPr="0063119B" w:rsidRDefault="00CC5F7D" w:rsidP="00951279">
      <w:pPr>
        <w:suppressAutoHyphens/>
        <w:ind w:right="14"/>
        <w:rPr>
          <w:noProof/>
          <w:szCs w:val="22"/>
        </w:rPr>
      </w:pPr>
      <w:r w:rsidRPr="0063119B">
        <w:rPr>
          <w:noProof/>
          <w:szCs w:val="22"/>
        </w:rPr>
        <w:t>A partir do dia</w:t>
      </w:r>
      <w:r w:rsidR="00031047" w:rsidRPr="0063119B">
        <w:rPr>
          <w:noProof/>
          <w:szCs w:val="22"/>
        </w:rPr>
        <w:t> </w:t>
      </w:r>
      <w:r w:rsidRPr="0063119B">
        <w:rPr>
          <w:noProof/>
          <w:szCs w:val="22"/>
        </w:rPr>
        <w:t>22: um comprimido de 20</w:t>
      </w:r>
      <w:r w:rsidR="00031047" w:rsidRPr="0063119B">
        <w:rPr>
          <w:noProof/>
          <w:szCs w:val="22"/>
        </w:rPr>
        <w:t> </w:t>
      </w:r>
      <w:r w:rsidRPr="0063119B">
        <w:rPr>
          <w:noProof/>
          <w:szCs w:val="22"/>
        </w:rPr>
        <w:t>mg uma vez ao dia (tomado sempre à mesma hora) com alimentos.</w:t>
      </w:r>
    </w:p>
    <w:p w14:paraId="6C95420C" w14:textId="77777777" w:rsidR="001E28F4" w:rsidRPr="0063119B" w:rsidRDefault="001E28F4" w:rsidP="00951279">
      <w:pPr>
        <w:suppressAutoHyphens/>
        <w:ind w:right="14"/>
        <w:rPr>
          <w:noProof/>
          <w:szCs w:val="22"/>
        </w:rPr>
      </w:pPr>
    </w:p>
    <w:p w14:paraId="3513C643" w14:textId="77777777" w:rsidR="00AD4121" w:rsidRPr="0063119B" w:rsidRDefault="00AD4121" w:rsidP="00951279">
      <w:pPr>
        <w:suppressAutoHyphens/>
        <w:ind w:right="14"/>
        <w:rPr>
          <w:noProof/>
          <w:szCs w:val="22"/>
        </w:rPr>
      </w:pPr>
      <w:r w:rsidRPr="0063119B">
        <w:rPr>
          <w:noProof/>
          <w:szCs w:val="22"/>
        </w:rPr>
        <w:t>Do dia</w:t>
      </w:r>
      <w:r w:rsidR="00031047" w:rsidRPr="0063119B">
        <w:rPr>
          <w:noProof/>
          <w:szCs w:val="22"/>
        </w:rPr>
        <w:t> </w:t>
      </w:r>
      <w:r w:rsidRPr="0063119B">
        <w:rPr>
          <w:noProof/>
          <w:szCs w:val="22"/>
        </w:rPr>
        <w:t>1 ao dia</w:t>
      </w:r>
      <w:r w:rsidR="00031047" w:rsidRPr="0063119B">
        <w:rPr>
          <w:noProof/>
          <w:szCs w:val="22"/>
        </w:rPr>
        <w:t> </w:t>
      </w:r>
      <w:r w:rsidRPr="0063119B">
        <w:rPr>
          <w:noProof/>
          <w:szCs w:val="22"/>
        </w:rPr>
        <w:t>21: 1</w:t>
      </w:r>
      <w:r w:rsidR="00031047" w:rsidRPr="0063119B">
        <w:rPr>
          <w:noProof/>
          <w:szCs w:val="22"/>
        </w:rPr>
        <w:t> </w:t>
      </w:r>
      <w:r w:rsidRPr="0063119B">
        <w:rPr>
          <w:noProof/>
          <w:szCs w:val="22"/>
        </w:rPr>
        <w:t>comprimido de 15</w:t>
      </w:r>
      <w:r w:rsidR="00031047" w:rsidRPr="0063119B">
        <w:rPr>
          <w:noProof/>
          <w:szCs w:val="22"/>
        </w:rPr>
        <w:t> </w:t>
      </w:r>
      <w:r w:rsidRPr="0063119B">
        <w:rPr>
          <w:noProof/>
          <w:szCs w:val="22"/>
        </w:rPr>
        <w:t>mg duas vezes ao dia (um comprimido de 15</w:t>
      </w:r>
      <w:r w:rsidR="00031047" w:rsidRPr="0063119B">
        <w:rPr>
          <w:noProof/>
          <w:szCs w:val="22"/>
        </w:rPr>
        <w:t> </w:t>
      </w:r>
      <w:r w:rsidRPr="0063119B">
        <w:rPr>
          <w:noProof/>
          <w:szCs w:val="22"/>
        </w:rPr>
        <w:t>mg de manhã e um comprimido à noite) com alimentos.</w:t>
      </w:r>
    </w:p>
    <w:p w14:paraId="52A9D493" w14:textId="77777777" w:rsidR="00AD4121" w:rsidRPr="0063119B" w:rsidRDefault="00AD4121" w:rsidP="00951279">
      <w:pPr>
        <w:suppressAutoHyphens/>
        <w:ind w:right="14"/>
        <w:rPr>
          <w:noProof/>
          <w:szCs w:val="22"/>
        </w:rPr>
      </w:pPr>
      <w:r w:rsidRPr="0063119B">
        <w:rPr>
          <w:noProof/>
          <w:szCs w:val="22"/>
        </w:rPr>
        <w:t>A partir do dia</w:t>
      </w:r>
      <w:r w:rsidR="00031047" w:rsidRPr="0063119B">
        <w:rPr>
          <w:noProof/>
          <w:szCs w:val="22"/>
        </w:rPr>
        <w:t> </w:t>
      </w:r>
      <w:r w:rsidRPr="0063119B">
        <w:rPr>
          <w:noProof/>
          <w:szCs w:val="22"/>
        </w:rPr>
        <w:t>22: 1 comprimido de 20</w:t>
      </w:r>
      <w:r w:rsidR="00031047" w:rsidRPr="0063119B">
        <w:rPr>
          <w:noProof/>
          <w:szCs w:val="22"/>
        </w:rPr>
        <w:t> </w:t>
      </w:r>
      <w:r w:rsidRPr="0063119B">
        <w:rPr>
          <w:noProof/>
          <w:szCs w:val="22"/>
        </w:rPr>
        <w:t>mg uma vez ao dia (tomado sempre à mesma hora) com alimentos.</w:t>
      </w:r>
    </w:p>
    <w:p w14:paraId="584CFC3E" w14:textId="77777777" w:rsidR="001E28F4" w:rsidRPr="0063119B" w:rsidRDefault="001E28F4" w:rsidP="00951279">
      <w:pPr>
        <w:suppressAutoHyphens/>
        <w:ind w:right="14"/>
        <w:rPr>
          <w:noProof/>
          <w:szCs w:val="22"/>
        </w:rPr>
      </w:pPr>
    </w:p>
    <w:p w14:paraId="1C75C57F" w14:textId="77777777" w:rsidR="00AD4121" w:rsidRPr="0063119B" w:rsidRDefault="00AD4121" w:rsidP="00951279">
      <w:pPr>
        <w:suppressAutoHyphens/>
        <w:ind w:right="14"/>
        <w:rPr>
          <w:noProof/>
          <w:szCs w:val="22"/>
        </w:rPr>
      </w:pPr>
    </w:p>
    <w:p w14:paraId="6D264CFC"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6.</w:t>
      </w:r>
      <w:r w:rsidRPr="0063119B">
        <w:rPr>
          <w:b/>
          <w:noProof/>
          <w:szCs w:val="22"/>
        </w:rPr>
        <w:tab/>
        <w:t>ADVERTÊNCIA ESPECIAL DE QUE O MEDICAMENTO DEVE SER MANTIDO FORA DA VISTA E DO ALCANCE DAS CRIANÇAS</w:t>
      </w:r>
    </w:p>
    <w:p w14:paraId="7164540F" w14:textId="77777777" w:rsidR="001E28F4" w:rsidRPr="0063119B" w:rsidRDefault="001E28F4" w:rsidP="00951279">
      <w:pPr>
        <w:suppressAutoHyphens/>
        <w:ind w:right="14"/>
        <w:rPr>
          <w:noProof/>
          <w:szCs w:val="22"/>
        </w:rPr>
      </w:pPr>
    </w:p>
    <w:p w14:paraId="30F9AEAC" w14:textId="77777777" w:rsidR="001E28F4" w:rsidRPr="0063119B" w:rsidRDefault="001E28F4" w:rsidP="00951279">
      <w:pPr>
        <w:suppressAutoHyphens/>
        <w:ind w:right="14"/>
        <w:rPr>
          <w:noProof/>
          <w:szCs w:val="22"/>
        </w:rPr>
      </w:pPr>
      <w:r w:rsidRPr="0063119B">
        <w:rPr>
          <w:noProof/>
          <w:szCs w:val="22"/>
        </w:rPr>
        <w:t>Manter fora da vista e do alcance das crianças.</w:t>
      </w:r>
    </w:p>
    <w:p w14:paraId="75AED39F" w14:textId="77777777" w:rsidR="001E28F4" w:rsidRPr="0063119B" w:rsidRDefault="001E28F4" w:rsidP="00951279">
      <w:pPr>
        <w:suppressAutoHyphens/>
        <w:ind w:right="14"/>
        <w:rPr>
          <w:noProof/>
          <w:szCs w:val="22"/>
        </w:rPr>
      </w:pPr>
    </w:p>
    <w:p w14:paraId="4EF9847B" w14:textId="77777777" w:rsidR="001E28F4" w:rsidRPr="0063119B" w:rsidRDefault="001E28F4" w:rsidP="00951279">
      <w:pPr>
        <w:suppressAutoHyphens/>
        <w:ind w:right="14"/>
        <w:rPr>
          <w:noProof/>
          <w:szCs w:val="22"/>
        </w:rPr>
      </w:pPr>
    </w:p>
    <w:p w14:paraId="555C3720"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7.</w:t>
      </w:r>
      <w:r w:rsidRPr="0063119B">
        <w:rPr>
          <w:b/>
          <w:noProof/>
          <w:szCs w:val="22"/>
        </w:rPr>
        <w:tab/>
        <w:t>OUTRAS ADVERTÊNCIAS ESPECIAIS, SE NECESSÁRIO</w:t>
      </w:r>
    </w:p>
    <w:p w14:paraId="4DBBBBAA" w14:textId="77777777" w:rsidR="001E28F4" w:rsidRPr="0063119B" w:rsidRDefault="001E28F4" w:rsidP="00951279">
      <w:pPr>
        <w:suppressAutoHyphens/>
        <w:ind w:right="14"/>
        <w:rPr>
          <w:noProof/>
          <w:szCs w:val="22"/>
        </w:rPr>
      </w:pPr>
    </w:p>
    <w:p w14:paraId="361B37F5" w14:textId="77777777" w:rsidR="001E28F4" w:rsidRPr="0063119B" w:rsidRDefault="001E28F4" w:rsidP="00951279">
      <w:pPr>
        <w:suppressAutoHyphens/>
        <w:ind w:right="14"/>
        <w:rPr>
          <w:noProof/>
          <w:szCs w:val="22"/>
        </w:rPr>
      </w:pPr>
    </w:p>
    <w:p w14:paraId="4D3E8B9E"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8.</w:t>
      </w:r>
      <w:r w:rsidRPr="0063119B">
        <w:rPr>
          <w:b/>
          <w:noProof/>
          <w:szCs w:val="22"/>
        </w:rPr>
        <w:tab/>
        <w:t>PRAZO DE VALIDADE</w:t>
      </w:r>
    </w:p>
    <w:p w14:paraId="737F0F87" w14:textId="77777777" w:rsidR="001E28F4" w:rsidRPr="0063119B" w:rsidRDefault="001E28F4" w:rsidP="00951279">
      <w:pPr>
        <w:suppressAutoHyphens/>
        <w:rPr>
          <w:noProof/>
          <w:szCs w:val="22"/>
        </w:rPr>
      </w:pPr>
    </w:p>
    <w:p w14:paraId="6C8393CB" w14:textId="77777777" w:rsidR="001E28F4" w:rsidRPr="0063119B" w:rsidRDefault="001E28F4" w:rsidP="00951279">
      <w:pPr>
        <w:suppressAutoHyphens/>
        <w:rPr>
          <w:noProof/>
          <w:szCs w:val="22"/>
        </w:rPr>
      </w:pPr>
      <w:r w:rsidRPr="0063119B">
        <w:rPr>
          <w:noProof/>
          <w:szCs w:val="22"/>
        </w:rPr>
        <w:t>EXP</w:t>
      </w:r>
    </w:p>
    <w:p w14:paraId="0EC9C65D" w14:textId="77777777" w:rsidR="001E28F4" w:rsidRPr="0063119B" w:rsidRDefault="001E28F4" w:rsidP="00951279">
      <w:pPr>
        <w:suppressAutoHyphens/>
        <w:ind w:right="14"/>
        <w:rPr>
          <w:noProof/>
          <w:szCs w:val="22"/>
        </w:rPr>
      </w:pPr>
    </w:p>
    <w:p w14:paraId="6DCB9BC0"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9.</w:t>
      </w:r>
      <w:r w:rsidRPr="0063119B">
        <w:rPr>
          <w:b/>
          <w:noProof/>
          <w:szCs w:val="22"/>
        </w:rPr>
        <w:tab/>
        <w:t>CONDIÇÕES ESPECIAIS DE CONSERVAÇÃO</w:t>
      </w:r>
    </w:p>
    <w:p w14:paraId="3722F6E8" w14:textId="77777777" w:rsidR="001E28F4" w:rsidRPr="0063119B" w:rsidRDefault="001E28F4" w:rsidP="00951279">
      <w:pPr>
        <w:suppressAutoHyphens/>
        <w:rPr>
          <w:noProof/>
          <w:szCs w:val="22"/>
        </w:rPr>
      </w:pPr>
    </w:p>
    <w:p w14:paraId="5366FA52" w14:textId="77777777" w:rsidR="001E28F4" w:rsidRPr="0063119B" w:rsidRDefault="001E28F4" w:rsidP="00951279">
      <w:pPr>
        <w:suppressAutoHyphens/>
        <w:ind w:right="14"/>
        <w:rPr>
          <w:b/>
          <w:noProof/>
          <w:szCs w:val="22"/>
        </w:rPr>
      </w:pPr>
    </w:p>
    <w:p w14:paraId="309E060A"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10.</w:t>
      </w:r>
      <w:r w:rsidRPr="0063119B">
        <w:rPr>
          <w:b/>
          <w:noProof/>
          <w:szCs w:val="22"/>
        </w:rPr>
        <w:tab/>
        <w:t>CUIDADOS ESPECIAIS QUANTO À ELIMINAÇÃO DO MEDICAMENTO NÃO UTILIZADO OU DOS RESÍDUOS PROVENIENTES DESSE MEDICAMENTO, SE APLICÁVEL</w:t>
      </w:r>
    </w:p>
    <w:p w14:paraId="395A76D7" w14:textId="77777777" w:rsidR="001E28F4" w:rsidRPr="0063119B" w:rsidRDefault="001E28F4" w:rsidP="00951279">
      <w:pPr>
        <w:suppressAutoHyphens/>
        <w:ind w:right="14"/>
        <w:rPr>
          <w:noProof/>
          <w:szCs w:val="22"/>
        </w:rPr>
      </w:pPr>
    </w:p>
    <w:p w14:paraId="5E8DDB56" w14:textId="77777777" w:rsidR="001E28F4" w:rsidRPr="0063119B" w:rsidRDefault="001E28F4" w:rsidP="00951279">
      <w:pPr>
        <w:suppressAutoHyphens/>
        <w:ind w:right="14"/>
        <w:rPr>
          <w:bCs/>
          <w:noProof/>
          <w:szCs w:val="22"/>
        </w:rPr>
      </w:pPr>
    </w:p>
    <w:p w14:paraId="03246C28"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11.</w:t>
      </w:r>
      <w:r w:rsidRPr="0063119B">
        <w:rPr>
          <w:b/>
          <w:noProof/>
          <w:szCs w:val="22"/>
        </w:rPr>
        <w:tab/>
        <w:t>NOME E ENDEREÇO DO TITULAR DA AUTORIZAÇÃO DE INTRODUÇÃO NO MERCADO</w:t>
      </w:r>
    </w:p>
    <w:p w14:paraId="2755DBF3" w14:textId="77777777" w:rsidR="001E28F4" w:rsidRPr="0063119B" w:rsidRDefault="001E28F4" w:rsidP="00951279">
      <w:pPr>
        <w:suppressAutoHyphens/>
        <w:ind w:right="14"/>
        <w:rPr>
          <w:noProof/>
          <w:szCs w:val="22"/>
        </w:rPr>
      </w:pPr>
    </w:p>
    <w:p w14:paraId="23E3D392" w14:textId="77777777" w:rsidR="009B1C28" w:rsidRPr="0063119B" w:rsidRDefault="009B1C28" w:rsidP="009B1C28">
      <w:pPr>
        <w:keepNext/>
        <w:rPr>
          <w:szCs w:val="22"/>
          <w:lang w:val="en-GB"/>
        </w:rPr>
      </w:pPr>
      <w:r w:rsidRPr="0063119B">
        <w:rPr>
          <w:szCs w:val="22"/>
          <w:lang w:val="en-GB"/>
        </w:rPr>
        <w:t>Accord Healthcare S.L.U.</w:t>
      </w:r>
    </w:p>
    <w:p w14:paraId="76384DCB" w14:textId="77777777" w:rsidR="009B1C28" w:rsidRPr="0063119B" w:rsidRDefault="009B1C28" w:rsidP="009B1C28">
      <w:pPr>
        <w:rPr>
          <w:szCs w:val="22"/>
        </w:rPr>
      </w:pPr>
      <w:r w:rsidRPr="0063119B">
        <w:rPr>
          <w:szCs w:val="22"/>
        </w:rPr>
        <w:t>World Trade Center, Moll de Barcelona s/n, Edifici Est, 6</w:t>
      </w:r>
      <w:r w:rsidRPr="0063119B">
        <w:rPr>
          <w:szCs w:val="22"/>
          <w:vertAlign w:val="superscript"/>
        </w:rPr>
        <w:t>a</w:t>
      </w:r>
      <w:r w:rsidRPr="0063119B">
        <w:rPr>
          <w:szCs w:val="22"/>
        </w:rPr>
        <w:t xml:space="preserve"> Planta, </w:t>
      </w:r>
    </w:p>
    <w:p w14:paraId="690D6911" w14:textId="77777777" w:rsidR="009B1C28" w:rsidRPr="0063119B" w:rsidRDefault="009B1C28" w:rsidP="009B1C28">
      <w:pPr>
        <w:rPr>
          <w:szCs w:val="22"/>
        </w:rPr>
      </w:pPr>
      <w:r w:rsidRPr="0063119B">
        <w:rPr>
          <w:szCs w:val="22"/>
        </w:rPr>
        <w:t>Barcelona, 08039</w:t>
      </w:r>
    </w:p>
    <w:p w14:paraId="4284A8FC" w14:textId="77777777" w:rsidR="001E28F4" w:rsidRPr="0063119B" w:rsidRDefault="009B1C28" w:rsidP="00951279">
      <w:pPr>
        <w:suppressAutoHyphens/>
        <w:ind w:right="14"/>
        <w:rPr>
          <w:noProof/>
          <w:szCs w:val="22"/>
        </w:rPr>
      </w:pPr>
      <w:r w:rsidRPr="0063119B">
        <w:rPr>
          <w:szCs w:val="22"/>
        </w:rPr>
        <w:t>Espanha</w:t>
      </w:r>
    </w:p>
    <w:p w14:paraId="7653B664" w14:textId="77777777" w:rsidR="001E28F4" w:rsidRPr="0063119B" w:rsidRDefault="001E28F4" w:rsidP="00951279">
      <w:pPr>
        <w:suppressAutoHyphens/>
        <w:ind w:right="14"/>
        <w:rPr>
          <w:noProof/>
          <w:szCs w:val="22"/>
        </w:rPr>
      </w:pPr>
    </w:p>
    <w:p w14:paraId="04891B49" w14:textId="77777777" w:rsidR="001E28F4" w:rsidRPr="0063119B" w:rsidRDefault="001E28F4" w:rsidP="00951279">
      <w:pPr>
        <w:suppressAutoHyphens/>
        <w:ind w:right="14"/>
        <w:rPr>
          <w:noProof/>
          <w:szCs w:val="22"/>
        </w:rPr>
      </w:pPr>
    </w:p>
    <w:p w14:paraId="1AE863DD"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12.</w:t>
      </w:r>
      <w:r w:rsidRPr="0063119B">
        <w:rPr>
          <w:b/>
          <w:noProof/>
          <w:szCs w:val="22"/>
        </w:rPr>
        <w:tab/>
        <w:t>NÚMERO(S) DA AUTORIZAÇÃO DE INTRODUÇÃO NO MERCADO</w:t>
      </w:r>
    </w:p>
    <w:p w14:paraId="604BCC6E" w14:textId="77777777" w:rsidR="001E28F4" w:rsidRPr="0063119B" w:rsidRDefault="001E28F4" w:rsidP="00951279">
      <w:pPr>
        <w:suppressAutoHyphens/>
        <w:ind w:right="14"/>
        <w:rPr>
          <w:noProof/>
          <w:szCs w:val="22"/>
        </w:rPr>
      </w:pPr>
    </w:p>
    <w:p w14:paraId="56EE8C2C" w14:textId="77777777" w:rsidR="001E28F4" w:rsidRDefault="00B536CB" w:rsidP="00951279">
      <w:pPr>
        <w:suppressAutoHyphens/>
        <w:ind w:right="14"/>
        <w:rPr>
          <w:szCs w:val="22"/>
        </w:rPr>
      </w:pPr>
      <w:r w:rsidRPr="0063119B">
        <w:rPr>
          <w:szCs w:val="22"/>
        </w:rPr>
        <w:t>EU/1/20/1488/039</w:t>
      </w:r>
    </w:p>
    <w:p w14:paraId="188469A0" w14:textId="77777777" w:rsidR="00394D5E" w:rsidRPr="0063119B" w:rsidRDefault="00394D5E" w:rsidP="00951279">
      <w:pPr>
        <w:suppressAutoHyphens/>
        <w:ind w:right="14"/>
        <w:rPr>
          <w:noProof/>
          <w:szCs w:val="22"/>
        </w:rPr>
      </w:pPr>
    </w:p>
    <w:p w14:paraId="2AD4D959" w14:textId="77777777" w:rsidR="001E28F4" w:rsidRPr="0063119B" w:rsidRDefault="001E28F4" w:rsidP="00951279">
      <w:pPr>
        <w:suppressAutoHyphens/>
        <w:ind w:right="14"/>
        <w:rPr>
          <w:noProof/>
          <w:szCs w:val="22"/>
        </w:rPr>
      </w:pPr>
    </w:p>
    <w:p w14:paraId="42A2E3FA"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63119B">
        <w:rPr>
          <w:b/>
          <w:noProof/>
          <w:szCs w:val="22"/>
        </w:rPr>
        <w:t>13.</w:t>
      </w:r>
      <w:r w:rsidRPr="0063119B">
        <w:rPr>
          <w:b/>
          <w:noProof/>
          <w:szCs w:val="22"/>
        </w:rPr>
        <w:tab/>
        <w:t>NÚMERO DO LOTE</w:t>
      </w:r>
    </w:p>
    <w:p w14:paraId="7E10D3F2" w14:textId="77777777" w:rsidR="001E28F4" w:rsidRPr="0063119B" w:rsidRDefault="001E28F4" w:rsidP="00951279">
      <w:pPr>
        <w:rPr>
          <w:noProof/>
          <w:szCs w:val="22"/>
        </w:rPr>
      </w:pPr>
    </w:p>
    <w:p w14:paraId="669FDADB" w14:textId="77777777" w:rsidR="001E28F4" w:rsidRPr="0063119B" w:rsidRDefault="00394D5E" w:rsidP="00951279">
      <w:pPr>
        <w:rPr>
          <w:noProof/>
          <w:szCs w:val="22"/>
        </w:rPr>
      </w:pPr>
      <w:r>
        <w:rPr>
          <w:noProof/>
          <w:szCs w:val="22"/>
        </w:rPr>
        <w:t>Lot</w:t>
      </w:r>
    </w:p>
    <w:p w14:paraId="1D9BEBC9" w14:textId="77777777" w:rsidR="001E28F4" w:rsidRPr="0063119B" w:rsidRDefault="001E28F4" w:rsidP="00951279">
      <w:pPr>
        <w:rPr>
          <w:noProof/>
          <w:szCs w:val="22"/>
        </w:rPr>
      </w:pPr>
    </w:p>
    <w:p w14:paraId="01B14AE6" w14:textId="77777777" w:rsidR="001E28F4" w:rsidRPr="0063119B" w:rsidRDefault="001E28F4" w:rsidP="00951279">
      <w:pPr>
        <w:suppressAutoHyphens/>
        <w:ind w:right="14"/>
        <w:rPr>
          <w:noProof/>
          <w:szCs w:val="22"/>
        </w:rPr>
      </w:pPr>
    </w:p>
    <w:p w14:paraId="09931AF9"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14.</w:t>
      </w:r>
      <w:r w:rsidRPr="0063119B">
        <w:rPr>
          <w:b/>
          <w:noProof/>
          <w:szCs w:val="22"/>
        </w:rPr>
        <w:tab/>
        <w:t xml:space="preserve">CLASSIFICAÇÃO QUANTO À DISPENSA </w:t>
      </w:r>
      <w:r w:rsidRPr="0063119B">
        <w:rPr>
          <w:b/>
          <w:caps/>
          <w:noProof/>
          <w:szCs w:val="22"/>
        </w:rPr>
        <w:t>ao Público</w:t>
      </w:r>
    </w:p>
    <w:p w14:paraId="6B7E6586" w14:textId="77777777" w:rsidR="001E28F4" w:rsidRPr="0063119B" w:rsidRDefault="001E28F4" w:rsidP="00951279">
      <w:pPr>
        <w:suppressAutoHyphens/>
        <w:ind w:right="14"/>
        <w:rPr>
          <w:noProof/>
          <w:szCs w:val="22"/>
        </w:rPr>
      </w:pPr>
    </w:p>
    <w:p w14:paraId="6B09B6CF" w14:textId="77777777" w:rsidR="001E28F4" w:rsidRPr="0063119B" w:rsidRDefault="001E28F4" w:rsidP="00951279">
      <w:pPr>
        <w:suppressAutoHyphens/>
        <w:ind w:right="14"/>
        <w:rPr>
          <w:noProof/>
          <w:szCs w:val="22"/>
        </w:rPr>
      </w:pPr>
    </w:p>
    <w:p w14:paraId="6EB71EE7" w14:textId="77777777" w:rsidR="001E28F4" w:rsidRPr="0063119B" w:rsidRDefault="001E28F4" w:rsidP="00951279">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15.</w:t>
      </w:r>
      <w:r w:rsidRPr="0063119B">
        <w:rPr>
          <w:b/>
          <w:noProof/>
          <w:szCs w:val="22"/>
        </w:rPr>
        <w:tab/>
        <w:t>INSTRUÇÕES DE UTILIZAÇÃO</w:t>
      </w:r>
    </w:p>
    <w:p w14:paraId="02297FEE" w14:textId="77777777" w:rsidR="001E28F4" w:rsidRPr="0063119B" w:rsidRDefault="001E28F4" w:rsidP="00951279">
      <w:pPr>
        <w:suppressAutoHyphens/>
        <w:ind w:right="14"/>
        <w:rPr>
          <w:noProof/>
          <w:szCs w:val="22"/>
        </w:rPr>
      </w:pPr>
    </w:p>
    <w:p w14:paraId="0D1D7241" w14:textId="77777777" w:rsidR="001E28F4" w:rsidRPr="0063119B" w:rsidRDefault="001E28F4" w:rsidP="00951279">
      <w:pPr>
        <w:suppressAutoHyphens/>
        <w:ind w:right="14"/>
        <w:rPr>
          <w:noProof/>
          <w:szCs w:val="22"/>
        </w:rPr>
      </w:pPr>
    </w:p>
    <w:p w14:paraId="3DB4E236" w14:textId="77777777" w:rsidR="001E28F4" w:rsidRPr="0063119B" w:rsidRDefault="001E28F4" w:rsidP="00951279">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rPr>
      </w:pPr>
      <w:r w:rsidRPr="0063119B">
        <w:rPr>
          <w:b/>
          <w:noProof/>
          <w:szCs w:val="22"/>
        </w:rPr>
        <w:t>16.</w:t>
      </w:r>
      <w:r w:rsidRPr="0063119B">
        <w:rPr>
          <w:b/>
          <w:noProof/>
          <w:szCs w:val="22"/>
        </w:rPr>
        <w:tab/>
      </w:r>
      <w:r w:rsidRPr="0063119B">
        <w:rPr>
          <w:b/>
          <w:caps/>
          <w:noProof/>
          <w:szCs w:val="22"/>
        </w:rPr>
        <w:t>Informação em Braille</w:t>
      </w:r>
    </w:p>
    <w:p w14:paraId="5F56FDBC" w14:textId="77777777" w:rsidR="001E28F4" w:rsidRPr="0063119B" w:rsidRDefault="001E28F4" w:rsidP="00951279">
      <w:pPr>
        <w:keepNext/>
        <w:keepLines/>
        <w:suppressAutoHyphens/>
        <w:ind w:right="14"/>
        <w:rPr>
          <w:noProof/>
          <w:szCs w:val="22"/>
        </w:rPr>
      </w:pPr>
    </w:p>
    <w:p w14:paraId="2750F4D5" w14:textId="77777777" w:rsidR="001E28F4" w:rsidRPr="001B6FEC" w:rsidRDefault="00607DE4" w:rsidP="00951279">
      <w:pPr>
        <w:keepNext/>
        <w:keepLines/>
        <w:suppressAutoHyphens/>
        <w:ind w:right="14"/>
        <w:rPr>
          <w:noProof/>
          <w:szCs w:val="22"/>
        </w:rPr>
      </w:pPr>
      <w:r w:rsidRPr="001B6FEC">
        <w:rPr>
          <w:noProof/>
          <w:szCs w:val="22"/>
        </w:rPr>
        <w:t>Rivaroxabano</w:t>
      </w:r>
      <w:r w:rsidR="001F7D02" w:rsidRPr="001B6FEC">
        <w:rPr>
          <w:noProof/>
          <w:szCs w:val="22"/>
        </w:rPr>
        <w:t xml:space="preserve"> </w:t>
      </w:r>
      <w:r w:rsidR="004B4602">
        <w:rPr>
          <w:noProof/>
          <w:szCs w:val="22"/>
        </w:rPr>
        <w:t>a</w:t>
      </w:r>
      <w:r w:rsidR="004B4602" w:rsidRPr="001B6FEC">
        <w:rPr>
          <w:noProof/>
          <w:szCs w:val="22"/>
        </w:rPr>
        <w:t xml:space="preserve">ccord </w:t>
      </w:r>
      <w:r w:rsidR="001E28F4" w:rsidRPr="001B6FEC">
        <w:rPr>
          <w:noProof/>
          <w:szCs w:val="22"/>
        </w:rPr>
        <w:t>15</w:t>
      </w:r>
      <w:r w:rsidR="009B1C28" w:rsidRPr="001B6FEC">
        <w:rPr>
          <w:noProof/>
          <w:szCs w:val="22"/>
        </w:rPr>
        <w:t> </w:t>
      </w:r>
      <w:r w:rsidR="001E28F4" w:rsidRPr="001B6FEC">
        <w:rPr>
          <w:noProof/>
          <w:szCs w:val="22"/>
        </w:rPr>
        <w:t>mg</w:t>
      </w:r>
    </w:p>
    <w:p w14:paraId="67CD598E" w14:textId="77777777" w:rsidR="001E28F4" w:rsidRPr="001B6FEC" w:rsidRDefault="00607DE4" w:rsidP="00951279">
      <w:pPr>
        <w:keepNext/>
        <w:keepLines/>
        <w:suppressAutoHyphens/>
        <w:ind w:right="14"/>
        <w:rPr>
          <w:noProof/>
          <w:szCs w:val="22"/>
        </w:rPr>
      </w:pPr>
      <w:r w:rsidRPr="001B6FEC">
        <w:rPr>
          <w:noProof/>
          <w:szCs w:val="22"/>
        </w:rPr>
        <w:t>Rivaroxabano</w:t>
      </w:r>
      <w:r w:rsidR="001F7D02" w:rsidRPr="001B6FEC">
        <w:rPr>
          <w:noProof/>
          <w:szCs w:val="22"/>
        </w:rPr>
        <w:t xml:space="preserve"> </w:t>
      </w:r>
      <w:r w:rsidR="004B4602">
        <w:rPr>
          <w:noProof/>
          <w:szCs w:val="22"/>
        </w:rPr>
        <w:t>a</w:t>
      </w:r>
      <w:r w:rsidR="004B4602" w:rsidRPr="001B6FEC">
        <w:rPr>
          <w:noProof/>
          <w:szCs w:val="22"/>
        </w:rPr>
        <w:t xml:space="preserve">ccord </w:t>
      </w:r>
      <w:r w:rsidR="001E28F4" w:rsidRPr="001B6FEC">
        <w:rPr>
          <w:noProof/>
          <w:szCs w:val="22"/>
        </w:rPr>
        <w:t>20 mg</w:t>
      </w:r>
    </w:p>
    <w:p w14:paraId="4BF1960B" w14:textId="77777777" w:rsidR="001F10F8" w:rsidRPr="001B6FEC" w:rsidRDefault="001F10F8" w:rsidP="00951279">
      <w:pPr>
        <w:suppressAutoHyphens/>
        <w:ind w:right="14"/>
        <w:rPr>
          <w:noProof/>
          <w:szCs w:val="22"/>
        </w:rPr>
      </w:pPr>
    </w:p>
    <w:p w14:paraId="0E160EB3" w14:textId="77777777" w:rsidR="001F10F8" w:rsidRPr="001B6FEC" w:rsidRDefault="001F10F8" w:rsidP="00951279">
      <w:pPr>
        <w:suppressAutoHyphens/>
        <w:ind w:right="14"/>
        <w:rPr>
          <w:noProof/>
          <w:szCs w:val="22"/>
        </w:rPr>
      </w:pPr>
    </w:p>
    <w:p w14:paraId="7F3E8F50" w14:textId="77777777" w:rsidR="002960B9" w:rsidRPr="0063119B" w:rsidRDefault="002960B9" w:rsidP="00951279">
      <w:pPr>
        <w:keepNext/>
        <w:pBdr>
          <w:top w:val="single" w:sz="4" w:space="1" w:color="auto"/>
          <w:left w:val="single" w:sz="4" w:space="4" w:color="auto"/>
          <w:bottom w:val="single" w:sz="4" w:space="1" w:color="auto"/>
          <w:right w:val="single" w:sz="4" w:space="4" w:color="auto"/>
        </w:pBdr>
        <w:tabs>
          <w:tab w:val="left" w:pos="0"/>
        </w:tabs>
        <w:rPr>
          <w:i/>
          <w:noProof/>
          <w:szCs w:val="22"/>
        </w:rPr>
      </w:pPr>
      <w:r w:rsidRPr="0063119B">
        <w:rPr>
          <w:b/>
          <w:noProof/>
          <w:szCs w:val="22"/>
        </w:rPr>
        <w:t>17.</w:t>
      </w:r>
      <w:r w:rsidRPr="0063119B">
        <w:rPr>
          <w:b/>
          <w:noProof/>
          <w:szCs w:val="22"/>
        </w:rPr>
        <w:tab/>
        <w:t>IDENTIFICADOR ÚNICO – CÓDIGO DE BARRAS 2D</w:t>
      </w:r>
    </w:p>
    <w:p w14:paraId="1E0CE94D" w14:textId="77777777" w:rsidR="002960B9" w:rsidRPr="0063119B" w:rsidRDefault="002960B9" w:rsidP="00951279">
      <w:pPr>
        <w:rPr>
          <w:noProof/>
          <w:szCs w:val="22"/>
        </w:rPr>
      </w:pPr>
    </w:p>
    <w:p w14:paraId="705EDE8D" w14:textId="77777777" w:rsidR="002960B9" w:rsidRDefault="002960B9" w:rsidP="00951279">
      <w:pPr>
        <w:suppressAutoHyphens/>
        <w:ind w:right="14"/>
        <w:rPr>
          <w:noProof/>
          <w:szCs w:val="22"/>
        </w:rPr>
      </w:pPr>
      <w:r w:rsidRPr="0063119B">
        <w:rPr>
          <w:noProof/>
          <w:szCs w:val="22"/>
          <w:highlight w:val="lightGray"/>
        </w:rPr>
        <w:t>Código de barras 2D com identificador único incluído.</w:t>
      </w:r>
      <w:r w:rsidRPr="0063119B">
        <w:rPr>
          <w:noProof/>
          <w:szCs w:val="22"/>
        </w:rPr>
        <w:t xml:space="preserve"> </w:t>
      </w:r>
    </w:p>
    <w:p w14:paraId="028CAE2E" w14:textId="77777777" w:rsidR="00F44978" w:rsidRPr="0063119B" w:rsidRDefault="00F44978" w:rsidP="00951279">
      <w:pPr>
        <w:suppressAutoHyphens/>
        <w:ind w:right="14"/>
        <w:rPr>
          <w:noProof/>
          <w:szCs w:val="22"/>
          <w:shd w:val="clear" w:color="auto" w:fill="CCCCCC"/>
        </w:rPr>
      </w:pPr>
    </w:p>
    <w:p w14:paraId="6A02BE00" w14:textId="77777777" w:rsidR="002960B9" w:rsidRPr="0063119B" w:rsidRDefault="002960B9" w:rsidP="00951279">
      <w:pPr>
        <w:rPr>
          <w:noProof/>
          <w:szCs w:val="22"/>
          <w:shd w:val="clear" w:color="auto" w:fill="CCCCCC"/>
        </w:rPr>
      </w:pPr>
    </w:p>
    <w:p w14:paraId="063FF50D" w14:textId="77777777" w:rsidR="002960B9" w:rsidRPr="0063119B" w:rsidRDefault="002960B9" w:rsidP="00951279">
      <w:pPr>
        <w:rPr>
          <w:noProof/>
          <w:vanish/>
          <w:szCs w:val="22"/>
        </w:rPr>
      </w:pPr>
    </w:p>
    <w:p w14:paraId="5EA89F2E" w14:textId="77777777" w:rsidR="002960B9" w:rsidRPr="0063119B" w:rsidRDefault="002960B9" w:rsidP="00951279">
      <w:pPr>
        <w:keepNext/>
        <w:pBdr>
          <w:top w:val="single" w:sz="4" w:space="1" w:color="auto"/>
          <w:left w:val="single" w:sz="4" w:space="4" w:color="auto"/>
          <w:bottom w:val="single" w:sz="4" w:space="1" w:color="auto"/>
          <w:right w:val="single" w:sz="4" w:space="4" w:color="auto"/>
        </w:pBdr>
        <w:tabs>
          <w:tab w:val="left" w:pos="0"/>
        </w:tabs>
        <w:rPr>
          <w:b/>
          <w:noProof/>
          <w:szCs w:val="22"/>
        </w:rPr>
      </w:pPr>
      <w:r w:rsidRPr="0063119B">
        <w:rPr>
          <w:b/>
          <w:noProof/>
          <w:szCs w:val="22"/>
        </w:rPr>
        <w:t>18.</w:t>
      </w:r>
      <w:r w:rsidRPr="0063119B">
        <w:rPr>
          <w:b/>
          <w:noProof/>
          <w:szCs w:val="22"/>
        </w:rPr>
        <w:tab/>
        <w:t>IDENTIFICADOR ÚNICO - DADOS PARA LEITURA HUMANA</w:t>
      </w:r>
    </w:p>
    <w:p w14:paraId="05EF8F0A" w14:textId="77777777" w:rsidR="002960B9" w:rsidRPr="0063119B" w:rsidRDefault="002960B9" w:rsidP="00261101">
      <w:pPr>
        <w:keepNext/>
        <w:rPr>
          <w:noProof/>
          <w:szCs w:val="22"/>
        </w:rPr>
      </w:pPr>
    </w:p>
    <w:p w14:paraId="524F389D" w14:textId="77777777" w:rsidR="002960B9" w:rsidRPr="0063119B" w:rsidRDefault="002960B9" w:rsidP="00261101">
      <w:pPr>
        <w:keepNext/>
        <w:suppressAutoHyphens/>
        <w:ind w:right="14"/>
        <w:rPr>
          <w:noProof/>
          <w:szCs w:val="22"/>
        </w:rPr>
      </w:pPr>
      <w:r w:rsidRPr="0063119B">
        <w:rPr>
          <w:szCs w:val="22"/>
        </w:rPr>
        <w:t xml:space="preserve">PC </w:t>
      </w:r>
    </w:p>
    <w:p w14:paraId="443BD1E6" w14:textId="77777777" w:rsidR="002960B9" w:rsidRPr="0063119B" w:rsidRDefault="002960B9" w:rsidP="00261101">
      <w:pPr>
        <w:keepNext/>
        <w:suppressAutoHyphens/>
        <w:ind w:right="14"/>
        <w:rPr>
          <w:noProof/>
          <w:szCs w:val="22"/>
        </w:rPr>
      </w:pPr>
      <w:r w:rsidRPr="0063119B">
        <w:rPr>
          <w:szCs w:val="22"/>
        </w:rPr>
        <w:t xml:space="preserve">SN </w:t>
      </w:r>
    </w:p>
    <w:p w14:paraId="45F04FDA" w14:textId="77777777" w:rsidR="002960B9" w:rsidRPr="0063119B" w:rsidRDefault="002960B9" w:rsidP="00261101">
      <w:pPr>
        <w:keepNext/>
        <w:suppressAutoHyphens/>
        <w:ind w:right="14"/>
        <w:rPr>
          <w:noProof/>
          <w:szCs w:val="22"/>
        </w:rPr>
      </w:pPr>
      <w:r w:rsidRPr="0063119B">
        <w:rPr>
          <w:szCs w:val="22"/>
        </w:rPr>
        <w:t xml:space="preserve">NN </w:t>
      </w:r>
    </w:p>
    <w:p w14:paraId="2F343C3B" w14:textId="77777777" w:rsidR="002960B9" w:rsidRPr="0063119B" w:rsidRDefault="002960B9" w:rsidP="00261101">
      <w:pPr>
        <w:keepNext/>
        <w:rPr>
          <w:szCs w:val="22"/>
        </w:rPr>
      </w:pPr>
    </w:p>
    <w:p w14:paraId="01F77BB4" w14:textId="77777777" w:rsidR="001E28F4" w:rsidRPr="0063119B" w:rsidRDefault="001E28F4" w:rsidP="00951279">
      <w:pPr>
        <w:pBdr>
          <w:top w:val="single" w:sz="4" w:space="1" w:color="auto"/>
          <w:left w:val="single" w:sz="4" w:space="4" w:color="auto"/>
          <w:bottom w:val="single" w:sz="4" w:space="1" w:color="auto"/>
          <w:right w:val="single" w:sz="4" w:space="4" w:color="auto"/>
        </w:pBdr>
        <w:shd w:val="clear" w:color="auto" w:fill="FFFFFF"/>
        <w:suppressAutoHyphens/>
        <w:ind w:right="14"/>
        <w:rPr>
          <w:b/>
          <w:caps/>
          <w:noProof/>
          <w:szCs w:val="22"/>
        </w:rPr>
      </w:pPr>
      <w:r w:rsidRPr="0063119B">
        <w:rPr>
          <w:noProof/>
          <w:szCs w:val="22"/>
        </w:rPr>
        <w:br w:type="page"/>
      </w:r>
      <w:r w:rsidRPr="0063119B">
        <w:rPr>
          <w:b/>
          <w:noProof/>
          <w:szCs w:val="22"/>
        </w:rPr>
        <w:lastRenderedPageBreak/>
        <w:t xml:space="preserve">INDICAÇÕES A INCLUIR </w:t>
      </w:r>
      <w:r w:rsidRPr="0063119B">
        <w:rPr>
          <w:b/>
          <w:caps/>
          <w:noProof/>
          <w:szCs w:val="22"/>
        </w:rPr>
        <w:t>no acondicionamento secundário</w:t>
      </w:r>
    </w:p>
    <w:p w14:paraId="0E515AD2" w14:textId="77777777" w:rsidR="001E28F4" w:rsidRPr="0063119B" w:rsidRDefault="001E28F4" w:rsidP="00951279">
      <w:pPr>
        <w:pBdr>
          <w:top w:val="single" w:sz="4" w:space="1" w:color="auto"/>
          <w:left w:val="single" w:sz="4" w:space="4" w:color="auto"/>
          <w:bottom w:val="single" w:sz="4" w:space="1" w:color="auto"/>
          <w:right w:val="single" w:sz="4" w:space="4" w:color="auto"/>
        </w:pBdr>
        <w:shd w:val="clear" w:color="auto" w:fill="FFFFFF"/>
        <w:suppressAutoHyphens/>
        <w:ind w:right="14"/>
        <w:rPr>
          <w:b/>
          <w:noProof/>
          <w:szCs w:val="22"/>
        </w:rPr>
      </w:pPr>
    </w:p>
    <w:p w14:paraId="6215E722" w14:textId="77777777" w:rsidR="001E28F4" w:rsidRPr="0063119B" w:rsidRDefault="00502067" w:rsidP="00951279">
      <w:pPr>
        <w:pBdr>
          <w:top w:val="single" w:sz="4" w:space="1" w:color="auto"/>
          <w:left w:val="single" w:sz="4" w:space="4" w:color="auto"/>
          <w:bottom w:val="single" w:sz="4" w:space="1" w:color="auto"/>
          <w:right w:val="single" w:sz="4" w:space="4" w:color="auto"/>
        </w:pBdr>
        <w:shd w:val="clear" w:color="auto" w:fill="FFFFFF"/>
        <w:suppressAutoHyphens/>
        <w:ind w:right="14"/>
        <w:rPr>
          <w:b/>
          <w:caps/>
          <w:noProof/>
          <w:szCs w:val="22"/>
        </w:rPr>
      </w:pPr>
      <w:r w:rsidRPr="0063119B">
        <w:rPr>
          <w:b/>
          <w:caps/>
          <w:noProof/>
          <w:szCs w:val="22"/>
        </w:rPr>
        <w:t>carteira d</w:t>
      </w:r>
      <w:r w:rsidR="00026CA1" w:rsidRPr="0063119B">
        <w:rPr>
          <w:b/>
          <w:caps/>
          <w:noProof/>
          <w:szCs w:val="22"/>
        </w:rPr>
        <w:t>E</w:t>
      </w:r>
      <w:r w:rsidRPr="0063119B">
        <w:rPr>
          <w:b/>
          <w:caps/>
          <w:noProof/>
          <w:szCs w:val="22"/>
        </w:rPr>
        <w:t xml:space="preserve"> cartão</w:t>
      </w:r>
      <w:r w:rsidR="001E28F4" w:rsidRPr="0063119B">
        <w:rPr>
          <w:b/>
          <w:caps/>
          <w:noProof/>
          <w:szCs w:val="22"/>
        </w:rPr>
        <w:t xml:space="preserve"> para embalagem de </w:t>
      </w:r>
      <w:r w:rsidRPr="0063119B">
        <w:rPr>
          <w:b/>
          <w:caps/>
          <w:noProof/>
          <w:szCs w:val="22"/>
        </w:rPr>
        <w:t>tratamento inicial</w:t>
      </w:r>
      <w:r w:rsidR="001E28F4" w:rsidRPr="0063119B">
        <w:rPr>
          <w:b/>
          <w:caps/>
          <w:noProof/>
          <w:szCs w:val="22"/>
        </w:rPr>
        <w:t xml:space="preserve"> (42</w:t>
      </w:r>
      <w:r w:rsidR="009B1C28" w:rsidRPr="0063119B">
        <w:rPr>
          <w:b/>
          <w:caps/>
          <w:noProof/>
          <w:szCs w:val="22"/>
        </w:rPr>
        <w:t> </w:t>
      </w:r>
      <w:r w:rsidR="001E28F4" w:rsidRPr="0063119B">
        <w:rPr>
          <w:b/>
          <w:caps/>
          <w:noProof/>
          <w:szCs w:val="22"/>
        </w:rPr>
        <w:t>comprimidos revestidos por película de 15</w:t>
      </w:r>
      <w:r w:rsidR="009B1C28" w:rsidRPr="0063119B">
        <w:rPr>
          <w:b/>
          <w:caps/>
          <w:noProof/>
          <w:szCs w:val="22"/>
        </w:rPr>
        <w:t> </w:t>
      </w:r>
      <w:r w:rsidR="001E28F4" w:rsidRPr="0063119B">
        <w:rPr>
          <w:b/>
          <w:caps/>
          <w:noProof/>
          <w:szCs w:val="22"/>
        </w:rPr>
        <w:t>mg e 7</w:t>
      </w:r>
      <w:r w:rsidR="009B1C28" w:rsidRPr="0063119B">
        <w:rPr>
          <w:b/>
          <w:caps/>
          <w:noProof/>
          <w:szCs w:val="22"/>
        </w:rPr>
        <w:t> </w:t>
      </w:r>
      <w:r w:rsidR="001E28F4" w:rsidRPr="0063119B">
        <w:rPr>
          <w:b/>
          <w:caps/>
          <w:noProof/>
          <w:szCs w:val="22"/>
        </w:rPr>
        <w:t>comprimidos revestidos POR PELíCULA de 20</w:t>
      </w:r>
      <w:r w:rsidR="009B1C28" w:rsidRPr="0063119B">
        <w:rPr>
          <w:b/>
          <w:caps/>
          <w:noProof/>
          <w:szCs w:val="22"/>
        </w:rPr>
        <w:t> </w:t>
      </w:r>
      <w:r w:rsidR="001E28F4" w:rsidRPr="0063119B">
        <w:rPr>
          <w:b/>
          <w:caps/>
          <w:noProof/>
          <w:szCs w:val="22"/>
        </w:rPr>
        <w:t>mg) (sem blue box)</w:t>
      </w:r>
    </w:p>
    <w:p w14:paraId="7D50E0B5" w14:textId="77777777" w:rsidR="001E28F4" w:rsidRPr="0063119B" w:rsidRDefault="001E28F4" w:rsidP="00951279">
      <w:pPr>
        <w:rPr>
          <w:szCs w:val="22"/>
        </w:rPr>
      </w:pPr>
    </w:p>
    <w:p w14:paraId="22C98C65" w14:textId="77777777" w:rsidR="001E28F4" w:rsidRPr="0063119B" w:rsidRDefault="001E28F4" w:rsidP="00951279">
      <w:pPr>
        <w:rPr>
          <w:szCs w:val="22"/>
        </w:rPr>
      </w:pPr>
    </w:p>
    <w:p w14:paraId="291BD649" w14:textId="77777777" w:rsidR="001E28F4" w:rsidRPr="0063119B" w:rsidRDefault="001E28F4" w:rsidP="00951279">
      <w:pPr>
        <w:pBdr>
          <w:top w:val="single" w:sz="4" w:space="1" w:color="auto"/>
          <w:left w:val="single" w:sz="4" w:space="4" w:color="auto"/>
          <w:bottom w:val="single" w:sz="4" w:space="1" w:color="auto"/>
          <w:right w:val="single" w:sz="4" w:space="4" w:color="auto"/>
        </w:pBdr>
        <w:ind w:left="567" w:hanging="567"/>
        <w:rPr>
          <w:szCs w:val="22"/>
        </w:rPr>
      </w:pPr>
      <w:r w:rsidRPr="0063119B">
        <w:rPr>
          <w:b/>
          <w:szCs w:val="22"/>
        </w:rPr>
        <w:t>1.</w:t>
      </w:r>
      <w:r w:rsidRPr="0063119B">
        <w:rPr>
          <w:b/>
          <w:szCs w:val="22"/>
        </w:rPr>
        <w:tab/>
      </w:r>
      <w:r w:rsidRPr="0063119B">
        <w:rPr>
          <w:b/>
          <w:noProof/>
          <w:szCs w:val="22"/>
        </w:rPr>
        <w:t>NOME DO MEDICAMENTO</w:t>
      </w:r>
    </w:p>
    <w:p w14:paraId="2BF86EF6" w14:textId="77777777" w:rsidR="001E28F4" w:rsidRPr="0063119B" w:rsidRDefault="001E28F4" w:rsidP="00951279">
      <w:pPr>
        <w:suppressAutoHyphens/>
        <w:ind w:right="14"/>
        <w:rPr>
          <w:noProof/>
          <w:szCs w:val="22"/>
        </w:rPr>
      </w:pPr>
    </w:p>
    <w:p w14:paraId="74C58EEF" w14:textId="77777777" w:rsidR="001E28F4" w:rsidRPr="0063119B" w:rsidRDefault="00607DE4" w:rsidP="00951279">
      <w:pPr>
        <w:suppressAutoHyphens/>
        <w:ind w:right="14"/>
        <w:rPr>
          <w:noProof/>
          <w:szCs w:val="22"/>
        </w:rPr>
      </w:pPr>
      <w:r>
        <w:rPr>
          <w:noProof/>
          <w:szCs w:val="22"/>
        </w:rPr>
        <w:t>Rivaroxabano</w:t>
      </w:r>
      <w:r w:rsidR="001F7D02" w:rsidRPr="0063119B">
        <w:rPr>
          <w:noProof/>
          <w:szCs w:val="22"/>
        </w:rPr>
        <w:t xml:space="preserve"> Accord</w:t>
      </w:r>
      <w:r w:rsidR="001E28F4" w:rsidRPr="0063119B">
        <w:rPr>
          <w:noProof/>
          <w:szCs w:val="22"/>
        </w:rPr>
        <w:t xml:space="preserve"> 15 mg</w:t>
      </w:r>
    </w:p>
    <w:p w14:paraId="5A09502C" w14:textId="77777777" w:rsidR="001E28F4" w:rsidRPr="001B6FEC" w:rsidRDefault="00607DE4" w:rsidP="00951279">
      <w:pPr>
        <w:suppressAutoHyphens/>
        <w:ind w:right="14"/>
        <w:rPr>
          <w:noProof/>
          <w:szCs w:val="22"/>
        </w:rPr>
      </w:pPr>
      <w:r w:rsidRPr="001B6FEC">
        <w:rPr>
          <w:noProof/>
          <w:szCs w:val="22"/>
        </w:rPr>
        <w:t>Rivaroxabano</w:t>
      </w:r>
      <w:r w:rsidR="001F7D02" w:rsidRPr="001B6FEC">
        <w:rPr>
          <w:noProof/>
          <w:szCs w:val="22"/>
        </w:rPr>
        <w:t xml:space="preserve"> Accord</w:t>
      </w:r>
      <w:r w:rsidR="001E28F4" w:rsidRPr="001B6FEC">
        <w:rPr>
          <w:noProof/>
          <w:szCs w:val="22"/>
        </w:rPr>
        <w:t xml:space="preserve"> 20</w:t>
      </w:r>
      <w:r w:rsidR="009B1C28" w:rsidRPr="001B6FEC">
        <w:rPr>
          <w:noProof/>
          <w:szCs w:val="22"/>
        </w:rPr>
        <w:t> </w:t>
      </w:r>
      <w:r w:rsidR="001E28F4" w:rsidRPr="001B6FEC">
        <w:rPr>
          <w:noProof/>
          <w:szCs w:val="22"/>
        </w:rPr>
        <w:t>mg</w:t>
      </w:r>
    </w:p>
    <w:p w14:paraId="325590CF" w14:textId="77777777" w:rsidR="001E28F4" w:rsidRPr="001B6FEC" w:rsidRDefault="001E28F4" w:rsidP="00951279">
      <w:pPr>
        <w:suppressAutoHyphens/>
        <w:ind w:right="14"/>
        <w:rPr>
          <w:noProof/>
          <w:szCs w:val="22"/>
        </w:rPr>
      </w:pPr>
      <w:r w:rsidRPr="001B6FEC">
        <w:rPr>
          <w:noProof/>
          <w:szCs w:val="22"/>
        </w:rPr>
        <w:t>comprimidos revestidos por película</w:t>
      </w:r>
    </w:p>
    <w:p w14:paraId="17A13376" w14:textId="77777777" w:rsidR="001E28F4" w:rsidRPr="0063119B" w:rsidRDefault="001E28F4" w:rsidP="00951279">
      <w:pPr>
        <w:suppressAutoHyphens/>
        <w:ind w:right="14"/>
        <w:rPr>
          <w:noProof/>
          <w:szCs w:val="22"/>
        </w:rPr>
      </w:pPr>
      <w:r w:rsidRPr="0063119B">
        <w:rPr>
          <w:noProof/>
          <w:szCs w:val="22"/>
        </w:rPr>
        <w:t>rivaroxabano</w:t>
      </w:r>
    </w:p>
    <w:p w14:paraId="1E3FFCAD" w14:textId="77777777" w:rsidR="001E28F4" w:rsidRDefault="001E28F4" w:rsidP="00951279">
      <w:pPr>
        <w:rPr>
          <w:szCs w:val="22"/>
        </w:rPr>
      </w:pPr>
    </w:p>
    <w:p w14:paraId="17CD4547" w14:textId="77777777" w:rsidR="00394D5E" w:rsidRPr="0063119B" w:rsidRDefault="00394D5E" w:rsidP="00951279">
      <w:pPr>
        <w:rPr>
          <w:szCs w:val="22"/>
        </w:rPr>
      </w:pPr>
    </w:p>
    <w:p w14:paraId="38E772C2" w14:textId="77777777" w:rsidR="001E28F4" w:rsidRPr="0063119B" w:rsidRDefault="001E28F4" w:rsidP="00951279">
      <w:pPr>
        <w:pBdr>
          <w:top w:val="single" w:sz="4" w:space="1" w:color="auto"/>
          <w:left w:val="single" w:sz="4" w:space="4" w:color="auto"/>
          <w:bottom w:val="single" w:sz="4" w:space="1" w:color="auto"/>
          <w:right w:val="single" w:sz="4" w:space="4" w:color="auto"/>
        </w:pBdr>
        <w:ind w:left="567" w:hanging="567"/>
        <w:rPr>
          <w:b/>
          <w:szCs w:val="22"/>
        </w:rPr>
      </w:pPr>
      <w:r w:rsidRPr="0063119B">
        <w:rPr>
          <w:b/>
          <w:szCs w:val="22"/>
        </w:rPr>
        <w:t>2.</w:t>
      </w:r>
      <w:r w:rsidRPr="0063119B">
        <w:rPr>
          <w:b/>
          <w:szCs w:val="22"/>
        </w:rPr>
        <w:tab/>
      </w:r>
      <w:r w:rsidRPr="0063119B">
        <w:rPr>
          <w:b/>
          <w:noProof/>
          <w:szCs w:val="22"/>
        </w:rPr>
        <w:t>DESCRIÇÃO DA(S) SUBSTÂNCIA(S) ATIVA(S)</w:t>
      </w:r>
    </w:p>
    <w:p w14:paraId="222A5EA3" w14:textId="77777777" w:rsidR="001E28F4" w:rsidRPr="0063119B" w:rsidRDefault="001E28F4" w:rsidP="00951279">
      <w:pPr>
        <w:rPr>
          <w:szCs w:val="22"/>
        </w:rPr>
      </w:pPr>
    </w:p>
    <w:p w14:paraId="4E7D44BE" w14:textId="77777777" w:rsidR="001E28F4" w:rsidRPr="0063119B" w:rsidRDefault="001E28F4" w:rsidP="00951279">
      <w:pPr>
        <w:suppressAutoHyphens/>
        <w:ind w:right="14"/>
        <w:rPr>
          <w:noProof/>
          <w:szCs w:val="22"/>
        </w:rPr>
      </w:pPr>
      <w:r w:rsidRPr="0063119B">
        <w:rPr>
          <w:noProof/>
          <w:szCs w:val="22"/>
        </w:rPr>
        <w:t>Cada comprimido revestido por película vermelho para a semana</w:t>
      </w:r>
      <w:r w:rsidR="009B1C28" w:rsidRPr="0063119B">
        <w:rPr>
          <w:noProof/>
          <w:szCs w:val="22"/>
        </w:rPr>
        <w:t> </w:t>
      </w:r>
      <w:r w:rsidRPr="0063119B">
        <w:rPr>
          <w:noProof/>
          <w:szCs w:val="22"/>
        </w:rPr>
        <w:t>1, 2 e 3 contém 15 mg de rivaroxabano.</w:t>
      </w:r>
    </w:p>
    <w:p w14:paraId="36C30956" w14:textId="77777777" w:rsidR="001E28F4" w:rsidRPr="0063119B" w:rsidRDefault="001E28F4" w:rsidP="00951279">
      <w:pPr>
        <w:suppressAutoHyphens/>
        <w:ind w:right="14"/>
        <w:rPr>
          <w:noProof/>
          <w:szCs w:val="22"/>
        </w:rPr>
      </w:pPr>
      <w:r w:rsidRPr="0063119B">
        <w:rPr>
          <w:noProof/>
          <w:szCs w:val="22"/>
        </w:rPr>
        <w:t>Cada comprimido revestido por película vermelho</w:t>
      </w:r>
      <w:r w:rsidR="009B1C28" w:rsidRPr="0063119B">
        <w:rPr>
          <w:noProof/>
          <w:szCs w:val="22"/>
        </w:rPr>
        <w:t xml:space="preserve"> escur</w:t>
      </w:r>
      <w:r w:rsidRPr="0063119B">
        <w:rPr>
          <w:noProof/>
          <w:szCs w:val="22"/>
        </w:rPr>
        <w:t>o para a semana</w:t>
      </w:r>
      <w:r w:rsidR="00166D46" w:rsidRPr="0063119B">
        <w:rPr>
          <w:noProof/>
          <w:szCs w:val="22"/>
        </w:rPr>
        <w:t> </w:t>
      </w:r>
      <w:r w:rsidRPr="0063119B">
        <w:rPr>
          <w:noProof/>
          <w:szCs w:val="22"/>
        </w:rPr>
        <w:t>4 contém 20</w:t>
      </w:r>
      <w:r w:rsidR="00166D46" w:rsidRPr="0063119B">
        <w:rPr>
          <w:noProof/>
          <w:szCs w:val="22"/>
        </w:rPr>
        <w:t> </w:t>
      </w:r>
      <w:r w:rsidRPr="0063119B">
        <w:rPr>
          <w:noProof/>
          <w:szCs w:val="22"/>
        </w:rPr>
        <w:t>mg de rivaroxabano.</w:t>
      </w:r>
    </w:p>
    <w:p w14:paraId="7349F9B0" w14:textId="77777777" w:rsidR="001E28F4" w:rsidRPr="0063119B" w:rsidRDefault="001E28F4" w:rsidP="00951279">
      <w:pPr>
        <w:rPr>
          <w:szCs w:val="22"/>
        </w:rPr>
      </w:pPr>
    </w:p>
    <w:p w14:paraId="77FCBFC8" w14:textId="77777777" w:rsidR="001E28F4" w:rsidRPr="0063119B" w:rsidRDefault="001E28F4" w:rsidP="00951279">
      <w:pPr>
        <w:rPr>
          <w:szCs w:val="22"/>
        </w:rPr>
      </w:pPr>
    </w:p>
    <w:p w14:paraId="36565CC2" w14:textId="77777777" w:rsidR="001E28F4" w:rsidRPr="0063119B" w:rsidRDefault="001E28F4" w:rsidP="00951279">
      <w:pPr>
        <w:pBdr>
          <w:top w:val="single" w:sz="4" w:space="1" w:color="auto"/>
          <w:left w:val="single" w:sz="4" w:space="4" w:color="auto"/>
          <w:bottom w:val="single" w:sz="4" w:space="1" w:color="auto"/>
          <w:right w:val="single" w:sz="4" w:space="4" w:color="auto"/>
        </w:pBdr>
        <w:ind w:left="567" w:hanging="567"/>
        <w:rPr>
          <w:szCs w:val="22"/>
        </w:rPr>
      </w:pPr>
      <w:r w:rsidRPr="0063119B">
        <w:rPr>
          <w:b/>
          <w:szCs w:val="22"/>
        </w:rPr>
        <w:t>3.</w:t>
      </w:r>
      <w:r w:rsidRPr="0063119B">
        <w:rPr>
          <w:b/>
          <w:szCs w:val="22"/>
        </w:rPr>
        <w:tab/>
      </w:r>
      <w:r w:rsidRPr="0063119B">
        <w:rPr>
          <w:b/>
          <w:noProof/>
          <w:szCs w:val="22"/>
        </w:rPr>
        <w:t>LISTA DOS EXCIPIENTES</w:t>
      </w:r>
    </w:p>
    <w:p w14:paraId="2A31571E" w14:textId="77777777" w:rsidR="001E28F4" w:rsidRPr="0063119B" w:rsidRDefault="001E28F4" w:rsidP="00951279">
      <w:pPr>
        <w:rPr>
          <w:szCs w:val="22"/>
        </w:rPr>
      </w:pPr>
    </w:p>
    <w:p w14:paraId="41E7EF2B" w14:textId="77777777" w:rsidR="001E28F4" w:rsidRPr="0063119B" w:rsidRDefault="001E28F4" w:rsidP="00951279">
      <w:pPr>
        <w:suppressAutoHyphens/>
        <w:ind w:right="14"/>
        <w:rPr>
          <w:noProof/>
          <w:szCs w:val="22"/>
        </w:rPr>
      </w:pPr>
      <w:r w:rsidRPr="0063119B">
        <w:rPr>
          <w:noProof/>
          <w:szCs w:val="22"/>
        </w:rPr>
        <w:t>Contém lactose</w:t>
      </w:r>
      <w:r w:rsidR="00166D46" w:rsidRPr="0063119B">
        <w:rPr>
          <w:noProof/>
          <w:szCs w:val="22"/>
        </w:rPr>
        <w:t xml:space="preserve"> mono-hidratada</w:t>
      </w:r>
      <w:r w:rsidRPr="0063119B">
        <w:rPr>
          <w:noProof/>
          <w:szCs w:val="22"/>
        </w:rPr>
        <w:t>.</w:t>
      </w:r>
    </w:p>
    <w:p w14:paraId="79CF1338" w14:textId="77777777" w:rsidR="001E28F4" w:rsidRPr="0063119B" w:rsidRDefault="001E28F4" w:rsidP="00951279">
      <w:pPr>
        <w:rPr>
          <w:szCs w:val="22"/>
        </w:rPr>
      </w:pPr>
    </w:p>
    <w:p w14:paraId="182139F1" w14:textId="77777777" w:rsidR="001E28F4" w:rsidRPr="0063119B" w:rsidRDefault="001E28F4" w:rsidP="00951279">
      <w:pPr>
        <w:rPr>
          <w:szCs w:val="22"/>
        </w:rPr>
      </w:pPr>
    </w:p>
    <w:p w14:paraId="4DB889EC" w14:textId="77777777" w:rsidR="001E28F4" w:rsidRPr="0063119B" w:rsidRDefault="001E28F4" w:rsidP="00951279">
      <w:pPr>
        <w:pBdr>
          <w:top w:val="single" w:sz="4" w:space="1" w:color="auto"/>
          <w:left w:val="single" w:sz="4" w:space="4" w:color="auto"/>
          <w:bottom w:val="single" w:sz="4" w:space="1" w:color="auto"/>
          <w:right w:val="single" w:sz="4" w:space="4" w:color="auto"/>
        </w:pBdr>
        <w:ind w:left="567" w:hanging="567"/>
        <w:rPr>
          <w:szCs w:val="22"/>
        </w:rPr>
      </w:pPr>
      <w:r w:rsidRPr="0063119B">
        <w:rPr>
          <w:b/>
          <w:szCs w:val="22"/>
        </w:rPr>
        <w:t>4.</w:t>
      </w:r>
      <w:r w:rsidRPr="0063119B">
        <w:rPr>
          <w:b/>
          <w:szCs w:val="22"/>
        </w:rPr>
        <w:tab/>
      </w:r>
      <w:r w:rsidRPr="0063119B">
        <w:rPr>
          <w:b/>
          <w:noProof/>
          <w:szCs w:val="22"/>
        </w:rPr>
        <w:t>FORMA FARMACÊUTICA E CONTEÚDO</w:t>
      </w:r>
    </w:p>
    <w:p w14:paraId="3B90057E" w14:textId="77777777" w:rsidR="001E28F4" w:rsidRPr="0063119B" w:rsidRDefault="001E28F4" w:rsidP="00951279">
      <w:pPr>
        <w:rPr>
          <w:szCs w:val="22"/>
        </w:rPr>
      </w:pPr>
    </w:p>
    <w:p w14:paraId="1F2F75B0" w14:textId="77777777" w:rsidR="001E28F4" w:rsidRPr="0063119B" w:rsidRDefault="001E28F4" w:rsidP="00951279">
      <w:pPr>
        <w:suppressAutoHyphens/>
        <w:ind w:right="14"/>
        <w:rPr>
          <w:noProof/>
          <w:szCs w:val="22"/>
        </w:rPr>
      </w:pPr>
      <w:r w:rsidRPr="0063119B">
        <w:rPr>
          <w:noProof/>
          <w:szCs w:val="22"/>
        </w:rPr>
        <w:t>Cada embalagem de 49</w:t>
      </w:r>
      <w:r w:rsidR="00166D46" w:rsidRPr="0063119B">
        <w:rPr>
          <w:noProof/>
          <w:szCs w:val="22"/>
        </w:rPr>
        <w:t> </w:t>
      </w:r>
      <w:r w:rsidRPr="0063119B">
        <w:rPr>
          <w:noProof/>
          <w:szCs w:val="22"/>
        </w:rPr>
        <w:t>comprimidos revestidos por película contém:</w:t>
      </w:r>
    </w:p>
    <w:p w14:paraId="7AC29C47" w14:textId="77777777" w:rsidR="001E28F4" w:rsidRPr="0063119B" w:rsidRDefault="001E28F4" w:rsidP="00951279">
      <w:pPr>
        <w:suppressAutoHyphens/>
        <w:ind w:right="14"/>
        <w:rPr>
          <w:noProof/>
          <w:szCs w:val="22"/>
        </w:rPr>
      </w:pPr>
      <w:r w:rsidRPr="0063119B">
        <w:rPr>
          <w:noProof/>
          <w:szCs w:val="22"/>
        </w:rPr>
        <w:t>42</w:t>
      </w:r>
      <w:r w:rsidR="00166D46" w:rsidRPr="0063119B">
        <w:rPr>
          <w:noProof/>
          <w:szCs w:val="22"/>
        </w:rPr>
        <w:t> </w:t>
      </w:r>
      <w:r w:rsidRPr="0063119B">
        <w:rPr>
          <w:noProof/>
          <w:szCs w:val="22"/>
        </w:rPr>
        <w:t>comprimidos revestidos por película de 15</w:t>
      </w:r>
      <w:r w:rsidR="00166D46" w:rsidRPr="0063119B">
        <w:rPr>
          <w:noProof/>
          <w:szCs w:val="22"/>
        </w:rPr>
        <w:t> </w:t>
      </w:r>
      <w:r w:rsidRPr="0063119B">
        <w:rPr>
          <w:noProof/>
          <w:szCs w:val="22"/>
        </w:rPr>
        <w:t>mg de rivaroxabano.</w:t>
      </w:r>
    </w:p>
    <w:p w14:paraId="16F24A9A" w14:textId="77777777" w:rsidR="001E28F4" w:rsidRPr="0063119B" w:rsidRDefault="001E28F4" w:rsidP="00951279">
      <w:pPr>
        <w:suppressAutoHyphens/>
        <w:ind w:right="14"/>
        <w:rPr>
          <w:noProof/>
          <w:szCs w:val="22"/>
        </w:rPr>
      </w:pPr>
      <w:r w:rsidRPr="0063119B">
        <w:rPr>
          <w:noProof/>
          <w:szCs w:val="22"/>
        </w:rPr>
        <w:t>7</w:t>
      </w:r>
      <w:r w:rsidR="00166D46" w:rsidRPr="0063119B">
        <w:rPr>
          <w:noProof/>
          <w:szCs w:val="22"/>
        </w:rPr>
        <w:t> </w:t>
      </w:r>
      <w:r w:rsidRPr="0063119B">
        <w:rPr>
          <w:noProof/>
          <w:szCs w:val="22"/>
        </w:rPr>
        <w:t>comprimidos revestidos por película de 20</w:t>
      </w:r>
      <w:r w:rsidR="00166D46" w:rsidRPr="0063119B">
        <w:rPr>
          <w:noProof/>
          <w:szCs w:val="22"/>
        </w:rPr>
        <w:t> </w:t>
      </w:r>
      <w:r w:rsidRPr="0063119B">
        <w:rPr>
          <w:noProof/>
          <w:szCs w:val="22"/>
        </w:rPr>
        <w:t>mg de rivaroxabano.</w:t>
      </w:r>
    </w:p>
    <w:p w14:paraId="6824C4B1" w14:textId="77777777" w:rsidR="001E28F4" w:rsidRPr="0063119B" w:rsidRDefault="001E28F4" w:rsidP="00951279">
      <w:pPr>
        <w:rPr>
          <w:szCs w:val="22"/>
        </w:rPr>
      </w:pPr>
    </w:p>
    <w:p w14:paraId="659AB6D4" w14:textId="77777777" w:rsidR="001E28F4" w:rsidRPr="0063119B" w:rsidRDefault="001E28F4" w:rsidP="00951279">
      <w:pPr>
        <w:rPr>
          <w:szCs w:val="22"/>
        </w:rPr>
      </w:pPr>
    </w:p>
    <w:p w14:paraId="7B64DEDE" w14:textId="77777777" w:rsidR="001E28F4" w:rsidRPr="0063119B" w:rsidRDefault="001E28F4" w:rsidP="00951279">
      <w:pPr>
        <w:pBdr>
          <w:top w:val="single" w:sz="4" w:space="1" w:color="auto"/>
          <w:left w:val="single" w:sz="4" w:space="4" w:color="auto"/>
          <w:bottom w:val="single" w:sz="4" w:space="1" w:color="auto"/>
          <w:right w:val="single" w:sz="4" w:space="4" w:color="auto"/>
        </w:pBdr>
        <w:ind w:left="567" w:hanging="567"/>
        <w:rPr>
          <w:szCs w:val="22"/>
        </w:rPr>
      </w:pPr>
      <w:r w:rsidRPr="0063119B">
        <w:rPr>
          <w:b/>
          <w:szCs w:val="22"/>
        </w:rPr>
        <w:t>5.</w:t>
      </w:r>
      <w:r w:rsidRPr="0063119B">
        <w:rPr>
          <w:b/>
          <w:szCs w:val="22"/>
        </w:rPr>
        <w:tab/>
      </w:r>
      <w:r w:rsidRPr="0063119B">
        <w:rPr>
          <w:b/>
          <w:noProof/>
          <w:szCs w:val="22"/>
        </w:rPr>
        <w:t>MODO E VIA(S) DE ADMINISTRAÇÃO</w:t>
      </w:r>
    </w:p>
    <w:p w14:paraId="67C6F484" w14:textId="77777777" w:rsidR="001E28F4" w:rsidRPr="0063119B" w:rsidRDefault="001E28F4" w:rsidP="00951279">
      <w:pPr>
        <w:rPr>
          <w:szCs w:val="22"/>
        </w:rPr>
      </w:pPr>
    </w:p>
    <w:p w14:paraId="569F4E2F" w14:textId="77777777" w:rsidR="001E28F4" w:rsidRPr="0063119B" w:rsidRDefault="001E28F4" w:rsidP="00951279">
      <w:pPr>
        <w:suppressAutoHyphens/>
        <w:ind w:right="14"/>
        <w:rPr>
          <w:noProof/>
          <w:szCs w:val="22"/>
        </w:rPr>
      </w:pPr>
      <w:r w:rsidRPr="0063119B">
        <w:rPr>
          <w:noProof/>
          <w:szCs w:val="22"/>
        </w:rPr>
        <w:t>Consultar o folheto informativo antes de utilizar.</w:t>
      </w:r>
    </w:p>
    <w:p w14:paraId="38873FEF" w14:textId="77777777" w:rsidR="00166D46" w:rsidRPr="0063119B" w:rsidRDefault="00166D46" w:rsidP="00951279">
      <w:pPr>
        <w:suppressAutoHyphens/>
        <w:ind w:right="14"/>
        <w:rPr>
          <w:noProof/>
          <w:szCs w:val="22"/>
        </w:rPr>
      </w:pPr>
    </w:p>
    <w:p w14:paraId="37AC8C04" w14:textId="77777777" w:rsidR="00F723A9" w:rsidRPr="0063119B" w:rsidRDefault="00F723A9" w:rsidP="00951279">
      <w:pPr>
        <w:suppressAutoHyphens/>
        <w:ind w:right="14"/>
        <w:rPr>
          <w:noProof/>
          <w:szCs w:val="22"/>
        </w:rPr>
      </w:pPr>
      <w:r w:rsidRPr="0063119B">
        <w:rPr>
          <w:noProof/>
          <w:szCs w:val="22"/>
        </w:rPr>
        <w:t>Via oral.</w:t>
      </w:r>
    </w:p>
    <w:p w14:paraId="71844746" w14:textId="77777777" w:rsidR="001E28F4" w:rsidRPr="0063119B" w:rsidRDefault="001E28F4" w:rsidP="00951279">
      <w:pPr>
        <w:autoSpaceDE w:val="0"/>
        <w:autoSpaceDN w:val="0"/>
        <w:adjustRightInd w:val="0"/>
        <w:rPr>
          <w:szCs w:val="22"/>
        </w:rPr>
      </w:pPr>
    </w:p>
    <w:p w14:paraId="7AAF2FC1" w14:textId="77777777" w:rsidR="00502067" w:rsidRPr="0063119B" w:rsidRDefault="00502067" w:rsidP="00951279">
      <w:pPr>
        <w:suppressAutoHyphens/>
        <w:ind w:right="14"/>
        <w:rPr>
          <w:noProof/>
          <w:szCs w:val="22"/>
        </w:rPr>
      </w:pPr>
      <w:r w:rsidRPr="0063119B">
        <w:rPr>
          <w:noProof/>
          <w:szCs w:val="22"/>
        </w:rPr>
        <w:t>Embalagem de tratamento inicial</w:t>
      </w:r>
    </w:p>
    <w:p w14:paraId="2DC7EB89" w14:textId="77777777" w:rsidR="00502067" w:rsidRPr="0063119B" w:rsidRDefault="00502067" w:rsidP="00951279">
      <w:pPr>
        <w:suppressAutoHyphens/>
        <w:ind w:right="14"/>
        <w:rPr>
          <w:noProof/>
          <w:szCs w:val="22"/>
        </w:rPr>
      </w:pPr>
    </w:p>
    <w:p w14:paraId="69A3BA50" w14:textId="77777777" w:rsidR="00502067" w:rsidRPr="0063119B" w:rsidRDefault="00502067" w:rsidP="00951279">
      <w:pPr>
        <w:suppressAutoHyphens/>
        <w:ind w:right="14"/>
        <w:rPr>
          <w:noProof/>
          <w:szCs w:val="22"/>
        </w:rPr>
      </w:pPr>
      <w:r w:rsidRPr="0063119B">
        <w:rPr>
          <w:noProof/>
          <w:szCs w:val="22"/>
        </w:rPr>
        <w:t>Esta embalagem de tratamento inicial destina-se apenas às primeiras 4 semanas de tratamento.</w:t>
      </w:r>
    </w:p>
    <w:p w14:paraId="492F7D35" w14:textId="77777777" w:rsidR="00502067" w:rsidRPr="0063119B" w:rsidRDefault="00502067" w:rsidP="00951279">
      <w:pPr>
        <w:suppressAutoHyphens/>
        <w:ind w:right="14"/>
        <w:rPr>
          <w:noProof/>
          <w:szCs w:val="22"/>
        </w:rPr>
      </w:pPr>
    </w:p>
    <w:p w14:paraId="3DE3348B" w14:textId="77777777" w:rsidR="00502067" w:rsidRPr="0063119B" w:rsidRDefault="00502067" w:rsidP="00951279">
      <w:pPr>
        <w:suppressAutoHyphens/>
        <w:ind w:right="14"/>
        <w:rPr>
          <w:noProof/>
          <w:szCs w:val="22"/>
        </w:rPr>
      </w:pPr>
      <w:r w:rsidRPr="0063119B">
        <w:rPr>
          <w:noProof/>
          <w:szCs w:val="22"/>
        </w:rPr>
        <w:t>Do dia</w:t>
      </w:r>
      <w:r w:rsidR="00031047" w:rsidRPr="0063119B">
        <w:rPr>
          <w:noProof/>
          <w:szCs w:val="22"/>
        </w:rPr>
        <w:t> </w:t>
      </w:r>
      <w:r w:rsidRPr="0063119B">
        <w:rPr>
          <w:noProof/>
          <w:szCs w:val="22"/>
        </w:rPr>
        <w:t>1 ao dia</w:t>
      </w:r>
      <w:r w:rsidR="00031047" w:rsidRPr="0063119B">
        <w:rPr>
          <w:noProof/>
          <w:szCs w:val="22"/>
        </w:rPr>
        <w:t> </w:t>
      </w:r>
      <w:r w:rsidRPr="0063119B">
        <w:rPr>
          <w:noProof/>
          <w:szCs w:val="22"/>
        </w:rPr>
        <w:t>21: 1</w:t>
      </w:r>
      <w:r w:rsidR="00031047" w:rsidRPr="0063119B">
        <w:rPr>
          <w:noProof/>
          <w:szCs w:val="22"/>
        </w:rPr>
        <w:t> </w:t>
      </w:r>
      <w:r w:rsidRPr="0063119B">
        <w:rPr>
          <w:noProof/>
          <w:szCs w:val="22"/>
        </w:rPr>
        <w:t>comprimido de 15</w:t>
      </w:r>
      <w:r w:rsidR="00166D46" w:rsidRPr="0063119B">
        <w:rPr>
          <w:noProof/>
          <w:szCs w:val="22"/>
        </w:rPr>
        <w:t> </w:t>
      </w:r>
      <w:r w:rsidRPr="0063119B">
        <w:rPr>
          <w:noProof/>
          <w:szCs w:val="22"/>
        </w:rPr>
        <w:t>mg duas vezes ao dia (um comprimido de 15</w:t>
      </w:r>
      <w:r w:rsidR="00166D46" w:rsidRPr="0063119B">
        <w:rPr>
          <w:noProof/>
          <w:szCs w:val="22"/>
        </w:rPr>
        <w:t> </w:t>
      </w:r>
      <w:r w:rsidRPr="0063119B">
        <w:rPr>
          <w:noProof/>
          <w:szCs w:val="22"/>
        </w:rPr>
        <w:t>mg de manhã e um comprimido à noite) com alimentos.</w:t>
      </w:r>
    </w:p>
    <w:p w14:paraId="50638D9D" w14:textId="77777777" w:rsidR="00502067" w:rsidRPr="0063119B" w:rsidRDefault="00502067" w:rsidP="00951279">
      <w:pPr>
        <w:suppressAutoHyphens/>
        <w:ind w:right="14"/>
        <w:rPr>
          <w:noProof/>
          <w:szCs w:val="22"/>
        </w:rPr>
      </w:pPr>
      <w:r w:rsidRPr="0063119B">
        <w:rPr>
          <w:noProof/>
          <w:szCs w:val="22"/>
        </w:rPr>
        <w:t>A partir do dia</w:t>
      </w:r>
      <w:r w:rsidR="00031047" w:rsidRPr="0063119B">
        <w:rPr>
          <w:noProof/>
          <w:szCs w:val="22"/>
        </w:rPr>
        <w:t> </w:t>
      </w:r>
      <w:r w:rsidRPr="0063119B">
        <w:rPr>
          <w:noProof/>
          <w:szCs w:val="22"/>
        </w:rPr>
        <w:t>22: 1</w:t>
      </w:r>
      <w:r w:rsidR="00031047" w:rsidRPr="0063119B">
        <w:rPr>
          <w:noProof/>
          <w:szCs w:val="22"/>
        </w:rPr>
        <w:t> </w:t>
      </w:r>
      <w:r w:rsidRPr="0063119B">
        <w:rPr>
          <w:noProof/>
          <w:szCs w:val="22"/>
        </w:rPr>
        <w:t>comprimido de 20</w:t>
      </w:r>
      <w:r w:rsidR="00166D46" w:rsidRPr="0063119B">
        <w:rPr>
          <w:noProof/>
          <w:szCs w:val="22"/>
        </w:rPr>
        <w:t> </w:t>
      </w:r>
      <w:r w:rsidRPr="0063119B">
        <w:rPr>
          <w:noProof/>
          <w:szCs w:val="22"/>
        </w:rPr>
        <w:t>mg uma vez ao dia (tomado sempre à mesma hora) com alimentos.</w:t>
      </w:r>
    </w:p>
    <w:p w14:paraId="163CA710" w14:textId="77777777" w:rsidR="00502067" w:rsidRPr="0063119B" w:rsidRDefault="00502067" w:rsidP="00951279">
      <w:pPr>
        <w:suppressAutoHyphens/>
        <w:ind w:right="14"/>
        <w:rPr>
          <w:noProof/>
          <w:szCs w:val="22"/>
        </w:rPr>
      </w:pPr>
    </w:p>
    <w:p w14:paraId="2FE1E149" w14:textId="77777777" w:rsidR="00794249" w:rsidRPr="0063119B" w:rsidRDefault="00794249" w:rsidP="00951279">
      <w:pPr>
        <w:suppressAutoHyphens/>
        <w:ind w:right="14"/>
        <w:rPr>
          <w:noProof/>
          <w:szCs w:val="22"/>
        </w:rPr>
      </w:pPr>
      <w:r w:rsidRPr="0063119B">
        <w:rPr>
          <w:noProof/>
          <w:szCs w:val="22"/>
        </w:rPr>
        <w:t xml:space="preserve">DOSAGEM e </w:t>
      </w:r>
      <w:r w:rsidR="00166D46" w:rsidRPr="0063119B">
        <w:rPr>
          <w:noProof/>
          <w:szCs w:val="22"/>
        </w:rPr>
        <w:t>ESQUEMA POSOLÓGICO</w:t>
      </w:r>
      <w:r w:rsidRPr="0063119B">
        <w:rPr>
          <w:noProof/>
          <w:szCs w:val="22"/>
        </w:rPr>
        <w:t>:</w:t>
      </w:r>
    </w:p>
    <w:p w14:paraId="078C8A82" w14:textId="77777777" w:rsidR="00502067" w:rsidRPr="0063119B" w:rsidRDefault="00502067" w:rsidP="00951279">
      <w:pPr>
        <w:suppressAutoHyphens/>
        <w:ind w:right="14"/>
        <w:rPr>
          <w:noProof/>
          <w:szCs w:val="22"/>
        </w:rPr>
      </w:pPr>
      <w:r w:rsidRPr="0063119B">
        <w:rPr>
          <w:noProof/>
          <w:szCs w:val="22"/>
        </w:rPr>
        <w:t>Do dia</w:t>
      </w:r>
      <w:r w:rsidR="00031047" w:rsidRPr="0063119B">
        <w:rPr>
          <w:noProof/>
          <w:szCs w:val="22"/>
        </w:rPr>
        <w:t> </w:t>
      </w:r>
      <w:r w:rsidRPr="0063119B">
        <w:rPr>
          <w:noProof/>
          <w:szCs w:val="22"/>
        </w:rPr>
        <w:t>1 ao dia</w:t>
      </w:r>
      <w:r w:rsidR="00031047" w:rsidRPr="0063119B">
        <w:rPr>
          <w:noProof/>
          <w:szCs w:val="22"/>
        </w:rPr>
        <w:t> </w:t>
      </w:r>
      <w:r w:rsidRPr="0063119B">
        <w:rPr>
          <w:noProof/>
          <w:szCs w:val="22"/>
        </w:rPr>
        <w:t>21: um comprimido de 15</w:t>
      </w:r>
      <w:r w:rsidR="00166D46" w:rsidRPr="0063119B">
        <w:rPr>
          <w:noProof/>
          <w:szCs w:val="22"/>
        </w:rPr>
        <w:t> </w:t>
      </w:r>
      <w:r w:rsidRPr="0063119B">
        <w:rPr>
          <w:noProof/>
          <w:szCs w:val="22"/>
        </w:rPr>
        <w:t>mg duas vezes ao dia (um comprimido de 15</w:t>
      </w:r>
      <w:r w:rsidR="00031047" w:rsidRPr="0063119B">
        <w:rPr>
          <w:noProof/>
          <w:szCs w:val="22"/>
        </w:rPr>
        <w:t> </w:t>
      </w:r>
      <w:r w:rsidRPr="0063119B">
        <w:rPr>
          <w:noProof/>
          <w:szCs w:val="22"/>
        </w:rPr>
        <w:t>mg de manhã e um comprimido à noite).</w:t>
      </w:r>
    </w:p>
    <w:p w14:paraId="35AA60AA" w14:textId="77777777" w:rsidR="00502067" w:rsidRPr="0063119B" w:rsidRDefault="00502067" w:rsidP="00951279">
      <w:pPr>
        <w:suppressAutoHyphens/>
        <w:ind w:right="14"/>
        <w:rPr>
          <w:noProof/>
          <w:szCs w:val="22"/>
        </w:rPr>
      </w:pPr>
      <w:r w:rsidRPr="0063119B">
        <w:rPr>
          <w:noProof/>
          <w:szCs w:val="22"/>
        </w:rPr>
        <w:t>A partir do dia</w:t>
      </w:r>
      <w:r w:rsidR="00031047" w:rsidRPr="0063119B">
        <w:rPr>
          <w:noProof/>
          <w:szCs w:val="22"/>
        </w:rPr>
        <w:t> </w:t>
      </w:r>
      <w:r w:rsidRPr="0063119B">
        <w:rPr>
          <w:noProof/>
          <w:szCs w:val="22"/>
        </w:rPr>
        <w:t xml:space="preserve">22: </w:t>
      </w:r>
      <w:r w:rsidR="003459F9" w:rsidRPr="0063119B">
        <w:rPr>
          <w:noProof/>
          <w:szCs w:val="22"/>
        </w:rPr>
        <w:t>um</w:t>
      </w:r>
      <w:r w:rsidRPr="0063119B">
        <w:rPr>
          <w:noProof/>
          <w:szCs w:val="22"/>
        </w:rPr>
        <w:t xml:space="preserve"> comprimido de 20</w:t>
      </w:r>
      <w:r w:rsidR="00166D46" w:rsidRPr="0063119B">
        <w:rPr>
          <w:noProof/>
          <w:szCs w:val="22"/>
        </w:rPr>
        <w:t> </w:t>
      </w:r>
      <w:r w:rsidRPr="0063119B">
        <w:rPr>
          <w:noProof/>
          <w:szCs w:val="22"/>
        </w:rPr>
        <w:t>mg uma vez ao dia (tomado sempre à mesma hora).</w:t>
      </w:r>
    </w:p>
    <w:p w14:paraId="644B1F84" w14:textId="77777777" w:rsidR="003459F9" w:rsidRPr="0063119B" w:rsidRDefault="003459F9" w:rsidP="00951279">
      <w:pPr>
        <w:suppressAutoHyphens/>
        <w:ind w:right="14"/>
        <w:rPr>
          <w:noProof/>
          <w:szCs w:val="22"/>
        </w:rPr>
      </w:pPr>
      <w:r w:rsidRPr="0063119B">
        <w:rPr>
          <w:noProof/>
          <w:szCs w:val="22"/>
        </w:rPr>
        <w:t xml:space="preserve">Tratamento inicial </w:t>
      </w:r>
      <w:r w:rsidRPr="0063119B">
        <w:rPr>
          <w:noProof/>
          <w:szCs w:val="22"/>
        </w:rPr>
        <w:tab/>
      </w:r>
      <w:r w:rsidR="00607DE4">
        <w:rPr>
          <w:noProof/>
          <w:szCs w:val="22"/>
        </w:rPr>
        <w:t>Rivaroxabano</w:t>
      </w:r>
      <w:r w:rsidR="001F7D02" w:rsidRPr="0063119B">
        <w:rPr>
          <w:noProof/>
          <w:szCs w:val="22"/>
        </w:rPr>
        <w:t xml:space="preserve"> Accord</w:t>
      </w:r>
      <w:r w:rsidRPr="0063119B">
        <w:rPr>
          <w:noProof/>
          <w:szCs w:val="22"/>
        </w:rPr>
        <w:t xml:space="preserve"> 15</w:t>
      </w:r>
      <w:r w:rsidR="00166D46" w:rsidRPr="0063119B">
        <w:rPr>
          <w:noProof/>
          <w:szCs w:val="22"/>
        </w:rPr>
        <w:t> </w:t>
      </w:r>
      <w:r w:rsidRPr="0063119B">
        <w:rPr>
          <w:noProof/>
          <w:szCs w:val="22"/>
        </w:rPr>
        <w:t xml:space="preserve">mg duas vezes </w:t>
      </w:r>
      <w:r w:rsidR="001507A0" w:rsidRPr="0063119B">
        <w:rPr>
          <w:noProof/>
          <w:szCs w:val="22"/>
        </w:rPr>
        <w:t>ao</w:t>
      </w:r>
      <w:r w:rsidRPr="0063119B">
        <w:rPr>
          <w:noProof/>
          <w:szCs w:val="22"/>
        </w:rPr>
        <w:t xml:space="preserve"> dia</w:t>
      </w:r>
      <w:r w:rsidR="001507A0" w:rsidRPr="0063119B">
        <w:rPr>
          <w:noProof/>
          <w:szCs w:val="22"/>
        </w:rPr>
        <w:tab/>
      </w:r>
      <w:r w:rsidRPr="0063119B">
        <w:rPr>
          <w:noProof/>
          <w:szCs w:val="22"/>
        </w:rPr>
        <w:tab/>
        <w:t>Primeiras 3</w:t>
      </w:r>
      <w:r w:rsidR="00031047" w:rsidRPr="0063119B">
        <w:rPr>
          <w:noProof/>
          <w:szCs w:val="22"/>
        </w:rPr>
        <w:t> </w:t>
      </w:r>
      <w:r w:rsidRPr="0063119B">
        <w:rPr>
          <w:noProof/>
          <w:szCs w:val="22"/>
        </w:rPr>
        <w:t>semanas</w:t>
      </w:r>
    </w:p>
    <w:p w14:paraId="3104E8EA" w14:textId="77777777" w:rsidR="003459F9" w:rsidRPr="0063119B" w:rsidRDefault="003459F9" w:rsidP="00951279">
      <w:pPr>
        <w:suppressAutoHyphens/>
        <w:ind w:right="14"/>
        <w:rPr>
          <w:noProof/>
          <w:szCs w:val="22"/>
        </w:rPr>
      </w:pPr>
      <w:r w:rsidRPr="0063119B">
        <w:rPr>
          <w:noProof/>
          <w:szCs w:val="22"/>
        </w:rPr>
        <w:lastRenderedPageBreak/>
        <w:t>Tratamento contínuo</w:t>
      </w:r>
      <w:r w:rsidRPr="0063119B">
        <w:rPr>
          <w:noProof/>
          <w:szCs w:val="22"/>
        </w:rPr>
        <w:tab/>
      </w:r>
      <w:r w:rsidR="00607DE4">
        <w:rPr>
          <w:noProof/>
          <w:szCs w:val="22"/>
        </w:rPr>
        <w:t>Rivaroxabano</w:t>
      </w:r>
      <w:r w:rsidR="001F7D02" w:rsidRPr="0063119B">
        <w:rPr>
          <w:noProof/>
          <w:szCs w:val="22"/>
        </w:rPr>
        <w:t xml:space="preserve"> Accord</w:t>
      </w:r>
      <w:r w:rsidRPr="0063119B">
        <w:rPr>
          <w:noProof/>
          <w:szCs w:val="22"/>
        </w:rPr>
        <w:t xml:space="preserve"> 20</w:t>
      </w:r>
      <w:r w:rsidR="00166D46" w:rsidRPr="0063119B">
        <w:rPr>
          <w:noProof/>
          <w:szCs w:val="22"/>
        </w:rPr>
        <w:t> </w:t>
      </w:r>
      <w:r w:rsidRPr="0063119B">
        <w:rPr>
          <w:noProof/>
          <w:szCs w:val="22"/>
        </w:rPr>
        <w:t>mg uma vez ao dia</w:t>
      </w:r>
      <w:r w:rsidRPr="0063119B">
        <w:rPr>
          <w:noProof/>
          <w:szCs w:val="22"/>
        </w:rPr>
        <w:tab/>
      </w:r>
      <w:r w:rsidRPr="0063119B">
        <w:rPr>
          <w:noProof/>
          <w:szCs w:val="22"/>
        </w:rPr>
        <w:tab/>
        <w:t>A partir da semana</w:t>
      </w:r>
      <w:r w:rsidR="00031047" w:rsidRPr="0063119B">
        <w:rPr>
          <w:noProof/>
          <w:szCs w:val="22"/>
        </w:rPr>
        <w:t> </w:t>
      </w:r>
      <w:r w:rsidRPr="0063119B">
        <w:rPr>
          <w:noProof/>
          <w:szCs w:val="22"/>
        </w:rPr>
        <w:t xml:space="preserve">4 </w:t>
      </w:r>
      <w:r w:rsidRPr="0063119B">
        <w:rPr>
          <w:noProof/>
          <w:szCs w:val="22"/>
        </w:rPr>
        <w:tab/>
      </w:r>
      <w:r w:rsidR="001507A0" w:rsidRPr="0063119B">
        <w:rPr>
          <w:noProof/>
          <w:szCs w:val="22"/>
        </w:rPr>
        <w:t xml:space="preserve">Consulte </w:t>
      </w:r>
      <w:r w:rsidRPr="0063119B">
        <w:rPr>
          <w:noProof/>
          <w:szCs w:val="22"/>
        </w:rPr>
        <w:t xml:space="preserve"> o seu médico para garantir a continuação do tratamento.</w:t>
      </w:r>
    </w:p>
    <w:p w14:paraId="24682A4F" w14:textId="77777777" w:rsidR="003459F9" w:rsidRPr="0063119B" w:rsidRDefault="003459F9" w:rsidP="00951279">
      <w:pPr>
        <w:suppressAutoHyphens/>
        <w:ind w:right="14"/>
        <w:rPr>
          <w:noProof/>
          <w:szCs w:val="22"/>
        </w:rPr>
      </w:pPr>
      <w:r w:rsidRPr="0063119B">
        <w:rPr>
          <w:noProof/>
          <w:szCs w:val="22"/>
        </w:rPr>
        <w:t>Tomar com alimentos.</w:t>
      </w:r>
    </w:p>
    <w:p w14:paraId="4B2BCF3F" w14:textId="77777777" w:rsidR="00502067" w:rsidRPr="0063119B" w:rsidRDefault="00502067" w:rsidP="00951279">
      <w:pPr>
        <w:autoSpaceDE w:val="0"/>
        <w:autoSpaceDN w:val="0"/>
        <w:adjustRightInd w:val="0"/>
        <w:rPr>
          <w:szCs w:val="22"/>
        </w:rPr>
      </w:pPr>
    </w:p>
    <w:p w14:paraId="6ABA86B7" w14:textId="77777777" w:rsidR="00794249" w:rsidRPr="0063119B" w:rsidRDefault="00607DE4" w:rsidP="00951279">
      <w:pPr>
        <w:rPr>
          <w:szCs w:val="22"/>
        </w:rPr>
      </w:pPr>
      <w:r>
        <w:rPr>
          <w:szCs w:val="22"/>
        </w:rPr>
        <w:t>Rivaroxabano</w:t>
      </w:r>
      <w:r w:rsidR="001F7D02" w:rsidRPr="0063119B">
        <w:rPr>
          <w:szCs w:val="22"/>
        </w:rPr>
        <w:t xml:space="preserve"> Accord</w:t>
      </w:r>
      <w:r w:rsidR="00794249" w:rsidRPr="0063119B">
        <w:rPr>
          <w:szCs w:val="22"/>
        </w:rPr>
        <w:t xml:space="preserve"> 15 mg</w:t>
      </w:r>
    </w:p>
    <w:p w14:paraId="10CF0ABA" w14:textId="77777777" w:rsidR="00794249" w:rsidRPr="0063119B" w:rsidRDefault="00794249" w:rsidP="00951279">
      <w:pPr>
        <w:rPr>
          <w:szCs w:val="22"/>
        </w:rPr>
      </w:pPr>
      <w:r w:rsidRPr="0063119B">
        <w:rPr>
          <w:szCs w:val="22"/>
        </w:rPr>
        <w:t>Início da terapêutica</w:t>
      </w:r>
    </w:p>
    <w:p w14:paraId="71DB38CA" w14:textId="77777777" w:rsidR="00794249" w:rsidRPr="0063119B" w:rsidRDefault="00794249" w:rsidP="00951279">
      <w:pPr>
        <w:rPr>
          <w:szCs w:val="22"/>
        </w:rPr>
      </w:pPr>
      <w:r w:rsidRPr="0063119B">
        <w:rPr>
          <w:szCs w:val="22"/>
        </w:rPr>
        <w:t>15</w:t>
      </w:r>
      <w:r w:rsidR="00166D46" w:rsidRPr="0063119B">
        <w:rPr>
          <w:szCs w:val="22"/>
        </w:rPr>
        <w:t> </w:t>
      </w:r>
      <w:r w:rsidRPr="0063119B">
        <w:rPr>
          <w:szCs w:val="22"/>
        </w:rPr>
        <w:t>mg</w:t>
      </w:r>
    </w:p>
    <w:p w14:paraId="021E9892" w14:textId="77777777" w:rsidR="00794249" w:rsidRPr="0063119B" w:rsidRDefault="00794249" w:rsidP="00951279">
      <w:pPr>
        <w:rPr>
          <w:szCs w:val="22"/>
        </w:rPr>
      </w:pPr>
      <w:r w:rsidRPr="0063119B">
        <w:rPr>
          <w:szCs w:val="22"/>
        </w:rPr>
        <w:t>Duas vezes ao dia</w:t>
      </w:r>
    </w:p>
    <w:p w14:paraId="6ACFBDD4" w14:textId="77777777" w:rsidR="001507A0" w:rsidRPr="0063119B" w:rsidRDefault="00794249" w:rsidP="00951279">
      <w:pPr>
        <w:rPr>
          <w:szCs w:val="22"/>
        </w:rPr>
      </w:pPr>
      <w:r w:rsidRPr="0063119B">
        <w:rPr>
          <w:szCs w:val="22"/>
        </w:rPr>
        <w:t>Data de in</w:t>
      </w:r>
      <w:r w:rsidR="007309F4" w:rsidRPr="0063119B">
        <w:rPr>
          <w:szCs w:val="22"/>
        </w:rPr>
        <w:t>í</w:t>
      </w:r>
      <w:r w:rsidRPr="0063119B">
        <w:rPr>
          <w:szCs w:val="22"/>
        </w:rPr>
        <w:t xml:space="preserve">cio </w:t>
      </w:r>
    </w:p>
    <w:p w14:paraId="3EB24EFA" w14:textId="77777777" w:rsidR="00794249" w:rsidRPr="0063119B" w:rsidRDefault="00794249" w:rsidP="00951279">
      <w:pPr>
        <w:rPr>
          <w:szCs w:val="22"/>
        </w:rPr>
      </w:pPr>
      <w:r w:rsidRPr="0063119B">
        <w:rPr>
          <w:szCs w:val="22"/>
        </w:rPr>
        <w:t xml:space="preserve">SEMANA 1, SEMANA 2, SEMANA 3 </w:t>
      </w:r>
    </w:p>
    <w:p w14:paraId="598C9905" w14:textId="77777777" w:rsidR="00794249" w:rsidRPr="0063119B" w:rsidRDefault="00794249" w:rsidP="00951279">
      <w:pPr>
        <w:rPr>
          <w:szCs w:val="22"/>
        </w:rPr>
      </w:pPr>
      <w:r w:rsidRPr="0063119B">
        <w:rPr>
          <w:szCs w:val="22"/>
        </w:rPr>
        <w:t>D</w:t>
      </w:r>
      <w:r w:rsidR="0051606C" w:rsidRPr="0063119B">
        <w:rPr>
          <w:szCs w:val="22"/>
        </w:rPr>
        <w:t>IA</w:t>
      </w:r>
      <w:r w:rsidR="00031047" w:rsidRPr="0063119B">
        <w:rPr>
          <w:szCs w:val="22"/>
        </w:rPr>
        <w:t> </w:t>
      </w:r>
      <w:r w:rsidRPr="0063119B">
        <w:rPr>
          <w:szCs w:val="22"/>
        </w:rPr>
        <w:t xml:space="preserve">1 2 3 4 5 6 7 8 9 10 11 12 13 14 15 16 17 18 19 20 21 </w:t>
      </w:r>
    </w:p>
    <w:p w14:paraId="01D74A9C" w14:textId="77777777" w:rsidR="00794249" w:rsidRPr="0063119B" w:rsidRDefault="00794249" w:rsidP="00951279">
      <w:pPr>
        <w:rPr>
          <w:szCs w:val="22"/>
        </w:rPr>
      </w:pPr>
    </w:p>
    <w:p w14:paraId="3B55E477" w14:textId="77777777" w:rsidR="00794249" w:rsidRPr="0063119B" w:rsidRDefault="00794249" w:rsidP="00951279">
      <w:pPr>
        <w:rPr>
          <w:i/>
          <w:noProof/>
          <w:szCs w:val="22"/>
        </w:rPr>
      </w:pPr>
      <w:r w:rsidRPr="0063119B">
        <w:rPr>
          <w:i/>
          <w:noProof/>
          <w:szCs w:val="22"/>
        </w:rPr>
        <w:t>Símbolo do sol</w:t>
      </w:r>
    </w:p>
    <w:p w14:paraId="692A7FFF" w14:textId="77777777" w:rsidR="00794249" w:rsidRPr="0063119B" w:rsidRDefault="00794249" w:rsidP="00951279">
      <w:pPr>
        <w:rPr>
          <w:noProof/>
          <w:szCs w:val="22"/>
        </w:rPr>
      </w:pPr>
      <w:r w:rsidRPr="0063119B">
        <w:rPr>
          <w:i/>
          <w:noProof/>
          <w:szCs w:val="22"/>
        </w:rPr>
        <w:t>Símbolo da lua</w:t>
      </w:r>
    </w:p>
    <w:p w14:paraId="1E7D5785" w14:textId="77777777" w:rsidR="00794249" w:rsidRPr="0063119B" w:rsidRDefault="00794249" w:rsidP="00951279">
      <w:pPr>
        <w:rPr>
          <w:szCs w:val="22"/>
        </w:rPr>
      </w:pPr>
    </w:p>
    <w:p w14:paraId="499342C9" w14:textId="77777777" w:rsidR="00794249" w:rsidRPr="0063119B" w:rsidRDefault="00794249" w:rsidP="00951279">
      <w:pPr>
        <w:rPr>
          <w:szCs w:val="22"/>
        </w:rPr>
      </w:pPr>
      <w:r w:rsidRPr="0063119B">
        <w:rPr>
          <w:szCs w:val="22"/>
        </w:rPr>
        <w:t>Alteração da dose</w:t>
      </w:r>
    </w:p>
    <w:p w14:paraId="3175FF13" w14:textId="77777777" w:rsidR="00794249" w:rsidRPr="0063119B" w:rsidRDefault="00607DE4" w:rsidP="00951279">
      <w:pPr>
        <w:rPr>
          <w:szCs w:val="22"/>
        </w:rPr>
      </w:pPr>
      <w:r>
        <w:rPr>
          <w:szCs w:val="22"/>
        </w:rPr>
        <w:t>Rivaroxabano</w:t>
      </w:r>
      <w:r w:rsidR="001F7D02" w:rsidRPr="0063119B">
        <w:rPr>
          <w:szCs w:val="22"/>
        </w:rPr>
        <w:t xml:space="preserve"> Accord</w:t>
      </w:r>
      <w:r w:rsidR="00794249" w:rsidRPr="0063119B">
        <w:rPr>
          <w:szCs w:val="22"/>
        </w:rPr>
        <w:t xml:space="preserve"> 20</w:t>
      </w:r>
      <w:r w:rsidR="00166D46" w:rsidRPr="0063119B">
        <w:rPr>
          <w:szCs w:val="22"/>
        </w:rPr>
        <w:t> </w:t>
      </w:r>
      <w:r w:rsidR="00794249" w:rsidRPr="0063119B">
        <w:rPr>
          <w:szCs w:val="22"/>
        </w:rPr>
        <w:t>mg</w:t>
      </w:r>
    </w:p>
    <w:p w14:paraId="16C73E84" w14:textId="77777777" w:rsidR="00794249" w:rsidRPr="0063119B" w:rsidRDefault="00794249" w:rsidP="00951279">
      <w:pPr>
        <w:rPr>
          <w:szCs w:val="22"/>
        </w:rPr>
      </w:pPr>
      <w:r w:rsidRPr="0063119B">
        <w:rPr>
          <w:szCs w:val="22"/>
        </w:rPr>
        <w:t>20 mg</w:t>
      </w:r>
    </w:p>
    <w:p w14:paraId="74B613C9" w14:textId="77777777" w:rsidR="00794249" w:rsidRPr="0063119B" w:rsidRDefault="00794249" w:rsidP="00951279">
      <w:pPr>
        <w:rPr>
          <w:szCs w:val="22"/>
        </w:rPr>
      </w:pPr>
      <w:r w:rsidRPr="0063119B">
        <w:rPr>
          <w:szCs w:val="22"/>
        </w:rPr>
        <w:t>Uma vez ao dia</w:t>
      </w:r>
    </w:p>
    <w:p w14:paraId="0821EAF4" w14:textId="77777777" w:rsidR="00794249" w:rsidRPr="0063119B" w:rsidRDefault="00794249" w:rsidP="00951279">
      <w:pPr>
        <w:rPr>
          <w:szCs w:val="22"/>
        </w:rPr>
      </w:pPr>
      <w:r w:rsidRPr="0063119B">
        <w:rPr>
          <w:szCs w:val="22"/>
        </w:rPr>
        <w:t>Data da alteração da dosagem</w:t>
      </w:r>
    </w:p>
    <w:p w14:paraId="183F3988" w14:textId="77777777" w:rsidR="00794249" w:rsidRPr="0063119B" w:rsidRDefault="00794249" w:rsidP="00951279">
      <w:pPr>
        <w:rPr>
          <w:szCs w:val="22"/>
        </w:rPr>
      </w:pPr>
      <w:r w:rsidRPr="0063119B">
        <w:rPr>
          <w:szCs w:val="22"/>
        </w:rPr>
        <w:t>SEMANA</w:t>
      </w:r>
      <w:r w:rsidR="00166D46" w:rsidRPr="0063119B">
        <w:rPr>
          <w:szCs w:val="22"/>
        </w:rPr>
        <w:t> </w:t>
      </w:r>
      <w:r w:rsidRPr="0063119B">
        <w:rPr>
          <w:szCs w:val="22"/>
        </w:rPr>
        <w:t>4</w:t>
      </w:r>
    </w:p>
    <w:p w14:paraId="4C8ED44C" w14:textId="77777777" w:rsidR="00794249" w:rsidRPr="0063119B" w:rsidRDefault="00794249" w:rsidP="00951279">
      <w:pPr>
        <w:rPr>
          <w:szCs w:val="22"/>
        </w:rPr>
      </w:pPr>
      <w:r w:rsidRPr="0063119B">
        <w:rPr>
          <w:szCs w:val="22"/>
        </w:rPr>
        <w:t>D</w:t>
      </w:r>
      <w:r w:rsidR="0051606C" w:rsidRPr="0063119B">
        <w:rPr>
          <w:szCs w:val="22"/>
        </w:rPr>
        <w:t>IA</w:t>
      </w:r>
      <w:r w:rsidR="00166D46" w:rsidRPr="0063119B">
        <w:rPr>
          <w:szCs w:val="22"/>
        </w:rPr>
        <w:t> </w:t>
      </w:r>
      <w:r w:rsidRPr="0063119B">
        <w:rPr>
          <w:szCs w:val="22"/>
        </w:rPr>
        <w:t xml:space="preserve">22 </w:t>
      </w:r>
      <w:r w:rsidR="0051606C" w:rsidRPr="0063119B">
        <w:rPr>
          <w:szCs w:val="22"/>
        </w:rPr>
        <w:t>DIA</w:t>
      </w:r>
      <w:r w:rsidR="00166D46" w:rsidRPr="0063119B">
        <w:rPr>
          <w:szCs w:val="22"/>
        </w:rPr>
        <w:t> </w:t>
      </w:r>
      <w:r w:rsidRPr="0063119B">
        <w:rPr>
          <w:szCs w:val="22"/>
        </w:rPr>
        <w:t xml:space="preserve">23 </w:t>
      </w:r>
      <w:r w:rsidR="0051606C" w:rsidRPr="0063119B">
        <w:rPr>
          <w:szCs w:val="22"/>
        </w:rPr>
        <w:t>DIA</w:t>
      </w:r>
      <w:r w:rsidR="00166D46" w:rsidRPr="0063119B">
        <w:rPr>
          <w:szCs w:val="22"/>
        </w:rPr>
        <w:t> </w:t>
      </w:r>
      <w:r w:rsidRPr="0063119B">
        <w:rPr>
          <w:szCs w:val="22"/>
        </w:rPr>
        <w:t xml:space="preserve">24 </w:t>
      </w:r>
      <w:r w:rsidR="0051606C" w:rsidRPr="0063119B">
        <w:rPr>
          <w:szCs w:val="22"/>
        </w:rPr>
        <w:t>DIA</w:t>
      </w:r>
      <w:r w:rsidR="00166D46" w:rsidRPr="0063119B">
        <w:rPr>
          <w:szCs w:val="22"/>
        </w:rPr>
        <w:t> </w:t>
      </w:r>
      <w:r w:rsidRPr="0063119B">
        <w:rPr>
          <w:szCs w:val="22"/>
        </w:rPr>
        <w:t xml:space="preserve">25 </w:t>
      </w:r>
      <w:r w:rsidR="0051606C" w:rsidRPr="0063119B">
        <w:rPr>
          <w:szCs w:val="22"/>
        </w:rPr>
        <w:t>DIA</w:t>
      </w:r>
      <w:r w:rsidR="00166D46" w:rsidRPr="0063119B">
        <w:rPr>
          <w:szCs w:val="22"/>
        </w:rPr>
        <w:t> </w:t>
      </w:r>
      <w:r w:rsidRPr="0063119B">
        <w:rPr>
          <w:szCs w:val="22"/>
        </w:rPr>
        <w:t xml:space="preserve">26 </w:t>
      </w:r>
      <w:r w:rsidR="0051606C" w:rsidRPr="0063119B">
        <w:rPr>
          <w:szCs w:val="22"/>
        </w:rPr>
        <w:t>DIA</w:t>
      </w:r>
      <w:r w:rsidR="00166D46" w:rsidRPr="0063119B">
        <w:rPr>
          <w:szCs w:val="22"/>
        </w:rPr>
        <w:t> </w:t>
      </w:r>
      <w:r w:rsidRPr="0063119B">
        <w:rPr>
          <w:szCs w:val="22"/>
        </w:rPr>
        <w:t xml:space="preserve">27 </w:t>
      </w:r>
      <w:r w:rsidR="0051606C" w:rsidRPr="0063119B">
        <w:rPr>
          <w:szCs w:val="22"/>
        </w:rPr>
        <w:t>DIA</w:t>
      </w:r>
      <w:r w:rsidR="00166D46" w:rsidRPr="0063119B">
        <w:rPr>
          <w:szCs w:val="22"/>
        </w:rPr>
        <w:t> </w:t>
      </w:r>
      <w:r w:rsidRPr="0063119B">
        <w:rPr>
          <w:szCs w:val="22"/>
        </w:rPr>
        <w:t xml:space="preserve">28 </w:t>
      </w:r>
    </w:p>
    <w:p w14:paraId="1E7342CD" w14:textId="77777777" w:rsidR="00794249" w:rsidRPr="0063119B" w:rsidRDefault="00794249" w:rsidP="00951279">
      <w:pPr>
        <w:autoSpaceDE w:val="0"/>
        <w:autoSpaceDN w:val="0"/>
        <w:adjustRightInd w:val="0"/>
        <w:rPr>
          <w:szCs w:val="22"/>
        </w:rPr>
      </w:pPr>
    </w:p>
    <w:p w14:paraId="46D6681F" w14:textId="77777777" w:rsidR="001E28F4" w:rsidRPr="0063119B" w:rsidRDefault="001E28F4" w:rsidP="00951279">
      <w:pPr>
        <w:autoSpaceDE w:val="0"/>
        <w:autoSpaceDN w:val="0"/>
        <w:adjustRightInd w:val="0"/>
        <w:rPr>
          <w:szCs w:val="22"/>
        </w:rPr>
      </w:pPr>
    </w:p>
    <w:p w14:paraId="2A654933" w14:textId="77777777" w:rsidR="001E28F4" w:rsidRPr="0063119B" w:rsidRDefault="001E28F4" w:rsidP="00951279">
      <w:pPr>
        <w:pBdr>
          <w:top w:val="single" w:sz="4" w:space="1" w:color="auto"/>
          <w:left w:val="single" w:sz="4" w:space="4" w:color="auto"/>
          <w:bottom w:val="single" w:sz="4" w:space="1" w:color="auto"/>
          <w:right w:val="single" w:sz="4" w:space="4" w:color="auto"/>
        </w:pBdr>
        <w:ind w:left="567" w:hanging="567"/>
        <w:rPr>
          <w:szCs w:val="22"/>
        </w:rPr>
      </w:pPr>
      <w:r w:rsidRPr="0063119B">
        <w:rPr>
          <w:b/>
          <w:szCs w:val="22"/>
        </w:rPr>
        <w:t>6.</w:t>
      </w:r>
      <w:r w:rsidRPr="0063119B">
        <w:rPr>
          <w:b/>
          <w:szCs w:val="22"/>
        </w:rPr>
        <w:tab/>
      </w:r>
      <w:r w:rsidRPr="0063119B">
        <w:rPr>
          <w:b/>
          <w:noProof/>
          <w:szCs w:val="22"/>
        </w:rPr>
        <w:t>ADVERTÊNCIA ESPECIAL DE QUE O MEDICAMENTO DEVE SER MANTIDO FORA DA VISTA E DO ALCANCE DAS CRIANÇAS</w:t>
      </w:r>
    </w:p>
    <w:p w14:paraId="0AB5FE80" w14:textId="77777777" w:rsidR="001E28F4" w:rsidRPr="0063119B" w:rsidRDefault="001E28F4" w:rsidP="00951279">
      <w:pPr>
        <w:rPr>
          <w:szCs w:val="22"/>
        </w:rPr>
      </w:pPr>
    </w:p>
    <w:p w14:paraId="02F1273B" w14:textId="77777777" w:rsidR="001E28F4" w:rsidRDefault="001E28F4" w:rsidP="00951279">
      <w:pPr>
        <w:rPr>
          <w:noProof/>
          <w:szCs w:val="22"/>
        </w:rPr>
      </w:pPr>
      <w:r w:rsidRPr="0063119B">
        <w:rPr>
          <w:noProof/>
          <w:szCs w:val="22"/>
        </w:rPr>
        <w:t>Manter fora da vista e do alcance das crianças.</w:t>
      </w:r>
    </w:p>
    <w:p w14:paraId="787AB4C8" w14:textId="77777777" w:rsidR="00F44978" w:rsidRPr="0063119B" w:rsidRDefault="00F44978" w:rsidP="00951279">
      <w:pPr>
        <w:rPr>
          <w:szCs w:val="22"/>
        </w:rPr>
      </w:pPr>
    </w:p>
    <w:p w14:paraId="16765F43" w14:textId="77777777" w:rsidR="001E28F4" w:rsidRPr="0063119B" w:rsidRDefault="001E28F4" w:rsidP="00951279">
      <w:pPr>
        <w:rPr>
          <w:szCs w:val="22"/>
        </w:rPr>
      </w:pPr>
    </w:p>
    <w:p w14:paraId="56314875" w14:textId="77777777" w:rsidR="001E28F4" w:rsidRPr="0063119B" w:rsidRDefault="001E28F4" w:rsidP="00951279">
      <w:pPr>
        <w:pBdr>
          <w:top w:val="single" w:sz="4" w:space="1" w:color="auto"/>
          <w:left w:val="single" w:sz="4" w:space="4" w:color="auto"/>
          <w:bottom w:val="single" w:sz="4" w:space="1" w:color="auto"/>
          <w:right w:val="single" w:sz="4" w:space="4" w:color="auto"/>
        </w:pBdr>
        <w:ind w:left="567" w:hanging="567"/>
        <w:rPr>
          <w:szCs w:val="22"/>
        </w:rPr>
      </w:pPr>
      <w:r w:rsidRPr="0063119B">
        <w:rPr>
          <w:b/>
          <w:szCs w:val="22"/>
        </w:rPr>
        <w:t>7.</w:t>
      </w:r>
      <w:r w:rsidRPr="0063119B">
        <w:rPr>
          <w:b/>
          <w:szCs w:val="22"/>
        </w:rPr>
        <w:tab/>
      </w:r>
      <w:r w:rsidRPr="0063119B">
        <w:rPr>
          <w:b/>
          <w:noProof/>
          <w:szCs w:val="22"/>
        </w:rPr>
        <w:t>OUTRAS ADVERTÊNCIAS ESPECIAIS, SE NECESSÁRIO</w:t>
      </w:r>
    </w:p>
    <w:p w14:paraId="3BB59668" w14:textId="77777777" w:rsidR="001E28F4" w:rsidRPr="0063119B" w:rsidRDefault="001E28F4" w:rsidP="00951279">
      <w:pPr>
        <w:rPr>
          <w:szCs w:val="22"/>
        </w:rPr>
      </w:pPr>
    </w:p>
    <w:p w14:paraId="4057EED2" w14:textId="77777777" w:rsidR="001E28F4" w:rsidRPr="0063119B" w:rsidRDefault="001E28F4" w:rsidP="00951279">
      <w:pPr>
        <w:rPr>
          <w:szCs w:val="22"/>
        </w:rPr>
      </w:pPr>
    </w:p>
    <w:p w14:paraId="0871BC5E" w14:textId="77777777" w:rsidR="001E28F4" w:rsidRPr="0063119B" w:rsidRDefault="001E28F4" w:rsidP="00951279">
      <w:pPr>
        <w:pBdr>
          <w:top w:val="single" w:sz="4" w:space="1" w:color="auto"/>
          <w:left w:val="single" w:sz="4" w:space="4" w:color="auto"/>
          <w:bottom w:val="single" w:sz="4" w:space="1" w:color="auto"/>
          <w:right w:val="single" w:sz="4" w:space="4" w:color="auto"/>
        </w:pBdr>
        <w:ind w:left="567" w:hanging="567"/>
        <w:rPr>
          <w:szCs w:val="22"/>
        </w:rPr>
      </w:pPr>
      <w:r w:rsidRPr="0063119B">
        <w:rPr>
          <w:b/>
          <w:szCs w:val="22"/>
        </w:rPr>
        <w:t>8.</w:t>
      </w:r>
      <w:r w:rsidRPr="0063119B">
        <w:rPr>
          <w:b/>
          <w:szCs w:val="22"/>
        </w:rPr>
        <w:tab/>
      </w:r>
      <w:r w:rsidRPr="0063119B">
        <w:rPr>
          <w:b/>
          <w:noProof/>
          <w:szCs w:val="22"/>
        </w:rPr>
        <w:t>PRAZO DE VALIDADE</w:t>
      </w:r>
    </w:p>
    <w:p w14:paraId="0E541FF8" w14:textId="77777777" w:rsidR="001E28F4" w:rsidRPr="0063119B" w:rsidRDefault="001E28F4" w:rsidP="00951279">
      <w:pPr>
        <w:rPr>
          <w:i/>
          <w:szCs w:val="22"/>
        </w:rPr>
      </w:pPr>
    </w:p>
    <w:p w14:paraId="4C5B1AF3" w14:textId="77777777" w:rsidR="001E28F4" w:rsidRPr="0063119B" w:rsidRDefault="001E28F4" w:rsidP="00951279">
      <w:pPr>
        <w:rPr>
          <w:szCs w:val="22"/>
        </w:rPr>
      </w:pPr>
      <w:r w:rsidRPr="0063119B">
        <w:rPr>
          <w:szCs w:val="22"/>
        </w:rPr>
        <w:t>EXP</w:t>
      </w:r>
    </w:p>
    <w:p w14:paraId="5E25BC69" w14:textId="77777777" w:rsidR="001E28F4" w:rsidRPr="0063119B" w:rsidRDefault="001E28F4" w:rsidP="00951279">
      <w:pPr>
        <w:rPr>
          <w:szCs w:val="22"/>
        </w:rPr>
      </w:pPr>
    </w:p>
    <w:p w14:paraId="68B9E3B4" w14:textId="77777777" w:rsidR="001E28F4" w:rsidRPr="0063119B" w:rsidRDefault="001E28F4" w:rsidP="00951279">
      <w:pPr>
        <w:rPr>
          <w:szCs w:val="22"/>
        </w:rPr>
      </w:pPr>
    </w:p>
    <w:p w14:paraId="3E616F3F" w14:textId="77777777" w:rsidR="001E28F4" w:rsidRPr="0063119B" w:rsidRDefault="001E28F4" w:rsidP="00951279">
      <w:pPr>
        <w:keepNext/>
        <w:pBdr>
          <w:top w:val="single" w:sz="4" w:space="1" w:color="auto"/>
          <w:left w:val="single" w:sz="4" w:space="4" w:color="auto"/>
          <w:bottom w:val="single" w:sz="4" w:space="1" w:color="auto"/>
          <w:right w:val="single" w:sz="4" w:space="4" w:color="auto"/>
        </w:pBdr>
        <w:ind w:left="567" w:hanging="567"/>
        <w:rPr>
          <w:szCs w:val="22"/>
        </w:rPr>
      </w:pPr>
      <w:r w:rsidRPr="0063119B">
        <w:rPr>
          <w:b/>
          <w:szCs w:val="22"/>
        </w:rPr>
        <w:t>9.</w:t>
      </w:r>
      <w:r w:rsidRPr="0063119B">
        <w:rPr>
          <w:b/>
          <w:szCs w:val="22"/>
        </w:rPr>
        <w:tab/>
      </w:r>
      <w:r w:rsidRPr="0063119B">
        <w:rPr>
          <w:b/>
          <w:noProof/>
          <w:szCs w:val="22"/>
        </w:rPr>
        <w:t>CONDIÇÕES ESPECIAIS DE CONSERVAÇÃO</w:t>
      </w:r>
    </w:p>
    <w:p w14:paraId="3AF58B38" w14:textId="77777777" w:rsidR="001E28F4" w:rsidRPr="0063119B" w:rsidRDefault="001E28F4" w:rsidP="00951279">
      <w:pPr>
        <w:ind w:left="567" w:hanging="567"/>
        <w:rPr>
          <w:szCs w:val="22"/>
        </w:rPr>
      </w:pPr>
    </w:p>
    <w:p w14:paraId="78EABA2F" w14:textId="77777777" w:rsidR="001E28F4" w:rsidRPr="0063119B" w:rsidRDefault="001E28F4" w:rsidP="00951279">
      <w:pPr>
        <w:ind w:left="567" w:hanging="567"/>
        <w:rPr>
          <w:szCs w:val="22"/>
        </w:rPr>
      </w:pPr>
    </w:p>
    <w:p w14:paraId="5FF58AEB" w14:textId="77777777" w:rsidR="001E28F4" w:rsidRPr="0063119B" w:rsidRDefault="001E28F4" w:rsidP="00951279">
      <w:pPr>
        <w:pBdr>
          <w:top w:val="single" w:sz="4" w:space="1" w:color="auto"/>
          <w:left w:val="single" w:sz="4" w:space="4" w:color="auto"/>
          <w:bottom w:val="single" w:sz="4" w:space="1" w:color="auto"/>
          <w:right w:val="single" w:sz="4" w:space="4" w:color="auto"/>
        </w:pBdr>
        <w:ind w:left="550" w:hanging="550"/>
        <w:rPr>
          <w:b/>
          <w:szCs w:val="22"/>
        </w:rPr>
      </w:pPr>
      <w:r w:rsidRPr="0063119B">
        <w:rPr>
          <w:b/>
          <w:szCs w:val="22"/>
        </w:rPr>
        <w:t>10.</w:t>
      </w:r>
      <w:r w:rsidRPr="0063119B">
        <w:rPr>
          <w:b/>
          <w:szCs w:val="22"/>
        </w:rPr>
        <w:tab/>
      </w:r>
      <w:r w:rsidRPr="0063119B">
        <w:rPr>
          <w:b/>
          <w:noProof/>
          <w:szCs w:val="22"/>
        </w:rPr>
        <w:t>CUIDADOS ESPECIAIS QUANTO À ELIMINAÇÃO DO MEDICAMENTO NÃO UTILIZADO OU DOS RESÍDUOS PROVENIENTES DESSE MEDICAMENTO, SE APLICÁVEL</w:t>
      </w:r>
    </w:p>
    <w:p w14:paraId="69DF3E4C" w14:textId="77777777" w:rsidR="001E28F4" w:rsidRPr="0063119B" w:rsidRDefault="001E28F4" w:rsidP="00951279">
      <w:pPr>
        <w:rPr>
          <w:szCs w:val="22"/>
        </w:rPr>
      </w:pPr>
    </w:p>
    <w:p w14:paraId="3465DD26" w14:textId="77777777" w:rsidR="001E28F4" w:rsidRPr="0063119B" w:rsidRDefault="001E28F4" w:rsidP="00951279">
      <w:pPr>
        <w:rPr>
          <w:szCs w:val="22"/>
        </w:rPr>
      </w:pPr>
    </w:p>
    <w:p w14:paraId="42E1D817" w14:textId="77777777" w:rsidR="001E28F4" w:rsidRPr="0063119B" w:rsidRDefault="001E28F4" w:rsidP="00261101">
      <w:pPr>
        <w:keepNext/>
        <w:pBdr>
          <w:top w:val="single" w:sz="4" w:space="1" w:color="auto"/>
          <w:left w:val="single" w:sz="4" w:space="2" w:color="auto"/>
          <w:bottom w:val="single" w:sz="4" w:space="1" w:color="auto"/>
          <w:right w:val="single" w:sz="4" w:space="4" w:color="auto"/>
        </w:pBdr>
        <w:rPr>
          <w:i/>
          <w:szCs w:val="22"/>
        </w:rPr>
      </w:pPr>
      <w:r w:rsidRPr="0063119B">
        <w:rPr>
          <w:b/>
          <w:szCs w:val="22"/>
        </w:rPr>
        <w:t>11.</w:t>
      </w:r>
      <w:r w:rsidRPr="0063119B">
        <w:rPr>
          <w:b/>
          <w:szCs w:val="22"/>
        </w:rPr>
        <w:tab/>
      </w:r>
      <w:r w:rsidRPr="0063119B">
        <w:rPr>
          <w:b/>
          <w:noProof/>
          <w:szCs w:val="22"/>
        </w:rPr>
        <w:t>NOME E ENDEREÇO DO TITULAR DA AUTORIZAÇÃO DE INTRODUÇÃO NO MERCADO</w:t>
      </w:r>
    </w:p>
    <w:p w14:paraId="6D2BC9A9" w14:textId="77777777" w:rsidR="001E28F4" w:rsidRPr="0063119B" w:rsidRDefault="001E28F4" w:rsidP="00261101">
      <w:pPr>
        <w:keepNext/>
        <w:rPr>
          <w:szCs w:val="22"/>
        </w:rPr>
      </w:pPr>
    </w:p>
    <w:p w14:paraId="43E45A65" w14:textId="77777777" w:rsidR="00166D46" w:rsidRPr="0063119B" w:rsidRDefault="00166D46" w:rsidP="00166D46">
      <w:pPr>
        <w:keepNext/>
        <w:rPr>
          <w:szCs w:val="22"/>
          <w:lang w:val="en-GB"/>
        </w:rPr>
      </w:pPr>
      <w:r w:rsidRPr="0063119B">
        <w:rPr>
          <w:szCs w:val="22"/>
          <w:lang w:val="en-GB"/>
        </w:rPr>
        <w:t>Accord Healthcare S.L.U.</w:t>
      </w:r>
    </w:p>
    <w:p w14:paraId="2A6CB43A" w14:textId="77777777" w:rsidR="00166D46" w:rsidRPr="0063119B" w:rsidRDefault="00166D46" w:rsidP="00166D46">
      <w:pPr>
        <w:rPr>
          <w:szCs w:val="22"/>
        </w:rPr>
      </w:pPr>
      <w:r w:rsidRPr="0063119B">
        <w:rPr>
          <w:szCs w:val="22"/>
        </w:rPr>
        <w:t>World Trade Center, Moll de Barcelona s/n, Edifici Est, 6</w:t>
      </w:r>
      <w:r w:rsidRPr="0063119B">
        <w:rPr>
          <w:szCs w:val="22"/>
          <w:vertAlign w:val="superscript"/>
        </w:rPr>
        <w:t>a</w:t>
      </w:r>
      <w:r w:rsidRPr="0063119B">
        <w:rPr>
          <w:szCs w:val="22"/>
        </w:rPr>
        <w:t xml:space="preserve"> Planta, </w:t>
      </w:r>
    </w:p>
    <w:p w14:paraId="274ADF40" w14:textId="77777777" w:rsidR="00166D46" w:rsidRPr="0063119B" w:rsidRDefault="00166D46" w:rsidP="00166D46">
      <w:pPr>
        <w:rPr>
          <w:szCs w:val="22"/>
        </w:rPr>
      </w:pPr>
      <w:r w:rsidRPr="0063119B">
        <w:rPr>
          <w:szCs w:val="22"/>
        </w:rPr>
        <w:t>Barcelona, 08039</w:t>
      </w:r>
    </w:p>
    <w:p w14:paraId="7E636D58" w14:textId="77777777" w:rsidR="001E28F4" w:rsidRPr="0063119B" w:rsidRDefault="00166D46" w:rsidP="00261101">
      <w:pPr>
        <w:keepNext/>
        <w:rPr>
          <w:szCs w:val="22"/>
        </w:rPr>
      </w:pPr>
      <w:r w:rsidRPr="0063119B">
        <w:rPr>
          <w:szCs w:val="22"/>
        </w:rPr>
        <w:t>Espanha</w:t>
      </w:r>
    </w:p>
    <w:p w14:paraId="4766B3AB" w14:textId="77777777" w:rsidR="001E28F4" w:rsidRPr="0063119B" w:rsidRDefault="001E28F4" w:rsidP="00951279">
      <w:pPr>
        <w:rPr>
          <w:szCs w:val="22"/>
        </w:rPr>
      </w:pPr>
    </w:p>
    <w:p w14:paraId="4A0773C6" w14:textId="77777777" w:rsidR="001E28F4" w:rsidRPr="0063119B" w:rsidRDefault="001E28F4" w:rsidP="00951279">
      <w:pPr>
        <w:rPr>
          <w:szCs w:val="22"/>
        </w:rPr>
      </w:pPr>
    </w:p>
    <w:p w14:paraId="1AF145CE" w14:textId="77777777" w:rsidR="001E28F4" w:rsidRPr="0063119B" w:rsidRDefault="001E28F4" w:rsidP="00951279">
      <w:pPr>
        <w:keepNext/>
        <w:keepLines/>
        <w:pBdr>
          <w:top w:val="single" w:sz="4" w:space="1" w:color="auto"/>
          <w:left w:val="single" w:sz="4" w:space="4" w:color="auto"/>
          <w:bottom w:val="single" w:sz="4" w:space="1" w:color="auto"/>
          <w:right w:val="single" w:sz="4" w:space="4" w:color="auto"/>
        </w:pBdr>
        <w:rPr>
          <w:szCs w:val="22"/>
        </w:rPr>
      </w:pPr>
      <w:r w:rsidRPr="0063119B">
        <w:rPr>
          <w:b/>
          <w:szCs w:val="22"/>
        </w:rPr>
        <w:lastRenderedPageBreak/>
        <w:t>12.</w:t>
      </w:r>
      <w:r w:rsidRPr="0063119B">
        <w:rPr>
          <w:b/>
          <w:szCs w:val="22"/>
        </w:rPr>
        <w:tab/>
        <w:t xml:space="preserve"> </w:t>
      </w:r>
      <w:r w:rsidRPr="0063119B">
        <w:rPr>
          <w:b/>
          <w:noProof/>
          <w:szCs w:val="22"/>
        </w:rPr>
        <w:t>NÚMERO(S) DA AUTORIZAÇÃO DE INTRODUÇÃO NO MERCADO</w:t>
      </w:r>
    </w:p>
    <w:p w14:paraId="350F9F44" w14:textId="77777777" w:rsidR="001E28F4" w:rsidRPr="0063119B" w:rsidRDefault="001E28F4" w:rsidP="00951279">
      <w:pPr>
        <w:autoSpaceDE w:val="0"/>
        <w:autoSpaceDN w:val="0"/>
        <w:adjustRightInd w:val="0"/>
        <w:rPr>
          <w:szCs w:val="22"/>
        </w:rPr>
      </w:pPr>
    </w:p>
    <w:p w14:paraId="335DCCB8" w14:textId="77777777" w:rsidR="001E28F4" w:rsidRPr="0063119B" w:rsidRDefault="001E28F4" w:rsidP="00951279">
      <w:pPr>
        <w:rPr>
          <w:szCs w:val="22"/>
        </w:rPr>
      </w:pPr>
    </w:p>
    <w:p w14:paraId="30838097" w14:textId="77777777" w:rsidR="001E28F4" w:rsidRPr="0063119B" w:rsidRDefault="001E28F4" w:rsidP="00951279">
      <w:pPr>
        <w:pBdr>
          <w:top w:val="single" w:sz="4" w:space="1" w:color="auto"/>
          <w:left w:val="single" w:sz="4" w:space="4" w:color="auto"/>
          <w:bottom w:val="single" w:sz="4" w:space="1" w:color="auto"/>
          <w:right w:val="single" w:sz="4" w:space="4" w:color="auto"/>
        </w:pBdr>
        <w:rPr>
          <w:b/>
          <w:szCs w:val="22"/>
        </w:rPr>
      </w:pPr>
      <w:r w:rsidRPr="0063119B">
        <w:rPr>
          <w:b/>
          <w:szCs w:val="22"/>
        </w:rPr>
        <w:t>13.</w:t>
      </w:r>
      <w:r w:rsidRPr="0063119B">
        <w:rPr>
          <w:b/>
          <w:szCs w:val="22"/>
        </w:rPr>
        <w:tab/>
      </w:r>
      <w:r w:rsidRPr="0063119B">
        <w:rPr>
          <w:b/>
          <w:noProof/>
          <w:szCs w:val="22"/>
        </w:rPr>
        <w:t>NÚMERO DO LOTE</w:t>
      </w:r>
    </w:p>
    <w:p w14:paraId="3FE90137" w14:textId="77777777" w:rsidR="001E28F4" w:rsidRPr="0063119B" w:rsidRDefault="001E28F4" w:rsidP="00951279">
      <w:pPr>
        <w:rPr>
          <w:szCs w:val="22"/>
        </w:rPr>
      </w:pPr>
    </w:p>
    <w:p w14:paraId="68E06515" w14:textId="77777777" w:rsidR="001E28F4" w:rsidRPr="0063119B" w:rsidRDefault="00394D5E" w:rsidP="00951279">
      <w:pPr>
        <w:rPr>
          <w:szCs w:val="22"/>
        </w:rPr>
      </w:pPr>
      <w:r>
        <w:rPr>
          <w:szCs w:val="22"/>
        </w:rPr>
        <w:t>Lot</w:t>
      </w:r>
    </w:p>
    <w:p w14:paraId="0392C920" w14:textId="77777777" w:rsidR="001E28F4" w:rsidRPr="0063119B" w:rsidRDefault="001E28F4" w:rsidP="00951279">
      <w:pPr>
        <w:rPr>
          <w:szCs w:val="22"/>
        </w:rPr>
      </w:pPr>
    </w:p>
    <w:p w14:paraId="313A72B8" w14:textId="77777777" w:rsidR="001E28F4" w:rsidRPr="0063119B" w:rsidRDefault="001E28F4" w:rsidP="00951279">
      <w:pPr>
        <w:rPr>
          <w:szCs w:val="22"/>
        </w:rPr>
      </w:pPr>
    </w:p>
    <w:p w14:paraId="2A4FC91F" w14:textId="77777777" w:rsidR="001E28F4" w:rsidRPr="0063119B" w:rsidRDefault="001E28F4" w:rsidP="00951279">
      <w:pPr>
        <w:pBdr>
          <w:top w:val="single" w:sz="4" w:space="1" w:color="auto"/>
          <w:left w:val="single" w:sz="4" w:space="4" w:color="auto"/>
          <w:bottom w:val="single" w:sz="4" w:space="1" w:color="auto"/>
          <w:right w:val="single" w:sz="4" w:space="4" w:color="auto"/>
        </w:pBdr>
        <w:rPr>
          <w:szCs w:val="22"/>
        </w:rPr>
      </w:pPr>
      <w:r w:rsidRPr="0063119B">
        <w:rPr>
          <w:b/>
          <w:szCs w:val="22"/>
        </w:rPr>
        <w:t>14.</w:t>
      </w:r>
      <w:r w:rsidRPr="0063119B">
        <w:rPr>
          <w:b/>
          <w:szCs w:val="22"/>
        </w:rPr>
        <w:tab/>
      </w:r>
      <w:r w:rsidRPr="0063119B">
        <w:rPr>
          <w:b/>
          <w:noProof/>
          <w:szCs w:val="22"/>
        </w:rPr>
        <w:t xml:space="preserve">CLASSIFICAÇÃO QUANTO À DISPENSA </w:t>
      </w:r>
      <w:r w:rsidRPr="0063119B">
        <w:rPr>
          <w:b/>
          <w:caps/>
          <w:noProof/>
          <w:szCs w:val="22"/>
        </w:rPr>
        <w:t>ao Público</w:t>
      </w:r>
    </w:p>
    <w:p w14:paraId="51E380A7" w14:textId="77777777" w:rsidR="001E28F4" w:rsidRPr="0063119B" w:rsidRDefault="001E28F4" w:rsidP="00951279">
      <w:pPr>
        <w:rPr>
          <w:szCs w:val="22"/>
        </w:rPr>
      </w:pPr>
    </w:p>
    <w:p w14:paraId="1FCB7112" w14:textId="77777777" w:rsidR="001E28F4" w:rsidRPr="0063119B" w:rsidRDefault="001E28F4" w:rsidP="00951279">
      <w:pPr>
        <w:rPr>
          <w:szCs w:val="22"/>
        </w:rPr>
      </w:pPr>
    </w:p>
    <w:p w14:paraId="5ABD7051" w14:textId="77777777" w:rsidR="001E28F4" w:rsidRPr="0063119B" w:rsidRDefault="001E28F4" w:rsidP="00951279">
      <w:pPr>
        <w:pBdr>
          <w:top w:val="single" w:sz="4" w:space="2" w:color="auto"/>
          <w:left w:val="single" w:sz="4" w:space="4" w:color="auto"/>
          <w:bottom w:val="single" w:sz="4" w:space="1" w:color="auto"/>
          <w:right w:val="single" w:sz="4" w:space="4" w:color="auto"/>
        </w:pBdr>
        <w:rPr>
          <w:szCs w:val="22"/>
        </w:rPr>
      </w:pPr>
      <w:r w:rsidRPr="0063119B">
        <w:rPr>
          <w:b/>
          <w:szCs w:val="22"/>
        </w:rPr>
        <w:t>15.</w:t>
      </w:r>
      <w:r w:rsidRPr="0063119B">
        <w:rPr>
          <w:b/>
          <w:szCs w:val="22"/>
        </w:rPr>
        <w:tab/>
      </w:r>
      <w:r w:rsidRPr="0063119B">
        <w:rPr>
          <w:b/>
          <w:noProof/>
          <w:szCs w:val="22"/>
        </w:rPr>
        <w:t>INSTRUÇÕES DE UTILIZAÇÃO</w:t>
      </w:r>
    </w:p>
    <w:p w14:paraId="308AB6C8" w14:textId="77777777" w:rsidR="001E28F4" w:rsidRPr="0063119B" w:rsidRDefault="001E28F4" w:rsidP="00951279">
      <w:pPr>
        <w:rPr>
          <w:i/>
          <w:szCs w:val="22"/>
        </w:rPr>
      </w:pPr>
    </w:p>
    <w:p w14:paraId="5492EAF3" w14:textId="77777777" w:rsidR="001E28F4" w:rsidRPr="0063119B" w:rsidRDefault="001E28F4" w:rsidP="00951279">
      <w:pPr>
        <w:rPr>
          <w:szCs w:val="22"/>
        </w:rPr>
      </w:pPr>
    </w:p>
    <w:p w14:paraId="234C5361" w14:textId="77777777" w:rsidR="001E28F4" w:rsidRPr="0063119B" w:rsidRDefault="001E28F4" w:rsidP="00951279">
      <w:pPr>
        <w:pBdr>
          <w:top w:val="single" w:sz="4" w:space="1" w:color="auto"/>
          <w:left w:val="single" w:sz="4" w:space="4" w:color="auto"/>
          <w:bottom w:val="single" w:sz="4" w:space="0" w:color="auto"/>
          <w:right w:val="single" w:sz="4" w:space="4" w:color="auto"/>
        </w:pBdr>
        <w:rPr>
          <w:b/>
          <w:szCs w:val="22"/>
        </w:rPr>
      </w:pPr>
      <w:r w:rsidRPr="0063119B">
        <w:rPr>
          <w:b/>
          <w:szCs w:val="22"/>
        </w:rPr>
        <w:t>16.</w:t>
      </w:r>
      <w:r w:rsidRPr="0063119B">
        <w:rPr>
          <w:b/>
          <w:szCs w:val="22"/>
        </w:rPr>
        <w:tab/>
      </w:r>
      <w:r w:rsidRPr="0063119B">
        <w:rPr>
          <w:b/>
          <w:caps/>
          <w:noProof/>
          <w:szCs w:val="22"/>
        </w:rPr>
        <w:t>Informação em Braille</w:t>
      </w:r>
    </w:p>
    <w:p w14:paraId="422787AE" w14:textId="77777777" w:rsidR="001E28F4" w:rsidRPr="0063119B" w:rsidRDefault="001E28F4" w:rsidP="00951279">
      <w:pPr>
        <w:rPr>
          <w:szCs w:val="22"/>
        </w:rPr>
      </w:pPr>
    </w:p>
    <w:p w14:paraId="018CF714" w14:textId="77777777" w:rsidR="001E28F4" w:rsidRPr="0063119B" w:rsidRDefault="001E28F4" w:rsidP="00951279">
      <w:pPr>
        <w:rPr>
          <w:szCs w:val="22"/>
        </w:rPr>
      </w:pPr>
      <w:r w:rsidRPr="0063119B">
        <w:rPr>
          <w:szCs w:val="22"/>
          <w:highlight w:val="lightGray"/>
        </w:rPr>
        <w:t>Justificação para não inclusão de Braille aceite.</w:t>
      </w:r>
    </w:p>
    <w:p w14:paraId="17EF7E14" w14:textId="77777777" w:rsidR="00873227" w:rsidRPr="0063119B" w:rsidRDefault="00873227" w:rsidP="00951279">
      <w:pPr>
        <w:rPr>
          <w:szCs w:val="22"/>
        </w:rPr>
      </w:pPr>
    </w:p>
    <w:p w14:paraId="59C48781" w14:textId="77777777" w:rsidR="00873227" w:rsidRPr="0063119B" w:rsidRDefault="00873227" w:rsidP="00951279">
      <w:pPr>
        <w:rPr>
          <w:szCs w:val="22"/>
        </w:rPr>
      </w:pPr>
    </w:p>
    <w:p w14:paraId="638F34B8" w14:textId="77777777" w:rsidR="00873227" w:rsidRPr="0063119B" w:rsidRDefault="00873227" w:rsidP="00951279">
      <w:pPr>
        <w:keepNext/>
        <w:pBdr>
          <w:top w:val="single" w:sz="4" w:space="1" w:color="auto"/>
          <w:left w:val="single" w:sz="4" w:space="4" w:color="auto"/>
          <w:bottom w:val="single" w:sz="4" w:space="1" w:color="auto"/>
          <w:right w:val="single" w:sz="4" w:space="4" w:color="auto"/>
        </w:pBdr>
        <w:tabs>
          <w:tab w:val="left" w:pos="0"/>
        </w:tabs>
        <w:rPr>
          <w:i/>
          <w:noProof/>
          <w:szCs w:val="22"/>
        </w:rPr>
      </w:pPr>
      <w:r w:rsidRPr="0063119B">
        <w:rPr>
          <w:b/>
          <w:noProof/>
          <w:szCs w:val="22"/>
        </w:rPr>
        <w:t>17.</w:t>
      </w:r>
      <w:r w:rsidRPr="0063119B">
        <w:rPr>
          <w:b/>
          <w:noProof/>
          <w:szCs w:val="22"/>
        </w:rPr>
        <w:tab/>
        <w:t>IDENTIFICADOR ÚNICO – CÓDIGO DE BARRAS 2D</w:t>
      </w:r>
    </w:p>
    <w:p w14:paraId="07E658B4" w14:textId="77777777" w:rsidR="00873227" w:rsidRPr="0063119B" w:rsidRDefault="00873227" w:rsidP="00951279">
      <w:pPr>
        <w:rPr>
          <w:noProof/>
          <w:szCs w:val="22"/>
        </w:rPr>
      </w:pPr>
    </w:p>
    <w:p w14:paraId="2AE5AD69" w14:textId="77777777" w:rsidR="00873227" w:rsidRPr="0063119B" w:rsidRDefault="00873227" w:rsidP="00951279">
      <w:pPr>
        <w:rPr>
          <w:noProof/>
          <w:szCs w:val="22"/>
          <w:shd w:val="clear" w:color="auto" w:fill="CCCCCC"/>
        </w:rPr>
      </w:pPr>
    </w:p>
    <w:p w14:paraId="483A5B94" w14:textId="77777777" w:rsidR="00873227" w:rsidRPr="0063119B" w:rsidRDefault="00873227" w:rsidP="00951279">
      <w:pPr>
        <w:rPr>
          <w:noProof/>
          <w:vanish/>
          <w:szCs w:val="22"/>
        </w:rPr>
      </w:pPr>
    </w:p>
    <w:p w14:paraId="01D80CB8" w14:textId="77777777" w:rsidR="00873227" w:rsidRPr="0063119B" w:rsidRDefault="00873227" w:rsidP="00951279">
      <w:pPr>
        <w:keepNext/>
        <w:pBdr>
          <w:top w:val="single" w:sz="4" w:space="1" w:color="auto"/>
          <w:left w:val="single" w:sz="4" w:space="4" w:color="auto"/>
          <w:bottom w:val="single" w:sz="4" w:space="1" w:color="auto"/>
          <w:right w:val="single" w:sz="4" w:space="4" w:color="auto"/>
        </w:pBdr>
        <w:tabs>
          <w:tab w:val="left" w:pos="0"/>
        </w:tabs>
        <w:rPr>
          <w:b/>
          <w:noProof/>
          <w:szCs w:val="22"/>
        </w:rPr>
      </w:pPr>
      <w:r w:rsidRPr="0063119B">
        <w:rPr>
          <w:b/>
          <w:noProof/>
          <w:szCs w:val="22"/>
        </w:rPr>
        <w:t>18.</w:t>
      </w:r>
      <w:r w:rsidRPr="0063119B">
        <w:rPr>
          <w:b/>
          <w:noProof/>
          <w:szCs w:val="22"/>
        </w:rPr>
        <w:tab/>
        <w:t>IDENTIFICADOR ÚNICO - DADOS PARA LEITURA HUMANA</w:t>
      </w:r>
    </w:p>
    <w:p w14:paraId="586C9B0D" w14:textId="77777777" w:rsidR="00873227" w:rsidRPr="0063119B" w:rsidRDefault="00873227" w:rsidP="00951279">
      <w:pPr>
        <w:rPr>
          <w:noProof/>
          <w:szCs w:val="22"/>
        </w:rPr>
      </w:pPr>
    </w:p>
    <w:p w14:paraId="59852202" w14:textId="77777777" w:rsidR="00873227" w:rsidRPr="0063119B" w:rsidRDefault="00873227" w:rsidP="00951279">
      <w:pPr>
        <w:rPr>
          <w:szCs w:val="22"/>
        </w:rPr>
      </w:pPr>
    </w:p>
    <w:p w14:paraId="637680DD" w14:textId="77777777" w:rsidR="00FB7835" w:rsidRPr="0063119B" w:rsidRDefault="00430BC9" w:rsidP="00951279">
      <w:pPr>
        <w:suppressAutoHyphens/>
        <w:ind w:right="14"/>
        <w:rPr>
          <w:b/>
          <w:noProof/>
          <w:szCs w:val="22"/>
        </w:rPr>
      </w:pPr>
      <w:r w:rsidRPr="0063119B">
        <w:rPr>
          <w:szCs w:val="22"/>
        </w:rPr>
        <w:br w:type="page"/>
      </w:r>
    </w:p>
    <w:p w14:paraId="543A8BD4" w14:textId="77777777" w:rsidR="00FB7835" w:rsidRPr="0063119B" w:rsidRDefault="00FB7835" w:rsidP="00951279">
      <w:pPr>
        <w:pBdr>
          <w:top w:val="single" w:sz="4" w:space="1" w:color="auto"/>
          <w:left w:val="single" w:sz="4" w:space="4" w:color="auto"/>
          <w:bottom w:val="single" w:sz="4" w:space="1" w:color="auto"/>
          <w:right w:val="single" w:sz="4" w:space="4" w:color="auto"/>
        </w:pBdr>
        <w:rPr>
          <w:b/>
          <w:noProof/>
          <w:szCs w:val="22"/>
        </w:rPr>
      </w:pPr>
      <w:r w:rsidRPr="0063119B">
        <w:rPr>
          <w:b/>
          <w:noProof/>
          <w:szCs w:val="22"/>
        </w:rPr>
        <w:lastRenderedPageBreak/>
        <w:t>INDICAÇÕES MÍNIMAS A INCLUIR NAS EMBALAGENS “BLISTER” OU FITAS CONTENTORAS</w:t>
      </w:r>
    </w:p>
    <w:p w14:paraId="65133348" w14:textId="77777777" w:rsidR="00FB7835" w:rsidRPr="0063119B" w:rsidRDefault="00FB7835" w:rsidP="00951279">
      <w:pPr>
        <w:pBdr>
          <w:top w:val="single" w:sz="4" w:space="1" w:color="auto"/>
          <w:left w:val="single" w:sz="4" w:space="4" w:color="auto"/>
          <w:bottom w:val="single" w:sz="4" w:space="1" w:color="auto"/>
          <w:right w:val="single" w:sz="4" w:space="4" w:color="auto"/>
        </w:pBdr>
        <w:rPr>
          <w:b/>
          <w:noProof/>
          <w:szCs w:val="22"/>
        </w:rPr>
      </w:pPr>
    </w:p>
    <w:p w14:paraId="2CA3473F" w14:textId="77777777" w:rsidR="00FB7835" w:rsidRPr="0063119B" w:rsidRDefault="00FB7835" w:rsidP="00951279">
      <w:pPr>
        <w:pBdr>
          <w:top w:val="single" w:sz="4" w:space="1" w:color="auto"/>
          <w:left w:val="single" w:sz="4" w:space="4" w:color="auto"/>
          <w:bottom w:val="single" w:sz="4" w:space="1" w:color="auto"/>
          <w:right w:val="single" w:sz="4" w:space="4" w:color="auto"/>
        </w:pBdr>
        <w:rPr>
          <w:b/>
          <w:szCs w:val="22"/>
        </w:rPr>
      </w:pPr>
      <w:r w:rsidRPr="0063119B">
        <w:rPr>
          <w:b/>
          <w:caps/>
          <w:noProof/>
          <w:szCs w:val="22"/>
        </w:rPr>
        <w:t xml:space="preserve">Blister para embalagem de </w:t>
      </w:r>
      <w:r w:rsidR="0051606C" w:rsidRPr="0063119B">
        <w:rPr>
          <w:b/>
          <w:caps/>
          <w:noProof/>
          <w:szCs w:val="22"/>
        </w:rPr>
        <w:t>tratamento inicial em carteira de cartão</w:t>
      </w:r>
      <w:r w:rsidR="001507A0" w:rsidRPr="0063119B">
        <w:rPr>
          <w:b/>
          <w:caps/>
          <w:noProof/>
          <w:szCs w:val="22"/>
        </w:rPr>
        <w:t xml:space="preserve"> </w:t>
      </w:r>
      <w:r w:rsidRPr="0063119B">
        <w:rPr>
          <w:b/>
          <w:caps/>
          <w:noProof/>
          <w:szCs w:val="22"/>
        </w:rPr>
        <w:t>(42 comprimidos revestidos por película de 15 mg e 7 comprimidos revestidos por película de 20 mg)</w:t>
      </w:r>
    </w:p>
    <w:p w14:paraId="0EF0F98E" w14:textId="77777777" w:rsidR="00FB7835" w:rsidRPr="0063119B" w:rsidRDefault="00FB7835" w:rsidP="00951279">
      <w:pPr>
        <w:rPr>
          <w:szCs w:val="22"/>
        </w:rPr>
      </w:pPr>
    </w:p>
    <w:p w14:paraId="4DA282DE" w14:textId="77777777" w:rsidR="00FB7835" w:rsidRPr="0063119B" w:rsidRDefault="00FB7835" w:rsidP="00951279">
      <w:pPr>
        <w:rPr>
          <w:szCs w:val="22"/>
        </w:rPr>
      </w:pPr>
    </w:p>
    <w:p w14:paraId="6E836705" w14:textId="77777777" w:rsidR="00FB7835" w:rsidRPr="0063119B" w:rsidRDefault="00FB7835" w:rsidP="00951279">
      <w:pPr>
        <w:pBdr>
          <w:top w:val="single" w:sz="4" w:space="1" w:color="auto"/>
          <w:left w:val="single" w:sz="4" w:space="4" w:color="auto"/>
          <w:bottom w:val="single" w:sz="4" w:space="1" w:color="auto"/>
          <w:right w:val="single" w:sz="4" w:space="4" w:color="auto"/>
        </w:pBdr>
        <w:rPr>
          <w:b/>
          <w:szCs w:val="22"/>
        </w:rPr>
      </w:pPr>
      <w:r w:rsidRPr="0063119B">
        <w:rPr>
          <w:b/>
          <w:szCs w:val="22"/>
        </w:rPr>
        <w:t>1.</w:t>
      </w:r>
      <w:r w:rsidRPr="0063119B">
        <w:rPr>
          <w:b/>
          <w:szCs w:val="22"/>
        </w:rPr>
        <w:tab/>
        <w:t>NOME DO MEDICAMENTO</w:t>
      </w:r>
    </w:p>
    <w:p w14:paraId="42142BFE" w14:textId="77777777" w:rsidR="00FB7835" w:rsidRPr="0063119B" w:rsidRDefault="00FB7835" w:rsidP="00951279">
      <w:pPr>
        <w:rPr>
          <w:i/>
          <w:szCs w:val="22"/>
        </w:rPr>
      </w:pPr>
    </w:p>
    <w:p w14:paraId="1AE88ECF" w14:textId="77777777" w:rsidR="00FB7835" w:rsidRPr="0063119B" w:rsidRDefault="00607DE4" w:rsidP="00951279">
      <w:pPr>
        <w:ind w:left="567" w:hanging="567"/>
        <w:rPr>
          <w:szCs w:val="22"/>
        </w:rPr>
      </w:pPr>
      <w:r>
        <w:rPr>
          <w:szCs w:val="22"/>
        </w:rPr>
        <w:t>Rivaroxabano</w:t>
      </w:r>
      <w:r w:rsidR="001F7D02" w:rsidRPr="0063119B">
        <w:rPr>
          <w:szCs w:val="22"/>
        </w:rPr>
        <w:t xml:space="preserve"> Accord</w:t>
      </w:r>
      <w:r w:rsidR="00FB7835" w:rsidRPr="0063119B">
        <w:rPr>
          <w:szCs w:val="22"/>
        </w:rPr>
        <w:t xml:space="preserve"> 15 mg </w:t>
      </w:r>
    </w:p>
    <w:p w14:paraId="66BB6560" w14:textId="77777777" w:rsidR="00FB7835" w:rsidRPr="0063119B" w:rsidRDefault="00607DE4" w:rsidP="00951279">
      <w:pPr>
        <w:ind w:left="567" w:hanging="567"/>
        <w:rPr>
          <w:szCs w:val="22"/>
        </w:rPr>
      </w:pPr>
      <w:r>
        <w:rPr>
          <w:szCs w:val="22"/>
          <w:highlight w:val="lightGray"/>
        </w:rPr>
        <w:t>Rivaroxabano</w:t>
      </w:r>
      <w:r w:rsidR="001F7D02" w:rsidRPr="0063119B">
        <w:rPr>
          <w:szCs w:val="22"/>
          <w:highlight w:val="lightGray"/>
        </w:rPr>
        <w:t xml:space="preserve"> Accord</w:t>
      </w:r>
      <w:r w:rsidR="00FB7835" w:rsidRPr="0063119B">
        <w:rPr>
          <w:szCs w:val="22"/>
          <w:highlight w:val="lightGray"/>
        </w:rPr>
        <w:t xml:space="preserve"> 20</w:t>
      </w:r>
      <w:r w:rsidR="00031047" w:rsidRPr="0063119B">
        <w:rPr>
          <w:szCs w:val="22"/>
          <w:highlight w:val="lightGray"/>
        </w:rPr>
        <w:t> </w:t>
      </w:r>
      <w:r w:rsidR="00FB7835" w:rsidRPr="0063119B">
        <w:rPr>
          <w:szCs w:val="22"/>
          <w:highlight w:val="lightGray"/>
        </w:rPr>
        <w:t xml:space="preserve">mg </w:t>
      </w:r>
    </w:p>
    <w:p w14:paraId="3E2D0D56" w14:textId="77777777" w:rsidR="00FB7835" w:rsidRPr="0063119B" w:rsidRDefault="00FB7835" w:rsidP="00951279">
      <w:pPr>
        <w:ind w:left="567" w:hanging="567"/>
        <w:rPr>
          <w:szCs w:val="22"/>
        </w:rPr>
      </w:pPr>
      <w:r w:rsidRPr="0063119B">
        <w:rPr>
          <w:szCs w:val="22"/>
        </w:rPr>
        <w:t>rivaroxabano</w:t>
      </w:r>
    </w:p>
    <w:p w14:paraId="61656093" w14:textId="77777777" w:rsidR="00FB7835" w:rsidRPr="0063119B" w:rsidRDefault="00FB7835" w:rsidP="00951279">
      <w:pPr>
        <w:rPr>
          <w:szCs w:val="22"/>
        </w:rPr>
      </w:pPr>
    </w:p>
    <w:p w14:paraId="0936DA6C" w14:textId="77777777" w:rsidR="00FB7835" w:rsidRPr="0063119B" w:rsidRDefault="00FB7835" w:rsidP="00951279">
      <w:pPr>
        <w:rPr>
          <w:szCs w:val="22"/>
        </w:rPr>
      </w:pPr>
    </w:p>
    <w:p w14:paraId="18660DBF" w14:textId="77777777" w:rsidR="00FB7835" w:rsidRPr="0063119B" w:rsidRDefault="00FB7835" w:rsidP="00951279">
      <w:pPr>
        <w:pBdr>
          <w:top w:val="single" w:sz="4" w:space="1" w:color="auto"/>
          <w:left w:val="single" w:sz="4" w:space="4" w:color="auto"/>
          <w:bottom w:val="single" w:sz="4" w:space="1" w:color="auto"/>
          <w:right w:val="single" w:sz="4" w:space="4" w:color="auto"/>
        </w:pBdr>
        <w:rPr>
          <w:i/>
          <w:szCs w:val="22"/>
        </w:rPr>
      </w:pPr>
      <w:r w:rsidRPr="0063119B">
        <w:rPr>
          <w:b/>
          <w:szCs w:val="22"/>
        </w:rPr>
        <w:t>2.</w:t>
      </w:r>
      <w:r w:rsidRPr="0063119B">
        <w:rPr>
          <w:b/>
          <w:szCs w:val="22"/>
        </w:rPr>
        <w:tab/>
      </w:r>
      <w:r w:rsidRPr="0063119B">
        <w:rPr>
          <w:b/>
          <w:noProof/>
          <w:szCs w:val="22"/>
        </w:rPr>
        <w:t>NOME DO TITULAR DA AUTORIZAÇÃO DE INTRODUÇÃO NO MERCADO</w:t>
      </w:r>
    </w:p>
    <w:p w14:paraId="1E2A07D2" w14:textId="77777777" w:rsidR="00FB7835" w:rsidRPr="0063119B" w:rsidRDefault="00FB7835" w:rsidP="00951279">
      <w:pPr>
        <w:pBdr>
          <w:top w:val="single" w:sz="4" w:space="1" w:color="auto"/>
          <w:left w:val="single" w:sz="4" w:space="4" w:color="auto"/>
          <w:bottom w:val="single" w:sz="4" w:space="1" w:color="auto"/>
          <w:right w:val="single" w:sz="4" w:space="4" w:color="auto"/>
        </w:pBdr>
        <w:rPr>
          <w:b/>
          <w:szCs w:val="22"/>
        </w:rPr>
      </w:pPr>
    </w:p>
    <w:p w14:paraId="4D7AB5F1" w14:textId="77777777" w:rsidR="00FB7835" w:rsidRPr="0063119B" w:rsidRDefault="00FB7835" w:rsidP="00951279">
      <w:pPr>
        <w:rPr>
          <w:szCs w:val="22"/>
        </w:rPr>
      </w:pPr>
    </w:p>
    <w:p w14:paraId="77A2B04B" w14:textId="77777777" w:rsidR="00FB7835" w:rsidRPr="0063119B" w:rsidRDefault="00031047" w:rsidP="00951279">
      <w:pPr>
        <w:rPr>
          <w:szCs w:val="22"/>
        </w:rPr>
      </w:pPr>
      <w:r w:rsidRPr="0063119B">
        <w:rPr>
          <w:szCs w:val="22"/>
        </w:rPr>
        <w:t>Accord</w:t>
      </w:r>
    </w:p>
    <w:p w14:paraId="375233F8" w14:textId="77777777" w:rsidR="00FB7835" w:rsidRPr="0063119B" w:rsidRDefault="00FB7835" w:rsidP="00951279">
      <w:pPr>
        <w:rPr>
          <w:szCs w:val="22"/>
        </w:rPr>
      </w:pPr>
    </w:p>
    <w:p w14:paraId="67A07B58" w14:textId="77777777" w:rsidR="00FB7835" w:rsidRPr="0063119B" w:rsidRDefault="00FB7835" w:rsidP="00951279">
      <w:pPr>
        <w:rPr>
          <w:szCs w:val="22"/>
        </w:rPr>
      </w:pPr>
    </w:p>
    <w:p w14:paraId="12A8DF66" w14:textId="77777777" w:rsidR="00FB7835" w:rsidRPr="0063119B" w:rsidRDefault="00FB7835" w:rsidP="00951279">
      <w:pPr>
        <w:pBdr>
          <w:top w:val="single" w:sz="4" w:space="1" w:color="auto"/>
          <w:left w:val="single" w:sz="4" w:space="4" w:color="auto"/>
          <w:bottom w:val="single" w:sz="4" w:space="2" w:color="auto"/>
          <w:right w:val="single" w:sz="4" w:space="4" w:color="auto"/>
        </w:pBdr>
        <w:rPr>
          <w:b/>
          <w:szCs w:val="22"/>
        </w:rPr>
      </w:pPr>
      <w:r w:rsidRPr="0063119B">
        <w:rPr>
          <w:b/>
          <w:szCs w:val="22"/>
        </w:rPr>
        <w:t>3.</w:t>
      </w:r>
      <w:r w:rsidRPr="0063119B">
        <w:rPr>
          <w:b/>
          <w:szCs w:val="22"/>
        </w:rPr>
        <w:tab/>
        <w:t>PRAZO DE VALIDADE</w:t>
      </w:r>
    </w:p>
    <w:p w14:paraId="738F0C44" w14:textId="77777777" w:rsidR="00FB7835" w:rsidRPr="0063119B" w:rsidRDefault="00FB7835" w:rsidP="00951279">
      <w:pPr>
        <w:rPr>
          <w:szCs w:val="22"/>
        </w:rPr>
      </w:pPr>
    </w:p>
    <w:p w14:paraId="51D68018" w14:textId="77777777" w:rsidR="00FB7835" w:rsidRPr="0063119B" w:rsidRDefault="00FB7835" w:rsidP="00951279">
      <w:pPr>
        <w:rPr>
          <w:szCs w:val="22"/>
        </w:rPr>
      </w:pPr>
      <w:r w:rsidRPr="0063119B">
        <w:rPr>
          <w:szCs w:val="22"/>
        </w:rPr>
        <w:t>EXP</w:t>
      </w:r>
    </w:p>
    <w:p w14:paraId="2CFCE812" w14:textId="77777777" w:rsidR="00FB7835" w:rsidRPr="0063119B" w:rsidRDefault="00FB7835" w:rsidP="00951279">
      <w:pPr>
        <w:rPr>
          <w:szCs w:val="22"/>
        </w:rPr>
      </w:pPr>
    </w:p>
    <w:p w14:paraId="7D5FBBB9" w14:textId="77777777" w:rsidR="00FB7835" w:rsidRPr="0063119B" w:rsidRDefault="00FB7835" w:rsidP="00951279">
      <w:pPr>
        <w:rPr>
          <w:szCs w:val="22"/>
        </w:rPr>
      </w:pPr>
    </w:p>
    <w:p w14:paraId="5CB1A975" w14:textId="77777777" w:rsidR="00FB7835" w:rsidRPr="0063119B" w:rsidRDefault="00FB7835" w:rsidP="00951279">
      <w:pPr>
        <w:pBdr>
          <w:top w:val="single" w:sz="4" w:space="1" w:color="auto"/>
          <w:left w:val="single" w:sz="4" w:space="4" w:color="auto"/>
          <w:bottom w:val="single" w:sz="4" w:space="1" w:color="auto"/>
          <w:right w:val="single" w:sz="4" w:space="4" w:color="auto"/>
        </w:pBdr>
        <w:rPr>
          <w:b/>
          <w:szCs w:val="22"/>
        </w:rPr>
      </w:pPr>
      <w:r w:rsidRPr="0063119B">
        <w:rPr>
          <w:b/>
          <w:szCs w:val="22"/>
        </w:rPr>
        <w:t>4.</w:t>
      </w:r>
      <w:r w:rsidRPr="0063119B">
        <w:rPr>
          <w:b/>
          <w:szCs w:val="22"/>
        </w:rPr>
        <w:tab/>
        <w:t>NÚMERO DO LOTE</w:t>
      </w:r>
    </w:p>
    <w:p w14:paraId="26BED415" w14:textId="77777777" w:rsidR="00FB7835" w:rsidRPr="0063119B" w:rsidRDefault="00FB7835" w:rsidP="00951279">
      <w:pPr>
        <w:rPr>
          <w:szCs w:val="22"/>
        </w:rPr>
      </w:pPr>
    </w:p>
    <w:p w14:paraId="01DAF6A9" w14:textId="77777777" w:rsidR="00FB7835" w:rsidRPr="0063119B" w:rsidRDefault="00FB7835" w:rsidP="00951279">
      <w:pPr>
        <w:rPr>
          <w:szCs w:val="22"/>
        </w:rPr>
      </w:pPr>
      <w:r w:rsidRPr="0063119B">
        <w:rPr>
          <w:szCs w:val="22"/>
        </w:rPr>
        <w:t>Lot</w:t>
      </w:r>
    </w:p>
    <w:p w14:paraId="48355A61" w14:textId="77777777" w:rsidR="00FB7835" w:rsidRPr="0063119B" w:rsidRDefault="00FB7835" w:rsidP="00951279">
      <w:pPr>
        <w:rPr>
          <w:szCs w:val="22"/>
        </w:rPr>
      </w:pPr>
    </w:p>
    <w:p w14:paraId="41D922CB" w14:textId="77777777" w:rsidR="00FB7835" w:rsidRPr="0063119B" w:rsidRDefault="00FB7835" w:rsidP="00951279">
      <w:pPr>
        <w:rPr>
          <w:szCs w:val="22"/>
        </w:rPr>
      </w:pPr>
    </w:p>
    <w:p w14:paraId="42189146" w14:textId="77777777" w:rsidR="00FB7835" w:rsidRPr="0063119B" w:rsidRDefault="00FB7835" w:rsidP="00951279">
      <w:pPr>
        <w:pBdr>
          <w:top w:val="single" w:sz="4" w:space="1" w:color="auto"/>
          <w:left w:val="single" w:sz="4" w:space="4" w:color="auto"/>
          <w:bottom w:val="single" w:sz="4" w:space="1" w:color="auto"/>
          <w:right w:val="single" w:sz="4" w:space="4" w:color="auto"/>
        </w:pBdr>
        <w:rPr>
          <w:b/>
          <w:szCs w:val="22"/>
        </w:rPr>
      </w:pPr>
      <w:r w:rsidRPr="0063119B">
        <w:rPr>
          <w:b/>
          <w:szCs w:val="22"/>
        </w:rPr>
        <w:t>5.</w:t>
      </w:r>
      <w:r w:rsidRPr="0063119B">
        <w:rPr>
          <w:b/>
          <w:szCs w:val="22"/>
        </w:rPr>
        <w:tab/>
        <w:t>OUTROS</w:t>
      </w:r>
    </w:p>
    <w:p w14:paraId="438A07DE" w14:textId="77777777" w:rsidR="00FB7835" w:rsidRPr="0063119B" w:rsidRDefault="00FB7835" w:rsidP="00951279">
      <w:pPr>
        <w:rPr>
          <w:szCs w:val="22"/>
        </w:rPr>
      </w:pPr>
    </w:p>
    <w:p w14:paraId="215C9688" w14:textId="77777777" w:rsidR="00FB7835" w:rsidRPr="0063119B" w:rsidRDefault="00FB7835" w:rsidP="00951279">
      <w:pPr>
        <w:rPr>
          <w:szCs w:val="22"/>
        </w:rPr>
      </w:pPr>
    </w:p>
    <w:p w14:paraId="7807B2CC" w14:textId="77777777" w:rsidR="0030169E" w:rsidRPr="0063119B" w:rsidRDefault="00430BC9" w:rsidP="00951279">
      <w:pPr>
        <w:suppressAutoHyphens/>
        <w:ind w:right="14"/>
        <w:rPr>
          <w:noProof/>
          <w:szCs w:val="22"/>
        </w:rPr>
      </w:pPr>
      <w:r w:rsidRPr="0063119B">
        <w:rPr>
          <w:szCs w:val="22"/>
        </w:rPr>
        <w:br w:type="page"/>
      </w:r>
    </w:p>
    <w:p w14:paraId="5A6342AE" w14:textId="77777777" w:rsidR="00A84BE2" w:rsidRPr="0063119B" w:rsidRDefault="00A84BE2" w:rsidP="005500AB">
      <w:pPr>
        <w:pBdr>
          <w:top w:val="single" w:sz="4" w:space="1" w:color="auto"/>
          <w:left w:val="single" w:sz="4" w:space="4" w:color="auto"/>
          <w:bottom w:val="single" w:sz="4" w:space="1" w:color="auto"/>
          <w:right w:val="single" w:sz="4" w:space="4" w:color="auto"/>
        </w:pBdr>
        <w:suppressAutoHyphens/>
        <w:outlineLvl w:val="1"/>
        <w:rPr>
          <w:noProof/>
          <w:szCs w:val="22"/>
        </w:rPr>
      </w:pPr>
      <w:r w:rsidRPr="0063119B">
        <w:rPr>
          <w:b/>
          <w:noProof/>
          <w:szCs w:val="22"/>
        </w:rPr>
        <w:lastRenderedPageBreak/>
        <w:t>CARTÃO D</w:t>
      </w:r>
      <w:r w:rsidR="00CC6B2F" w:rsidRPr="0063119B">
        <w:rPr>
          <w:b/>
          <w:noProof/>
          <w:szCs w:val="22"/>
        </w:rPr>
        <w:t>E ALERTA D</w:t>
      </w:r>
      <w:r w:rsidRPr="0063119B">
        <w:rPr>
          <w:b/>
          <w:noProof/>
          <w:szCs w:val="22"/>
        </w:rPr>
        <w:t>O DOENTE</w:t>
      </w:r>
    </w:p>
    <w:p w14:paraId="2D01EFBE" w14:textId="77777777" w:rsidR="00A84BE2" w:rsidRPr="0063119B" w:rsidRDefault="00A84BE2" w:rsidP="00951279">
      <w:pPr>
        <w:suppressAutoHyphens/>
        <w:ind w:right="14"/>
        <w:jc w:val="center"/>
        <w:rPr>
          <w:noProof/>
          <w:szCs w:val="22"/>
        </w:rPr>
      </w:pPr>
    </w:p>
    <w:p w14:paraId="3E572065" w14:textId="77777777" w:rsidR="00A84BE2" w:rsidRPr="0063119B" w:rsidRDefault="00A84BE2" w:rsidP="00951279">
      <w:pPr>
        <w:suppressAutoHyphens/>
        <w:ind w:right="14"/>
        <w:rPr>
          <w:b/>
          <w:noProof/>
          <w:szCs w:val="22"/>
        </w:rPr>
      </w:pPr>
      <w:r w:rsidRPr="0063119B">
        <w:rPr>
          <w:b/>
          <w:noProof/>
          <w:szCs w:val="22"/>
        </w:rPr>
        <w:t xml:space="preserve">Cartão </w:t>
      </w:r>
      <w:r w:rsidR="00CC6B2F" w:rsidRPr="0063119B">
        <w:rPr>
          <w:b/>
          <w:noProof/>
          <w:szCs w:val="22"/>
        </w:rPr>
        <w:t xml:space="preserve">de alerta </w:t>
      </w:r>
      <w:r w:rsidRPr="0063119B">
        <w:rPr>
          <w:b/>
          <w:noProof/>
          <w:szCs w:val="22"/>
        </w:rPr>
        <w:t>do doente</w:t>
      </w:r>
    </w:p>
    <w:p w14:paraId="2F828A66" w14:textId="77777777" w:rsidR="00A84BE2" w:rsidRPr="0063119B" w:rsidRDefault="00A84BE2" w:rsidP="00951279">
      <w:pPr>
        <w:suppressAutoHyphens/>
        <w:ind w:right="14"/>
        <w:rPr>
          <w:noProof/>
          <w:szCs w:val="22"/>
        </w:rPr>
      </w:pPr>
    </w:p>
    <w:p w14:paraId="3E043E60" w14:textId="77777777" w:rsidR="00D9773D" w:rsidRPr="0063119B" w:rsidRDefault="00607DE4" w:rsidP="00951279">
      <w:pPr>
        <w:suppressAutoHyphens/>
        <w:ind w:right="14"/>
        <w:rPr>
          <w:noProof/>
          <w:szCs w:val="22"/>
        </w:rPr>
      </w:pPr>
      <w:r>
        <w:rPr>
          <w:b/>
          <w:noProof/>
          <w:szCs w:val="22"/>
        </w:rPr>
        <w:t>Rivaroxabano</w:t>
      </w:r>
      <w:r w:rsidR="001F7D02" w:rsidRPr="0063119B">
        <w:rPr>
          <w:b/>
          <w:noProof/>
          <w:szCs w:val="22"/>
        </w:rPr>
        <w:t xml:space="preserve"> Accord</w:t>
      </w:r>
      <w:r w:rsidR="00D9773D" w:rsidRPr="0063119B">
        <w:rPr>
          <w:b/>
          <w:noProof/>
          <w:szCs w:val="22"/>
        </w:rPr>
        <w:t xml:space="preserve"> 2,5</w:t>
      </w:r>
      <w:r w:rsidR="00EF7177" w:rsidRPr="0063119B">
        <w:rPr>
          <w:b/>
          <w:noProof/>
          <w:szCs w:val="22"/>
        </w:rPr>
        <w:t> </w:t>
      </w:r>
      <w:r w:rsidR="00D9773D" w:rsidRPr="0063119B">
        <w:rPr>
          <w:b/>
          <w:noProof/>
          <w:szCs w:val="22"/>
        </w:rPr>
        <w:t>mg</w:t>
      </w:r>
      <w:r w:rsidR="00733D0B" w:rsidRPr="0063119B">
        <w:rPr>
          <w:noProof/>
          <w:szCs w:val="22"/>
        </w:rPr>
        <w:t xml:space="preserve"> </w:t>
      </w:r>
      <w:r w:rsidR="00733D0B" w:rsidRPr="0063119B">
        <w:rPr>
          <w:noProof/>
          <w:szCs w:val="22"/>
          <w:highlight w:val="lightGray"/>
        </w:rPr>
        <w:t>(assinale a caixa para assinalar a dose prescrita)</w:t>
      </w:r>
    </w:p>
    <w:p w14:paraId="43D9C21D" w14:textId="77777777" w:rsidR="008317EC" w:rsidRPr="0063119B" w:rsidRDefault="00607DE4" w:rsidP="00951279">
      <w:pPr>
        <w:suppressAutoHyphens/>
        <w:ind w:right="14"/>
        <w:rPr>
          <w:noProof/>
          <w:szCs w:val="22"/>
        </w:rPr>
      </w:pPr>
      <w:r>
        <w:rPr>
          <w:b/>
          <w:noProof/>
          <w:szCs w:val="22"/>
        </w:rPr>
        <w:t>Rivaroxabano</w:t>
      </w:r>
      <w:r w:rsidR="001F7D02" w:rsidRPr="0063119B">
        <w:rPr>
          <w:b/>
          <w:noProof/>
          <w:szCs w:val="22"/>
        </w:rPr>
        <w:t xml:space="preserve"> Accord</w:t>
      </w:r>
      <w:r w:rsidR="008317EC" w:rsidRPr="0063119B">
        <w:rPr>
          <w:b/>
          <w:noProof/>
          <w:szCs w:val="22"/>
        </w:rPr>
        <w:t xml:space="preserve"> 10 mg</w:t>
      </w:r>
      <w:r w:rsidR="00733D0B" w:rsidRPr="0063119B">
        <w:rPr>
          <w:noProof/>
          <w:szCs w:val="22"/>
        </w:rPr>
        <w:t xml:space="preserve"> </w:t>
      </w:r>
      <w:r w:rsidR="00733D0B" w:rsidRPr="0063119B">
        <w:rPr>
          <w:noProof/>
          <w:szCs w:val="22"/>
          <w:highlight w:val="lightGray"/>
        </w:rPr>
        <w:t>(assinale a caixa para assinalar a dose prescrita)</w:t>
      </w:r>
    </w:p>
    <w:p w14:paraId="13F8B931" w14:textId="77777777" w:rsidR="00A84BE2" w:rsidRPr="0063119B" w:rsidRDefault="00607DE4" w:rsidP="00951279">
      <w:pPr>
        <w:suppressAutoHyphens/>
        <w:ind w:right="14"/>
        <w:rPr>
          <w:noProof/>
          <w:szCs w:val="22"/>
        </w:rPr>
      </w:pPr>
      <w:r>
        <w:rPr>
          <w:b/>
          <w:noProof/>
          <w:szCs w:val="22"/>
        </w:rPr>
        <w:t>Rivaroxabano</w:t>
      </w:r>
      <w:r w:rsidR="001F7D02" w:rsidRPr="0063119B">
        <w:rPr>
          <w:b/>
          <w:noProof/>
          <w:szCs w:val="22"/>
        </w:rPr>
        <w:t xml:space="preserve"> Accord</w:t>
      </w:r>
      <w:r w:rsidR="00A84BE2" w:rsidRPr="0063119B">
        <w:rPr>
          <w:b/>
          <w:noProof/>
          <w:szCs w:val="22"/>
        </w:rPr>
        <w:t xml:space="preserve"> 15</w:t>
      </w:r>
      <w:r w:rsidR="00EF7177" w:rsidRPr="0063119B">
        <w:rPr>
          <w:b/>
          <w:noProof/>
          <w:szCs w:val="22"/>
        </w:rPr>
        <w:t> </w:t>
      </w:r>
      <w:r w:rsidR="00A84BE2" w:rsidRPr="0063119B">
        <w:rPr>
          <w:b/>
          <w:noProof/>
          <w:szCs w:val="22"/>
        </w:rPr>
        <w:t>mg</w:t>
      </w:r>
      <w:r w:rsidR="00733D0B" w:rsidRPr="0063119B">
        <w:rPr>
          <w:b/>
          <w:noProof/>
          <w:szCs w:val="22"/>
        </w:rPr>
        <w:t xml:space="preserve"> </w:t>
      </w:r>
      <w:r w:rsidR="00733D0B" w:rsidRPr="0063119B">
        <w:rPr>
          <w:noProof/>
          <w:szCs w:val="22"/>
          <w:highlight w:val="lightGray"/>
        </w:rPr>
        <w:t>(assinale a caixa para assinalar a dose prescrita)</w:t>
      </w:r>
    </w:p>
    <w:p w14:paraId="47E53A6F" w14:textId="77777777" w:rsidR="00A84BE2" w:rsidRPr="0063119B" w:rsidRDefault="00607DE4" w:rsidP="00951279">
      <w:pPr>
        <w:suppressAutoHyphens/>
        <w:ind w:right="14"/>
        <w:rPr>
          <w:noProof/>
          <w:szCs w:val="22"/>
        </w:rPr>
      </w:pPr>
      <w:r>
        <w:rPr>
          <w:b/>
          <w:noProof/>
          <w:szCs w:val="22"/>
        </w:rPr>
        <w:t>Rivaroxabano</w:t>
      </w:r>
      <w:r w:rsidR="001F7D02" w:rsidRPr="0063119B">
        <w:rPr>
          <w:b/>
          <w:noProof/>
          <w:szCs w:val="22"/>
        </w:rPr>
        <w:t xml:space="preserve"> Accord</w:t>
      </w:r>
      <w:r w:rsidR="00A84BE2" w:rsidRPr="0063119B">
        <w:rPr>
          <w:b/>
          <w:noProof/>
          <w:szCs w:val="22"/>
        </w:rPr>
        <w:t xml:space="preserve"> 20</w:t>
      </w:r>
      <w:r w:rsidR="00EF7177" w:rsidRPr="0063119B">
        <w:rPr>
          <w:b/>
          <w:noProof/>
          <w:szCs w:val="22"/>
        </w:rPr>
        <w:t> </w:t>
      </w:r>
      <w:r w:rsidR="00A84BE2" w:rsidRPr="0063119B">
        <w:rPr>
          <w:b/>
          <w:noProof/>
          <w:szCs w:val="22"/>
        </w:rPr>
        <w:t>mg</w:t>
      </w:r>
      <w:r w:rsidR="00733D0B" w:rsidRPr="0063119B">
        <w:rPr>
          <w:b/>
          <w:noProof/>
          <w:szCs w:val="22"/>
        </w:rPr>
        <w:t xml:space="preserve"> </w:t>
      </w:r>
      <w:r w:rsidR="00733D0B" w:rsidRPr="0063119B">
        <w:rPr>
          <w:noProof/>
          <w:szCs w:val="22"/>
          <w:highlight w:val="lightGray"/>
        </w:rPr>
        <w:t>(assinale a caixa para assinalar a dose prescrita)</w:t>
      </w:r>
    </w:p>
    <w:p w14:paraId="3FFF7F8D" w14:textId="77777777" w:rsidR="00A84BE2" w:rsidRPr="0063119B" w:rsidRDefault="00A84BE2" w:rsidP="00951279">
      <w:pPr>
        <w:suppressAutoHyphens/>
        <w:ind w:right="14"/>
        <w:rPr>
          <w:noProof/>
          <w:szCs w:val="22"/>
        </w:rPr>
      </w:pPr>
    </w:p>
    <w:p w14:paraId="47CD2C26" w14:textId="77777777" w:rsidR="00A84BE2" w:rsidRPr="0063119B" w:rsidRDefault="00A84BE2" w:rsidP="00951279">
      <w:pPr>
        <w:spacing w:line="260" w:lineRule="exact"/>
        <w:rPr>
          <w:b/>
          <w:noProof/>
          <w:szCs w:val="22"/>
        </w:rPr>
      </w:pPr>
      <w:r w:rsidRPr="0063119B">
        <w:rPr>
          <w:b/>
          <w:noProof/>
          <w:szCs w:val="22"/>
        </w:rPr>
        <w:t>♦ Conserve sempre consigo este cartão</w:t>
      </w:r>
    </w:p>
    <w:p w14:paraId="2523852C" w14:textId="77777777" w:rsidR="00A84BE2" w:rsidRPr="0063119B" w:rsidRDefault="00A84BE2" w:rsidP="00951279">
      <w:pPr>
        <w:rPr>
          <w:b/>
          <w:noProof/>
          <w:szCs w:val="22"/>
        </w:rPr>
      </w:pPr>
      <w:r w:rsidRPr="0063119B">
        <w:rPr>
          <w:b/>
          <w:noProof/>
          <w:szCs w:val="22"/>
        </w:rPr>
        <w:t xml:space="preserve">♦ Mostre este cartão </w:t>
      </w:r>
      <w:r w:rsidR="00B6611B" w:rsidRPr="0063119B">
        <w:rPr>
          <w:b/>
          <w:noProof/>
          <w:szCs w:val="22"/>
        </w:rPr>
        <w:t xml:space="preserve">a todos os </w:t>
      </w:r>
      <w:r w:rsidRPr="0063119B">
        <w:rPr>
          <w:b/>
          <w:noProof/>
          <w:szCs w:val="22"/>
        </w:rPr>
        <w:t>médicos ou médicos dentistas antes do tratamento</w:t>
      </w:r>
    </w:p>
    <w:p w14:paraId="5EB8BAE1" w14:textId="77777777" w:rsidR="00A84BE2" w:rsidRPr="0063119B" w:rsidRDefault="00A84BE2" w:rsidP="00951279">
      <w:pPr>
        <w:rPr>
          <w:b/>
          <w:noProof/>
          <w:szCs w:val="22"/>
        </w:rPr>
      </w:pPr>
    </w:p>
    <w:p w14:paraId="6FE63808" w14:textId="77777777" w:rsidR="00A84BE2" w:rsidRPr="0063119B" w:rsidRDefault="00A84BE2" w:rsidP="00951279">
      <w:pPr>
        <w:rPr>
          <w:b/>
          <w:noProof/>
          <w:szCs w:val="22"/>
        </w:rPr>
      </w:pPr>
      <w:r w:rsidRPr="0063119B">
        <w:rPr>
          <w:b/>
          <w:noProof/>
          <w:szCs w:val="22"/>
        </w:rPr>
        <w:t xml:space="preserve">Estou sob tratamento anticoagulante com </w:t>
      </w:r>
      <w:r w:rsidR="00607DE4">
        <w:rPr>
          <w:b/>
          <w:noProof/>
          <w:szCs w:val="22"/>
        </w:rPr>
        <w:t>Rivaroxabano</w:t>
      </w:r>
      <w:r w:rsidR="001F7D02" w:rsidRPr="0063119B">
        <w:rPr>
          <w:b/>
          <w:noProof/>
          <w:szCs w:val="22"/>
        </w:rPr>
        <w:t xml:space="preserve"> Accord</w:t>
      </w:r>
      <w:r w:rsidRPr="0063119B">
        <w:rPr>
          <w:b/>
          <w:noProof/>
          <w:szCs w:val="22"/>
        </w:rPr>
        <w:t xml:space="preserve"> (rivaroxabano)</w:t>
      </w:r>
    </w:p>
    <w:p w14:paraId="6E007321" w14:textId="77777777" w:rsidR="00A84BE2" w:rsidRPr="0063119B" w:rsidRDefault="00A84BE2" w:rsidP="00951279">
      <w:pPr>
        <w:rPr>
          <w:noProof/>
          <w:szCs w:val="22"/>
        </w:rPr>
      </w:pPr>
      <w:r w:rsidRPr="0063119B">
        <w:rPr>
          <w:noProof/>
          <w:szCs w:val="22"/>
        </w:rPr>
        <w:t>Nome:</w:t>
      </w:r>
    </w:p>
    <w:p w14:paraId="224DAC4E" w14:textId="77777777" w:rsidR="00A84BE2" w:rsidRPr="0063119B" w:rsidRDefault="00A84BE2" w:rsidP="00951279">
      <w:pPr>
        <w:rPr>
          <w:noProof/>
          <w:szCs w:val="22"/>
        </w:rPr>
      </w:pPr>
      <w:r w:rsidRPr="0063119B">
        <w:rPr>
          <w:noProof/>
          <w:szCs w:val="22"/>
        </w:rPr>
        <w:t>Morada:</w:t>
      </w:r>
    </w:p>
    <w:p w14:paraId="18D7F4CB" w14:textId="77777777" w:rsidR="00A84BE2" w:rsidRPr="0063119B" w:rsidRDefault="00A84BE2" w:rsidP="00951279">
      <w:pPr>
        <w:rPr>
          <w:noProof/>
          <w:szCs w:val="22"/>
        </w:rPr>
      </w:pPr>
      <w:r w:rsidRPr="0063119B">
        <w:rPr>
          <w:noProof/>
          <w:szCs w:val="22"/>
        </w:rPr>
        <w:t>Data de nascimento:</w:t>
      </w:r>
    </w:p>
    <w:p w14:paraId="2FD6DC06" w14:textId="77777777" w:rsidR="00A84BE2" w:rsidRPr="0063119B" w:rsidRDefault="00A84BE2" w:rsidP="00951279">
      <w:pPr>
        <w:rPr>
          <w:noProof/>
          <w:szCs w:val="22"/>
        </w:rPr>
      </w:pPr>
      <w:r w:rsidRPr="0063119B">
        <w:rPr>
          <w:noProof/>
          <w:szCs w:val="22"/>
        </w:rPr>
        <w:t>Peso:</w:t>
      </w:r>
    </w:p>
    <w:p w14:paraId="60C3A892" w14:textId="77777777" w:rsidR="00A84BE2" w:rsidRPr="0063119B" w:rsidRDefault="00A84BE2" w:rsidP="00951279">
      <w:pPr>
        <w:rPr>
          <w:noProof/>
          <w:szCs w:val="22"/>
        </w:rPr>
      </w:pPr>
      <w:r w:rsidRPr="0063119B">
        <w:rPr>
          <w:noProof/>
          <w:szCs w:val="22"/>
        </w:rPr>
        <w:t>Outros medicamentos / condições</w:t>
      </w:r>
      <w:r w:rsidR="005C68DA" w:rsidRPr="0063119B">
        <w:rPr>
          <w:noProof/>
          <w:szCs w:val="22"/>
        </w:rPr>
        <w:t>:</w:t>
      </w:r>
    </w:p>
    <w:p w14:paraId="4D26D370" w14:textId="77777777" w:rsidR="00A84BE2" w:rsidRPr="0063119B" w:rsidRDefault="00A84BE2" w:rsidP="00951279">
      <w:pPr>
        <w:rPr>
          <w:b/>
          <w:noProof/>
          <w:szCs w:val="22"/>
        </w:rPr>
      </w:pPr>
    </w:p>
    <w:p w14:paraId="658A46D4" w14:textId="77777777" w:rsidR="00A84BE2" w:rsidRPr="0063119B" w:rsidRDefault="00A84BE2" w:rsidP="00951279">
      <w:pPr>
        <w:rPr>
          <w:b/>
          <w:noProof/>
          <w:szCs w:val="22"/>
        </w:rPr>
      </w:pPr>
      <w:r w:rsidRPr="0063119B">
        <w:rPr>
          <w:b/>
          <w:noProof/>
          <w:szCs w:val="22"/>
        </w:rPr>
        <w:t xml:space="preserve">Em caso de emergência, </w:t>
      </w:r>
      <w:r w:rsidR="005766F3" w:rsidRPr="0063119B">
        <w:rPr>
          <w:b/>
          <w:noProof/>
          <w:szCs w:val="22"/>
        </w:rPr>
        <w:t>notifique</w:t>
      </w:r>
      <w:r w:rsidRPr="0063119B">
        <w:rPr>
          <w:b/>
          <w:noProof/>
          <w:szCs w:val="22"/>
        </w:rPr>
        <w:t>:</w:t>
      </w:r>
    </w:p>
    <w:p w14:paraId="04CC1660" w14:textId="77777777" w:rsidR="00A84BE2" w:rsidRPr="0063119B" w:rsidRDefault="00A84BE2" w:rsidP="00951279">
      <w:pPr>
        <w:rPr>
          <w:noProof/>
          <w:szCs w:val="22"/>
        </w:rPr>
      </w:pPr>
      <w:r w:rsidRPr="0063119B">
        <w:rPr>
          <w:noProof/>
          <w:szCs w:val="22"/>
        </w:rPr>
        <w:t>Nome do médico:</w:t>
      </w:r>
    </w:p>
    <w:p w14:paraId="24830ECF" w14:textId="77777777" w:rsidR="00A84BE2" w:rsidRPr="0063119B" w:rsidRDefault="00A84BE2" w:rsidP="00951279">
      <w:pPr>
        <w:rPr>
          <w:noProof/>
          <w:szCs w:val="22"/>
        </w:rPr>
      </w:pPr>
      <w:r w:rsidRPr="0063119B">
        <w:rPr>
          <w:noProof/>
          <w:szCs w:val="22"/>
        </w:rPr>
        <w:t>Telefone do médico:</w:t>
      </w:r>
    </w:p>
    <w:p w14:paraId="52DBDBF0" w14:textId="77777777" w:rsidR="00A84BE2" w:rsidRPr="0063119B" w:rsidRDefault="00A84BE2" w:rsidP="00951279">
      <w:pPr>
        <w:rPr>
          <w:b/>
          <w:noProof/>
          <w:szCs w:val="22"/>
        </w:rPr>
      </w:pPr>
      <w:r w:rsidRPr="0063119B">
        <w:rPr>
          <w:noProof/>
          <w:szCs w:val="22"/>
        </w:rPr>
        <w:t>Carimbo do médico</w:t>
      </w:r>
      <w:r w:rsidRPr="0063119B">
        <w:rPr>
          <w:b/>
          <w:noProof/>
          <w:szCs w:val="22"/>
        </w:rPr>
        <w:t>:</w:t>
      </w:r>
    </w:p>
    <w:p w14:paraId="57915DA1" w14:textId="77777777" w:rsidR="00A84BE2" w:rsidRPr="0063119B" w:rsidRDefault="00A84BE2" w:rsidP="00951279">
      <w:pPr>
        <w:rPr>
          <w:b/>
          <w:noProof/>
          <w:szCs w:val="22"/>
        </w:rPr>
      </w:pPr>
    </w:p>
    <w:p w14:paraId="7EC1C25A" w14:textId="77777777" w:rsidR="00A84BE2" w:rsidRPr="0063119B" w:rsidRDefault="00D47418" w:rsidP="00951279">
      <w:pPr>
        <w:rPr>
          <w:b/>
          <w:noProof/>
          <w:szCs w:val="22"/>
        </w:rPr>
      </w:pPr>
      <w:r w:rsidRPr="0063119B">
        <w:rPr>
          <w:b/>
          <w:noProof/>
          <w:szCs w:val="22"/>
        </w:rPr>
        <w:t xml:space="preserve">Notifique </w:t>
      </w:r>
      <w:r w:rsidR="00A84BE2" w:rsidRPr="0063119B">
        <w:rPr>
          <w:b/>
          <w:noProof/>
          <w:szCs w:val="22"/>
        </w:rPr>
        <w:t>também:</w:t>
      </w:r>
    </w:p>
    <w:p w14:paraId="6A49E0DE" w14:textId="77777777" w:rsidR="00A84BE2" w:rsidRPr="0063119B" w:rsidRDefault="00A84BE2" w:rsidP="00951279">
      <w:pPr>
        <w:rPr>
          <w:noProof/>
          <w:szCs w:val="22"/>
        </w:rPr>
      </w:pPr>
      <w:r w:rsidRPr="0063119B">
        <w:rPr>
          <w:noProof/>
          <w:szCs w:val="22"/>
        </w:rPr>
        <w:t>Nome:</w:t>
      </w:r>
    </w:p>
    <w:p w14:paraId="2F448D53" w14:textId="77777777" w:rsidR="00A84BE2" w:rsidRPr="0063119B" w:rsidRDefault="00A84BE2" w:rsidP="00951279">
      <w:pPr>
        <w:rPr>
          <w:noProof/>
          <w:szCs w:val="22"/>
        </w:rPr>
      </w:pPr>
      <w:r w:rsidRPr="0063119B">
        <w:rPr>
          <w:noProof/>
          <w:szCs w:val="22"/>
        </w:rPr>
        <w:t>Telefone:</w:t>
      </w:r>
    </w:p>
    <w:p w14:paraId="73EE7979" w14:textId="77777777" w:rsidR="00A84BE2" w:rsidRPr="0063119B" w:rsidRDefault="00A84BE2" w:rsidP="00951279">
      <w:pPr>
        <w:rPr>
          <w:noProof/>
          <w:szCs w:val="22"/>
        </w:rPr>
      </w:pPr>
      <w:r w:rsidRPr="0063119B">
        <w:rPr>
          <w:noProof/>
          <w:szCs w:val="22"/>
        </w:rPr>
        <w:t>Parentesco:</w:t>
      </w:r>
    </w:p>
    <w:p w14:paraId="1EB70C5F" w14:textId="77777777" w:rsidR="00A84BE2" w:rsidRPr="0063119B" w:rsidRDefault="00A84BE2" w:rsidP="00951279">
      <w:pPr>
        <w:rPr>
          <w:b/>
          <w:noProof/>
          <w:szCs w:val="22"/>
        </w:rPr>
      </w:pPr>
    </w:p>
    <w:p w14:paraId="6F626443" w14:textId="77777777" w:rsidR="00164C6E" w:rsidRPr="0063119B" w:rsidRDefault="00164C6E" w:rsidP="00951279">
      <w:pPr>
        <w:suppressAutoHyphens/>
        <w:ind w:right="14"/>
        <w:rPr>
          <w:b/>
          <w:noProof/>
          <w:szCs w:val="22"/>
        </w:rPr>
      </w:pPr>
      <w:r w:rsidRPr="0063119B">
        <w:rPr>
          <w:b/>
          <w:noProof/>
          <w:szCs w:val="22"/>
        </w:rPr>
        <w:t>Informação para os profissionais de saúde:</w:t>
      </w:r>
    </w:p>
    <w:p w14:paraId="2CAD50AF" w14:textId="77777777" w:rsidR="00164C6E" w:rsidRPr="0063119B" w:rsidRDefault="00164C6E" w:rsidP="00951279">
      <w:pPr>
        <w:suppressAutoHyphens/>
        <w:ind w:right="14"/>
        <w:rPr>
          <w:b/>
          <w:noProof/>
          <w:szCs w:val="22"/>
        </w:rPr>
      </w:pPr>
      <w:r w:rsidRPr="0063119B">
        <w:rPr>
          <w:b/>
          <w:noProof/>
          <w:szCs w:val="22"/>
        </w:rPr>
        <w:t xml:space="preserve">♦ </w:t>
      </w:r>
      <w:r w:rsidRPr="0063119B">
        <w:rPr>
          <w:noProof/>
          <w:szCs w:val="22"/>
        </w:rPr>
        <w:t xml:space="preserve">Os valores de INR não devem ser utilizados uma vez que não são uma medida </w:t>
      </w:r>
      <w:r w:rsidR="00123C7B" w:rsidRPr="0063119B">
        <w:rPr>
          <w:noProof/>
          <w:szCs w:val="22"/>
        </w:rPr>
        <w:t>fiável</w:t>
      </w:r>
      <w:r w:rsidR="004B5BBD" w:rsidRPr="0063119B">
        <w:rPr>
          <w:noProof/>
          <w:szCs w:val="22"/>
        </w:rPr>
        <w:t xml:space="preserve"> da a</w:t>
      </w:r>
      <w:r w:rsidRPr="0063119B">
        <w:rPr>
          <w:noProof/>
          <w:szCs w:val="22"/>
        </w:rPr>
        <w:t xml:space="preserve">tividade anticoagulante do </w:t>
      </w:r>
      <w:r w:rsidR="00607DE4">
        <w:rPr>
          <w:noProof/>
          <w:szCs w:val="22"/>
        </w:rPr>
        <w:t>Rivaroxabano</w:t>
      </w:r>
      <w:r w:rsidR="001F7D02" w:rsidRPr="0063119B">
        <w:rPr>
          <w:noProof/>
          <w:szCs w:val="22"/>
        </w:rPr>
        <w:t xml:space="preserve"> Accord</w:t>
      </w:r>
      <w:r w:rsidRPr="0063119B">
        <w:rPr>
          <w:noProof/>
          <w:szCs w:val="22"/>
        </w:rPr>
        <w:t>.</w:t>
      </w:r>
    </w:p>
    <w:p w14:paraId="0FFD043F" w14:textId="77777777" w:rsidR="00EE5207" w:rsidRPr="0063119B" w:rsidRDefault="00EE5207" w:rsidP="00951279">
      <w:pPr>
        <w:suppressAutoHyphens/>
        <w:ind w:right="14"/>
        <w:rPr>
          <w:b/>
          <w:noProof/>
          <w:szCs w:val="22"/>
        </w:rPr>
      </w:pPr>
    </w:p>
    <w:p w14:paraId="7898A0FA" w14:textId="77777777" w:rsidR="00EE5207" w:rsidRPr="0063119B" w:rsidRDefault="00123C7B" w:rsidP="00951279">
      <w:pPr>
        <w:suppressAutoHyphens/>
        <w:ind w:right="14"/>
        <w:rPr>
          <w:b/>
          <w:noProof/>
          <w:szCs w:val="22"/>
        </w:rPr>
      </w:pPr>
      <w:r w:rsidRPr="0063119B">
        <w:rPr>
          <w:b/>
          <w:noProof/>
          <w:szCs w:val="22"/>
        </w:rPr>
        <w:t xml:space="preserve">O que devo saber sobre </w:t>
      </w:r>
      <w:r w:rsidR="00607DE4">
        <w:rPr>
          <w:b/>
          <w:noProof/>
          <w:szCs w:val="22"/>
        </w:rPr>
        <w:t>Rivaroxabano</w:t>
      </w:r>
      <w:r w:rsidR="001F7D02" w:rsidRPr="0063119B">
        <w:rPr>
          <w:b/>
          <w:noProof/>
          <w:szCs w:val="22"/>
        </w:rPr>
        <w:t xml:space="preserve"> Accord</w:t>
      </w:r>
      <w:r w:rsidRPr="0063119B">
        <w:rPr>
          <w:b/>
          <w:noProof/>
          <w:szCs w:val="22"/>
        </w:rPr>
        <w:t>?</w:t>
      </w:r>
    </w:p>
    <w:p w14:paraId="12648A96" w14:textId="77777777" w:rsidR="00123C7B" w:rsidRPr="0063119B" w:rsidRDefault="00123C7B" w:rsidP="00951279">
      <w:pPr>
        <w:rPr>
          <w:noProof/>
          <w:szCs w:val="22"/>
        </w:rPr>
      </w:pPr>
      <w:r w:rsidRPr="0063119B">
        <w:rPr>
          <w:b/>
          <w:noProof/>
          <w:szCs w:val="22"/>
        </w:rPr>
        <w:t xml:space="preserve">♦ </w:t>
      </w:r>
      <w:r w:rsidR="00607DE4">
        <w:rPr>
          <w:noProof/>
          <w:szCs w:val="22"/>
        </w:rPr>
        <w:t>Rivaroxabano</w:t>
      </w:r>
      <w:r w:rsidR="001F7D02" w:rsidRPr="0063119B">
        <w:rPr>
          <w:noProof/>
          <w:szCs w:val="22"/>
        </w:rPr>
        <w:t xml:space="preserve"> Accord</w:t>
      </w:r>
      <w:r w:rsidRPr="0063119B">
        <w:rPr>
          <w:noProof/>
          <w:szCs w:val="22"/>
        </w:rPr>
        <w:t xml:space="preserve"> torna o seu sangue mais fluido, o que o previne de </w:t>
      </w:r>
      <w:r w:rsidR="00886906" w:rsidRPr="0063119B">
        <w:rPr>
          <w:noProof/>
          <w:szCs w:val="22"/>
        </w:rPr>
        <w:t xml:space="preserve">ter </w:t>
      </w:r>
      <w:r w:rsidRPr="0063119B">
        <w:rPr>
          <w:noProof/>
          <w:szCs w:val="22"/>
        </w:rPr>
        <w:t xml:space="preserve">coágulos </w:t>
      </w:r>
      <w:r w:rsidR="009B52A5" w:rsidRPr="0063119B">
        <w:rPr>
          <w:noProof/>
          <w:szCs w:val="22"/>
        </w:rPr>
        <w:t>de sangue</w:t>
      </w:r>
      <w:r w:rsidRPr="0063119B">
        <w:rPr>
          <w:noProof/>
          <w:szCs w:val="22"/>
        </w:rPr>
        <w:t xml:space="preserve"> perigosos.</w:t>
      </w:r>
    </w:p>
    <w:p w14:paraId="36256865" w14:textId="77777777" w:rsidR="00123C7B" w:rsidRPr="0063119B" w:rsidRDefault="00123C7B" w:rsidP="00951279">
      <w:pPr>
        <w:rPr>
          <w:noProof/>
          <w:szCs w:val="22"/>
        </w:rPr>
      </w:pPr>
      <w:r w:rsidRPr="0063119B">
        <w:rPr>
          <w:b/>
          <w:noProof/>
          <w:szCs w:val="22"/>
        </w:rPr>
        <w:t>♦</w:t>
      </w:r>
      <w:r w:rsidRPr="0063119B">
        <w:rPr>
          <w:noProof/>
          <w:szCs w:val="22"/>
        </w:rPr>
        <w:t xml:space="preserve"> </w:t>
      </w:r>
      <w:r w:rsidR="00607DE4">
        <w:rPr>
          <w:noProof/>
          <w:szCs w:val="22"/>
        </w:rPr>
        <w:t>Rivaroxabano</w:t>
      </w:r>
      <w:r w:rsidR="001F7D02" w:rsidRPr="0063119B">
        <w:rPr>
          <w:noProof/>
          <w:szCs w:val="22"/>
        </w:rPr>
        <w:t xml:space="preserve"> Accord</w:t>
      </w:r>
      <w:r w:rsidR="004B5BBD" w:rsidRPr="0063119B">
        <w:rPr>
          <w:noProof/>
          <w:szCs w:val="22"/>
        </w:rPr>
        <w:t xml:space="preserve"> deve ser tomado exa</w:t>
      </w:r>
      <w:r w:rsidRPr="0063119B">
        <w:rPr>
          <w:noProof/>
          <w:szCs w:val="22"/>
        </w:rPr>
        <w:t xml:space="preserve">tamente como indicado pelo </w:t>
      </w:r>
      <w:r w:rsidR="004B5BBD" w:rsidRPr="0063119B">
        <w:rPr>
          <w:noProof/>
          <w:szCs w:val="22"/>
        </w:rPr>
        <w:t>seu médico. Para garantir uma ótima prote</w:t>
      </w:r>
      <w:r w:rsidRPr="0063119B">
        <w:rPr>
          <w:noProof/>
          <w:szCs w:val="22"/>
        </w:rPr>
        <w:t xml:space="preserve">ção contra os coágulos </w:t>
      </w:r>
      <w:r w:rsidR="009B52A5" w:rsidRPr="0063119B">
        <w:rPr>
          <w:noProof/>
          <w:szCs w:val="22"/>
        </w:rPr>
        <w:t>de sangue</w:t>
      </w:r>
      <w:r w:rsidRPr="0063119B">
        <w:rPr>
          <w:noProof/>
          <w:szCs w:val="22"/>
        </w:rPr>
        <w:t xml:space="preserve">, </w:t>
      </w:r>
      <w:r w:rsidRPr="0063119B">
        <w:rPr>
          <w:b/>
          <w:noProof/>
          <w:szCs w:val="22"/>
        </w:rPr>
        <w:t>nunca salte uma dose</w:t>
      </w:r>
      <w:r w:rsidRPr="0063119B">
        <w:rPr>
          <w:noProof/>
          <w:szCs w:val="22"/>
        </w:rPr>
        <w:t>.</w:t>
      </w:r>
    </w:p>
    <w:p w14:paraId="5422C49B" w14:textId="77777777" w:rsidR="00123C7B" w:rsidRPr="0063119B" w:rsidRDefault="00123C7B" w:rsidP="00951279">
      <w:pPr>
        <w:rPr>
          <w:noProof/>
          <w:szCs w:val="22"/>
        </w:rPr>
      </w:pPr>
      <w:r w:rsidRPr="0063119B">
        <w:rPr>
          <w:b/>
          <w:noProof/>
          <w:szCs w:val="22"/>
        </w:rPr>
        <w:t>♦</w:t>
      </w:r>
      <w:r w:rsidRPr="0063119B">
        <w:rPr>
          <w:noProof/>
          <w:szCs w:val="22"/>
        </w:rPr>
        <w:t xml:space="preserve"> Não deve parar de tomar </w:t>
      </w:r>
      <w:r w:rsidR="00607DE4">
        <w:rPr>
          <w:noProof/>
          <w:szCs w:val="22"/>
        </w:rPr>
        <w:t>Rivaroxabano</w:t>
      </w:r>
      <w:r w:rsidR="001F7D02" w:rsidRPr="0063119B">
        <w:rPr>
          <w:noProof/>
          <w:szCs w:val="22"/>
        </w:rPr>
        <w:t xml:space="preserve"> Accord</w:t>
      </w:r>
      <w:r w:rsidRPr="0063119B">
        <w:rPr>
          <w:noProof/>
          <w:szCs w:val="22"/>
        </w:rPr>
        <w:t xml:space="preserve"> sem falar primeiro com o seu médico dado que o risco de coágulos </w:t>
      </w:r>
      <w:r w:rsidR="009B52A5" w:rsidRPr="0063119B">
        <w:rPr>
          <w:noProof/>
          <w:szCs w:val="22"/>
        </w:rPr>
        <w:t>de sangue</w:t>
      </w:r>
      <w:r w:rsidRPr="0063119B">
        <w:rPr>
          <w:noProof/>
          <w:szCs w:val="22"/>
        </w:rPr>
        <w:t xml:space="preserve"> pode aumentar.</w:t>
      </w:r>
    </w:p>
    <w:p w14:paraId="54DD46F3" w14:textId="77777777" w:rsidR="00123C7B" w:rsidRPr="0063119B" w:rsidRDefault="00123C7B" w:rsidP="00951279">
      <w:pPr>
        <w:rPr>
          <w:noProof/>
          <w:szCs w:val="22"/>
        </w:rPr>
      </w:pPr>
      <w:r w:rsidRPr="0063119B">
        <w:rPr>
          <w:b/>
          <w:noProof/>
          <w:szCs w:val="22"/>
        </w:rPr>
        <w:t>♦</w:t>
      </w:r>
      <w:r w:rsidRPr="0063119B">
        <w:rPr>
          <w:noProof/>
          <w:szCs w:val="22"/>
        </w:rPr>
        <w:t xml:space="preserve"> </w:t>
      </w:r>
      <w:r w:rsidR="00BC3DB3" w:rsidRPr="0063119B">
        <w:rPr>
          <w:noProof/>
          <w:szCs w:val="22"/>
        </w:rPr>
        <w:t xml:space="preserve">Fale com o seu profissional de saúde se estiver a tomar, tiver tomado recentemente ou se vier a tomar quaisquer outros medicamentos, antes de tomar </w:t>
      </w:r>
      <w:r w:rsidR="00607DE4">
        <w:rPr>
          <w:noProof/>
          <w:szCs w:val="22"/>
        </w:rPr>
        <w:t>Rivaroxabano</w:t>
      </w:r>
      <w:r w:rsidR="001F7D02" w:rsidRPr="0063119B">
        <w:rPr>
          <w:noProof/>
          <w:szCs w:val="22"/>
        </w:rPr>
        <w:t xml:space="preserve"> Accord</w:t>
      </w:r>
      <w:r w:rsidR="00BC3DB3" w:rsidRPr="0063119B">
        <w:rPr>
          <w:noProof/>
          <w:szCs w:val="22"/>
        </w:rPr>
        <w:t>.</w:t>
      </w:r>
    </w:p>
    <w:p w14:paraId="47F7AD8C" w14:textId="77777777" w:rsidR="00123C7B" w:rsidRPr="0063119B" w:rsidRDefault="00123C7B" w:rsidP="00951279">
      <w:pPr>
        <w:rPr>
          <w:noProof/>
          <w:szCs w:val="22"/>
        </w:rPr>
      </w:pPr>
      <w:r w:rsidRPr="0063119B">
        <w:rPr>
          <w:b/>
          <w:noProof/>
          <w:szCs w:val="22"/>
        </w:rPr>
        <w:t>♦</w:t>
      </w:r>
      <w:r w:rsidRPr="0063119B">
        <w:rPr>
          <w:noProof/>
          <w:szCs w:val="22"/>
        </w:rPr>
        <w:t xml:space="preserve"> </w:t>
      </w:r>
      <w:r w:rsidR="00BC3DB3" w:rsidRPr="0063119B">
        <w:rPr>
          <w:noProof/>
          <w:szCs w:val="22"/>
        </w:rPr>
        <w:t>Fale com</w:t>
      </w:r>
      <w:r w:rsidR="00BC3DB3" w:rsidRPr="0063119B" w:rsidDel="00BC3DB3">
        <w:rPr>
          <w:noProof/>
          <w:szCs w:val="22"/>
        </w:rPr>
        <w:t xml:space="preserve"> </w:t>
      </w:r>
      <w:r w:rsidRPr="0063119B">
        <w:rPr>
          <w:noProof/>
          <w:szCs w:val="22"/>
        </w:rPr>
        <w:t xml:space="preserve">o seu profissional de saúde </w:t>
      </w:r>
      <w:r w:rsidR="00BC3DB3" w:rsidRPr="0063119B">
        <w:rPr>
          <w:noProof/>
          <w:szCs w:val="22"/>
        </w:rPr>
        <w:t>que está a tomar</w:t>
      </w:r>
      <w:r w:rsidRPr="0063119B">
        <w:rPr>
          <w:noProof/>
          <w:szCs w:val="22"/>
        </w:rPr>
        <w:t xml:space="preserve"> </w:t>
      </w:r>
      <w:r w:rsidR="00607DE4">
        <w:rPr>
          <w:noProof/>
          <w:szCs w:val="22"/>
        </w:rPr>
        <w:t>Rivaroxabano</w:t>
      </w:r>
      <w:r w:rsidR="001F7D02" w:rsidRPr="0063119B">
        <w:rPr>
          <w:noProof/>
          <w:szCs w:val="22"/>
        </w:rPr>
        <w:t xml:space="preserve"> Accord</w:t>
      </w:r>
      <w:r w:rsidRPr="0063119B">
        <w:rPr>
          <w:noProof/>
          <w:szCs w:val="22"/>
        </w:rPr>
        <w:t xml:space="preserve"> antes de qualquer cirurgia ou procedimento invasivo.</w:t>
      </w:r>
    </w:p>
    <w:p w14:paraId="03C9A277" w14:textId="77777777" w:rsidR="00123C7B" w:rsidRPr="0063119B" w:rsidRDefault="00123C7B" w:rsidP="00951279">
      <w:pPr>
        <w:suppressAutoHyphens/>
        <w:ind w:right="14"/>
        <w:rPr>
          <w:b/>
          <w:noProof/>
          <w:szCs w:val="22"/>
        </w:rPr>
      </w:pPr>
    </w:p>
    <w:p w14:paraId="696A5119" w14:textId="77777777" w:rsidR="0026404F" w:rsidRPr="0063119B" w:rsidRDefault="0026404F" w:rsidP="00951279">
      <w:pPr>
        <w:keepNext/>
        <w:keepLines/>
        <w:suppressAutoHyphens/>
        <w:ind w:right="14"/>
        <w:rPr>
          <w:b/>
          <w:noProof/>
          <w:szCs w:val="22"/>
        </w:rPr>
      </w:pPr>
      <w:r w:rsidRPr="0063119B">
        <w:rPr>
          <w:b/>
          <w:noProof/>
          <w:szCs w:val="22"/>
        </w:rPr>
        <w:t>Quando é que devo consultar o meu profissional de saúde?</w:t>
      </w:r>
    </w:p>
    <w:p w14:paraId="2EB609D2" w14:textId="77777777" w:rsidR="0026404F" w:rsidRPr="0063119B" w:rsidRDefault="0026404F" w:rsidP="00951279">
      <w:pPr>
        <w:keepNext/>
        <w:keepLines/>
        <w:autoSpaceDE w:val="0"/>
        <w:autoSpaceDN w:val="0"/>
        <w:adjustRightInd w:val="0"/>
        <w:rPr>
          <w:noProof/>
          <w:szCs w:val="22"/>
        </w:rPr>
      </w:pPr>
      <w:r w:rsidRPr="0063119B">
        <w:rPr>
          <w:noProof/>
          <w:szCs w:val="22"/>
        </w:rPr>
        <w:t xml:space="preserve">Quando estiver a tomar um fluidificante como </w:t>
      </w:r>
      <w:r w:rsidR="00607DE4">
        <w:rPr>
          <w:noProof/>
          <w:szCs w:val="22"/>
        </w:rPr>
        <w:t>Rivaroxabano</w:t>
      </w:r>
      <w:r w:rsidR="001F7D02" w:rsidRPr="0063119B">
        <w:rPr>
          <w:noProof/>
          <w:szCs w:val="22"/>
        </w:rPr>
        <w:t xml:space="preserve"> Accord</w:t>
      </w:r>
      <w:r w:rsidRPr="0063119B">
        <w:rPr>
          <w:noProof/>
          <w:szCs w:val="22"/>
        </w:rPr>
        <w:t xml:space="preserve"> é imp</w:t>
      </w:r>
      <w:r w:rsidR="00B6611B" w:rsidRPr="0063119B">
        <w:rPr>
          <w:noProof/>
          <w:szCs w:val="22"/>
        </w:rPr>
        <w:t>ortante que conheça os</w:t>
      </w:r>
      <w:r w:rsidRPr="0063119B">
        <w:rPr>
          <w:noProof/>
          <w:szCs w:val="22"/>
        </w:rPr>
        <w:t xml:space="preserve"> efeitos secundários</w:t>
      </w:r>
      <w:r w:rsidR="00B6611B" w:rsidRPr="0063119B">
        <w:rPr>
          <w:noProof/>
          <w:szCs w:val="22"/>
        </w:rPr>
        <w:t xml:space="preserve"> possíveis</w:t>
      </w:r>
      <w:r w:rsidRPr="0063119B">
        <w:rPr>
          <w:noProof/>
          <w:szCs w:val="22"/>
        </w:rPr>
        <w:t>. A hemorragia é o efeito secundário mais frequente. Se</w:t>
      </w:r>
      <w:r w:rsidR="00BC3DB3" w:rsidRPr="0063119B">
        <w:rPr>
          <w:noProof/>
          <w:szCs w:val="22"/>
        </w:rPr>
        <w:t xml:space="preserve"> sabe que</w:t>
      </w:r>
      <w:r w:rsidRPr="0063119B">
        <w:rPr>
          <w:noProof/>
          <w:szCs w:val="22"/>
        </w:rPr>
        <w:t xml:space="preserve"> t</w:t>
      </w:r>
      <w:r w:rsidR="00AB5D9C" w:rsidRPr="0063119B">
        <w:rPr>
          <w:noProof/>
          <w:szCs w:val="22"/>
        </w:rPr>
        <w:t>em</w:t>
      </w:r>
      <w:r w:rsidRPr="0063119B">
        <w:rPr>
          <w:noProof/>
          <w:szCs w:val="22"/>
        </w:rPr>
        <w:t xml:space="preserve"> um risco de hemorragia não comece a tomar </w:t>
      </w:r>
      <w:r w:rsidR="00607DE4">
        <w:rPr>
          <w:noProof/>
          <w:szCs w:val="22"/>
        </w:rPr>
        <w:t>Rivaroxabano</w:t>
      </w:r>
      <w:r w:rsidR="001F7D02" w:rsidRPr="0063119B">
        <w:rPr>
          <w:noProof/>
          <w:szCs w:val="22"/>
        </w:rPr>
        <w:t xml:space="preserve"> Accord</w:t>
      </w:r>
      <w:r w:rsidRPr="0063119B">
        <w:rPr>
          <w:noProof/>
          <w:szCs w:val="22"/>
        </w:rPr>
        <w:t xml:space="preserve"> sem falar primeiro com o seu médico. Informe imediatamente o seu profissional de saúde se tiver quaisquer sinais ou sintomas de hemorragia como os seguintes:</w:t>
      </w:r>
    </w:p>
    <w:p w14:paraId="18A379AF" w14:textId="77777777" w:rsidR="0026404F" w:rsidRPr="0063119B" w:rsidRDefault="0026404F" w:rsidP="00951279">
      <w:pPr>
        <w:keepNext/>
        <w:keepLines/>
        <w:autoSpaceDE w:val="0"/>
        <w:autoSpaceDN w:val="0"/>
        <w:adjustRightInd w:val="0"/>
        <w:rPr>
          <w:noProof/>
          <w:szCs w:val="22"/>
        </w:rPr>
      </w:pPr>
      <w:r w:rsidRPr="0063119B">
        <w:rPr>
          <w:b/>
          <w:noProof/>
          <w:szCs w:val="22"/>
        </w:rPr>
        <w:t>♦</w:t>
      </w:r>
      <w:r w:rsidRPr="0063119B">
        <w:rPr>
          <w:noProof/>
          <w:szCs w:val="22"/>
        </w:rPr>
        <w:t xml:space="preserve"> dor</w:t>
      </w:r>
    </w:p>
    <w:p w14:paraId="527FF17C" w14:textId="77777777" w:rsidR="0026404F" w:rsidRPr="0063119B" w:rsidRDefault="0026404F" w:rsidP="00951279">
      <w:pPr>
        <w:keepNext/>
        <w:keepLines/>
        <w:autoSpaceDE w:val="0"/>
        <w:autoSpaceDN w:val="0"/>
        <w:adjustRightInd w:val="0"/>
        <w:rPr>
          <w:noProof/>
          <w:szCs w:val="22"/>
        </w:rPr>
      </w:pPr>
      <w:r w:rsidRPr="0063119B">
        <w:rPr>
          <w:b/>
          <w:noProof/>
          <w:szCs w:val="22"/>
        </w:rPr>
        <w:t>♦</w:t>
      </w:r>
      <w:r w:rsidRPr="0063119B">
        <w:rPr>
          <w:noProof/>
          <w:szCs w:val="22"/>
        </w:rPr>
        <w:t xml:space="preserve"> inchaço ou desconforto</w:t>
      </w:r>
    </w:p>
    <w:p w14:paraId="116003C2" w14:textId="77777777" w:rsidR="0026404F" w:rsidRPr="0063119B" w:rsidRDefault="0026404F" w:rsidP="00951279">
      <w:pPr>
        <w:keepNext/>
        <w:keepLines/>
        <w:autoSpaceDE w:val="0"/>
        <w:autoSpaceDN w:val="0"/>
        <w:adjustRightInd w:val="0"/>
        <w:rPr>
          <w:noProof/>
          <w:szCs w:val="22"/>
        </w:rPr>
      </w:pPr>
      <w:r w:rsidRPr="0063119B">
        <w:rPr>
          <w:b/>
          <w:noProof/>
          <w:szCs w:val="22"/>
        </w:rPr>
        <w:t>♦</w:t>
      </w:r>
      <w:r w:rsidRPr="0063119B">
        <w:rPr>
          <w:noProof/>
          <w:szCs w:val="22"/>
        </w:rPr>
        <w:t xml:space="preserve"> dores de cabeça, tonturas ou fraqueza</w:t>
      </w:r>
    </w:p>
    <w:p w14:paraId="2B7CD78F" w14:textId="77777777" w:rsidR="0026404F" w:rsidRPr="0063119B" w:rsidRDefault="0026404F" w:rsidP="00951279">
      <w:pPr>
        <w:keepNext/>
        <w:keepLines/>
        <w:autoSpaceDE w:val="0"/>
        <w:autoSpaceDN w:val="0"/>
        <w:adjustRightInd w:val="0"/>
        <w:ind w:left="142" w:hanging="142"/>
        <w:rPr>
          <w:noProof/>
          <w:szCs w:val="22"/>
        </w:rPr>
      </w:pPr>
      <w:r w:rsidRPr="0063119B">
        <w:rPr>
          <w:b/>
          <w:noProof/>
          <w:szCs w:val="22"/>
        </w:rPr>
        <w:t>♦</w:t>
      </w:r>
      <w:r w:rsidRPr="0063119B">
        <w:rPr>
          <w:noProof/>
          <w:szCs w:val="22"/>
        </w:rPr>
        <w:t xml:space="preserve"> nódoas negras invulgares, hemorragia nasal, hemorragia das gengivas, cortes que demoram muito tempo a parar</w:t>
      </w:r>
      <w:r w:rsidR="00BC3DB3" w:rsidRPr="0063119B">
        <w:rPr>
          <w:noProof/>
          <w:szCs w:val="22"/>
        </w:rPr>
        <w:t xml:space="preserve"> a hemorragia</w:t>
      </w:r>
    </w:p>
    <w:p w14:paraId="6F66579F" w14:textId="77777777" w:rsidR="003D54F3" w:rsidRPr="0063119B" w:rsidRDefault="003D54F3" w:rsidP="00951279">
      <w:pPr>
        <w:autoSpaceDE w:val="0"/>
        <w:autoSpaceDN w:val="0"/>
        <w:adjustRightInd w:val="0"/>
        <w:rPr>
          <w:noProof/>
          <w:szCs w:val="22"/>
        </w:rPr>
      </w:pPr>
      <w:r w:rsidRPr="0063119B">
        <w:rPr>
          <w:b/>
          <w:noProof/>
          <w:szCs w:val="22"/>
        </w:rPr>
        <w:t>♦</w:t>
      </w:r>
      <w:r w:rsidRPr="0063119B">
        <w:rPr>
          <w:noProof/>
          <w:szCs w:val="22"/>
        </w:rPr>
        <w:t xml:space="preserve"> fluxo menstrual ou hemorragia vaginal que é mais intensa que o normal</w:t>
      </w:r>
    </w:p>
    <w:p w14:paraId="443C6453" w14:textId="77777777" w:rsidR="003D54F3" w:rsidRPr="0063119B" w:rsidRDefault="003D54F3" w:rsidP="00951279">
      <w:pPr>
        <w:autoSpaceDE w:val="0"/>
        <w:autoSpaceDN w:val="0"/>
        <w:adjustRightInd w:val="0"/>
        <w:rPr>
          <w:noProof/>
          <w:szCs w:val="22"/>
        </w:rPr>
      </w:pPr>
      <w:r w:rsidRPr="0063119B">
        <w:rPr>
          <w:b/>
          <w:noProof/>
          <w:szCs w:val="22"/>
        </w:rPr>
        <w:lastRenderedPageBreak/>
        <w:t>♦</w:t>
      </w:r>
      <w:r w:rsidRPr="0063119B">
        <w:rPr>
          <w:noProof/>
          <w:szCs w:val="22"/>
        </w:rPr>
        <w:t xml:space="preserve"> </w:t>
      </w:r>
      <w:r w:rsidR="00BC3DB3" w:rsidRPr="0063119B">
        <w:rPr>
          <w:noProof/>
          <w:szCs w:val="22"/>
        </w:rPr>
        <w:t xml:space="preserve">sangue na urina que pode ser </w:t>
      </w:r>
      <w:r w:rsidRPr="0063119B">
        <w:rPr>
          <w:noProof/>
          <w:szCs w:val="22"/>
        </w:rPr>
        <w:t xml:space="preserve">cor-de-rosa ou </w:t>
      </w:r>
      <w:r w:rsidR="00BC3DB3" w:rsidRPr="0063119B">
        <w:rPr>
          <w:noProof/>
          <w:szCs w:val="22"/>
        </w:rPr>
        <w:t>castanho</w:t>
      </w:r>
      <w:r w:rsidRPr="0063119B">
        <w:rPr>
          <w:noProof/>
          <w:szCs w:val="22"/>
        </w:rPr>
        <w:t>, fezes vermelhas ou negras</w:t>
      </w:r>
    </w:p>
    <w:p w14:paraId="5BE19DD7" w14:textId="77777777" w:rsidR="003D54F3" w:rsidRPr="0063119B" w:rsidRDefault="003D54F3" w:rsidP="00951279">
      <w:pPr>
        <w:autoSpaceDE w:val="0"/>
        <w:autoSpaceDN w:val="0"/>
        <w:adjustRightInd w:val="0"/>
        <w:rPr>
          <w:noProof/>
          <w:szCs w:val="22"/>
        </w:rPr>
      </w:pPr>
      <w:r w:rsidRPr="0063119B">
        <w:rPr>
          <w:b/>
          <w:noProof/>
          <w:szCs w:val="22"/>
        </w:rPr>
        <w:t>♦</w:t>
      </w:r>
      <w:r w:rsidRPr="0063119B">
        <w:rPr>
          <w:noProof/>
          <w:szCs w:val="22"/>
        </w:rPr>
        <w:t xml:space="preserve"> </w:t>
      </w:r>
      <w:r w:rsidR="00AA0DF1" w:rsidRPr="0063119B">
        <w:rPr>
          <w:noProof/>
          <w:szCs w:val="22"/>
        </w:rPr>
        <w:t xml:space="preserve">tosse com sangue ou </w:t>
      </w:r>
      <w:r w:rsidRPr="0063119B">
        <w:rPr>
          <w:noProof/>
          <w:szCs w:val="22"/>
        </w:rPr>
        <w:t>vómito de sangue ou de</w:t>
      </w:r>
      <w:r w:rsidR="00AA0DF1" w:rsidRPr="0063119B">
        <w:rPr>
          <w:noProof/>
          <w:szCs w:val="22"/>
        </w:rPr>
        <w:t xml:space="preserve"> uma</w:t>
      </w:r>
      <w:r w:rsidRPr="0063119B">
        <w:rPr>
          <w:noProof/>
          <w:szCs w:val="22"/>
        </w:rPr>
        <w:t xml:space="preserve"> substância semelhante a borras de café</w:t>
      </w:r>
    </w:p>
    <w:p w14:paraId="79712B33" w14:textId="77777777" w:rsidR="003D54F3" w:rsidRPr="0063119B" w:rsidRDefault="003D54F3" w:rsidP="00951279">
      <w:pPr>
        <w:autoSpaceDE w:val="0"/>
        <w:autoSpaceDN w:val="0"/>
        <w:adjustRightInd w:val="0"/>
        <w:rPr>
          <w:noProof/>
          <w:szCs w:val="22"/>
        </w:rPr>
      </w:pPr>
    </w:p>
    <w:p w14:paraId="05934B87" w14:textId="77777777" w:rsidR="00EE5207" w:rsidRPr="0063119B" w:rsidRDefault="00AA0DF1" w:rsidP="00951279">
      <w:pPr>
        <w:suppressAutoHyphens/>
        <w:ind w:right="14"/>
        <w:rPr>
          <w:b/>
          <w:noProof/>
          <w:szCs w:val="22"/>
        </w:rPr>
      </w:pPr>
      <w:r w:rsidRPr="0063119B">
        <w:rPr>
          <w:b/>
          <w:noProof/>
          <w:szCs w:val="22"/>
        </w:rPr>
        <w:t xml:space="preserve">Como </w:t>
      </w:r>
      <w:r w:rsidR="000822A4" w:rsidRPr="0063119B">
        <w:rPr>
          <w:b/>
          <w:noProof/>
          <w:szCs w:val="22"/>
        </w:rPr>
        <w:t xml:space="preserve">é que </w:t>
      </w:r>
      <w:r w:rsidRPr="0063119B">
        <w:rPr>
          <w:b/>
          <w:noProof/>
          <w:szCs w:val="22"/>
        </w:rPr>
        <w:t xml:space="preserve">tomo </w:t>
      </w:r>
      <w:r w:rsidR="00607DE4">
        <w:rPr>
          <w:b/>
          <w:noProof/>
          <w:szCs w:val="22"/>
        </w:rPr>
        <w:t>Rivaroxabano</w:t>
      </w:r>
      <w:r w:rsidR="001F7D02" w:rsidRPr="0063119B">
        <w:rPr>
          <w:b/>
          <w:noProof/>
          <w:szCs w:val="22"/>
        </w:rPr>
        <w:t xml:space="preserve"> Accord</w:t>
      </w:r>
      <w:r w:rsidRPr="0063119B">
        <w:rPr>
          <w:b/>
          <w:noProof/>
          <w:szCs w:val="22"/>
        </w:rPr>
        <w:t>?</w:t>
      </w:r>
    </w:p>
    <w:p w14:paraId="7EC5213A" w14:textId="77777777" w:rsidR="00AA0DF1" w:rsidRPr="0063119B" w:rsidRDefault="00AA0DF1" w:rsidP="00951279">
      <w:pPr>
        <w:suppressAutoHyphens/>
        <w:ind w:right="14"/>
        <w:rPr>
          <w:noProof/>
          <w:szCs w:val="22"/>
        </w:rPr>
      </w:pPr>
      <w:r w:rsidRPr="0063119B">
        <w:rPr>
          <w:noProof/>
          <w:szCs w:val="22"/>
        </w:rPr>
        <w:t xml:space="preserve">♦ </w:t>
      </w:r>
      <w:r w:rsidR="004B5BBD" w:rsidRPr="0063119B">
        <w:rPr>
          <w:noProof/>
          <w:szCs w:val="22"/>
        </w:rPr>
        <w:t>Para garantir uma ótima prote</w:t>
      </w:r>
      <w:r w:rsidRPr="0063119B">
        <w:rPr>
          <w:noProof/>
          <w:szCs w:val="22"/>
        </w:rPr>
        <w:t xml:space="preserve">ção, </w:t>
      </w:r>
      <w:r w:rsidR="00607DE4">
        <w:rPr>
          <w:noProof/>
          <w:szCs w:val="22"/>
        </w:rPr>
        <w:t>Rivaroxabano</w:t>
      </w:r>
      <w:r w:rsidR="001F7D02" w:rsidRPr="0063119B">
        <w:rPr>
          <w:noProof/>
          <w:szCs w:val="22"/>
        </w:rPr>
        <w:t xml:space="preserve"> Accord</w:t>
      </w:r>
      <w:r w:rsidR="002134D7" w:rsidRPr="0063119B">
        <w:rPr>
          <w:noProof/>
          <w:szCs w:val="22"/>
        </w:rPr>
        <w:t xml:space="preserve"> </w:t>
      </w:r>
    </w:p>
    <w:p w14:paraId="6B98AE32" w14:textId="77777777" w:rsidR="00C96D5B" w:rsidRPr="0063119B" w:rsidRDefault="00C96D5B" w:rsidP="00951279">
      <w:pPr>
        <w:numPr>
          <w:ilvl w:val="0"/>
          <w:numId w:val="14"/>
        </w:numPr>
        <w:spacing w:line="260" w:lineRule="exact"/>
        <w:rPr>
          <w:noProof/>
          <w:szCs w:val="22"/>
        </w:rPr>
      </w:pPr>
      <w:r w:rsidRPr="0063119B">
        <w:rPr>
          <w:noProof/>
          <w:szCs w:val="22"/>
        </w:rPr>
        <w:t>2,5 mg pode ser tomado com ou sem alimentos</w:t>
      </w:r>
    </w:p>
    <w:p w14:paraId="5B5FA561" w14:textId="77777777" w:rsidR="008317EC" w:rsidRPr="0063119B" w:rsidRDefault="008317EC" w:rsidP="00951279">
      <w:pPr>
        <w:numPr>
          <w:ilvl w:val="0"/>
          <w:numId w:val="14"/>
        </w:numPr>
        <w:spacing w:line="260" w:lineRule="exact"/>
        <w:rPr>
          <w:noProof/>
          <w:szCs w:val="22"/>
        </w:rPr>
      </w:pPr>
      <w:r w:rsidRPr="0063119B">
        <w:rPr>
          <w:noProof/>
          <w:szCs w:val="22"/>
        </w:rPr>
        <w:t xml:space="preserve">10 mg </w:t>
      </w:r>
      <w:r w:rsidR="00EE4F77" w:rsidRPr="0063119B">
        <w:rPr>
          <w:noProof/>
          <w:szCs w:val="22"/>
        </w:rPr>
        <w:t>po</w:t>
      </w:r>
      <w:r w:rsidRPr="0063119B">
        <w:rPr>
          <w:noProof/>
          <w:szCs w:val="22"/>
        </w:rPr>
        <w:t>de ser tomado com ou sem alimentos</w:t>
      </w:r>
    </w:p>
    <w:p w14:paraId="7F5865C2" w14:textId="77777777" w:rsidR="00C96D5B" w:rsidRPr="0063119B" w:rsidRDefault="00C96D5B" w:rsidP="00951279">
      <w:pPr>
        <w:numPr>
          <w:ilvl w:val="0"/>
          <w:numId w:val="14"/>
        </w:numPr>
        <w:spacing w:line="260" w:lineRule="exact"/>
        <w:rPr>
          <w:noProof/>
          <w:szCs w:val="22"/>
        </w:rPr>
      </w:pPr>
      <w:r w:rsidRPr="0063119B">
        <w:rPr>
          <w:noProof/>
          <w:szCs w:val="22"/>
        </w:rPr>
        <w:t>15 mg deve ser tomado com alimentos</w:t>
      </w:r>
    </w:p>
    <w:p w14:paraId="7D44B66A" w14:textId="77777777" w:rsidR="00C96D5B" w:rsidRPr="0063119B" w:rsidRDefault="00C96D5B" w:rsidP="00951279">
      <w:pPr>
        <w:numPr>
          <w:ilvl w:val="0"/>
          <w:numId w:val="14"/>
        </w:numPr>
        <w:spacing w:line="260" w:lineRule="exact"/>
        <w:rPr>
          <w:noProof/>
          <w:szCs w:val="22"/>
        </w:rPr>
      </w:pPr>
      <w:r w:rsidRPr="0063119B">
        <w:rPr>
          <w:noProof/>
          <w:szCs w:val="22"/>
        </w:rPr>
        <w:t>20 mg deve ser tomado com alimentos</w:t>
      </w:r>
    </w:p>
    <w:p w14:paraId="5016F2EC" w14:textId="77777777" w:rsidR="00D9773D" w:rsidRPr="0063119B" w:rsidRDefault="00D9773D" w:rsidP="00951279">
      <w:pPr>
        <w:spacing w:line="260" w:lineRule="exact"/>
        <w:ind w:left="360"/>
        <w:rPr>
          <w:noProof/>
          <w:szCs w:val="22"/>
        </w:rPr>
      </w:pPr>
    </w:p>
    <w:p w14:paraId="1B722FAA" w14:textId="77777777" w:rsidR="00D9773D" w:rsidRPr="0063119B" w:rsidRDefault="00D9773D" w:rsidP="00951279">
      <w:pPr>
        <w:spacing w:line="260" w:lineRule="exact"/>
        <w:ind w:left="360"/>
        <w:rPr>
          <w:noProof/>
          <w:szCs w:val="22"/>
        </w:rPr>
      </w:pPr>
    </w:p>
    <w:p w14:paraId="069B3DC4" w14:textId="77777777" w:rsidR="00C34956" w:rsidRPr="0063119B" w:rsidRDefault="001F10F8" w:rsidP="00951279">
      <w:pPr>
        <w:jc w:val="center"/>
        <w:rPr>
          <w:szCs w:val="22"/>
        </w:rPr>
      </w:pPr>
      <w:r w:rsidRPr="0063119B">
        <w:rPr>
          <w:noProof/>
          <w:szCs w:val="22"/>
        </w:rPr>
        <w:br w:type="page"/>
      </w:r>
    </w:p>
    <w:p w14:paraId="0C9D33BD" w14:textId="77777777" w:rsidR="00C34956" w:rsidRPr="0063119B" w:rsidRDefault="00C34956" w:rsidP="00951279">
      <w:pPr>
        <w:jc w:val="center"/>
        <w:rPr>
          <w:szCs w:val="22"/>
        </w:rPr>
      </w:pPr>
    </w:p>
    <w:p w14:paraId="05D6A198" w14:textId="77777777" w:rsidR="00C34956" w:rsidRPr="0063119B" w:rsidRDefault="00C34956" w:rsidP="00951279">
      <w:pPr>
        <w:jc w:val="center"/>
        <w:rPr>
          <w:szCs w:val="22"/>
        </w:rPr>
      </w:pPr>
    </w:p>
    <w:p w14:paraId="16020615" w14:textId="77777777" w:rsidR="00C34956" w:rsidRPr="0063119B" w:rsidRDefault="00C34956" w:rsidP="00951279">
      <w:pPr>
        <w:jc w:val="center"/>
        <w:rPr>
          <w:szCs w:val="22"/>
        </w:rPr>
      </w:pPr>
    </w:p>
    <w:p w14:paraId="66B02081" w14:textId="77777777" w:rsidR="00C34956" w:rsidRPr="0063119B" w:rsidRDefault="00C34956" w:rsidP="00951279">
      <w:pPr>
        <w:jc w:val="center"/>
        <w:rPr>
          <w:szCs w:val="22"/>
        </w:rPr>
      </w:pPr>
    </w:p>
    <w:p w14:paraId="0DDBDCA4" w14:textId="77777777" w:rsidR="00C34956" w:rsidRPr="0063119B" w:rsidRDefault="00C34956" w:rsidP="00951279">
      <w:pPr>
        <w:jc w:val="center"/>
        <w:rPr>
          <w:szCs w:val="22"/>
        </w:rPr>
      </w:pPr>
    </w:p>
    <w:p w14:paraId="46AC4902" w14:textId="77777777" w:rsidR="00C34956" w:rsidRPr="0063119B" w:rsidRDefault="00C34956" w:rsidP="00951279">
      <w:pPr>
        <w:jc w:val="center"/>
        <w:rPr>
          <w:szCs w:val="22"/>
        </w:rPr>
      </w:pPr>
    </w:p>
    <w:p w14:paraId="5A79ABDD" w14:textId="77777777" w:rsidR="00C34956" w:rsidRPr="0063119B" w:rsidRDefault="00C34956" w:rsidP="00951279">
      <w:pPr>
        <w:jc w:val="center"/>
        <w:rPr>
          <w:szCs w:val="22"/>
        </w:rPr>
      </w:pPr>
    </w:p>
    <w:p w14:paraId="08C32AD6" w14:textId="77777777" w:rsidR="00C34956" w:rsidRPr="0063119B" w:rsidRDefault="00C34956" w:rsidP="00951279">
      <w:pPr>
        <w:jc w:val="center"/>
        <w:rPr>
          <w:szCs w:val="22"/>
        </w:rPr>
      </w:pPr>
    </w:p>
    <w:p w14:paraId="424EF649" w14:textId="77777777" w:rsidR="00C34956" w:rsidRPr="0063119B" w:rsidRDefault="00C34956" w:rsidP="00951279">
      <w:pPr>
        <w:jc w:val="center"/>
        <w:rPr>
          <w:szCs w:val="22"/>
        </w:rPr>
      </w:pPr>
    </w:p>
    <w:p w14:paraId="6A4B1E3E" w14:textId="77777777" w:rsidR="00C34956" w:rsidRPr="0063119B" w:rsidRDefault="00C34956" w:rsidP="00951279">
      <w:pPr>
        <w:jc w:val="center"/>
        <w:rPr>
          <w:szCs w:val="22"/>
        </w:rPr>
      </w:pPr>
    </w:p>
    <w:p w14:paraId="5ED4148D" w14:textId="77777777" w:rsidR="00C34956" w:rsidRPr="0063119B" w:rsidRDefault="00C34956" w:rsidP="00951279">
      <w:pPr>
        <w:jc w:val="center"/>
        <w:rPr>
          <w:szCs w:val="22"/>
        </w:rPr>
      </w:pPr>
    </w:p>
    <w:p w14:paraId="092551DF" w14:textId="77777777" w:rsidR="00C34956" w:rsidRPr="0063119B" w:rsidRDefault="00C34956" w:rsidP="00951279">
      <w:pPr>
        <w:jc w:val="center"/>
        <w:rPr>
          <w:szCs w:val="22"/>
        </w:rPr>
      </w:pPr>
    </w:p>
    <w:p w14:paraId="77C29A05" w14:textId="77777777" w:rsidR="00C34956" w:rsidRPr="0063119B" w:rsidRDefault="00C34956" w:rsidP="00951279">
      <w:pPr>
        <w:jc w:val="center"/>
        <w:rPr>
          <w:szCs w:val="22"/>
        </w:rPr>
      </w:pPr>
    </w:p>
    <w:p w14:paraId="7F9BB2FD" w14:textId="77777777" w:rsidR="00C34956" w:rsidRPr="0063119B" w:rsidRDefault="00C34956" w:rsidP="00951279">
      <w:pPr>
        <w:jc w:val="center"/>
        <w:rPr>
          <w:szCs w:val="22"/>
        </w:rPr>
      </w:pPr>
    </w:p>
    <w:p w14:paraId="132E99CF" w14:textId="77777777" w:rsidR="00C34956" w:rsidRPr="0063119B" w:rsidRDefault="00C34956" w:rsidP="00951279">
      <w:pPr>
        <w:jc w:val="center"/>
        <w:rPr>
          <w:szCs w:val="22"/>
        </w:rPr>
      </w:pPr>
    </w:p>
    <w:p w14:paraId="7DCF6473" w14:textId="77777777" w:rsidR="00C34956" w:rsidRPr="0063119B" w:rsidRDefault="00C34956" w:rsidP="00C34956">
      <w:pPr>
        <w:jc w:val="center"/>
        <w:rPr>
          <w:szCs w:val="22"/>
        </w:rPr>
      </w:pPr>
    </w:p>
    <w:p w14:paraId="184D9035" w14:textId="77777777" w:rsidR="00C34956" w:rsidRPr="0063119B" w:rsidRDefault="00C34956" w:rsidP="00C34956">
      <w:pPr>
        <w:jc w:val="center"/>
        <w:rPr>
          <w:szCs w:val="22"/>
        </w:rPr>
      </w:pPr>
    </w:p>
    <w:p w14:paraId="72A2019D" w14:textId="77777777" w:rsidR="00C34956" w:rsidRPr="0063119B" w:rsidRDefault="00C34956" w:rsidP="00C34956">
      <w:pPr>
        <w:jc w:val="center"/>
        <w:rPr>
          <w:szCs w:val="22"/>
        </w:rPr>
      </w:pPr>
    </w:p>
    <w:p w14:paraId="4C24E55C" w14:textId="77777777" w:rsidR="00C34956" w:rsidRPr="0063119B" w:rsidRDefault="00C34956" w:rsidP="00C34956">
      <w:pPr>
        <w:jc w:val="center"/>
        <w:rPr>
          <w:szCs w:val="22"/>
        </w:rPr>
      </w:pPr>
    </w:p>
    <w:p w14:paraId="3E7FE80B" w14:textId="77777777" w:rsidR="00C34956" w:rsidRPr="0063119B" w:rsidRDefault="00C34956" w:rsidP="00C34956">
      <w:pPr>
        <w:jc w:val="center"/>
        <w:rPr>
          <w:szCs w:val="22"/>
        </w:rPr>
      </w:pPr>
    </w:p>
    <w:p w14:paraId="4BF5BDDF" w14:textId="77777777" w:rsidR="00C34956" w:rsidRPr="0063119B" w:rsidRDefault="00C34956" w:rsidP="00C34956">
      <w:pPr>
        <w:jc w:val="center"/>
        <w:rPr>
          <w:szCs w:val="22"/>
        </w:rPr>
      </w:pPr>
    </w:p>
    <w:p w14:paraId="2D81DF9E" w14:textId="77777777" w:rsidR="00EE5207" w:rsidRPr="0063119B" w:rsidRDefault="00EE5207" w:rsidP="00C34956">
      <w:pPr>
        <w:suppressAutoHyphens/>
        <w:ind w:right="14"/>
        <w:jc w:val="center"/>
        <w:rPr>
          <w:b/>
          <w:noProof/>
          <w:szCs w:val="22"/>
        </w:rPr>
      </w:pPr>
    </w:p>
    <w:p w14:paraId="6A6C6E70" w14:textId="77777777" w:rsidR="00EE5207" w:rsidRPr="0063119B" w:rsidRDefault="00EE5207" w:rsidP="005500AB">
      <w:pPr>
        <w:pStyle w:val="TitleA"/>
        <w:ind w:right="11"/>
        <w:outlineLvl w:val="1"/>
      </w:pPr>
      <w:r w:rsidRPr="0063119B">
        <w:t>B. FOLHETO INFORMATIVO</w:t>
      </w:r>
    </w:p>
    <w:p w14:paraId="5CD5A7CF" w14:textId="77777777" w:rsidR="00DF57E1" w:rsidRPr="0063119B" w:rsidRDefault="00EE5207" w:rsidP="00DF57E1">
      <w:pPr>
        <w:suppressAutoHyphens/>
        <w:ind w:left="567" w:hanging="567"/>
        <w:jc w:val="center"/>
        <w:rPr>
          <w:b/>
          <w:noProof/>
          <w:szCs w:val="22"/>
        </w:rPr>
      </w:pPr>
      <w:r w:rsidRPr="0063119B">
        <w:rPr>
          <w:noProof/>
          <w:szCs w:val="22"/>
        </w:rPr>
        <w:br w:type="page"/>
      </w:r>
      <w:r w:rsidR="00DF57E1" w:rsidRPr="0063119B">
        <w:rPr>
          <w:b/>
          <w:noProof/>
          <w:szCs w:val="22"/>
        </w:rPr>
        <w:lastRenderedPageBreak/>
        <w:t>Folheto informativo: Informação para o utilizador</w:t>
      </w:r>
    </w:p>
    <w:p w14:paraId="0B93AA56" w14:textId="77777777" w:rsidR="00DF57E1" w:rsidRPr="0063119B" w:rsidRDefault="00DF57E1" w:rsidP="00DF57E1">
      <w:pPr>
        <w:suppressAutoHyphens/>
        <w:ind w:left="567" w:hanging="567"/>
        <w:jc w:val="center"/>
        <w:rPr>
          <w:noProof/>
          <w:szCs w:val="22"/>
        </w:rPr>
      </w:pPr>
    </w:p>
    <w:p w14:paraId="3AFA5B91" w14:textId="77777777" w:rsidR="00DF57E1" w:rsidRPr="001B6FEC" w:rsidRDefault="00607DE4" w:rsidP="005500AB">
      <w:pPr>
        <w:suppressAutoHyphens/>
        <w:jc w:val="center"/>
        <w:outlineLvl w:val="2"/>
        <w:rPr>
          <w:b/>
          <w:bCs/>
          <w:noProof/>
          <w:szCs w:val="22"/>
        </w:rPr>
      </w:pPr>
      <w:r w:rsidRPr="001B6FEC">
        <w:rPr>
          <w:b/>
          <w:bCs/>
          <w:noProof/>
          <w:szCs w:val="22"/>
        </w:rPr>
        <w:t>Rivaroxabano</w:t>
      </w:r>
      <w:r w:rsidR="001F7D02" w:rsidRPr="001B6FEC">
        <w:rPr>
          <w:b/>
          <w:bCs/>
          <w:noProof/>
          <w:szCs w:val="22"/>
        </w:rPr>
        <w:t xml:space="preserve"> Accord</w:t>
      </w:r>
      <w:r w:rsidR="00DF57E1" w:rsidRPr="001B6FEC">
        <w:rPr>
          <w:b/>
          <w:bCs/>
          <w:noProof/>
          <w:szCs w:val="22"/>
        </w:rPr>
        <w:t xml:space="preserve"> 2,5 mg comprimidos revestidos por película</w:t>
      </w:r>
    </w:p>
    <w:p w14:paraId="3197979A" w14:textId="77777777" w:rsidR="00DF57E1" w:rsidRPr="0063119B" w:rsidRDefault="007800AD" w:rsidP="00DF57E1">
      <w:pPr>
        <w:suppressAutoHyphens/>
        <w:jc w:val="center"/>
        <w:rPr>
          <w:bCs/>
          <w:noProof/>
          <w:szCs w:val="22"/>
        </w:rPr>
      </w:pPr>
      <w:r w:rsidRPr="0063119B">
        <w:rPr>
          <w:bCs/>
          <w:noProof/>
          <w:szCs w:val="22"/>
        </w:rPr>
        <w:t>r</w:t>
      </w:r>
      <w:r w:rsidR="00DF57E1" w:rsidRPr="0063119B">
        <w:rPr>
          <w:bCs/>
          <w:noProof/>
          <w:szCs w:val="22"/>
        </w:rPr>
        <w:t>ibaroxabano</w:t>
      </w:r>
    </w:p>
    <w:p w14:paraId="1F9FC531" w14:textId="77777777" w:rsidR="00DF57E1" w:rsidRPr="0063119B" w:rsidRDefault="00DF57E1" w:rsidP="00DF57E1">
      <w:pPr>
        <w:suppressAutoHyphens/>
        <w:ind w:left="567" w:hanging="567"/>
        <w:rPr>
          <w:noProof/>
          <w:szCs w:val="22"/>
        </w:rPr>
      </w:pPr>
    </w:p>
    <w:p w14:paraId="4F5C9EE6" w14:textId="77777777" w:rsidR="00DF57E1" w:rsidRPr="0063119B" w:rsidRDefault="00DF57E1" w:rsidP="00DF57E1">
      <w:pPr>
        <w:ind w:right="-2"/>
        <w:rPr>
          <w:noProof/>
          <w:szCs w:val="22"/>
        </w:rPr>
      </w:pPr>
      <w:r w:rsidRPr="0063119B">
        <w:rPr>
          <w:b/>
          <w:noProof/>
          <w:szCs w:val="22"/>
        </w:rPr>
        <w:t>Leia com atenção todo este folheto antes de começar a tomar este medicamento, pois contém informação importante para si.</w:t>
      </w:r>
    </w:p>
    <w:p w14:paraId="2F48BCF1" w14:textId="77777777" w:rsidR="00DF57E1" w:rsidRPr="0063119B" w:rsidRDefault="00DF57E1" w:rsidP="00DF57E1">
      <w:pPr>
        <w:numPr>
          <w:ilvl w:val="0"/>
          <w:numId w:val="1"/>
        </w:numPr>
        <w:ind w:left="567" w:right="-2" w:hanging="567"/>
        <w:rPr>
          <w:noProof/>
          <w:szCs w:val="22"/>
        </w:rPr>
      </w:pPr>
      <w:r w:rsidRPr="0063119B">
        <w:rPr>
          <w:noProof/>
          <w:szCs w:val="22"/>
        </w:rPr>
        <w:t>Conserve este folheto. Pode ter necessidade de o ler novamente.</w:t>
      </w:r>
    </w:p>
    <w:p w14:paraId="148525CC" w14:textId="77777777" w:rsidR="00DF57E1" w:rsidRPr="0063119B" w:rsidRDefault="00DF57E1" w:rsidP="00DF57E1">
      <w:pPr>
        <w:numPr>
          <w:ilvl w:val="0"/>
          <w:numId w:val="1"/>
        </w:numPr>
        <w:ind w:left="567" w:right="-2" w:hanging="567"/>
        <w:rPr>
          <w:noProof/>
          <w:szCs w:val="22"/>
        </w:rPr>
      </w:pPr>
      <w:r w:rsidRPr="0063119B">
        <w:rPr>
          <w:noProof/>
          <w:szCs w:val="22"/>
        </w:rPr>
        <w:t>Caso ainda tenha dúvidas, fale com o seu médico ou farmacêutico.</w:t>
      </w:r>
    </w:p>
    <w:p w14:paraId="5307B815" w14:textId="77777777" w:rsidR="00DF57E1" w:rsidRPr="0063119B" w:rsidRDefault="00DF57E1" w:rsidP="00DF57E1">
      <w:pPr>
        <w:numPr>
          <w:ilvl w:val="0"/>
          <w:numId w:val="1"/>
        </w:numPr>
        <w:ind w:left="567" w:right="-2" w:hanging="567"/>
        <w:rPr>
          <w:noProof/>
          <w:szCs w:val="22"/>
        </w:rPr>
      </w:pPr>
      <w:r w:rsidRPr="0063119B">
        <w:rPr>
          <w:noProof/>
          <w:szCs w:val="22"/>
        </w:rPr>
        <w:t>Este medicamento foi receitado apenas para si. Não deve dá</w:t>
      </w:r>
      <w:r w:rsidRPr="0063119B">
        <w:rPr>
          <w:noProof/>
          <w:szCs w:val="22"/>
        </w:rPr>
        <w:noBreakHyphen/>
        <w:t>lo a outros. O medicamento pode ser</w:t>
      </w:r>
      <w:r w:rsidRPr="0063119B">
        <w:rPr>
          <w:noProof/>
          <w:szCs w:val="22"/>
        </w:rPr>
        <w:noBreakHyphen/>
        <w:t>lhes prejudicial mesmo que apresentem os mesmos sinais de doença.</w:t>
      </w:r>
    </w:p>
    <w:p w14:paraId="6A2DE793" w14:textId="77777777" w:rsidR="00DF57E1" w:rsidRPr="0063119B" w:rsidRDefault="00DF57E1" w:rsidP="00DF57E1">
      <w:pPr>
        <w:numPr>
          <w:ilvl w:val="0"/>
          <w:numId w:val="1"/>
        </w:numPr>
        <w:ind w:left="567" w:right="-2" w:hanging="567"/>
        <w:rPr>
          <w:noProof/>
          <w:szCs w:val="22"/>
        </w:rPr>
      </w:pPr>
      <w:r w:rsidRPr="0063119B">
        <w:rPr>
          <w:noProof/>
          <w:szCs w:val="22"/>
        </w:rPr>
        <w:t xml:space="preserve">Se tiver quaisquer efeitos </w:t>
      </w:r>
      <w:r w:rsidR="007800AD" w:rsidRPr="0063119B">
        <w:rPr>
          <w:noProof/>
          <w:szCs w:val="22"/>
        </w:rPr>
        <w:t>indesejáveis</w:t>
      </w:r>
      <w:r w:rsidRPr="0063119B">
        <w:rPr>
          <w:noProof/>
          <w:szCs w:val="22"/>
        </w:rPr>
        <w:t xml:space="preserve">, incluindo possíveis efeitos </w:t>
      </w:r>
      <w:r w:rsidR="007800AD" w:rsidRPr="0063119B">
        <w:rPr>
          <w:noProof/>
          <w:szCs w:val="22"/>
        </w:rPr>
        <w:t>indesejáveis</w:t>
      </w:r>
      <w:r w:rsidRPr="0063119B">
        <w:rPr>
          <w:noProof/>
          <w:szCs w:val="22"/>
        </w:rPr>
        <w:t xml:space="preserve"> não indicados neste folheto, fale com o seu médico ou farmacêutico.</w:t>
      </w:r>
      <w:r w:rsidR="00A30F63" w:rsidRPr="0063119B">
        <w:rPr>
          <w:noProof/>
          <w:szCs w:val="22"/>
        </w:rPr>
        <w:t xml:space="preserve"> Ver secção 4.</w:t>
      </w:r>
    </w:p>
    <w:p w14:paraId="7E19EC75" w14:textId="77777777" w:rsidR="00DF57E1" w:rsidRPr="0063119B" w:rsidRDefault="00DF57E1" w:rsidP="00DF57E1">
      <w:pPr>
        <w:ind w:right="-2"/>
        <w:rPr>
          <w:noProof/>
          <w:szCs w:val="22"/>
        </w:rPr>
      </w:pPr>
    </w:p>
    <w:p w14:paraId="43914096" w14:textId="77777777" w:rsidR="00DF57E1" w:rsidRPr="0063119B" w:rsidRDefault="00DF57E1" w:rsidP="00DF57E1">
      <w:pPr>
        <w:ind w:right="-2"/>
        <w:rPr>
          <w:noProof/>
          <w:szCs w:val="22"/>
        </w:rPr>
      </w:pPr>
    </w:p>
    <w:p w14:paraId="36678C8A" w14:textId="77777777" w:rsidR="00DF57E1" w:rsidRPr="0063119B" w:rsidRDefault="00DF57E1" w:rsidP="00DF57E1">
      <w:pPr>
        <w:numPr>
          <w:ilvl w:val="12"/>
          <w:numId w:val="0"/>
        </w:numPr>
        <w:suppressAutoHyphens/>
        <w:rPr>
          <w:noProof/>
          <w:szCs w:val="22"/>
        </w:rPr>
      </w:pPr>
      <w:r w:rsidRPr="0063119B">
        <w:rPr>
          <w:b/>
          <w:noProof/>
          <w:szCs w:val="22"/>
        </w:rPr>
        <w:t>O que contém este folheto</w:t>
      </w:r>
    </w:p>
    <w:p w14:paraId="3D876000" w14:textId="77777777" w:rsidR="00DF57E1" w:rsidRPr="0063119B" w:rsidRDefault="00DF57E1" w:rsidP="00DF57E1">
      <w:pPr>
        <w:suppressAutoHyphens/>
        <w:ind w:left="567" w:hanging="567"/>
        <w:rPr>
          <w:noProof/>
          <w:szCs w:val="22"/>
        </w:rPr>
      </w:pPr>
      <w:r w:rsidRPr="0063119B">
        <w:rPr>
          <w:noProof/>
          <w:szCs w:val="22"/>
        </w:rPr>
        <w:t>1.</w:t>
      </w:r>
      <w:r w:rsidRPr="0063119B">
        <w:rPr>
          <w:noProof/>
          <w:szCs w:val="22"/>
        </w:rPr>
        <w:tab/>
        <w:t xml:space="preserve">O que é </w:t>
      </w:r>
      <w:r w:rsidR="00607DE4">
        <w:rPr>
          <w:noProof/>
          <w:szCs w:val="22"/>
        </w:rPr>
        <w:t>Rivaroxabano</w:t>
      </w:r>
      <w:r w:rsidR="001F7D02" w:rsidRPr="0063119B">
        <w:rPr>
          <w:noProof/>
          <w:szCs w:val="22"/>
        </w:rPr>
        <w:t xml:space="preserve"> Accord</w:t>
      </w:r>
      <w:r w:rsidRPr="0063119B">
        <w:rPr>
          <w:noProof/>
          <w:szCs w:val="22"/>
        </w:rPr>
        <w:t xml:space="preserve"> e para que é utilizado</w:t>
      </w:r>
    </w:p>
    <w:p w14:paraId="0D7ABFFD" w14:textId="77777777" w:rsidR="00DF57E1" w:rsidRPr="0063119B" w:rsidRDefault="00DF57E1" w:rsidP="00DF57E1">
      <w:pPr>
        <w:suppressAutoHyphens/>
        <w:ind w:left="567" w:hanging="567"/>
        <w:rPr>
          <w:noProof/>
          <w:szCs w:val="22"/>
        </w:rPr>
      </w:pPr>
      <w:r w:rsidRPr="0063119B">
        <w:rPr>
          <w:noProof/>
          <w:szCs w:val="22"/>
        </w:rPr>
        <w:t>2.</w:t>
      </w:r>
      <w:r w:rsidRPr="0063119B">
        <w:rPr>
          <w:noProof/>
          <w:szCs w:val="22"/>
        </w:rPr>
        <w:tab/>
        <w:t xml:space="preserve">O que precisa de saber antes de tomar </w:t>
      </w:r>
      <w:r w:rsidR="00607DE4">
        <w:rPr>
          <w:noProof/>
          <w:szCs w:val="22"/>
        </w:rPr>
        <w:t>Rivaroxabano</w:t>
      </w:r>
      <w:r w:rsidR="001F7D02" w:rsidRPr="0063119B">
        <w:rPr>
          <w:noProof/>
          <w:szCs w:val="22"/>
        </w:rPr>
        <w:t xml:space="preserve"> Accord</w:t>
      </w:r>
    </w:p>
    <w:p w14:paraId="3923F42C" w14:textId="77777777" w:rsidR="00DF57E1" w:rsidRPr="0063119B" w:rsidRDefault="00DF57E1" w:rsidP="00DF57E1">
      <w:pPr>
        <w:suppressAutoHyphens/>
        <w:ind w:left="567" w:hanging="567"/>
        <w:rPr>
          <w:noProof/>
          <w:szCs w:val="22"/>
        </w:rPr>
      </w:pPr>
      <w:r w:rsidRPr="0063119B">
        <w:rPr>
          <w:noProof/>
          <w:szCs w:val="22"/>
        </w:rPr>
        <w:t>3.</w:t>
      </w:r>
      <w:r w:rsidRPr="0063119B">
        <w:rPr>
          <w:noProof/>
          <w:szCs w:val="22"/>
        </w:rPr>
        <w:tab/>
        <w:t xml:space="preserve">Como tomar </w:t>
      </w:r>
      <w:r w:rsidR="00607DE4">
        <w:rPr>
          <w:noProof/>
          <w:szCs w:val="22"/>
        </w:rPr>
        <w:t>Rivaroxabano</w:t>
      </w:r>
      <w:r w:rsidR="001F7D02" w:rsidRPr="0063119B">
        <w:rPr>
          <w:noProof/>
          <w:szCs w:val="22"/>
        </w:rPr>
        <w:t xml:space="preserve"> Accord</w:t>
      </w:r>
    </w:p>
    <w:p w14:paraId="335B1CB8" w14:textId="77777777" w:rsidR="00DF57E1" w:rsidRPr="0063119B" w:rsidRDefault="00DF57E1" w:rsidP="00DF57E1">
      <w:pPr>
        <w:suppressAutoHyphens/>
        <w:ind w:left="567" w:hanging="567"/>
        <w:rPr>
          <w:noProof/>
          <w:szCs w:val="22"/>
        </w:rPr>
      </w:pPr>
      <w:r w:rsidRPr="0063119B">
        <w:rPr>
          <w:noProof/>
          <w:szCs w:val="22"/>
        </w:rPr>
        <w:t>4.</w:t>
      </w:r>
      <w:r w:rsidRPr="0063119B">
        <w:rPr>
          <w:noProof/>
          <w:szCs w:val="22"/>
        </w:rPr>
        <w:tab/>
        <w:t xml:space="preserve">Efeitos </w:t>
      </w:r>
      <w:r w:rsidR="007800AD" w:rsidRPr="0063119B">
        <w:rPr>
          <w:noProof/>
          <w:szCs w:val="22"/>
        </w:rPr>
        <w:t>indesejáveis</w:t>
      </w:r>
      <w:r w:rsidRPr="0063119B">
        <w:rPr>
          <w:noProof/>
          <w:szCs w:val="22"/>
        </w:rPr>
        <w:t xml:space="preserve"> possíveis</w:t>
      </w:r>
    </w:p>
    <w:p w14:paraId="4969856D" w14:textId="77777777" w:rsidR="00DF57E1" w:rsidRPr="0063119B" w:rsidRDefault="00DF57E1" w:rsidP="00DF57E1">
      <w:pPr>
        <w:suppressAutoHyphens/>
        <w:ind w:left="567" w:hanging="567"/>
        <w:rPr>
          <w:noProof/>
          <w:szCs w:val="22"/>
        </w:rPr>
      </w:pPr>
      <w:r w:rsidRPr="0063119B">
        <w:rPr>
          <w:noProof/>
          <w:szCs w:val="22"/>
        </w:rPr>
        <w:t>5.</w:t>
      </w:r>
      <w:r w:rsidRPr="0063119B">
        <w:rPr>
          <w:noProof/>
          <w:szCs w:val="22"/>
        </w:rPr>
        <w:tab/>
        <w:t xml:space="preserve">Como conservar </w:t>
      </w:r>
      <w:r w:rsidR="00607DE4">
        <w:rPr>
          <w:noProof/>
          <w:szCs w:val="22"/>
        </w:rPr>
        <w:t>Rivaroxabano</w:t>
      </w:r>
      <w:r w:rsidR="001F7D02" w:rsidRPr="0063119B">
        <w:rPr>
          <w:noProof/>
          <w:szCs w:val="22"/>
        </w:rPr>
        <w:t xml:space="preserve"> Accord</w:t>
      </w:r>
    </w:p>
    <w:p w14:paraId="7030847B" w14:textId="77777777" w:rsidR="00DF57E1" w:rsidRPr="0063119B" w:rsidRDefault="00DF57E1" w:rsidP="00DF57E1">
      <w:pPr>
        <w:suppressAutoHyphens/>
        <w:ind w:left="567" w:hanging="567"/>
        <w:rPr>
          <w:noProof/>
          <w:szCs w:val="22"/>
        </w:rPr>
      </w:pPr>
      <w:r w:rsidRPr="0063119B">
        <w:rPr>
          <w:noProof/>
          <w:szCs w:val="22"/>
        </w:rPr>
        <w:t>6.</w:t>
      </w:r>
      <w:r w:rsidRPr="0063119B">
        <w:rPr>
          <w:noProof/>
          <w:szCs w:val="22"/>
        </w:rPr>
        <w:tab/>
        <w:t>Conteúdo da embalagem e outras informações</w:t>
      </w:r>
    </w:p>
    <w:p w14:paraId="10575361" w14:textId="77777777" w:rsidR="00DF57E1" w:rsidRPr="0063119B" w:rsidRDefault="00DF57E1" w:rsidP="00DF57E1">
      <w:pPr>
        <w:suppressAutoHyphens/>
        <w:rPr>
          <w:noProof/>
          <w:szCs w:val="22"/>
        </w:rPr>
      </w:pPr>
    </w:p>
    <w:p w14:paraId="01266AE9" w14:textId="77777777" w:rsidR="00DF57E1" w:rsidRPr="0063119B" w:rsidRDefault="00DF57E1" w:rsidP="00DF57E1">
      <w:pPr>
        <w:suppressAutoHyphens/>
        <w:rPr>
          <w:noProof/>
          <w:szCs w:val="22"/>
        </w:rPr>
      </w:pPr>
    </w:p>
    <w:p w14:paraId="39E028BD" w14:textId="77777777" w:rsidR="00DF57E1" w:rsidRPr="0063119B" w:rsidRDefault="00DF57E1" w:rsidP="00DF57E1">
      <w:pPr>
        <w:numPr>
          <w:ilvl w:val="12"/>
          <w:numId w:val="0"/>
        </w:numPr>
        <w:suppressAutoHyphens/>
        <w:ind w:left="567" w:hanging="567"/>
        <w:rPr>
          <w:noProof/>
          <w:szCs w:val="22"/>
        </w:rPr>
      </w:pPr>
      <w:r w:rsidRPr="0063119B">
        <w:rPr>
          <w:b/>
          <w:noProof/>
          <w:szCs w:val="22"/>
        </w:rPr>
        <w:t>1.</w:t>
      </w:r>
      <w:r w:rsidRPr="0063119B">
        <w:rPr>
          <w:b/>
          <w:noProof/>
          <w:szCs w:val="22"/>
        </w:rPr>
        <w:tab/>
        <w:t xml:space="preserve">O que é </w:t>
      </w:r>
      <w:r w:rsidR="00607DE4">
        <w:rPr>
          <w:b/>
          <w:noProof/>
          <w:szCs w:val="22"/>
        </w:rPr>
        <w:t>Rivaroxabano</w:t>
      </w:r>
      <w:r w:rsidR="001F7D02" w:rsidRPr="0063119B">
        <w:rPr>
          <w:b/>
          <w:noProof/>
          <w:szCs w:val="22"/>
        </w:rPr>
        <w:t xml:space="preserve"> Accord</w:t>
      </w:r>
      <w:r w:rsidRPr="0063119B">
        <w:rPr>
          <w:b/>
          <w:noProof/>
          <w:szCs w:val="22"/>
        </w:rPr>
        <w:t xml:space="preserve"> e para que é utilizado</w:t>
      </w:r>
    </w:p>
    <w:p w14:paraId="6787A80F" w14:textId="77777777" w:rsidR="00DF57E1" w:rsidRPr="0063119B" w:rsidRDefault="00DF57E1" w:rsidP="00DF57E1">
      <w:pPr>
        <w:numPr>
          <w:ilvl w:val="12"/>
          <w:numId w:val="0"/>
        </w:numPr>
        <w:suppressAutoHyphens/>
        <w:rPr>
          <w:noProof/>
          <w:szCs w:val="22"/>
        </w:rPr>
      </w:pPr>
    </w:p>
    <w:p w14:paraId="5A47451A" w14:textId="77777777" w:rsidR="0033041F" w:rsidRPr="0063119B" w:rsidRDefault="00DF57E1" w:rsidP="00DF57E1">
      <w:pPr>
        <w:numPr>
          <w:ilvl w:val="12"/>
          <w:numId w:val="0"/>
        </w:numPr>
        <w:suppressAutoHyphens/>
        <w:rPr>
          <w:noProof/>
          <w:szCs w:val="22"/>
        </w:rPr>
      </w:pPr>
      <w:r w:rsidRPr="0063119B">
        <w:rPr>
          <w:noProof/>
          <w:szCs w:val="22"/>
        </w:rPr>
        <w:t xml:space="preserve">Foi-lhe administrado </w:t>
      </w:r>
      <w:r w:rsidR="00607DE4">
        <w:rPr>
          <w:noProof/>
          <w:szCs w:val="22"/>
        </w:rPr>
        <w:t>Rivaroxabano</w:t>
      </w:r>
      <w:r w:rsidR="001F7D02" w:rsidRPr="0063119B">
        <w:rPr>
          <w:noProof/>
          <w:szCs w:val="22"/>
        </w:rPr>
        <w:t xml:space="preserve"> Accord</w:t>
      </w:r>
      <w:r w:rsidRPr="0063119B">
        <w:rPr>
          <w:noProof/>
          <w:szCs w:val="22"/>
        </w:rPr>
        <w:t xml:space="preserve"> porque</w:t>
      </w:r>
    </w:p>
    <w:p w14:paraId="7B32E7BC" w14:textId="77777777" w:rsidR="00DF57E1" w:rsidRPr="0063119B" w:rsidRDefault="0033041F" w:rsidP="00C73506">
      <w:pPr>
        <w:numPr>
          <w:ilvl w:val="12"/>
          <w:numId w:val="0"/>
        </w:numPr>
        <w:suppressAutoHyphens/>
        <w:ind w:left="567" w:hanging="567"/>
        <w:rPr>
          <w:noProof/>
          <w:szCs w:val="22"/>
        </w:rPr>
      </w:pPr>
      <w:r w:rsidRPr="0063119B">
        <w:rPr>
          <w:noProof/>
          <w:szCs w:val="22"/>
        </w:rPr>
        <w:t>-</w:t>
      </w:r>
      <w:r w:rsidRPr="0063119B">
        <w:rPr>
          <w:noProof/>
          <w:szCs w:val="22"/>
        </w:rPr>
        <w:tab/>
      </w:r>
      <w:r w:rsidR="003B4A33" w:rsidRPr="0063119B">
        <w:rPr>
          <w:noProof/>
          <w:szCs w:val="22"/>
        </w:rPr>
        <w:t>foi</w:t>
      </w:r>
      <w:r w:rsidR="00CD25E5" w:rsidRPr="0063119B">
        <w:rPr>
          <w:noProof/>
          <w:szCs w:val="22"/>
        </w:rPr>
        <w:t>-lhe</w:t>
      </w:r>
      <w:r w:rsidR="00C85FCD" w:rsidRPr="0063119B">
        <w:rPr>
          <w:noProof/>
          <w:szCs w:val="22"/>
        </w:rPr>
        <w:t xml:space="preserve"> diagnosticada</w:t>
      </w:r>
      <w:r w:rsidR="003B4A33" w:rsidRPr="0063119B">
        <w:rPr>
          <w:noProof/>
          <w:szCs w:val="22"/>
        </w:rPr>
        <w:t xml:space="preserve"> </w:t>
      </w:r>
      <w:r w:rsidR="00CD25E5" w:rsidRPr="0063119B">
        <w:rPr>
          <w:noProof/>
          <w:szCs w:val="22"/>
        </w:rPr>
        <w:t xml:space="preserve">uma </w:t>
      </w:r>
      <w:r w:rsidR="003B4A33" w:rsidRPr="0063119B">
        <w:rPr>
          <w:noProof/>
          <w:szCs w:val="22"/>
        </w:rPr>
        <w:t>síndrome coron</w:t>
      </w:r>
      <w:r w:rsidR="00C85FCD" w:rsidRPr="0063119B">
        <w:rPr>
          <w:noProof/>
          <w:szCs w:val="22"/>
        </w:rPr>
        <w:t>ária</w:t>
      </w:r>
      <w:r w:rsidR="003B4A33" w:rsidRPr="0063119B">
        <w:rPr>
          <w:noProof/>
          <w:szCs w:val="22"/>
        </w:rPr>
        <w:t xml:space="preserve"> agud</w:t>
      </w:r>
      <w:r w:rsidR="00C85FCD" w:rsidRPr="0063119B">
        <w:rPr>
          <w:noProof/>
          <w:szCs w:val="22"/>
        </w:rPr>
        <w:t>a</w:t>
      </w:r>
      <w:r w:rsidR="003B4A33" w:rsidRPr="0063119B">
        <w:rPr>
          <w:noProof/>
          <w:szCs w:val="22"/>
        </w:rPr>
        <w:t xml:space="preserve"> (um conjunto de situações que inclui ataque cardíaco e angina instável, um tipo grave de dor no peito) e  demo</w:t>
      </w:r>
      <w:r w:rsidR="00CD25E5" w:rsidRPr="0063119B">
        <w:rPr>
          <w:noProof/>
          <w:szCs w:val="22"/>
        </w:rPr>
        <w:t>nstrou</w:t>
      </w:r>
      <w:r w:rsidR="007374B4" w:rsidRPr="0063119B">
        <w:rPr>
          <w:noProof/>
          <w:szCs w:val="22"/>
        </w:rPr>
        <w:t xml:space="preserve"> ter tido um aumento em</w:t>
      </w:r>
      <w:r w:rsidR="003B4A33" w:rsidRPr="0063119B">
        <w:rPr>
          <w:noProof/>
          <w:szCs w:val="22"/>
        </w:rPr>
        <w:t xml:space="preserve"> determinados testes sanguíneos cardíacos.</w:t>
      </w:r>
    </w:p>
    <w:p w14:paraId="6AF109B6" w14:textId="77777777" w:rsidR="00DF57E1" w:rsidRPr="0063119B" w:rsidRDefault="00607DE4" w:rsidP="00C73506">
      <w:pPr>
        <w:suppressAutoHyphens/>
        <w:ind w:left="567"/>
        <w:rPr>
          <w:noProof/>
          <w:szCs w:val="22"/>
        </w:rPr>
      </w:pPr>
      <w:r>
        <w:rPr>
          <w:noProof/>
          <w:szCs w:val="22"/>
        </w:rPr>
        <w:t>Rivaroxabano</w:t>
      </w:r>
      <w:r w:rsidR="001F7D02" w:rsidRPr="0063119B">
        <w:rPr>
          <w:noProof/>
          <w:szCs w:val="22"/>
        </w:rPr>
        <w:t xml:space="preserve"> Accord</w:t>
      </w:r>
      <w:r w:rsidR="00DF57E1" w:rsidRPr="0063119B">
        <w:rPr>
          <w:noProof/>
          <w:szCs w:val="22"/>
        </w:rPr>
        <w:t xml:space="preserve"> reduz o risco em adultos de terem outro ataque cardíaco ou reduz o risco de morte por uma doença relacionada com o seu coração ou com os seus vasos sanguíneos.</w:t>
      </w:r>
    </w:p>
    <w:p w14:paraId="3C0E730B" w14:textId="77777777" w:rsidR="003658B3" w:rsidRPr="0063119B" w:rsidRDefault="00607DE4" w:rsidP="00C73506">
      <w:pPr>
        <w:numPr>
          <w:ilvl w:val="12"/>
          <w:numId w:val="0"/>
        </w:numPr>
        <w:suppressAutoHyphens/>
        <w:ind w:left="567"/>
        <w:rPr>
          <w:noProof/>
          <w:szCs w:val="22"/>
        </w:rPr>
      </w:pPr>
      <w:bookmarkStart w:id="18" w:name="_Hlk519081235"/>
      <w:r>
        <w:rPr>
          <w:noProof/>
          <w:szCs w:val="22"/>
        </w:rPr>
        <w:t>Rivaroxabano</w:t>
      </w:r>
      <w:r w:rsidR="001F7D02" w:rsidRPr="0063119B">
        <w:rPr>
          <w:noProof/>
          <w:szCs w:val="22"/>
        </w:rPr>
        <w:t xml:space="preserve"> Accord</w:t>
      </w:r>
      <w:r w:rsidR="003658B3" w:rsidRPr="0063119B">
        <w:rPr>
          <w:noProof/>
          <w:szCs w:val="22"/>
        </w:rPr>
        <w:t xml:space="preserve"> não lhe será administrado isoladamente. O seu médico também lhe dirá para tomar:</w:t>
      </w:r>
    </w:p>
    <w:p w14:paraId="11604471" w14:textId="77777777" w:rsidR="003658B3" w:rsidRPr="0063119B" w:rsidRDefault="003658B3" w:rsidP="00C73506">
      <w:pPr>
        <w:numPr>
          <w:ilvl w:val="0"/>
          <w:numId w:val="15"/>
        </w:numPr>
        <w:tabs>
          <w:tab w:val="left" w:pos="993"/>
        </w:tabs>
        <w:ind w:left="993" w:right="-2" w:hanging="426"/>
        <w:rPr>
          <w:szCs w:val="22"/>
        </w:rPr>
      </w:pPr>
      <w:r w:rsidRPr="0063119B">
        <w:rPr>
          <w:szCs w:val="22"/>
        </w:rPr>
        <w:t>ácido acetilsalicílico ou</w:t>
      </w:r>
    </w:p>
    <w:p w14:paraId="352E558E" w14:textId="7A85EA62" w:rsidR="003658B3" w:rsidRPr="0063119B" w:rsidRDefault="003658B3" w:rsidP="00C73506">
      <w:pPr>
        <w:numPr>
          <w:ilvl w:val="0"/>
          <w:numId w:val="15"/>
        </w:numPr>
        <w:tabs>
          <w:tab w:val="left" w:pos="993"/>
        </w:tabs>
        <w:ind w:left="993" w:right="-2" w:hanging="426"/>
        <w:rPr>
          <w:szCs w:val="22"/>
        </w:rPr>
      </w:pPr>
      <w:r w:rsidRPr="0063119B">
        <w:rPr>
          <w:szCs w:val="22"/>
        </w:rPr>
        <w:t>ácido acetilsalicílico mais</w:t>
      </w:r>
      <w:r w:rsidR="002B5FBC">
        <w:rPr>
          <w:szCs w:val="22"/>
        </w:rPr>
        <w:t xml:space="preserve"> clopidogrel ou</w:t>
      </w:r>
      <w:r w:rsidRPr="0063119B">
        <w:rPr>
          <w:szCs w:val="22"/>
        </w:rPr>
        <w:t xml:space="preserve"> ticlopidina.</w:t>
      </w:r>
    </w:p>
    <w:p w14:paraId="4D94EC65" w14:textId="77777777" w:rsidR="005354FD" w:rsidRPr="0063119B" w:rsidRDefault="005354FD" w:rsidP="00C73506">
      <w:pPr>
        <w:ind w:left="567"/>
        <w:rPr>
          <w:szCs w:val="22"/>
        </w:rPr>
      </w:pPr>
    </w:p>
    <w:p w14:paraId="653DC74A" w14:textId="77777777" w:rsidR="005354FD" w:rsidRPr="0063119B" w:rsidRDefault="005354FD" w:rsidP="00C73506">
      <w:pPr>
        <w:ind w:left="567"/>
        <w:rPr>
          <w:szCs w:val="22"/>
        </w:rPr>
      </w:pPr>
      <w:r w:rsidRPr="0063119B">
        <w:rPr>
          <w:szCs w:val="22"/>
        </w:rPr>
        <w:t>ou</w:t>
      </w:r>
    </w:p>
    <w:p w14:paraId="0E13519B" w14:textId="77777777" w:rsidR="005354FD" w:rsidRPr="0063119B" w:rsidRDefault="005354FD" w:rsidP="00C73506">
      <w:pPr>
        <w:rPr>
          <w:szCs w:val="22"/>
        </w:rPr>
      </w:pPr>
    </w:p>
    <w:p w14:paraId="162E541E" w14:textId="77777777" w:rsidR="00DF57E1" w:rsidRPr="0063119B" w:rsidRDefault="005354FD" w:rsidP="005354FD">
      <w:pPr>
        <w:ind w:left="567" w:hanging="567"/>
        <w:rPr>
          <w:noProof/>
          <w:szCs w:val="22"/>
        </w:rPr>
      </w:pPr>
      <w:r w:rsidRPr="0063119B">
        <w:rPr>
          <w:noProof/>
          <w:szCs w:val="22"/>
        </w:rPr>
        <w:t>-</w:t>
      </w:r>
      <w:r w:rsidRPr="0063119B">
        <w:rPr>
          <w:noProof/>
          <w:szCs w:val="22"/>
        </w:rPr>
        <w:tab/>
        <w:t>foi diagnosticado como tendo um risco elevado de ter um coágulo sanguíneo devido a uma doença arterial coronária ou uma doença arterial perifér</w:t>
      </w:r>
      <w:r w:rsidR="0033041F" w:rsidRPr="0063119B">
        <w:rPr>
          <w:noProof/>
          <w:szCs w:val="22"/>
        </w:rPr>
        <w:t>i</w:t>
      </w:r>
      <w:r w:rsidRPr="0063119B">
        <w:rPr>
          <w:noProof/>
          <w:szCs w:val="22"/>
        </w:rPr>
        <w:t>ca que causa sintomas.</w:t>
      </w:r>
    </w:p>
    <w:p w14:paraId="0A5DCE34" w14:textId="77777777" w:rsidR="005354FD" w:rsidRDefault="00607DE4" w:rsidP="00C73506">
      <w:pPr>
        <w:ind w:left="567"/>
        <w:rPr>
          <w:noProof/>
          <w:szCs w:val="22"/>
        </w:rPr>
      </w:pPr>
      <w:r>
        <w:rPr>
          <w:noProof/>
          <w:szCs w:val="22"/>
        </w:rPr>
        <w:t>Rivaroxabano</w:t>
      </w:r>
      <w:r w:rsidR="001F7D02" w:rsidRPr="0063119B">
        <w:rPr>
          <w:noProof/>
          <w:szCs w:val="22"/>
        </w:rPr>
        <w:t xml:space="preserve"> Accord</w:t>
      </w:r>
      <w:r w:rsidR="005354FD" w:rsidRPr="0063119B">
        <w:rPr>
          <w:noProof/>
          <w:szCs w:val="22"/>
        </w:rPr>
        <w:t xml:space="preserve"> reduz o risco em adultos de terem coágulos sanguíneos (acontecimentos aterotrombóticos).</w:t>
      </w:r>
      <w:r>
        <w:rPr>
          <w:noProof/>
          <w:szCs w:val="22"/>
        </w:rPr>
        <w:t>Rivaroxabano</w:t>
      </w:r>
      <w:r w:rsidR="001F7D02" w:rsidRPr="0063119B">
        <w:rPr>
          <w:noProof/>
          <w:szCs w:val="22"/>
        </w:rPr>
        <w:t xml:space="preserve"> Accord</w:t>
      </w:r>
      <w:r w:rsidR="005354FD" w:rsidRPr="0063119B">
        <w:rPr>
          <w:noProof/>
          <w:szCs w:val="22"/>
        </w:rPr>
        <w:t xml:space="preserve"> não lhe será administrado </w:t>
      </w:r>
      <w:r w:rsidR="0086001C" w:rsidRPr="0063119B">
        <w:rPr>
          <w:noProof/>
          <w:szCs w:val="22"/>
        </w:rPr>
        <w:t>isoladamente</w:t>
      </w:r>
      <w:r w:rsidR="005354FD" w:rsidRPr="0063119B">
        <w:rPr>
          <w:noProof/>
          <w:szCs w:val="22"/>
        </w:rPr>
        <w:t xml:space="preserve">. </w:t>
      </w:r>
      <w:r w:rsidR="00D713B4" w:rsidRPr="0063119B">
        <w:rPr>
          <w:noProof/>
          <w:szCs w:val="22"/>
        </w:rPr>
        <w:t>O seu médico também lhe dirá para tomar ácido acetilsalicílico.</w:t>
      </w:r>
    </w:p>
    <w:p w14:paraId="4BBC696C" w14:textId="77777777" w:rsidR="00F03D43" w:rsidRPr="0063119B" w:rsidRDefault="00F03D43" w:rsidP="00F03D43">
      <w:pPr>
        <w:ind w:left="567"/>
        <w:rPr>
          <w:noProof/>
          <w:szCs w:val="22"/>
        </w:rPr>
      </w:pPr>
      <w:r>
        <w:t>Em alguns casos, se receber Rivaroxabano Accord após um procedimento para abrir uma artéria estreitada ou fechada na sua perna para restaurar o fluxo de sangue, o seu médico poderá também receitar clopidogrel para tomar durante um curto período de tempo, para além do ácido acetilsalicílico.</w:t>
      </w:r>
    </w:p>
    <w:p w14:paraId="1625277C" w14:textId="77777777" w:rsidR="00D713B4" w:rsidRPr="0063119B" w:rsidRDefault="00D713B4" w:rsidP="00C73506">
      <w:pPr>
        <w:ind w:left="567" w:hanging="567"/>
        <w:rPr>
          <w:noProof/>
          <w:szCs w:val="22"/>
        </w:rPr>
      </w:pPr>
    </w:p>
    <w:bookmarkEnd w:id="18"/>
    <w:p w14:paraId="2A686BF5" w14:textId="77777777" w:rsidR="00DF57E1" w:rsidRPr="0063119B" w:rsidRDefault="00607DE4" w:rsidP="00DF57E1">
      <w:pPr>
        <w:rPr>
          <w:noProof/>
          <w:szCs w:val="22"/>
        </w:rPr>
      </w:pPr>
      <w:r>
        <w:rPr>
          <w:noProof/>
          <w:szCs w:val="22"/>
        </w:rPr>
        <w:t>Rivaroxabano</w:t>
      </w:r>
      <w:r w:rsidR="001F7D02" w:rsidRPr="0063119B">
        <w:rPr>
          <w:noProof/>
          <w:szCs w:val="22"/>
        </w:rPr>
        <w:t xml:space="preserve"> Accord</w:t>
      </w:r>
      <w:r w:rsidR="00DF57E1" w:rsidRPr="0063119B">
        <w:rPr>
          <w:noProof/>
          <w:szCs w:val="22"/>
        </w:rPr>
        <w:t xml:space="preserve"> contém a substância ativa rivaroxabano e pertence a um grupo de medicamentos chamados agentes antitrombóticos. Atua através do bloqueio </w:t>
      </w:r>
      <w:r w:rsidR="00E1063C" w:rsidRPr="0063119B">
        <w:rPr>
          <w:noProof/>
          <w:szCs w:val="22"/>
        </w:rPr>
        <w:t>de</w:t>
      </w:r>
      <w:r w:rsidR="00DF57E1" w:rsidRPr="0063119B">
        <w:rPr>
          <w:noProof/>
          <w:szCs w:val="22"/>
        </w:rPr>
        <w:t xml:space="preserve"> um fator de coagulação sanguínea (fator Xa) reduzindo assim a tendência do sangue para formar coágulos.</w:t>
      </w:r>
    </w:p>
    <w:p w14:paraId="03025A6B" w14:textId="77777777" w:rsidR="00DF57E1" w:rsidRPr="0063119B" w:rsidRDefault="00DF57E1" w:rsidP="00DF57E1">
      <w:pPr>
        <w:numPr>
          <w:ilvl w:val="12"/>
          <w:numId w:val="0"/>
        </w:numPr>
        <w:suppressAutoHyphens/>
        <w:rPr>
          <w:noProof/>
          <w:szCs w:val="22"/>
        </w:rPr>
      </w:pPr>
    </w:p>
    <w:p w14:paraId="0C536822" w14:textId="77777777" w:rsidR="00DF57E1" w:rsidRPr="0063119B" w:rsidRDefault="00DF57E1" w:rsidP="00DF57E1">
      <w:pPr>
        <w:numPr>
          <w:ilvl w:val="12"/>
          <w:numId w:val="0"/>
        </w:numPr>
        <w:tabs>
          <w:tab w:val="left" w:pos="1418"/>
        </w:tabs>
        <w:suppressAutoHyphens/>
        <w:rPr>
          <w:noProof/>
          <w:szCs w:val="22"/>
        </w:rPr>
      </w:pPr>
    </w:p>
    <w:p w14:paraId="76CE88BD" w14:textId="77777777" w:rsidR="00DF57E1" w:rsidRPr="0063119B" w:rsidRDefault="00DF57E1" w:rsidP="00DA6697">
      <w:pPr>
        <w:keepNext/>
        <w:numPr>
          <w:ilvl w:val="12"/>
          <w:numId w:val="0"/>
        </w:numPr>
        <w:suppressAutoHyphens/>
        <w:ind w:left="567" w:hanging="567"/>
        <w:rPr>
          <w:b/>
          <w:noProof/>
          <w:szCs w:val="22"/>
        </w:rPr>
      </w:pPr>
      <w:r w:rsidRPr="0063119B">
        <w:rPr>
          <w:b/>
          <w:noProof/>
          <w:szCs w:val="22"/>
        </w:rPr>
        <w:t>2.</w:t>
      </w:r>
      <w:r w:rsidRPr="0063119B">
        <w:rPr>
          <w:b/>
          <w:noProof/>
          <w:szCs w:val="22"/>
        </w:rPr>
        <w:tab/>
      </w:r>
      <w:r w:rsidRPr="0063119B">
        <w:rPr>
          <w:b/>
          <w:szCs w:val="22"/>
        </w:rPr>
        <w:t>O que precisa de saber a</w:t>
      </w:r>
      <w:r w:rsidRPr="0063119B">
        <w:rPr>
          <w:b/>
          <w:noProof/>
          <w:szCs w:val="22"/>
        </w:rPr>
        <w:t xml:space="preserve">ntes de tomar </w:t>
      </w:r>
      <w:r w:rsidR="00607DE4">
        <w:rPr>
          <w:b/>
          <w:noProof/>
          <w:szCs w:val="22"/>
        </w:rPr>
        <w:t>Rivaroxabano</w:t>
      </w:r>
      <w:r w:rsidR="001F7D02" w:rsidRPr="0063119B">
        <w:rPr>
          <w:b/>
          <w:noProof/>
          <w:szCs w:val="22"/>
        </w:rPr>
        <w:t xml:space="preserve"> Accord</w:t>
      </w:r>
    </w:p>
    <w:p w14:paraId="6C60A7D2" w14:textId="77777777" w:rsidR="00DF57E1" w:rsidRPr="0063119B" w:rsidRDefault="00DF57E1" w:rsidP="00DF57E1">
      <w:pPr>
        <w:numPr>
          <w:ilvl w:val="12"/>
          <w:numId w:val="0"/>
        </w:numPr>
        <w:suppressAutoHyphens/>
        <w:ind w:left="567" w:hanging="567"/>
        <w:rPr>
          <w:noProof/>
          <w:szCs w:val="22"/>
        </w:rPr>
      </w:pPr>
    </w:p>
    <w:p w14:paraId="531306DE" w14:textId="77777777" w:rsidR="00DF57E1" w:rsidRPr="0063119B" w:rsidRDefault="00DF57E1" w:rsidP="00DF57E1">
      <w:pPr>
        <w:numPr>
          <w:ilvl w:val="12"/>
          <w:numId w:val="0"/>
        </w:numPr>
        <w:suppressAutoHyphens/>
        <w:rPr>
          <w:noProof/>
          <w:szCs w:val="22"/>
        </w:rPr>
      </w:pPr>
      <w:r w:rsidRPr="0063119B">
        <w:rPr>
          <w:b/>
          <w:noProof/>
          <w:szCs w:val="22"/>
        </w:rPr>
        <w:t xml:space="preserve">Não tome </w:t>
      </w:r>
      <w:r w:rsidR="00607DE4">
        <w:rPr>
          <w:b/>
          <w:noProof/>
          <w:szCs w:val="22"/>
        </w:rPr>
        <w:t>Rivaroxabano</w:t>
      </w:r>
      <w:r w:rsidR="001F7D02" w:rsidRPr="0063119B">
        <w:rPr>
          <w:b/>
          <w:noProof/>
          <w:szCs w:val="22"/>
        </w:rPr>
        <w:t xml:space="preserve"> Accord</w:t>
      </w:r>
    </w:p>
    <w:p w14:paraId="1BFB5BED" w14:textId="77777777" w:rsidR="00DF57E1" w:rsidRPr="0063119B" w:rsidRDefault="00DF57E1" w:rsidP="00DF57E1">
      <w:pPr>
        <w:ind w:left="567" w:hanging="567"/>
        <w:rPr>
          <w:noProof/>
          <w:szCs w:val="22"/>
        </w:rPr>
      </w:pPr>
      <w:r w:rsidRPr="0063119B">
        <w:rPr>
          <w:noProof/>
          <w:szCs w:val="22"/>
        </w:rPr>
        <w:lastRenderedPageBreak/>
        <w:noBreakHyphen/>
      </w:r>
      <w:r w:rsidRPr="0063119B">
        <w:rPr>
          <w:noProof/>
          <w:szCs w:val="22"/>
        </w:rPr>
        <w:tab/>
        <w:t>se tem alergia ao rivaroxabano ou a qualquer outro componente deste medicamento (indicados na secção 6)</w:t>
      </w:r>
    </w:p>
    <w:p w14:paraId="15024E72" w14:textId="77777777" w:rsidR="00DF57E1" w:rsidRPr="0063119B" w:rsidRDefault="00DF57E1" w:rsidP="00DF57E1">
      <w:pPr>
        <w:ind w:left="567" w:hanging="567"/>
        <w:rPr>
          <w:noProof/>
          <w:szCs w:val="22"/>
        </w:rPr>
      </w:pPr>
      <w:r w:rsidRPr="0063119B">
        <w:rPr>
          <w:noProof/>
          <w:szCs w:val="22"/>
        </w:rPr>
        <w:noBreakHyphen/>
      </w:r>
      <w:r w:rsidRPr="0063119B">
        <w:rPr>
          <w:noProof/>
          <w:szCs w:val="22"/>
        </w:rPr>
        <w:tab/>
        <w:t>se está a sangrar excessivamente</w:t>
      </w:r>
    </w:p>
    <w:p w14:paraId="1488197F" w14:textId="77777777" w:rsidR="00DF57E1" w:rsidRPr="0063119B" w:rsidRDefault="00076A00" w:rsidP="00DF57E1">
      <w:pPr>
        <w:ind w:left="567" w:hanging="567"/>
        <w:rPr>
          <w:szCs w:val="22"/>
          <w:lang w:eastAsia="pt-PT"/>
        </w:rPr>
      </w:pPr>
      <w:r w:rsidRPr="0063119B">
        <w:rPr>
          <w:noProof/>
          <w:szCs w:val="22"/>
        </w:rPr>
        <w:noBreakHyphen/>
      </w:r>
      <w:r w:rsidR="00DF57E1" w:rsidRPr="0063119B">
        <w:rPr>
          <w:noProof/>
          <w:szCs w:val="22"/>
        </w:rPr>
        <w:tab/>
        <w:t>se tem uma doença ou uma situação num órgão do corpo</w:t>
      </w:r>
      <w:r w:rsidR="00DF57E1" w:rsidRPr="0063119B">
        <w:rPr>
          <w:szCs w:val="22"/>
          <w:lang w:eastAsia="pt-PT"/>
        </w:rPr>
        <w:t xml:space="preserve"> que aumente o risco de hemorragia grave (ex.</w:t>
      </w:r>
      <w:r w:rsidR="00667528" w:rsidRPr="0063119B">
        <w:rPr>
          <w:szCs w:val="22"/>
          <w:lang w:eastAsia="pt-PT"/>
        </w:rPr>
        <w:t>:</w:t>
      </w:r>
      <w:r w:rsidR="00DF57E1" w:rsidRPr="0063119B">
        <w:rPr>
          <w:szCs w:val="22"/>
          <w:lang w:eastAsia="pt-PT"/>
        </w:rPr>
        <w:t xml:space="preserve"> úlcera no estômago, lesão ou hemorragia no cérebro, cirurgia recente do cérebro ou dos olhos)</w:t>
      </w:r>
    </w:p>
    <w:p w14:paraId="4446EBD0" w14:textId="77777777" w:rsidR="00DF57E1" w:rsidRPr="0063119B" w:rsidRDefault="00076A00" w:rsidP="00DF57E1">
      <w:pPr>
        <w:autoSpaceDE w:val="0"/>
        <w:autoSpaceDN w:val="0"/>
        <w:adjustRightInd w:val="0"/>
        <w:ind w:left="567" w:hanging="567"/>
        <w:rPr>
          <w:szCs w:val="22"/>
          <w:lang w:eastAsia="pt-PT"/>
        </w:rPr>
      </w:pPr>
      <w:r w:rsidRPr="0063119B">
        <w:rPr>
          <w:noProof/>
          <w:szCs w:val="22"/>
        </w:rPr>
        <w:noBreakHyphen/>
      </w:r>
      <w:r w:rsidR="00DF57E1" w:rsidRPr="0063119B">
        <w:rPr>
          <w:noProof/>
          <w:szCs w:val="22"/>
        </w:rPr>
        <w:tab/>
      </w:r>
      <w:r w:rsidR="00DF57E1" w:rsidRPr="0063119B">
        <w:rPr>
          <w:szCs w:val="22"/>
          <w:lang w:eastAsia="pt-PT"/>
        </w:rPr>
        <w:t>se está a tomar medicamentos para prevenir a coagulação sanguínea (ex.: varfarina, dabigatrano, apixabano ou heparina), exceto quando estiver a mudar de tratamento</w:t>
      </w:r>
      <w:r w:rsidR="00DF57E1" w:rsidRPr="0063119B">
        <w:rPr>
          <w:b/>
          <w:szCs w:val="22"/>
          <w:lang w:eastAsia="pt-PT"/>
        </w:rPr>
        <w:t xml:space="preserve"> </w:t>
      </w:r>
      <w:r w:rsidR="00DF57E1" w:rsidRPr="0063119B">
        <w:rPr>
          <w:szCs w:val="22"/>
          <w:lang w:eastAsia="pt-PT"/>
        </w:rPr>
        <w:t>anticoagulante ou enquanto receber heparina através de uma linha venosa ou arterial para a manter aberta</w:t>
      </w:r>
    </w:p>
    <w:p w14:paraId="6FD159C2" w14:textId="77777777" w:rsidR="00DF57E1" w:rsidRPr="0063119B" w:rsidRDefault="00DF57E1" w:rsidP="00DF57E1">
      <w:pPr>
        <w:ind w:left="567" w:hanging="567"/>
        <w:rPr>
          <w:noProof/>
          <w:szCs w:val="22"/>
        </w:rPr>
      </w:pPr>
      <w:r w:rsidRPr="0063119B">
        <w:rPr>
          <w:noProof/>
          <w:szCs w:val="22"/>
        </w:rPr>
        <w:noBreakHyphen/>
      </w:r>
      <w:r w:rsidRPr="0063119B">
        <w:rPr>
          <w:noProof/>
          <w:szCs w:val="22"/>
        </w:rPr>
        <w:tab/>
        <w:t>se tiver um</w:t>
      </w:r>
      <w:r w:rsidR="007E73DD" w:rsidRPr="0063119B">
        <w:rPr>
          <w:noProof/>
          <w:szCs w:val="22"/>
        </w:rPr>
        <w:t>a</w:t>
      </w:r>
      <w:r w:rsidRPr="0063119B">
        <w:rPr>
          <w:noProof/>
          <w:szCs w:val="22"/>
        </w:rPr>
        <w:t xml:space="preserve"> </w:t>
      </w:r>
      <w:r w:rsidR="00640834" w:rsidRPr="0063119B">
        <w:rPr>
          <w:noProof/>
          <w:szCs w:val="22"/>
        </w:rPr>
        <w:t>síndrome coron</w:t>
      </w:r>
      <w:r w:rsidR="007E73DD" w:rsidRPr="0063119B">
        <w:rPr>
          <w:noProof/>
          <w:szCs w:val="22"/>
        </w:rPr>
        <w:t>ária aguda</w:t>
      </w:r>
      <w:r w:rsidRPr="0063119B">
        <w:rPr>
          <w:noProof/>
          <w:szCs w:val="22"/>
        </w:rPr>
        <w:t xml:space="preserve"> e teve anteriormente uma hemorragia ou um coágulo sanguíneo no cérebro (acidente vascular cerebral)</w:t>
      </w:r>
    </w:p>
    <w:p w14:paraId="4D6D6774" w14:textId="77777777" w:rsidR="00CD1F30" w:rsidRPr="0063119B" w:rsidRDefault="00CD1F30" w:rsidP="00CD1F30">
      <w:pPr>
        <w:ind w:left="567" w:hanging="567"/>
        <w:rPr>
          <w:noProof/>
          <w:szCs w:val="22"/>
        </w:rPr>
      </w:pPr>
      <w:r w:rsidRPr="0063119B">
        <w:rPr>
          <w:noProof/>
          <w:szCs w:val="22"/>
        </w:rPr>
        <w:noBreakHyphen/>
      </w:r>
      <w:r w:rsidRPr="0063119B">
        <w:rPr>
          <w:noProof/>
          <w:szCs w:val="22"/>
        </w:rPr>
        <w:tab/>
        <w:t>se tem doença arterial coronária ou doença arterial periférica e teve anteriormente uma hemorragia no cérebro (acidente vascular cerebral) ou se houve um bloqueio das pequenas artérias que fornecem sangue aos tecidos profundos do cérebro (acidente vascular lacunar) ou se teve um coágulo de sangue no seu cérebro (acidente vascular isquémico, não vascular) no mês precedente</w:t>
      </w:r>
    </w:p>
    <w:p w14:paraId="7926B045" w14:textId="77777777" w:rsidR="00DF57E1" w:rsidRPr="0063119B" w:rsidRDefault="00CD1F30" w:rsidP="00CD1F30">
      <w:pPr>
        <w:ind w:left="567" w:hanging="567"/>
        <w:rPr>
          <w:noProof/>
          <w:szCs w:val="22"/>
        </w:rPr>
      </w:pPr>
      <w:r w:rsidRPr="0063119B">
        <w:rPr>
          <w:noProof/>
          <w:szCs w:val="22"/>
        </w:rPr>
        <w:noBreakHyphen/>
      </w:r>
      <w:r w:rsidRPr="0063119B">
        <w:rPr>
          <w:noProof/>
          <w:szCs w:val="22"/>
        </w:rPr>
        <w:tab/>
      </w:r>
      <w:r w:rsidR="00DF57E1" w:rsidRPr="0063119B">
        <w:rPr>
          <w:noProof/>
          <w:szCs w:val="22"/>
        </w:rPr>
        <w:t>se tem uma doença no fígado, que leva a um aumento do risco de hemorragias</w:t>
      </w:r>
    </w:p>
    <w:p w14:paraId="5C452CD1" w14:textId="77777777" w:rsidR="00DF57E1" w:rsidRDefault="00DF57E1" w:rsidP="00DF57E1">
      <w:pPr>
        <w:ind w:left="567" w:hanging="567"/>
        <w:rPr>
          <w:noProof/>
          <w:szCs w:val="22"/>
        </w:rPr>
      </w:pPr>
      <w:r w:rsidRPr="0063119B">
        <w:rPr>
          <w:noProof/>
          <w:szCs w:val="22"/>
        </w:rPr>
        <w:noBreakHyphen/>
      </w:r>
      <w:r w:rsidRPr="0063119B">
        <w:rPr>
          <w:noProof/>
          <w:szCs w:val="22"/>
        </w:rPr>
        <w:tab/>
        <w:t>se está grávida ou a amamentar</w:t>
      </w:r>
    </w:p>
    <w:p w14:paraId="64D5418A" w14:textId="77777777" w:rsidR="00394D5E" w:rsidRPr="0063119B" w:rsidRDefault="00394D5E" w:rsidP="00DF57E1">
      <w:pPr>
        <w:ind w:left="567" w:hanging="567"/>
        <w:rPr>
          <w:noProof/>
          <w:szCs w:val="22"/>
        </w:rPr>
      </w:pPr>
    </w:p>
    <w:p w14:paraId="64402F63" w14:textId="77777777" w:rsidR="00DF57E1" w:rsidRPr="0063119B" w:rsidRDefault="00DF57E1" w:rsidP="00DF57E1">
      <w:pPr>
        <w:numPr>
          <w:ilvl w:val="12"/>
          <w:numId w:val="0"/>
        </w:numPr>
        <w:suppressAutoHyphens/>
        <w:rPr>
          <w:noProof/>
          <w:szCs w:val="22"/>
        </w:rPr>
      </w:pPr>
      <w:r w:rsidRPr="0063119B">
        <w:rPr>
          <w:b/>
          <w:noProof/>
          <w:szCs w:val="22"/>
        </w:rPr>
        <w:t xml:space="preserve">Não tome </w:t>
      </w:r>
      <w:r w:rsidR="00607DE4">
        <w:rPr>
          <w:b/>
          <w:noProof/>
          <w:szCs w:val="22"/>
        </w:rPr>
        <w:t>Rivaroxabano</w:t>
      </w:r>
      <w:r w:rsidR="001F7D02" w:rsidRPr="0063119B">
        <w:rPr>
          <w:b/>
          <w:noProof/>
          <w:szCs w:val="22"/>
        </w:rPr>
        <w:t xml:space="preserve"> Accord</w:t>
      </w:r>
      <w:r w:rsidRPr="0063119B">
        <w:rPr>
          <w:b/>
          <w:noProof/>
          <w:szCs w:val="22"/>
        </w:rPr>
        <w:t xml:space="preserve"> e informe o seu médico</w:t>
      </w:r>
      <w:r w:rsidRPr="0063119B">
        <w:rPr>
          <w:noProof/>
          <w:szCs w:val="22"/>
        </w:rPr>
        <w:t xml:space="preserve"> se alguma destas situações se aplica a si.</w:t>
      </w:r>
    </w:p>
    <w:p w14:paraId="0D66C428" w14:textId="77777777" w:rsidR="00DF57E1" w:rsidRPr="0063119B" w:rsidRDefault="00DF57E1" w:rsidP="00DF57E1">
      <w:pPr>
        <w:numPr>
          <w:ilvl w:val="12"/>
          <w:numId w:val="0"/>
        </w:numPr>
        <w:suppressAutoHyphens/>
        <w:rPr>
          <w:noProof/>
          <w:szCs w:val="22"/>
        </w:rPr>
      </w:pPr>
    </w:p>
    <w:p w14:paraId="3A7FE82E" w14:textId="77777777" w:rsidR="00DF57E1" w:rsidRPr="0063119B" w:rsidRDefault="00DF57E1" w:rsidP="00DF57E1">
      <w:pPr>
        <w:suppressAutoHyphens/>
        <w:rPr>
          <w:noProof/>
          <w:szCs w:val="22"/>
        </w:rPr>
      </w:pPr>
      <w:r w:rsidRPr="0063119B">
        <w:rPr>
          <w:b/>
          <w:noProof/>
          <w:szCs w:val="22"/>
        </w:rPr>
        <w:t>Advertências e precauções</w:t>
      </w:r>
    </w:p>
    <w:p w14:paraId="57FB08A6" w14:textId="77777777" w:rsidR="00DF57E1" w:rsidRPr="0063119B" w:rsidRDefault="00DF57E1" w:rsidP="00DF57E1">
      <w:pPr>
        <w:suppressAutoHyphens/>
        <w:rPr>
          <w:noProof/>
          <w:szCs w:val="22"/>
        </w:rPr>
      </w:pPr>
      <w:r w:rsidRPr="0063119B">
        <w:rPr>
          <w:noProof/>
          <w:szCs w:val="22"/>
        </w:rPr>
        <w:t xml:space="preserve">Fale com o seu médico ou farmacêutico antes de tomar </w:t>
      </w:r>
      <w:r w:rsidR="00607DE4">
        <w:rPr>
          <w:noProof/>
          <w:szCs w:val="22"/>
        </w:rPr>
        <w:t>Rivaroxabano</w:t>
      </w:r>
      <w:r w:rsidR="001F7D02" w:rsidRPr="0063119B">
        <w:rPr>
          <w:noProof/>
          <w:szCs w:val="22"/>
        </w:rPr>
        <w:t xml:space="preserve"> Accord</w:t>
      </w:r>
      <w:r w:rsidRPr="0063119B">
        <w:rPr>
          <w:noProof/>
          <w:szCs w:val="22"/>
        </w:rPr>
        <w:t>.</w:t>
      </w:r>
    </w:p>
    <w:p w14:paraId="54879D46" w14:textId="59071B2E" w:rsidR="00D713B4" w:rsidRPr="0063119B" w:rsidRDefault="00607DE4" w:rsidP="00CD1F30">
      <w:pPr>
        <w:numPr>
          <w:ilvl w:val="12"/>
          <w:numId w:val="0"/>
        </w:numPr>
        <w:suppressAutoHyphens/>
        <w:rPr>
          <w:noProof/>
          <w:szCs w:val="22"/>
        </w:rPr>
      </w:pPr>
      <w:r>
        <w:rPr>
          <w:noProof/>
          <w:szCs w:val="22"/>
        </w:rPr>
        <w:t>Rivaroxabano</w:t>
      </w:r>
      <w:r w:rsidR="001F7D02" w:rsidRPr="0063119B">
        <w:rPr>
          <w:noProof/>
          <w:szCs w:val="22"/>
        </w:rPr>
        <w:t xml:space="preserve"> Accord</w:t>
      </w:r>
      <w:r w:rsidR="00E80C2E" w:rsidRPr="0063119B">
        <w:rPr>
          <w:noProof/>
          <w:szCs w:val="22"/>
        </w:rPr>
        <w:t xml:space="preserve"> não deve ser utilizado em </w:t>
      </w:r>
      <w:r w:rsidR="006B0611" w:rsidRPr="0063119B">
        <w:rPr>
          <w:noProof/>
          <w:szCs w:val="22"/>
        </w:rPr>
        <w:t>combinação</w:t>
      </w:r>
      <w:r w:rsidR="00E80C2E" w:rsidRPr="0063119B">
        <w:rPr>
          <w:noProof/>
          <w:szCs w:val="22"/>
        </w:rPr>
        <w:t xml:space="preserve"> com determinados </w:t>
      </w:r>
      <w:r w:rsidR="006B0611" w:rsidRPr="0063119B">
        <w:rPr>
          <w:noProof/>
          <w:szCs w:val="22"/>
        </w:rPr>
        <w:t>medicamentos que reduz</w:t>
      </w:r>
      <w:r w:rsidR="00480E10" w:rsidRPr="0063119B">
        <w:rPr>
          <w:noProof/>
          <w:szCs w:val="22"/>
        </w:rPr>
        <w:t>a</w:t>
      </w:r>
      <w:r w:rsidR="00E80C2E" w:rsidRPr="0063119B">
        <w:rPr>
          <w:noProof/>
          <w:szCs w:val="22"/>
        </w:rPr>
        <w:t xml:space="preserve">m a coagulação sanguínea tais como prasugrel ou ticagrelor </w:t>
      </w:r>
      <w:r w:rsidR="000D79F1" w:rsidRPr="0063119B">
        <w:rPr>
          <w:noProof/>
          <w:szCs w:val="22"/>
        </w:rPr>
        <w:t>com exce</w:t>
      </w:r>
      <w:r w:rsidR="00E80C2E" w:rsidRPr="0063119B">
        <w:rPr>
          <w:noProof/>
          <w:szCs w:val="22"/>
        </w:rPr>
        <w:t>ção d</w:t>
      </w:r>
      <w:r w:rsidR="003F2576" w:rsidRPr="0063119B">
        <w:rPr>
          <w:noProof/>
          <w:szCs w:val="22"/>
        </w:rPr>
        <w:t>o ácido acetilsalicílico</w:t>
      </w:r>
      <w:r w:rsidR="00E80C2E" w:rsidRPr="0063119B">
        <w:rPr>
          <w:noProof/>
          <w:szCs w:val="22"/>
        </w:rPr>
        <w:t xml:space="preserve"> e </w:t>
      </w:r>
      <w:r w:rsidR="002B5FBC">
        <w:rPr>
          <w:noProof/>
          <w:szCs w:val="22"/>
        </w:rPr>
        <w:t>clopidogrel/</w:t>
      </w:r>
      <w:r w:rsidR="00E80C2E" w:rsidRPr="0063119B">
        <w:rPr>
          <w:noProof/>
          <w:szCs w:val="22"/>
        </w:rPr>
        <w:t>ticlopidina.</w:t>
      </w:r>
    </w:p>
    <w:p w14:paraId="71A95F84" w14:textId="77777777" w:rsidR="00E80C2E" w:rsidRPr="0063119B" w:rsidRDefault="00E80C2E" w:rsidP="00DF57E1">
      <w:pPr>
        <w:numPr>
          <w:ilvl w:val="12"/>
          <w:numId w:val="0"/>
        </w:numPr>
        <w:suppressAutoHyphens/>
        <w:rPr>
          <w:noProof/>
          <w:szCs w:val="22"/>
        </w:rPr>
      </w:pPr>
    </w:p>
    <w:p w14:paraId="09C24A09" w14:textId="77777777" w:rsidR="00DF57E1" w:rsidRPr="0063119B" w:rsidRDefault="00DF57E1" w:rsidP="00DF57E1">
      <w:pPr>
        <w:numPr>
          <w:ilvl w:val="12"/>
          <w:numId w:val="0"/>
        </w:numPr>
        <w:suppressAutoHyphens/>
        <w:rPr>
          <w:b/>
          <w:noProof/>
          <w:szCs w:val="22"/>
        </w:rPr>
      </w:pPr>
      <w:r w:rsidRPr="0063119B">
        <w:rPr>
          <w:b/>
          <w:noProof/>
          <w:szCs w:val="22"/>
        </w:rPr>
        <w:t xml:space="preserve">Tome especial cuidado com </w:t>
      </w:r>
      <w:r w:rsidR="00607DE4">
        <w:rPr>
          <w:b/>
          <w:noProof/>
          <w:szCs w:val="22"/>
        </w:rPr>
        <w:t>Rivaroxabano</w:t>
      </w:r>
      <w:r w:rsidR="001F7D02" w:rsidRPr="0063119B">
        <w:rPr>
          <w:b/>
          <w:noProof/>
          <w:szCs w:val="22"/>
        </w:rPr>
        <w:t xml:space="preserve"> Accord</w:t>
      </w:r>
    </w:p>
    <w:p w14:paraId="7D9EF124" w14:textId="77777777" w:rsidR="00DF57E1" w:rsidRPr="0063119B" w:rsidRDefault="00DF57E1" w:rsidP="00CD1F30">
      <w:pPr>
        <w:numPr>
          <w:ilvl w:val="12"/>
          <w:numId w:val="0"/>
        </w:numPr>
        <w:suppressAutoHyphens/>
        <w:ind w:left="567" w:hanging="567"/>
        <w:rPr>
          <w:noProof/>
          <w:szCs w:val="22"/>
        </w:rPr>
      </w:pPr>
      <w:r w:rsidRPr="0063119B">
        <w:rPr>
          <w:noProof/>
          <w:szCs w:val="22"/>
        </w:rPr>
        <w:t>-</w:t>
      </w:r>
      <w:r w:rsidR="00CD1F30" w:rsidRPr="0063119B">
        <w:rPr>
          <w:noProof/>
          <w:szCs w:val="22"/>
        </w:rPr>
        <w:tab/>
      </w:r>
      <w:r w:rsidRPr="0063119B">
        <w:rPr>
          <w:noProof/>
          <w:szCs w:val="22"/>
        </w:rPr>
        <w:t>se tem um risco aumentado de hemorragia, uma vez que pode ser o caso de situações como:</w:t>
      </w:r>
    </w:p>
    <w:p w14:paraId="5595E2EB" w14:textId="77777777" w:rsidR="00DF57E1" w:rsidRPr="0063119B" w:rsidRDefault="00DF57E1" w:rsidP="00DF57E1">
      <w:pPr>
        <w:tabs>
          <w:tab w:val="left" w:pos="1418"/>
        </w:tabs>
        <w:suppressAutoHyphens/>
        <w:ind w:left="1134" w:hanging="567"/>
        <w:rPr>
          <w:noProof/>
          <w:szCs w:val="22"/>
        </w:rPr>
      </w:pPr>
      <w:r w:rsidRPr="0063119B">
        <w:rPr>
          <w:noProof/>
          <w:szCs w:val="22"/>
        </w:rPr>
        <w:t>▪</w:t>
      </w:r>
      <w:r w:rsidRPr="0063119B">
        <w:rPr>
          <w:noProof/>
          <w:szCs w:val="22"/>
        </w:rPr>
        <w:tab/>
        <w:t>doença grave dos rins, uma vez que a sua função renal pode afetar a quantidade de medicamento que funciona no seu corpo</w:t>
      </w:r>
    </w:p>
    <w:p w14:paraId="722F407D" w14:textId="77777777" w:rsidR="00DF57E1" w:rsidRPr="0063119B" w:rsidRDefault="00DF57E1" w:rsidP="00DF57E1">
      <w:pPr>
        <w:tabs>
          <w:tab w:val="left" w:pos="1418"/>
        </w:tabs>
        <w:suppressAutoHyphens/>
        <w:ind w:left="1134" w:hanging="567"/>
        <w:rPr>
          <w:noProof/>
          <w:szCs w:val="22"/>
        </w:rPr>
      </w:pPr>
      <w:r w:rsidRPr="0063119B">
        <w:rPr>
          <w:noProof/>
          <w:szCs w:val="22"/>
        </w:rPr>
        <w:t>▪</w:t>
      </w:r>
      <w:r w:rsidRPr="0063119B">
        <w:rPr>
          <w:noProof/>
          <w:szCs w:val="22"/>
        </w:rPr>
        <w:tab/>
        <w:t xml:space="preserve">se está a tomar outros medicamentos para prevenir coágulos de sangue (ex.: varfarina, dabigatrano, apixabano ou heparina), </w:t>
      </w:r>
      <w:r w:rsidRPr="0063119B">
        <w:rPr>
          <w:rStyle w:val="hps"/>
          <w:szCs w:val="22"/>
        </w:rPr>
        <w:t xml:space="preserve">quando estiver a </w:t>
      </w:r>
      <w:r w:rsidRPr="0063119B">
        <w:rPr>
          <w:szCs w:val="22"/>
          <w:lang w:eastAsia="pt-PT"/>
        </w:rPr>
        <w:t>mudar de tratamento</w:t>
      </w:r>
      <w:r w:rsidRPr="0063119B">
        <w:rPr>
          <w:b/>
          <w:szCs w:val="22"/>
          <w:lang w:eastAsia="pt-PT"/>
        </w:rPr>
        <w:t xml:space="preserve"> </w:t>
      </w:r>
      <w:r w:rsidRPr="0063119B">
        <w:rPr>
          <w:szCs w:val="22"/>
          <w:lang w:eastAsia="pt-PT"/>
        </w:rPr>
        <w:t>anticoagulante ou enquanto receber heparina através de uma linha venosa ou arterial para a manter aberta</w:t>
      </w:r>
      <w:r w:rsidRPr="0063119B">
        <w:rPr>
          <w:rStyle w:val="hps"/>
          <w:szCs w:val="22"/>
        </w:rPr>
        <w:t xml:space="preserve"> (</w:t>
      </w:r>
      <w:r w:rsidRPr="0063119B">
        <w:rPr>
          <w:rStyle w:val="atn"/>
          <w:szCs w:val="22"/>
        </w:rPr>
        <w:t>ver secção "</w:t>
      </w:r>
      <w:r w:rsidRPr="0063119B">
        <w:rPr>
          <w:szCs w:val="22"/>
        </w:rPr>
        <w:t xml:space="preserve">Outros medicamentos </w:t>
      </w:r>
      <w:r w:rsidRPr="0063119B">
        <w:rPr>
          <w:rStyle w:val="hps"/>
          <w:szCs w:val="22"/>
        </w:rPr>
        <w:t>e</w:t>
      </w:r>
      <w:r w:rsidRPr="0063119B">
        <w:rPr>
          <w:szCs w:val="22"/>
        </w:rPr>
        <w:t xml:space="preserve"> </w:t>
      </w:r>
      <w:r w:rsidR="00607DE4">
        <w:rPr>
          <w:rStyle w:val="hps"/>
          <w:szCs w:val="22"/>
        </w:rPr>
        <w:t>Rivaroxabano</w:t>
      </w:r>
      <w:r w:rsidR="001F7D02" w:rsidRPr="0063119B">
        <w:rPr>
          <w:rStyle w:val="hps"/>
          <w:szCs w:val="22"/>
        </w:rPr>
        <w:t xml:space="preserve"> Accord</w:t>
      </w:r>
      <w:r w:rsidRPr="0063119B">
        <w:rPr>
          <w:szCs w:val="22"/>
        </w:rPr>
        <w:t>")</w:t>
      </w:r>
    </w:p>
    <w:p w14:paraId="19C9E390" w14:textId="77777777" w:rsidR="00DF57E1" w:rsidRPr="0063119B" w:rsidRDefault="00DF57E1" w:rsidP="00DF57E1">
      <w:pPr>
        <w:suppressAutoHyphens/>
        <w:ind w:left="1134" w:hanging="567"/>
        <w:rPr>
          <w:noProof/>
          <w:szCs w:val="22"/>
        </w:rPr>
      </w:pPr>
      <w:r w:rsidRPr="0063119B">
        <w:rPr>
          <w:noProof/>
          <w:szCs w:val="22"/>
        </w:rPr>
        <w:t>▪</w:t>
      </w:r>
      <w:r w:rsidRPr="0063119B">
        <w:rPr>
          <w:noProof/>
          <w:szCs w:val="22"/>
        </w:rPr>
        <w:tab/>
        <w:t>doenças hemorrágicas</w:t>
      </w:r>
    </w:p>
    <w:p w14:paraId="712BD15E" w14:textId="77777777" w:rsidR="00DF57E1" w:rsidRPr="0063119B" w:rsidRDefault="00DF57E1" w:rsidP="00DF57E1">
      <w:pPr>
        <w:suppressAutoHyphens/>
        <w:ind w:left="1134" w:hanging="567"/>
        <w:rPr>
          <w:noProof/>
          <w:szCs w:val="22"/>
        </w:rPr>
      </w:pPr>
      <w:r w:rsidRPr="0063119B">
        <w:rPr>
          <w:noProof/>
          <w:szCs w:val="22"/>
        </w:rPr>
        <w:t>▪</w:t>
      </w:r>
      <w:r w:rsidRPr="0063119B">
        <w:rPr>
          <w:noProof/>
          <w:szCs w:val="22"/>
        </w:rPr>
        <w:tab/>
        <w:t>tensão arterial muito alta, não controlada por tratamento médico</w:t>
      </w:r>
    </w:p>
    <w:p w14:paraId="390BFCFC" w14:textId="77777777" w:rsidR="00DF57E1" w:rsidRPr="0063119B" w:rsidRDefault="00DF57E1" w:rsidP="00DF57E1">
      <w:pPr>
        <w:suppressAutoHyphens/>
        <w:ind w:left="1134" w:hanging="567"/>
        <w:rPr>
          <w:noProof/>
          <w:szCs w:val="22"/>
        </w:rPr>
      </w:pPr>
      <w:r w:rsidRPr="0063119B">
        <w:rPr>
          <w:noProof/>
          <w:szCs w:val="22"/>
        </w:rPr>
        <w:t>▪</w:t>
      </w:r>
      <w:r w:rsidRPr="0063119B">
        <w:rPr>
          <w:noProof/>
          <w:szCs w:val="22"/>
        </w:rPr>
        <w:tab/>
      </w:r>
      <w:r w:rsidR="00273C17" w:rsidRPr="0063119B">
        <w:rPr>
          <w:noProof/>
          <w:szCs w:val="22"/>
        </w:rPr>
        <w:t>doenças do seu estômago ou intestinos que podem resultar em hemorragia, ex.: inflamação dos intestinos ou estô</w:t>
      </w:r>
      <w:r w:rsidR="007974CE" w:rsidRPr="0063119B">
        <w:rPr>
          <w:noProof/>
          <w:szCs w:val="22"/>
        </w:rPr>
        <w:t xml:space="preserve">mago, ou inflamação do esófago </w:t>
      </w:r>
      <w:r w:rsidR="00273C17" w:rsidRPr="0063119B">
        <w:rPr>
          <w:noProof/>
          <w:szCs w:val="22"/>
        </w:rPr>
        <w:t xml:space="preserve">ex.: devido </w:t>
      </w:r>
      <w:r w:rsidR="00EA3C6C" w:rsidRPr="0063119B">
        <w:rPr>
          <w:noProof/>
          <w:szCs w:val="22"/>
        </w:rPr>
        <w:t>à</w:t>
      </w:r>
      <w:r w:rsidR="00273C17" w:rsidRPr="0063119B">
        <w:rPr>
          <w:noProof/>
          <w:szCs w:val="22"/>
        </w:rPr>
        <w:t xml:space="preserve"> doença de refluxo gastroesofágico</w:t>
      </w:r>
      <w:r w:rsidR="00901D77" w:rsidRPr="0063119B">
        <w:rPr>
          <w:noProof/>
          <w:szCs w:val="22"/>
        </w:rPr>
        <w:t xml:space="preserve"> (doença em que o ácido do est</w:t>
      </w:r>
      <w:r w:rsidR="00EA3C6C" w:rsidRPr="0063119B">
        <w:rPr>
          <w:noProof/>
          <w:szCs w:val="22"/>
        </w:rPr>
        <w:t>ômago sob</w:t>
      </w:r>
      <w:r w:rsidR="00901D77" w:rsidRPr="0063119B">
        <w:rPr>
          <w:noProof/>
          <w:szCs w:val="22"/>
        </w:rPr>
        <w:t>e para o esófago)</w:t>
      </w:r>
      <w:r w:rsidR="00A35BCA">
        <w:rPr>
          <w:noProof/>
          <w:szCs w:val="22"/>
        </w:rPr>
        <w:t xml:space="preserve"> </w:t>
      </w:r>
      <w:r w:rsidR="00A35BCA">
        <w:t>ou tumores localizados no estômago ou intestinos ou trato genital ou trato urinário</w:t>
      </w:r>
    </w:p>
    <w:p w14:paraId="1BF51083" w14:textId="77777777" w:rsidR="00DF57E1" w:rsidRPr="0063119B" w:rsidRDefault="00DF57E1" w:rsidP="00DF57E1">
      <w:pPr>
        <w:suppressAutoHyphens/>
        <w:ind w:left="1134" w:hanging="567"/>
        <w:rPr>
          <w:noProof/>
          <w:szCs w:val="22"/>
        </w:rPr>
      </w:pPr>
      <w:r w:rsidRPr="0063119B">
        <w:rPr>
          <w:noProof/>
          <w:szCs w:val="22"/>
        </w:rPr>
        <w:t>▪</w:t>
      </w:r>
      <w:r w:rsidRPr="0063119B">
        <w:rPr>
          <w:noProof/>
          <w:szCs w:val="22"/>
        </w:rPr>
        <w:tab/>
        <w:t>um problema com os vasos sanguíneos do fundo do olho (retinopatia)</w:t>
      </w:r>
    </w:p>
    <w:p w14:paraId="23873793" w14:textId="77777777" w:rsidR="00DF57E1" w:rsidRPr="0063119B" w:rsidRDefault="00DF57E1" w:rsidP="00DF57E1">
      <w:pPr>
        <w:suppressAutoHyphens/>
        <w:ind w:left="1134" w:hanging="567"/>
        <w:rPr>
          <w:noProof/>
          <w:szCs w:val="22"/>
        </w:rPr>
      </w:pPr>
      <w:r w:rsidRPr="0063119B">
        <w:rPr>
          <w:noProof/>
          <w:szCs w:val="22"/>
        </w:rPr>
        <w:t>▪</w:t>
      </w:r>
      <w:r w:rsidRPr="0063119B">
        <w:rPr>
          <w:noProof/>
          <w:szCs w:val="22"/>
        </w:rPr>
        <w:tab/>
        <w:t>uma doença dos pulmões em que os seus brônquios estão alargados e cheios de pús (bronquiectasias)</w:t>
      </w:r>
      <w:r w:rsidRPr="0063119B">
        <w:rPr>
          <w:i/>
          <w:noProof/>
          <w:szCs w:val="22"/>
        </w:rPr>
        <w:t xml:space="preserve"> </w:t>
      </w:r>
      <w:r w:rsidRPr="0063119B">
        <w:rPr>
          <w:noProof/>
          <w:szCs w:val="22"/>
        </w:rPr>
        <w:t>ou anterior hemorragia dos pulmões</w:t>
      </w:r>
    </w:p>
    <w:p w14:paraId="156BCEE8" w14:textId="77777777" w:rsidR="00DF57E1" w:rsidRPr="0063119B" w:rsidRDefault="00DF57E1" w:rsidP="00DF57E1">
      <w:pPr>
        <w:suppressAutoHyphens/>
        <w:ind w:left="1134" w:hanging="567"/>
        <w:rPr>
          <w:noProof/>
          <w:szCs w:val="22"/>
        </w:rPr>
      </w:pPr>
      <w:r w:rsidRPr="0063119B">
        <w:rPr>
          <w:noProof/>
          <w:szCs w:val="22"/>
        </w:rPr>
        <w:t>▪</w:t>
      </w:r>
      <w:r w:rsidRPr="0063119B">
        <w:rPr>
          <w:noProof/>
          <w:szCs w:val="22"/>
        </w:rPr>
        <w:tab/>
        <w:t>se tem mais de 75 anos de idade</w:t>
      </w:r>
    </w:p>
    <w:p w14:paraId="63ED5F37" w14:textId="77777777" w:rsidR="00DF57E1" w:rsidRPr="0063119B" w:rsidRDefault="00DF57E1" w:rsidP="00DF57E1">
      <w:pPr>
        <w:suppressAutoHyphens/>
        <w:ind w:left="1134" w:hanging="567"/>
        <w:rPr>
          <w:noProof/>
          <w:szCs w:val="22"/>
        </w:rPr>
      </w:pPr>
      <w:r w:rsidRPr="0063119B">
        <w:rPr>
          <w:noProof/>
          <w:szCs w:val="22"/>
        </w:rPr>
        <w:t>▪</w:t>
      </w:r>
      <w:r w:rsidRPr="0063119B">
        <w:rPr>
          <w:noProof/>
          <w:szCs w:val="22"/>
        </w:rPr>
        <w:tab/>
        <w:t xml:space="preserve">se pesa </w:t>
      </w:r>
      <w:r w:rsidR="00F03D43">
        <w:rPr>
          <w:noProof/>
          <w:szCs w:val="22"/>
        </w:rPr>
        <w:t xml:space="preserve">menos de </w:t>
      </w:r>
      <w:r w:rsidRPr="0063119B">
        <w:rPr>
          <w:noProof/>
          <w:szCs w:val="22"/>
        </w:rPr>
        <w:t>60 kg</w:t>
      </w:r>
    </w:p>
    <w:p w14:paraId="246A9F04" w14:textId="77777777" w:rsidR="00A6092F" w:rsidRPr="0063119B" w:rsidRDefault="00A6092F" w:rsidP="00A6092F">
      <w:pPr>
        <w:suppressAutoHyphens/>
        <w:ind w:left="1134" w:hanging="567"/>
        <w:rPr>
          <w:noProof/>
          <w:szCs w:val="22"/>
        </w:rPr>
      </w:pPr>
      <w:r w:rsidRPr="0063119B">
        <w:rPr>
          <w:noProof/>
          <w:szCs w:val="22"/>
        </w:rPr>
        <w:t>▪</w:t>
      </w:r>
      <w:r w:rsidRPr="0063119B">
        <w:rPr>
          <w:noProof/>
          <w:szCs w:val="22"/>
        </w:rPr>
        <w:tab/>
        <w:t>se tem uma doença arterial coronária com insuficiência cardíaca sintomática grave</w:t>
      </w:r>
    </w:p>
    <w:p w14:paraId="296334B8" w14:textId="77777777" w:rsidR="008317EC" w:rsidRPr="0063119B" w:rsidRDefault="008317EC" w:rsidP="00FB3537">
      <w:pPr>
        <w:numPr>
          <w:ilvl w:val="0"/>
          <w:numId w:val="33"/>
        </w:numPr>
        <w:suppressAutoHyphens/>
        <w:ind w:left="567" w:hanging="567"/>
        <w:rPr>
          <w:noProof/>
          <w:szCs w:val="22"/>
        </w:rPr>
      </w:pPr>
      <w:r w:rsidRPr="0063119B">
        <w:rPr>
          <w:noProof/>
          <w:szCs w:val="22"/>
        </w:rPr>
        <w:t>se tem uma válvula cardíaca protésica</w:t>
      </w:r>
    </w:p>
    <w:p w14:paraId="5DEA4FA2" w14:textId="77777777" w:rsidR="00C909B6" w:rsidRPr="0063119B" w:rsidRDefault="00C909B6" w:rsidP="00C909B6">
      <w:pPr>
        <w:numPr>
          <w:ilvl w:val="0"/>
          <w:numId w:val="33"/>
        </w:numPr>
        <w:suppressAutoHyphens/>
        <w:ind w:left="567" w:hanging="567"/>
        <w:rPr>
          <w:noProof/>
          <w:szCs w:val="22"/>
        </w:rPr>
      </w:pPr>
      <w:r w:rsidRPr="0063119B">
        <w:rPr>
          <w:noProof/>
          <w:szCs w:val="22"/>
        </w:rPr>
        <w:t>se tem uma doença chamada síndrome antifosfolipídica (uma doença do sistema imunitário que provoca um aumento do risco de coágulos sanguíneos), informe o seu médico, que decidirá se o tratamento necessita de ser alterado</w:t>
      </w:r>
    </w:p>
    <w:p w14:paraId="00FDDD10" w14:textId="77777777" w:rsidR="00DF57E1" w:rsidRPr="0063119B" w:rsidRDefault="00DF57E1" w:rsidP="00DF57E1">
      <w:pPr>
        <w:suppressAutoHyphens/>
        <w:ind w:left="567" w:hanging="567"/>
        <w:rPr>
          <w:noProof/>
          <w:szCs w:val="22"/>
        </w:rPr>
      </w:pPr>
    </w:p>
    <w:p w14:paraId="26164ECF" w14:textId="77777777" w:rsidR="00DF57E1" w:rsidRPr="0063119B" w:rsidRDefault="00DF57E1" w:rsidP="00DF57E1">
      <w:pPr>
        <w:suppressAutoHyphens/>
        <w:rPr>
          <w:noProof/>
          <w:szCs w:val="22"/>
        </w:rPr>
      </w:pPr>
      <w:r w:rsidRPr="0063119B">
        <w:rPr>
          <w:b/>
          <w:noProof/>
          <w:szCs w:val="22"/>
        </w:rPr>
        <w:t>Se alguma das situações acima se aplicar a si, informe o seu médico</w:t>
      </w:r>
      <w:r w:rsidRPr="0063119B">
        <w:rPr>
          <w:noProof/>
          <w:szCs w:val="22"/>
        </w:rPr>
        <w:t xml:space="preserve"> antes de tomar </w:t>
      </w:r>
      <w:r w:rsidR="00607DE4">
        <w:rPr>
          <w:noProof/>
          <w:szCs w:val="22"/>
        </w:rPr>
        <w:t>Rivaroxabano</w:t>
      </w:r>
      <w:r w:rsidR="001F7D02" w:rsidRPr="0063119B">
        <w:rPr>
          <w:noProof/>
          <w:szCs w:val="22"/>
        </w:rPr>
        <w:t xml:space="preserve"> Accord</w:t>
      </w:r>
      <w:r w:rsidRPr="0063119B">
        <w:rPr>
          <w:noProof/>
          <w:szCs w:val="22"/>
        </w:rPr>
        <w:t>. O seu médico decidirá se deve ser tratado com este medicamento e se deve ser mantido sob uma observação mais atenta.</w:t>
      </w:r>
    </w:p>
    <w:p w14:paraId="40DA242E" w14:textId="77777777" w:rsidR="00DF57E1" w:rsidRPr="0063119B" w:rsidRDefault="00DF57E1" w:rsidP="00DF57E1">
      <w:pPr>
        <w:tabs>
          <w:tab w:val="left" w:pos="709"/>
        </w:tabs>
        <w:suppressAutoHyphens/>
        <w:ind w:left="709" w:hanging="709"/>
        <w:rPr>
          <w:noProof/>
          <w:szCs w:val="22"/>
        </w:rPr>
      </w:pPr>
    </w:p>
    <w:p w14:paraId="0BAADAE8" w14:textId="77777777" w:rsidR="00DF57E1" w:rsidRPr="0063119B" w:rsidDel="008A376F" w:rsidRDefault="00DF57E1" w:rsidP="003311FD">
      <w:pPr>
        <w:keepNext/>
        <w:tabs>
          <w:tab w:val="left" w:pos="709"/>
        </w:tabs>
        <w:suppressAutoHyphens/>
        <w:ind w:left="709" w:hanging="709"/>
        <w:rPr>
          <w:b/>
          <w:noProof/>
          <w:szCs w:val="22"/>
        </w:rPr>
      </w:pPr>
      <w:r w:rsidRPr="0063119B">
        <w:rPr>
          <w:b/>
          <w:noProof/>
          <w:szCs w:val="22"/>
        </w:rPr>
        <w:lastRenderedPageBreak/>
        <w:t>Se necessitar de ser operado</w:t>
      </w:r>
    </w:p>
    <w:p w14:paraId="349CBE83" w14:textId="77777777" w:rsidR="00DF57E1" w:rsidRPr="0063119B" w:rsidRDefault="00DF57E1" w:rsidP="00DF57E1">
      <w:pPr>
        <w:tabs>
          <w:tab w:val="left" w:pos="567"/>
        </w:tabs>
        <w:suppressAutoHyphens/>
        <w:ind w:left="567" w:hanging="567"/>
        <w:rPr>
          <w:noProof/>
          <w:szCs w:val="22"/>
        </w:rPr>
      </w:pPr>
      <w:r w:rsidRPr="0063119B">
        <w:rPr>
          <w:noProof/>
          <w:szCs w:val="22"/>
        </w:rPr>
        <w:noBreakHyphen/>
      </w:r>
      <w:r w:rsidRPr="0063119B">
        <w:rPr>
          <w:noProof/>
          <w:szCs w:val="22"/>
        </w:rPr>
        <w:tab/>
        <w:t xml:space="preserve">é muito importante tomar </w:t>
      </w:r>
      <w:r w:rsidR="00607DE4">
        <w:rPr>
          <w:noProof/>
          <w:szCs w:val="22"/>
        </w:rPr>
        <w:t>Rivaroxabano</w:t>
      </w:r>
      <w:r w:rsidR="001F7D02" w:rsidRPr="0063119B">
        <w:rPr>
          <w:noProof/>
          <w:szCs w:val="22"/>
        </w:rPr>
        <w:t xml:space="preserve"> Accord</w:t>
      </w:r>
      <w:r w:rsidRPr="0063119B">
        <w:rPr>
          <w:noProof/>
          <w:szCs w:val="22"/>
        </w:rPr>
        <w:t xml:space="preserve"> antes e após a cirurgia, exatamente às horas que o seu médico lhe indicou.</w:t>
      </w:r>
    </w:p>
    <w:p w14:paraId="7C458552" w14:textId="77777777" w:rsidR="00E80C2E" w:rsidRPr="0063119B" w:rsidRDefault="00076A00" w:rsidP="00E80C2E">
      <w:pPr>
        <w:suppressAutoHyphens/>
        <w:ind w:left="567" w:hanging="567"/>
        <w:rPr>
          <w:noProof/>
          <w:szCs w:val="22"/>
        </w:rPr>
      </w:pPr>
      <w:r w:rsidRPr="0063119B">
        <w:rPr>
          <w:noProof/>
          <w:szCs w:val="22"/>
        </w:rPr>
        <w:noBreakHyphen/>
      </w:r>
      <w:r w:rsidRPr="0063119B">
        <w:rPr>
          <w:noProof/>
          <w:szCs w:val="22"/>
        </w:rPr>
        <w:tab/>
      </w:r>
      <w:r w:rsidR="00E80C2E" w:rsidRPr="0063119B">
        <w:rPr>
          <w:noProof/>
          <w:szCs w:val="22"/>
        </w:rPr>
        <w:t>se a cirurgia envolve a colocação de um cateter ou injeção na coluna vertebral (ex.: anestesia epidural ou espinal ou redução da dor):</w:t>
      </w:r>
    </w:p>
    <w:p w14:paraId="1218A3E9" w14:textId="77777777" w:rsidR="00E80C2E" w:rsidRPr="0063119B" w:rsidRDefault="00E80C2E" w:rsidP="00E80C2E">
      <w:pPr>
        <w:tabs>
          <w:tab w:val="left" w:pos="1418"/>
        </w:tabs>
        <w:suppressAutoHyphens/>
        <w:ind w:left="1418" w:hanging="709"/>
        <w:rPr>
          <w:noProof/>
          <w:szCs w:val="22"/>
        </w:rPr>
      </w:pPr>
      <w:r w:rsidRPr="0063119B">
        <w:rPr>
          <w:noProof/>
          <w:szCs w:val="22"/>
        </w:rPr>
        <w:t>▪</w:t>
      </w:r>
      <w:r w:rsidRPr="0063119B">
        <w:rPr>
          <w:noProof/>
          <w:szCs w:val="22"/>
        </w:rPr>
        <w:tab/>
        <w:t xml:space="preserve">é muito importante tomar </w:t>
      </w:r>
      <w:r w:rsidR="00607DE4">
        <w:rPr>
          <w:noProof/>
          <w:szCs w:val="22"/>
        </w:rPr>
        <w:t>Rivaroxabano</w:t>
      </w:r>
      <w:r w:rsidR="001F7D02" w:rsidRPr="0063119B">
        <w:rPr>
          <w:noProof/>
          <w:szCs w:val="22"/>
        </w:rPr>
        <w:t xml:space="preserve"> Accord</w:t>
      </w:r>
      <w:r w:rsidRPr="0063119B">
        <w:rPr>
          <w:noProof/>
          <w:szCs w:val="22"/>
        </w:rPr>
        <w:t xml:space="preserve">  exatamente às horas que o seu médico lhe indicou, antes e após injeção ou remoção do cat</w:t>
      </w:r>
      <w:r w:rsidR="003011DB" w:rsidRPr="0063119B">
        <w:rPr>
          <w:noProof/>
          <w:szCs w:val="22"/>
        </w:rPr>
        <w:t>e</w:t>
      </w:r>
      <w:r w:rsidRPr="0063119B">
        <w:rPr>
          <w:noProof/>
          <w:szCs w:val="22"/>
        </w:rPr>
        <w:t>ter</w:t>
      </w:r>
    </w:p>
    <w:p w14:paraId="5654E4B4" w14:textId="77777777" w:rsidR="00E80C2E" w:rsidRPr="0063119B" w:rsidRDefault="00E80C2E" w:rsidP="00E80C2E">
      <w:pPr>
        <w:tabs>
          <w:tab w:val="left" w:pos="1418"/>
        </w:tabs>
        <w:suppressAutoHyphens/>
        <w:ind w:left="1418" w:hanging="709"/>
        <w:rPr>
          <w:noProof/>
          <w:szCs w:val="22"/>
        </w:rPr>
      </w:pPr>
      <w:r w:rsidRPr="0063119B">
        <w:rPr>
          <w:noProof/>
          <w:szCs w:val="22"/>
        </w:rPr>
        <w:t>▪</w:t>
      </w:r>
      <w:r w:rsidRPr="0063119B">
        <w:rPr>
          <w:noProof/>
          <w:szCs w:val="22"/>
        </w:rPr>
        <w:tab/>
        <w:t>informe imediatamente o seu médico se apresentar adormecimento ou fraqueza das pernas ou problemas com o seu intestino ou bexiga após terminar a anestesia, porque é necessário um cuidado urgente.</w:t>
      </w:r>
    </w:p>
    <w:p w14:paraId="11D6BD09" w14:textId="77777777" w:rsidR="00DF57E1" w:rsidRPr="0063119B" w:rsidRDefault="00DF57E1" w:rsidP="00DF57E1">
      <w:pPr>
        <w:suppressAutoHyphens/>
        <w:rPr>
          <w:noProof/>
          <w:szCs w:val="22"/>
        </w:rPr>
      </w:pPr>
    </w:p>
    <w:p w14:paraId="761ECE78" w14:textId="77777777" w:rsidR="00DF57E1" w:rsidRPr="0063119B" w:rsidRDefault="00DF57E1" w:rsidP="00DF57E1">
      <w:pPr>
        <w:suppressAutoHyphens/>
        <w:rPr>
          <w:b/>
          <w:noProof/>
          <w:szCs w:val="22"/>
        </w:rPr>
      </w:pPr>
      <w:r w:rsidRPr="0063119B">
        <w:rPr>
          <w:b/>
          <w:noProof/>
          <w:szCs w:val="22"/>
        </w:rPr>
        <w:t>Crianças e adolescentes</w:t>
      </w:r>
    </w:p>
    <w:p w14:paraId="16E3C762" w14:textId="77777777" w:rsidR="00DF57E1" w:rsidRPr="0063119B" w:rsidRDefault="00607DE4" w:rsidP="00DF57E1">
      <w:pPr>
        <w:suppressAutoHyphens/>
        <w:rPr>
          <w:noProof/>
          <w:szCs w:val="22"/>
        </w:rPr>
      </w:pPr>
      <w:r>
        <w:rPr>
          <w:noProof/>
          <w:szCs w:val="22"/>
        </w:rPr>
        <w:t>Rivaroxabano</w:t>
      </w:r>
      <w:r w:rsidR="001F7D02" w:rsidRPr="0063119B">
        <w:rPr>
          <w:noProof/>
          <w:szCs w:val="22"/>
        </w:rPr>
        <w:t xml:space="preserve"> Accord</w:t>
      </w:r>
      <w:r w:rsidR="00DF57E1" w:rsidRPr="0063119B">
        <w:rPr>
          <w:noProof/>
          <w:szCs w:val="22"/>
        </w:rPr>
        <w:t xml:space="preserve"> </w:t>
      </w:r>
      <w:r w:rsidR="00DF57E1" w:rsidRPr="0063119B">
        <w:rPr>
          <w:b/>
          <w:noProof/>
          <w:szCs w:val="22"/>
        </w:rPr>
        <w:t>não é recomendado para pessoas com menos de 18 anos de idade</w:t>
      </w:r>
      <w:r w:rsidR="00DF57E1" w:rsidRPr="0063119B">
        <w:rPr>
          <w:noProof/>
          <w:szCs w:val="22"/>
        </w:rPr>
        <w:t>. Não existe informação suficiente sobre a sua utilização em crianças e adolescentes.</w:t>
      </w:r>
    </w:p>
    <w:p w14:paraId="3B64C2C2" w14:textId="77777777" w:rsidR="00DF57E1" w:rsidRPr="0063119B" w:rsidRDefault="00DF57E1" w:rsidP="00DF57E1">
      <w:pPr>
        <w:suppressAutoHyphens/>
        <w:rPr>
          <w:noProof/>
          <w:szCs w:val="22"/>
        </w:rPr>
      </w:pPr>
    </w:p>
    <w:p w14:paraId="2390633F" w14:textId="77777777" w:rsidR="00DF57E1" w:rsidRPr="0063119B" w:rsidRDefault="00DF57E1" w:rsidP="00DF57E1">
      <w:pPr>
        <w:suppressAutoHyphens/>
        <w:rPr>
          <w:noProof/>
          <w:szCs w:val="22"/>
        </w:rPr>
      </w:pPr>
      <w:r w:rsidRPr="0063119B">
        <w:rPr>
          <w:b/>
          <w:noProof/>
          <w:szCs w:val="22"/>
        </w:rPr>
        <w:t xml:space="preserve">Outros medicamentos e </w:t>
      </w:r>
      <w:r w:rsidR="00607DE4">
        <w:rPr>
          <w:b/>
          <w:noProof/>
          <w:szCs w:val="22"/>
        </w:rPr>
        <w:t>Rivaroxabano</w:t>
      </w:r>
      <w:r w:rsidR="001F7D02" w:rsidRPr="0063119B">
        <w:rPr>
          <w:b/>
          <w:noProof/>
          <w:szCs w:val="22"/>
        </w:rPr>
        <w:t xml:space="preserve"> Accord</w:t>
      </w:r>
    </w:p>
    <w:p w14:paraId="753C2866" w14:textId="77777777" w:rsidR="00DF57E1" w:rsidRPr="0063119B" w:rsidRDefault="00DF57E1" w:rsidP="00DF57E1">
      <w:pPr>
        <w:rPr>
          <w:noProof/>
          <w:szCs w:val="22"/>
        </w:rPr>
      </w:pPr>
      <w:r w:rsidRPr="0063119B">
        <w:rPr>
          <w:noProof/>
          <w:szCs w:val="22"/>
        </w:rPr>
        <w:t>Informe o seu médico ou farmacêutico se estiver a tomar, tiver tomado recentemente ou se vier a tomar outros medicamentos, incluindo medicamentos não sujeitos a receita médica.</w:t>
      </w:r>
    </w:p>
    <w:p w14:paraId="1FE6B9F5" w14:textId="77777777" w:rsidR="00DF57E1" w:rsidRPr="0063119B" w:rsidRDefault="00DF57E1" w:rsidP="00DF57E1">
      <w:pPr>
        <w:tabs>
          <w:tab w:val="left" w:pos="567"/>
        </w:tabs>
        <w:suppressAutoHyphens/>
        <w:rPr>
          <w:b/>
          <w:noProof/>
          <w:szCs w:val="22"/>
        </w:rPr>
      </w:pPr>
      <w:r w:rsidRPr="0063119B">
        <w:rPr>
          <w:b/>
          <w:noProof/>
          <w:szCs w:val="22"/>
        </w:rPr>
        <w:noBreakHyphen/>
      </w:r>
      <w:r w:rsidRPr="0063119B">
        <w:rPr>
          <w:b/>
          <w:noProof/>
          <w:szCs w:val="22"/>
        </w:rPr>
        <w:tab/>
        <w:t>Se está a tomar</w:t>
      </w:r>
    </w:p>
    <w:p w14:paraId="7178AADE" w14:textId="77777777" w:rsidR="00DF57E1" w:rsidRPr="0063119B" w:rsidRDefault="00DF57E1" w:rsidP="00DF57E1">
      <w:pPr>
        <w:suppressAutoHyphens/>
        <w:ind w:left="1134" w:hanging="567"/>
        <w:rPr>
          <w:noProof/>
          <w:szCs w:val="22"/>
        </w:rPr>
      </w:pPr>
      <w:r w:rsidRPr="0063119B">
        <w:rPr>
          <w:noProof/>
          <w:szCs w:val="22"/>
        </w:rPr>
        <w:t>▪</w:t>
      </w:r>
      <w:r w:rsidRPr="0063119B">
        <w:rPr>
          <w:noProof/>
          <w:szCs w:val="22"/>
        </w:rPr>
        <w:tab/>
        <w:t xml:space="preserve">alguns medicamentos para as infeções fúngicas (ex.: </w:t>
      </w:r>
      <w:r w:rsidR="00A256C2" w:rsidRPr="0063119B">
        <w:rPr>
          <w:noProof/>
          <w:szCs w:val="22"/>
        </w:rPr>
        <w:t xml:space="preserve">fluconazol, </w:t>
      </w:r>
      <w:r w:rsidRPr="0063119B">
        <w:rPr>
          <w:noProof/>
          <w:szCs w:val="22"/>
        </w:rPr>
        <w:t>itraconazol, voriconazol, posaconazol), a menos que seja apenas aplicado na pele</w:t>
      </w:r>
    </w:p>
    <w:p w14:paraId="3D3FEFB3" w14:textId="77777777" w:rsidR="00D713B4" w:rsidRPr="0063119B" w:rsidRDefault="00D713B4" w:rsidP="00DF57E1">
      <w:pPr>
        <w:suppressAutoHyphens/>
        <w:ind w:left="1134" w:hanging="567"/>
        <w:rPr>
          <w:noProof/>
          <w:szCs w:val="22"/>
        </w:rPr>
      </w:pPr>
      <w:r w:rsidRPr="0063119B">
        <w:rPr>
          <w:noProof/>
          <w:szCs w:val="22"/>
        </w:rPr>
        <w:t>▪</w:t>
      </w:r>
      <w:r w:rsidRPr="0063119B">
        <w:rPr>
          <w:noProof/>
          <w:szCs w:val="22"/>
        </w:rPr>
        <w:tab/>
        <w:t xml:space="preserve">comprimidos de cetoconazol (utilizados para tratar a síndrome de Cushing </w:t>
      </w:r>
      <w:r w:rsidR="00076A00" w:rsidRPr="0063119B">
        <w:rPr>
          <w:noProof/>
          <w:szCs w:val="22"/>
        </w:rPr>
        <w:t>–</w:t>
      </w:r>
      <w:r w:rsidRPr="0063119B">
        <w:rPr>
          <w:noProof/>
          <w:szCs w:val="22"/>
        </w:rPr>
        <w:t xml:space="preserve"> quando o organismo produz um excesso de cortisol)</w:t>
      </w:r>
    </w:p>
    <w:p w14:paraId="58DB72FA" w14:textId="77777777" w:rsidR="00B97B2B" w:rsidRPr="0063119B" w:rsidRDefault="00B97B2B" w:rsidP="00B97B2B">
      <w:pPr>
        <w:suppressAutoHyphens/>
        <w:ind w:left="1134" w:hanging="567"/>
        <w:rPr>
          <w:noProof/>
          <w:szCs w:val="22"/>
        </w:rPr>
      </w:pPr>
      <w:r w:rsidRPr="0063119B">
        <w:rPr>
          <w:noProof/>
          <w:szCs w:val="22"/>
        </w:rPr>
        <w:t>▪</w:t>
      </w:r>
      <w:r w:rsidRPr="0063119B">
        <w:rPr>
          <w:noProof/>
          <w:szCs w:val="22"/>
        </w:rPr>
        <w:tab/>
        <w:t>alguns medicamentos para infeções bacteriana</w:t>
      </w:r>
      <w:r w:rsidR="00BC3CDB" w:rsidRPr="0063119B">
        <w:rPr>
          <w:noProof/>
          <w:szCs w:val="22"/>
        </w:rPr>
        <w:t>s (ex.: claritromicina, eritromi</w:t>
      </w:r>
      <w:r w:rsidRPr="0063119B">
        <w:rPr>
          <w:noProof/>
          <w:szCs w:val="22"/>
        </w:rPr>
        <w:t>cina)</w:t>
      </w:r>
    </w:p>
    <w:p w14:paraId="75D6CF90" w14:textId="77777777" w:rsidR="00DF57E1" w:rsidRPr="0063119B" w:rsidRDefault="00DF57E1" w:rsidP="00DF57E1">
      <w:pPr>
        <w:suppressAutoHyphens/>
        <w:ind w:left="1134" w:hanging="567"/>
        <w:rPr>
          <w:noProof/>
          <w:szCs w:val="22"/>
        </w:rPr>
      </w:pPr>
      <w:r w:rsidRPr="0063119B">
        <w:rPr>
          <w:noProof/>
          <w:szCs w:val="22"/>
        </w:rPr>
        <w:t>▪</w:t>
      </w:r>
      <w:r w:rsidRPr="0063119B">
        <w:rPr>
          <w:noProof/>
          <w:szCs w:val="22"/>
        </w:rPr>
        <w:tab/>
        <w:t>alguns medicamentos anti</w:t>
      </w:r>
      <w:r w:rsidRPr="0063119B">
        <w:rPr>
          <w:noProof/>
          <w:szCs w:val="22"/>
        </w:rPr>
        <w:noBreakHyphen/>
        <w:t>virais para VIH / SIDA (ex.: ritonavir)</w:t>
      </w:r>
    </w:p>
    <w:p w14:paraId="4CE5B2FC" w14:textId="77777777" w:rsidR="00DF57E1" w:rsidRPr="0063119B" w:rsidRDefault="00DF57E1" w:rsidP="00DF57E1">
      <w:pPr>
        <w:suppressAutoHyphens/>
        <w:ind w:left="1134" w:hanging="567"/>
        <w:rPr>
          <w:noProof/>
          <w:szCs w:val="22"/>
        </w:rPr>
      </w:pPr>
      <w:r w:rsidRPr="0063119B">
        <w:rPr>
          <w:noProof/>
          <w:szCs w:val="22"/>
        </w:rPr>
        <w:t>▪</w:t>
      </w:r>
      <w:r w:rsidRPr="0063119B">
        <w:rPr>
          <w:noProof/>
          <w:szCs w:val="22"/>
        </w:rPr>
        <w:tab/>
        <w:t>outros medicamentos para diminuir a coagulação sanguínea (ex.: enoxaparina, clopidogrel ou antagonistas da vitamina K tais como a varfarina e o acenocumarol</w:t>
      </w:r>
      <w:r w:rsidR="00D713B4" w:rsidRPr="0063119B">
        <w:rPr>
          <w:noProof/>
          <w:szCs w:val="22"/>
        </w:rPr>
        <w:t>, prasugrel e ticagrelor (ver a secção “Advertências e precauções”)</w:t>
      </w:r>
      <w:r w:rsidRPr="0063119B">
        <w:rPr>
          <w:noProof/>
          <w:szCs w:val="22"/>
        </w:rPr>
        <w:t>)</w:t>
      </w:r>
    </w:p>
    <w:p w14:paraId="23104823" w14:textId="77777777" w:rsidR="00DF57E1" w:rsidRPr="0063119B" w:rsidRDefault="00DF57E1" w:rsidP="00DF57E1">
      <w:pPr>
        <w:suppressAutoHyphens/>
        <w:ind w:left="1134" w:hanging="567"/>
        <w:rPr>
          <w:noProof/>
          <w:szCs w:val="22"/>
        </w:rPr>
      </w:pPr>
      <w:r w:rsidRPr="0063119B">
        <w:rPr>
          <w:noProof/>
          <w:szCs w:val="22"/>
        </w:rPr>
        <w:t>▪</w:t>
      </w:r>
      <w:r w:rsidRPr="0063119B">
        <w:rPr>
          <w:noProof/>
          <w:szCs w:val="22"/>
        </w:rPr>
        <w:tab/>
        <w:t>anti</w:t>
      </w:r>
      <w:r w:rsidRPr="0063119B">
        <w:rPr>
          <w:noProof/>
          <w:szCs w:val="22"/>
        </w:rPr>
        <w:noBreakHyphen/>
        <w:t>inflamatórios e medicamentos para aliviar a dor (ex.: naproxeno ou ácido acetilsalicílico)</w:t>
      </w:r>
    </w:p>
    <w:p w14:paraId="42AC3158" w14:textId="77777777" w:rsidR="00DF57E1" w:rsidRPr="0063119B" w:rsidRDefault="00DF57E1" w:rsidP="00076A00">
      <w:pPr>
        <w:suppressAutoHyphens/>
        <w:ind w:left="1134" w:hanging="567"/>
        <w:rPr>
          <w:noProof/>
          <w:szCs w:val="22"/>
        </w:rPr>
      </w:pPr>
      <w:r w:rsidRPr="0063119B">
        <w:rPr>
          <w:noProof/>
          <w:szCs w:val="22"/>
        </w:rPr>
        <w:t>▪</w:t>
      </w:r>
      <w:r w:rsidRPr="0063119B">
        <w:rPr>
          <w:noProof/>
          <w:szCs w:val="22"/>
        </w:rPr>
        <w:tab/>
        <w:t>dronedarona, um medicamento para tratar o batimento cardíaco anormal</w:t>
      </w:r>
    </w:p>
    <w:p w14:paraId="62EDD382" w14:textId="77777777" w:rsidR="001914A3" w:rsidRPr="0063119B" w:rsidRDefault="001914A3" w:rsidP="00FB3537">
      <w:pPr>
        <w:tabs>
          <w:tab w:val="left" w:pos="1134"/>
        </w:tabs>
        <w:suppressAutoHyphens/>
        <w:ind w:left="1134" w:hanging="567"/>
        <w:rPr>
          <w:noProof/>
          <w:szCs w:val="22"/>
        </w:rPr>
      </w:pPr>
      <w:r w:rsidRPr="0063119B">
        <w:rPr>
          <w:noProof/>
          <w:szCs w:val="22"/>
        </w:rPr>
        <w:t>▪</w:t>
      </w:r>
      <w:r w:rsidRPr="0063119B">
        <w:rPr>
          <w:noProof/>
          <w:szCs w:val="22"/>
        </w:rPr>
        <w:tab/>
        <w:t>alguns medicamentos para tratar a depressão (inibidores seletivos da recaptação da serotonina (ISRS) ou inibidores da recaptação da serotonina e norepinefrina (IRSN))</w:t>
      </w:r>
      <w:r w:rsidR="00623D01" w:rsidRPr="0063119B">
        <w:rPr>
          <w:noProof/>
          <w:szCs w:val="22"/>
        </w:rPr>
        <w:t>.</w:t>
      </w:r>
    </w:p>
    <w:p w14:paraId="58D81A8F" w14:textId="77777777" w:rsidR="00DF57E1" w:rsidRPr="0063119B" w:rsidRDefault="00DF57E1" w:rsidP="00DF57E1">
      <w:pPr>
        <w:suppressAutoHyphens/>
        <w:ind w:firstLine="567"/>
        <w:rPr>
          <w:noProof/>
          <w:szCs w:val="22"/>
        </w:rPr>
      </w:pPr>
    </w:p>
    <w:p w14:paraId="757FD536" w14:textId="77777777" w:rsidR="00DF57E1" w:rsidRPr="0063119B" w:rsidRDefault="00DF57E1" w:rsidP="002B5FBC">
      <w:pPr>
        <w:suppressAutoHyphens/>
        <w:rPr>
          <w:noProof/>
          <w:szCs w:val="22"/>
        </w:rPr>
      </w:pPr>
      <w:r w:rsidRPr="0063119B">
        <w:rPr>
          <w:b/>
          <w:noProof/>
          <w:szCs w:val="22"/>
        </w:rPr>
        <w:t>Se alguma das situações acima se aplicar a si, informe o seu médico</w:t>
      </w:r>
      <w:r w:rsidRPr="0063119B">
        <w:rPr>
          <w:noProof/>
          <w:szCs w:val="22"/>
        </w:rPr>
        <w:t xml:space="preserve"> antes de tomar </w:t>
      </w:r>
      <w:r w:rsidR="00607DE4">
        <w:rPr>
          <w:noProof/>
          <w:szCs w:val="22"/>
        </w:rPr>
        <w:t>Rivaroxabano</w:t>
      </w:r>
      <w:r w:rsidR="001F7D02" w:rsidRPr="0063119B">
        <w:rPr>
          <w:noProof/>
          <w:szCs w:val="22"/>
        </w:rPr>
        <w:t xml:space="preserve"> Accord</w:t>
      </w:r>
      <w:r w:rsidRPr="0063119B">
        <w:rPr>
          <w:noProof/>
          <w:szCs w:val="22"/>
        </w:rPr>
        <w:t xml:space="preserve">, porque o efeito de </w:t>
      </w:r>
      <w:r w:rsidR="00607DE4">
        <w:rPr>
          <w:noProof/>
          <w:szCs w:val="22"/>
        </w:rPr>
        <w:t>Rivaroxabano</w:t>
      </w:r>
      <w:r w:rsidR="001F7D02" w:rsidRPr="0063119B">
        <w:rPr>
          <w:noProof/>
          <w:szCs w:val="22"/>
        </w:rPr>
        <w:t xml:space="preserve"> Accord</w:t>
      </w:r>
      <w:r w:rsidRPr="0063119B">
        <w:rPr>
          <w:noProof/>
          <w:szCs w:val="22"/>
        </w:rPr>
        <w:t xml:space="preserve"> pode estar aumentado. O seu médico decidirá se deve ser tratado com este medicamento e se deve ser mantido sob uma observação mais atenta.</w:t>
      </w:r>
    </w:p>
    <w:p w14:paraId="44235CB9" w14:textId="77777777" w:rsidR="00DF57E1" w:rsidRPr="0063119B" w:rsidRDefault="00DF57E1" w:rsidP="006A13A4">
      <w:pPr>
        <w:suppressAutoHyphens/>
        <w:rPr>
          <w:b/>
          <w:noProof/>
          <w:szCs w:val="22"/>
        </w:rPr>
      </w:pPr>
      <w:r w:rsidRPr="0063119B">
        <w:rPr>
          <w:noProof/>
          <w:szCs w:val="22"/>
        </w:rPr>
        <w:t>Se o seu médico considerar que corre risco de desenvolver úlceras do estômago ou intestino, poderá prescrever</w:t>
      </w:r>
      <w:r w:rsidRPr="0063119B">
        <w:rPr>
          <w:noProof/>
          <w:szCs w:val="22"/>
        </w:rPr>
        <w:noBreakHyphen/>
        <w:t>lhe também um tratamento preventivo de úlcera.</w:t>
      </w:r>
    </w:p>
    <w:p w14:paraId="1BA8F276" w14:textId="77777777" w:rsidR="00DF57E1" w:rsidRPr="0063119B" w:rsidRDefault="00DF57E1" w:rsidP="00DF57E1">
      <w:pPr>
        <w:suppressAutoHyphens/>
        <w:rPr>
          <w:noProof/>
          <w:szCs w:val="22"/>
        </w:rPr>
      </w:pPr>
    </w:p>
    <w:p w14:paraId="3B6A56C2" w14:textId="77777777" w:rsidR="00DF57E1" w:rsidRPr="0063119B" w:rsidRDefault="00DF57E1" w:rsidP="00DF57E1">
      <w:pPr>
        <w:tabs>
          <w:tab w:val="left" w:pos="567"/>
        </w:tabs>
        <w:suppressAutoHyphens/>
        <w:rPr>
          <w:b/>
          <w:noProof/>
          <w:szCs w:val="22"/>
        </w:rPr>
      </w:pPr>
      <w:r w:rsidRPr="0063119B">
        <w:rPr>
          <w:b/>
          <w:noProof/>
          <w:szCs w:val="22"/>
        </w:rPr>
        <w:noBreakHyphen/>
      </w:r>
      <w:r w:rsidRPr="0063119B">
        <w:rPr>
          <w:b/>
          <w:noProof/>
          <w:szCs w:val="22"/>
        </w:rPr>
        <w:tab/>
        <w:t>Se está a tomar</w:t>
      </w:r>
    </w:p>
    <w:p w14:paraId="798F2BA9" w14:textId="77777777" w:rsidR="00DF57E1" w:rsidRPr="0063119B" w:rsidRDefault="00DF57E1" w:rsidP="00DF57E1">
      <w:pPr>
        <w:suppressAutoHyphens/>
        <w:ind w:left="1134" w:hanging="567"/>
        <w:rPr>
          <w:b/>
          <w:noProof/>
          <w:szCs w:val="22"/>
        </w:rPr>
      </w:pPr>
      <w:r w:rsidRPr="0063119B">
        <w:rPr>
          <w:noProof/>
          <w:szCs w:val="22"/>
        </w:rPr>
        <w:t>▪</w:t>
      </w:r>
      <w:r w:rsidRPr="0063119B">
        <w:rPr>
          <w:noProof/>
          <w:szCs w:val="22"/>
        </w:rPr>
        <w:tab/>
        <w:t>alguns medicamentos para o tratamento da epilepsia</w:t>
      </w:r>
      <w:r w:rsidRPr="0063119B">
        <w:rPr>
          <w:b/>
          <w:noProof/>
          <w:szCs w:val="22"/>
        </w:rPr>
        <w:t xml:space="preserve"> </w:t>
      </w:r>
      <w:r w:rsidRPr="0063119B">
        <w:rPr>
          <w:noProof/>
          <w:szCs w:val="22"/>
        </w:rPr>
        <w:t>(fenitoína, carbamazepina, fenobarbital)</w:t>
      </w:r>
    </w:p>
    <w:p w14:paraId="048AF4C6" w14:textId="77777777" w:rsidR="00DF57E1" w:rsidRPr="0063119B" w:rsidRDefault="00DF57E1" w:rsidP="00DF57E1">
      <w:pPr>
        <w:suppressAutoHyphens/>
        <w:ind w:left="1134" w:hanging="567"/>
        <w:rPr>
          <w:b/>
          <w:noProof/>
          <w:szCs w:val="22"/>
        </w:rPr>
      </w:pPr>
      <w:r w:rsidRPr="0063119B">
        <w:rPr>
          <w:noProof/>
          <w:szCs w:val="22"/>
        </w:rPr>
        <w:t>▪</w:t>
      </w:r>
      <w:r w:rsidRPr="0063119B">
        <w:rPr>
          <w:noProof/>
          <w:szCs w:val="22"/>
        </w:rPr>
        <w:tab/>
        <w:t>hipericão</w:t>
      </w:r>
      <w:r w:rsidRPr="0063119B">
        <w:rPr>
          <w:b/>
          <w:noProof/>
          <w:szCs w:val="22"/>
        </w:rPr>
        <w:t xml:space="preserve"> </w:t>
      </w:r>
      <w:r w:rsidRPr="0063119B">
        <w:rPr>
          <w:rStyle w:val="BoldtextinprintedPIonly"/>
          <w:b w:val="0"/>
          <w:noProof/>
          <w:szCs w:val="22"/>
        </w:rPr>
        <w:t>(</w:t>
      </w:r>
      <w:r w:rsidRPr="0063119B">
        <w:rPr>
          <w:rStyle w:val="BoldtextinprintedPIonly"/>
          <w:b w:val="0"/>
          <w:i/>
          <w:noProof/>
          <w:szCs w:val="22"/>
        </w:rPr>
        <w:t>Hypericum perforatum</w:t>
      </w:r>
      <w:r w:rsidRPr="0063119B">
        <w:rPr>
          <w:rStyle w:val="BoldtextinprintedPIonly"/>
          <w:b w:val="0"/>
          <w:noProof/>
          <w:szCs w:val="22"/>
        </w:rPr>
        <w:t>),</w:t>
      </w:r>
      <w:r w:rsidRPr="0063119B">
        <w:rPr>
          <w:b/>
          <w:noProof/>
          <w:szCs w:val="22"/>
        </w:rPr>
        <w:t xml:space="preserve"> </w:t>
      </w:r>
      <w:r w:rsidRPr="0063119B">
        <w:rPr>
          <w:noProof/>
          <w:szCs w:val="22"/>
        </w:rPr>
        <w:t>um produto à base de plantas utilizado para a depressão</w:t>
      </w:r>
    </w:p>
    <w:p w14:paraId="61DD0580" w14:textId="77777777" w:rsidR="00DF57E1" w:rsidRPr="0063119B" w:rsidRDefault="00DF57E1" w:rsidP="00DF57E1">
      <w:pPr>
        <w:suppressAutoHyphens/>
        <w:ind w:left="1134" w:hanging="567"/>
        <w:rPr>
          <w:noProof/>
          <w:szCs w:val="22"/>
        </w:rPr>
      </w:pPr>
      <w:r w:rsidRPr="0063119B">
        <w:rPr>
          <w:noProof/>
          <w:szCs w:val="22"/>
        </w:rPr>
        <w:t>▪</w:t>
      </w:r>
      <w:r w:rsidRPr="0063119B">
        <w:rPr>
          <w:noProof/>
          <w:szCs w:val="22"/>
        </w:rPr>
        <w:tab/>
        <w:t>rifampicina</w:t>
      </w:r>
      <w:r w:rsidRPr="0063119B">
        <w:rPr>
          <w:b/>
          <w:noProof/>
          <w:szCs w:val="22"/>
        </w:rPr>
        <w:t xml:space="preserve">, </w:t>
      </w:r>
      <w:r w:rsidRPr="0063119B">
        <w:rPr>
          <w:noProof/>
          <w:szCs w:val="22"/>
        </w:rPr>
        <w:t>um antibiótico</w:t>
      </w:r>
    </w:p>
    <w:p w14:paraId="7728FAD4" w14:textId="77777777" w:rsidR="00DF57E1" w:rsidRPr="0063119B" w:rsidRDefault="00DF57E1" w:rsidP="006A13A4">
      <w:pPr>
        <w:suppressAutoHyphens/>
        <w:rPr>
          <w:b/>
          <w:noProof/>
          <w:szCs w:val="22"/>
        </w:rPr>
      </w:pPr>
      <w:r w:rsidRPr="0063119B">
        <w:rPr>
          <w:b/>
          <w:noProof/>
          <w:szCs w:val="22"/>
        </w:rPr>
        <w:t>Se alguma das situações acima se aplicar a si, informe o seu médico</w:t>
      </w:r>
      <w:r w:rsidRPr="0063119B">
        <w:rPr>
          <w:noProof/>
          <w:szCs w:val="22"/>
        </w:rPr>
        <w:t xml:space="preserve"> antes de tomar </w:t>
      </w:r>
      <w:r w:rsidR="00607DE4">
        <w:rPr>
          <w:noProof/>
          <w:szCs w:val="22"/>
        </w:rPr>
        <w:t>Rivaroxabano</w:t>
      </w:r>
      <w:r w:rsidR="001F7D02" w:rsidRPr="0063119B">
        <w:rPr>
          <w:noProof/>
          <w:szCs w:val="22"/>
        </w:rPr>
        <w:t xml:space="preserve"> Accord</w:t>
      </w:r>
      <w:r w:rsidRPr="0063119B">
        <w:rPr>
          <w:noProof/>
          <w:szCs w:val="22"/>
        </w:rPr>
        <w:t xml:space="preserve">, porque o efeito de </w:t>
      </w:r>
      <w:r w:rsidR="00607DE4">
        <w:rPr>
          <w:noProof/>
          <w:szCs w:val="22"/>
        </w:rPr>
        <w:t>Rivaroxabano</w:t>
      </w:r>
      <w:r w:rsidR="001F7D02" w:rsidRPr="0063119B">
        <w:rPr>
          <w:noProof/>
          <w:szCs w:val="22"/>
        </w:rPr>
        <w:t xml:space="preserve"> Accord</w:t>
      </w:r>
      <w:r w:rsidRPr="0063119B">
        <w:rPr>
          <w:noProof/>
          <w:szCs w:val="22"/>
        </w:rPr>
        <w:t xml:space="preserve"> pode estar diminuído. O seu médico decidirá se deve ser tratado com </w:t>
      </w:r>
      <w:r w:rsidR="00607DE4">
        <w:rPr>
          <w:noProof/>
          <w:szCs w:val="22"/>
        </w:rPr>
        <w:t>Rivaroxabano</w:t>
      </w:r>
      <w:r w:rsidR="001F7D02" w:rsidRPr="0063119B">
        <w:rPr>
          <w:noProof/>
          <w:szCs w:val="22"/>
        </w:rPr>
        <w:t xml:space="preserve"> Accord</w:t>
      </w:r>
      <w:r w:rsidRPr="0063119B">
        <w:rPr>
          <w:noProof/>
          <w:szCs w:val="22"/>
        </w:rPr>
        <w:t xml:space="preserve"> e se deve ser mantido sob uma observação mais atenta.</w:t>
      </w:r>
    </w:p>
    <w:p w14:paraId="7A2B9677" w14:textId="77777777" w:rsidR="00DF57E1" w:rsidRPr="0063119B" w:rsidRDefault="00DF57E1" w:rsidP="00DF57E1">
      <w:pPr>
        <w:suppressAutoHyphens/>
        <w:rPr>
          <w:b/>
          <w:noProof/>
          <w:szCs w:val="22"/>
        </w:rPr>
      </w:pPr>
    </w:p>
    <w:p w14:paraId="75385262" w14:textId="77777777" w:rsidR="00DF57E1" w:rsidRPr="0063119B" w:rsidRDefault="00DF57E1" w:rsidP="00DF57E1">
      <w:pPr>
        <w:suppressAutoHyphens/>
        <w:rPr>
          <w:noProof/>
          <w:szCs w:val="22"/>
        </w:rPr>
      </w:pPr>
      <w:r w:rsidRPr="0063119B">
        <w:rPr>
          <w:b/>
          <w:noProof/>
          <w:szCs w:val="22"/>
        </w:rPr>
        <w:t>Gravidez e amamentação</w:t>
      </w:r>
    </w:p>
    <w:p w14:paraId="0CBD5CE3" w14:textId="77777777" w:rsidR="00DF57E1" w:rsidRPr="0063119B" w:rsidRDefault="00DF57E1" w:rsidP="00DF57E1">
      <w:pPr>
        <w:suppressAutoHyphens/>
        <w:rPr>
          <w:noProof/>
          <w:szCs w:val="22"/>
        </w:rPr>
      </w:pPr>
      <w:r w:rsidRPr="0063119B">
        <w:rPr>
          <w:noProof/>
          <w:szCs w:val="22"/>
        </w:rPr>
        <w:t>Se está grávida ou a amamentar</w:t>
      </w:r>
      <w:r w:rsidRPr="0063119B">
        <w:rPr>
          <w:b/>
          <w:noProof/>
          <w:szCs w:val="22"/>
        </w:rPr>
        <w:t xml:space="preserve"> </w:t>
      </w:r>
      <w:r w:rsidRPr="0063119B">
        <w:rPr>
          <w:noProof/>
          <w:szCs w:val="22"/>
        </w:rPr>
        <w:t xml:space="preserve">não tome </w:t>
      </w:r>
      <w:r w:rsidR="00607DE4">
        <w:rPr>
          <w:noProof/>
          <w:szCs w:val="22"/>
        </w:rPr>
        <w:t>Rivaroxabano</w:t>
      </w:r>
      <w:r w:rsidR="001F7D02" w:rsidRPr="0063119B">
        <w:rPr>
          <w:noProof/>
          <w:szCs w:val="22"/>
        </w:rPr>
        <w:t xml:space="preserve"> Accord</w:t>
      </w:r>
      <w:r w:rsidRPr="0063119B">
        <w:rPr>
          <w:noProof/>
          <w:szCs w:val="22"/>
        </w:rPr>
        <w:t xml:space="preserve">. Se existe a possibilidade de poder ficar grávida, utilize um contracetivo fiável, enquanto toma </w:t>
      </w:r>
      <w:r w:rsidR="00607DE4">
        <w:rPr>
          <w:noProof/>
          <w:szCs w:val="22"/>
        </w:rPr>
        <w:t>Rivaroxabano</w:t>
      </w:r>
      <w:r w:rsidR="001F7D02" w:rsidRPr="0063119B">
        <w:rPr>
          <w:noProof/>
          <w:szCs w:val="22"/>
        </w:rPr>
        <w:t xml:space="preserve"> Accord</w:t>
      </w:r>
      <w:r w:rsidRPr="0063119B">
        <w:rPr>
          <w:noProof/>
          <w:szCs w:val="22"/>
        </w:rPr>
        <w:t>. Se engravidar, enquanto está a tomar este medicamento, informe imediatamente o seu médico, que decidirá como deverá ser tratada.</w:t>
      </w:r>
    </w:p>
    <w:p w14:paraId="57A11780" w14:textId="77777777" w:rsidR="00DF57E1" w:rsidRPr="0063119B" w:rsidRDefault="00DF57E1" w:rsidP="00DF57E1">
      <w:pPr>
        <w:suppressAutoHyphens/>
        <w:rPr>
          <w:noProof/>
          <w:szCs w:val="22"/>
        </w:rPr>
      </w:pPr>
    </w:p>
    <w:p w14:paraId="5A0F7BB0" w14:textId="77777777" w:rsidR="00DF57E1" w:rsidRPr="0063119B" w:rsidRDefault="00DF57E1" w:rsidP="00DF57E1">
      <w:pPr>
        <w:keepNext/>
        <w:suppressAutoHyphens/>
        <w:rPr>
          <w:noProof/>
          <w:szCs w:val="22"/>
        </w:rPr>
      </w:pPr>
      <w:r w:rsidRPr="0063119B">
        <w:rPr>
          <w:b/>
          <w:noProof/>
          <w:szCs w:val="22"/>
        </w:rPr>
        <w:lastRenderedPageBreak/>
        <w:t>Condução de veículos e utilização de máquinas</w:t>
      </w:r>
    </w:p>
    <w:p w14:paraId="1F090840" w14:textId="77777777" w:rsidR="00DF57E1" w:rsidRPr="0063119B" w:rsidRDefault="00607DE4" w:rsidP="00DF57E1">
      <w:pPr>
        <w:keepNext/>
        <w:suppressAutoHyphens/>
        <w:rPr>
          <w:noProof/>
          <w:szCs w:val="22"/>
        </w:rPr>
      </w:pPr>
      <w:r>
        <w:rPr>
          <w:noProof/>
          <w:szCs w:val="22"/>
        </w:rPr>
        <w:t>Rivaroxabano</w:t>
      </w:r>
      <w:r w:rsidR="001F7D02" w:rsidRPr="0063119B">
        <w:rPr>
          <w:noProof/>
          <w:szCs w:val="22"/>
        </w:rPr>
        <w:t xml:space="preserve"> Accord</w:t>
      </w:r>
      <w:r w:rsidR="00DF57E1" w:rsidRPr="0063119B">
        <w:rPr>
          <w:noProof/>
          <w:szCs w:val="22"/>
        </w:rPr>
        <w:t xml:space="preserve"> pode causar tonturas (efeito </w:t>
      </w:r>
      <w:r w:rsidR="003914C9" w:rsidRPr="0063119B">
        <w:rPr>
          <w:noProof/>
          <w:szCs w:val="22"/>
        </w:rPr>
        <w:t>indesejável</w:t>
      </w:r>
      <w:r w:rsidR="00DF57E1" w:rsidRPr="0063119B">
        <w:rPr>
          <w:noProof/>
          <w:szCs w:val="22"/>
        </w:rPr>
        <w:t xml:space="preserve"> frequente) ou desmaio (efeito </w:t>
      </w:r>
      <w:r w:rsidR="003914C9" w:rsidRPr="0063119B">
        <w:rPr>
          <w:noProof/>
          <w:szCs w:val="22"/>
        </w:rPr>
        <w:t>indesejável</w:t>
      </w:r>
      <w:r w:rsidR="00DF57E1" w:rsidRPr="0063119B">
        <w:rPr>
          <w:noProof/>
          <w:szCs w:val="22"/>
        </w:rPr>
        <w:t xml:space="preserve"> pouco frequente) (ver secção 4</w:t>
      </w:r>
      <w:r w:rsidR="00E96BEA" w:rsidRPr="0063119B">
        <w:rPr>
          <w:noProof/>
          <w:szCs w:val="22"/>
        </w:rPr>
        <w:t>,</w:t>
      </w:r>
      <w:r w:rsidR="00DF57E1" w:rsidRPr="0063119B">
        <w:rPr>
          <w:noProof/>
          <w:szCs w:val="22"/>
        </w:rPr>
        <w:t xml:space="preserve"> “Efeitos </w:t>
      </w:r>
      <w:r w:rsidR="00654D4F" w:rsidRPr="0063119B">
        <w:rPr>
          <w:noProof/>
          <w:szCs w:val="22"/>
        </w:rPr>
        <w:t>indesejáveis</w:t>
      </w:r>
      <w:r w:rsidR="00DF57E1" w:rsidRPr="0063119B">
        <w:rPr>
          <w:noProof/>
          <w:szCs w:val="22"/>
        </w:rPr>
        <w:t xml:space="preserve"> possíveis”). Não deve conduzir</w:t>
      </w:r>
      <w:r w:rsidR="00164B57">
        <w:rPr>
          <w:noProof/>
          <w:szCs w:val="22"/>
        </w:rPr>
        <w:t xml:space="preserve">, </w:t>
      </w:r>
      <w:r w:rsidR="00164B57">
        <w:rPr>
          <w:szCs w:val="22"/>
        </w:rPr>
        <w:t>andar de bicicleta</w:t>
      </w:r>
      <w:r w:rsidR="00DF57E1" w:rsidRPr="0063119B">
        <w:rPr>
          <w:noProof/>
          <w:szCs w:val="22"/>
        </w:rPr>
        <w:t xml:space="preserve"> ou utilizar </w:t>
      </w:r>
      <w:r w:rsidR="00164B57">
        <w:rPr>
          <w:szCs w:val="22"/>
        </w:rPr>
        <w:t xml:space="preserve">qualquer ferramenta ou </w:t>
      </w:r>
      <w:r w:rsidR="00DF57E1" w:rsidRPr="0063119B">
        <w:rPr>
          <w:noProof/>
          <w:szCs w:val="22"/>
        </w:rPr>
        <w:t>máquinas se for afetado por estes sintomas.</w:t>
      </w:r>
    </w:p>
    <w:p w14:paraId="388E35A6" w14:textId="77777777" w:rsidR="00DF57E1" w:rsidRPr="0063119B" w:rsidRDefault="00DF57E1" w:rsidP="00DF57E1">
      <w:pPr>
        <w:suppressAutoHyphens/>
        <w:rPr>
          <w:noProof/>
          <w:szCs w:val="22"/>
        </w:rPr>
      </w:pPr>
    </w:p>
    <w:p w14:paraId="42ACF633" w14:textId="77777777" w:rsidR="00DF57E1" w:rsidRPr="0063119B" w:rsidRDefault="00607DE4" w:rsidP="00DF57E1">
      <w:pPr>
        <w:keepNext/>
        <w:suppressAutoHyphens/>
        <w:rPr>
          <w:b/>
          <w:noProof/>
          <w:szCs w:val="22"/>
        </w:rPr>
      </w:pPr>
      <w:r>
        <w:rPr>
          <w:b/>
          <w:noProof/>
          <w:szCs w:val="22"/>
        </w:rPr>
        <w:t>Rivaroxabano</w:t>
      </w:r>
      <w:r w:rsidR="001F7D02" w:rsidRPr="0063119B">
        <w:rPr>
          <w:b/>
          <w:noProof/>
          <w:szCs w:val="22"/>
        </w:rPr>
        <w:t xml:space="preserve"> Accord</w:t>
      </w:r>
      <w:r w:rsidR="00DF57E1" w:rsidRPr="0063119B">
        <w:rPr>
          <w:b/>
          <w:noProof/>
          <w:szCs w:val="22"/>
        </w:rPr>
        <w:t xml:space="preserve"> contém lactose</w:t>
      </w:r>
      <w:r w:rsidR="003F2576" w:rsidRPr="0063119B">
        <w:rPr>
          <w:b/>
          <w:noProof/>
          <w:szCs w:val="22"/>
        </w:rPr>
        <w:t xml:space="preserve"> e sódio</w:t>
      </w:r>
    </w:p>
    <w:p w14:paraId="006DD4A7" w14:textId="77777777" w:rsidR="00DF57E1" w:rsidRPr="0063119B" w:rsidRDefault="00DF57E1" w:rsidP="00DF57E1">
      <w:pPr>
        <w:keepNext/>
        <w:suppressAutoHyphens/>
        <w:rPr>
          <w:noProof/>
          <w:szCs w:val="22"/>
        </w:rPr>
      </w:pPr>
      <w:r w:rsidRPr="0063119B">
        <w:rPr>
          <w:noProof/>
          <w:szCs w:val="22"/>
        </w:rPr>
        <w:t>Se foi informado pelo seu médico que tem intolerância a alguns açúcares, contacte</w:t>
      </w:r>
      <w:r w:rsidRPr="0063119B">
        <w:rPr>
          <w:noProof/>
          <w:szCs w:val="22"/>
        </w:rPr>
        <w:noBreakHyphen/>
        <w:t>o antes de tomar este medicamento.</w:t>
      </w:r>
    </w:p>
    <w:p w14:paraId="1083C125" w14:textId="77777777" w:rsidR="003F2576" w:rsidRPr="0063119B" w:rsidRDefault="003F2576" w:rsidP="00DF57E1">
      <w:pPr>
        <w:keepNext/>
        <w:suppressAutoHyphens/>
        <w:rPr>
          <w:noProof/>
          <w:szCs w:val="22"/>
        </w:rPr>
      </w:pPr>
      <w:r w:rsidRPr="0063119B">
        <w:rPr>
          <w:noProof/>
          <w:szCs w:val="22"/>
        </w:rPr>
        <w:t xml:space="preserve">Este medicamento contém menos de 1 mmol de sódio (23 mg) por comprimido, </w:t>
      </w:r>
      <w:r w:rsidR="00B06231" w:rsidRPr="0063119B">
        <w:rPr>
          <w:noProof/>
          <w:szCs w:val="22"/>
        </w:rPr>
        <w:t xml:space="preserve">ou </w:t>
      </w:r>
      <w:r w:rsidRPr="0063119B">
        <w:rPr>
          <w:noProof/>
          <w:szCs w:val="22"/>
        </w:rPr>
        <w:t>seja é praticamente “isento de sódio”.</w:t>
      </w:r>
    </w:p>
    <w:p w14:paraId="29955DF1" w14:textId="77777777" w:rsidR="00DF57E1" w:rsidRPr="0063119B" w:rsidRDefault="00DF57E1" w:rsidP="00DF57E1">
      <w:pPr>
        <w:suppressAutoHyphens/>
        <w:rPr>
          <w:noProof/>
          <w:szCs w:val="22"/>
        </w:rPr>
      </w:pPr>
    </w:p>
    <w:p w14:paraId="6241C00D" w14:textId="77777777" w:rsidR="00DF57E1" w:rsidRPr="0063119B" w:rsidRDefault="00DF57E1" w:rsidP="00DF57E1">
      <w:pPr>
        <w:suppressAutoHyphens/>
        <w:rPr>
          <w:noProof/>
          <w:szCs w:val="22"/>
        </w:rPr>
      </w:pPr>
    </w:p>
    <w:p w14:paraId="0F719E96" w14:textId="77777777" w:rsidR="00DF57E1" w:rsidRPr="0063119B" w:rsidRDefault="00DF57E1" w:rsidP="00DF57E1">
      <w:pPr>
        <w:suppressAutoHyphens/>
        <w:ind w:left="567" w:hanging="567"/>
        <w:rPr>
          <w:noProof/>
          <w:szCs w:val="22"/>
        </w:rPr>
      </w:pPr>
      <w:r w:rsidRPr="0063119B">
        <w:rPr>
          <w:b/>
          <w:noProof/>
          <w:szCs w:val="22"/>
        </w:rPr>
        <w:t>3.</w:t>
      </w:r>
      <w:r w:rsidRPr="0063119B">
        <w:rPr>
          <w:b/>
          <w:noProof/>
          <w:szCs w:val="22"/>
        </w:rPr>
        <w:tab/>
        <w:t xml:space="preserve">Como tomar </w:t>
      </w:r>
      <w:r w:rsidR="00607DE4">
        <w:rPr>
          <w:b/>
          <w:noProof/>
          <w:szCs w:val="22"/>
        </w:rPr>
        <w:t>Rivaroxabano</w:t>
      </w:r>
      <w:r w:rsidR="001F7D02" w:rsidRPr="0063119B">
        <w:rPr>
          <w:b/>
          <w:noProof/>
          <w:szCs w:val="22"/>
        </w:rPr>
        <w:t xml:space="preserve"> Accord</w:t>
      </w:r>
    </w:p>
    <w:p w14:paraId="14DD92D9" w14:textId="77777777" w:rsidR="00DF57E1" w:rsidRPr="0063119B" w:rsidRDefault="00DF57E1" w:rsidP="00DF57E1">
      <w:pPr>
        <w:suppressAutoHyphens/>
        <w:rPr>
          <w:noProof/>
          <w:szCs w:val="22"/>
        </w:rPr>
      </w:pPr>
    </w:p>
    <w:p w14:paraId="135744B5" w14:textId="77777777" w:rsidR="00DF57E1" w:rsidRPr="0063119B" w:rsidRDefault="00DF57E1" w:rsidP="00DF57E1">
      <w:pPr>
        <w:suppressAutoHyphens/>
        <w:rPr>
          <w:noProof/>
          <w:szCs w:val="22"/>
        </w:rPr>
      </w:pPr>
      <w:r w:rsidRPr="0063119B">
        <w:rPr>
          <w:noProof/>
          <w:szCs w:val="22"/>
        </w:rPr>
        <w:t>Tome este medicamento exatamente como indicado pelo seu médico. Fale com o seu médico ou farmacêutico se tiver dúvidas.</w:t>
      </w:r>
    </w:p>
    <w:p w14:paraId="15F39E3C" w14:textId="77777777" w:rsidR="00DF57E1" w:rsidRPr="0063119B" w:rsidRDefault="00DF57E1" w:rsidP="00DF57E1">
      <w:pPr>
        <w:suppressAutoHyphens/>
        <w:rPr>
          <w:noProof/>
          <w:szCs w:val="22"/>
        </w:rPr>
      </w:pPr>
    </w:p>
    <w:p w14:paraId="3E0A2C67" w14:textId="77777777" w:rsidR="00DF57E1" w:rsidRPr="0063119B" w:rsidRDefault="00DF57E1" w:rsidP="00DF57E1">
      <w:pPr>
        <w:suppressAutoHyphens/>
        <w:rPr>
          <w:b/>
          <w:noProof/>
          <w:szCs w:val="22"/>
        </w:rPr>
      </w:pPr>
      <w:r w:rsidRPr="0063119B">
        <w:rPr>
          <w:b/>
          <w:noProof/>
          <w:szCs w:val="22"/>
        </w:rPr>
        <w:t>Que quantidade tomar</w:t>
      </w:r>
    </w:p>
    <w:p w14:paraId="275645A2" w14:textId="77777777" w:rsidR="00DF57E1" w:rsidRPr="0063119B" w:rsidRDefault="00DF57E1" w:rsidP="00DF57E1">
      <w:pPr>
        <w:suppressAutoHyphens/>
        <w:rPr>
          <w:noProof/>
          <w:szCs w:val="22"/>
        </w:rPr>
      </w:pPr>
      <w:r w:rsidRPr="0063119B">
        <w:rPr>
          <w:noProof/>
          <w:szCs w:val="22"/>
        </w:rPr>
        <w:t xml:space="preserve">A dose recomendada é de um comprimido de 2,5 mg duas vezes ao dia. Tome </w:t>
      </w:r>
      <w:r w:rsidR="00607DE4">
        <w:rPr>
          <w:noProof/>
          <w:szCs w:val="22"/>
        </w:rPr>
        <w:t>Rivaroxabano</w:t>
      </w:r>
      <w:r w:rsidR="001F7D02" w:rsidRPr="0063119B">
        <w:rPr>
          <w:noProof/>
          <w:szCs w:val="22"/>
        </w:rPr>
        <w:t xml:space="preserve"> Accord</w:t>
      </w:r>
      <w:r w:rsidRPr="0063119B">
        <w:rPr>
          <w:noProof/>
          <w:szCs w:val="22"/>
        </w:rPr>
        <w:t xml:space="preserve"> por volta da mesma hora, todos os dias (por exemplo, um comprimido de manhã e um à noite). Este medicamento pode ser tomado com ou sem alimentos.</w:t>
      </w:r>
    </w:p>
    <w:p w14:paraId="33BA2601" w14:textId="77777777" w:rsidR="00DF57E1" w:rsidRPr="0063119B" w:rsidRDefault="00DF57E1" w:rsidP="00DF57E1">
      <w:pPr>
        <w:suppressAutoHyphens/>
        <w:rPr>
          <w:noProof/>
          <w:szCs w:val="22"/>
        </w:rPr>
      </w:pPr>
    </w:p>
    <w:p w14:paraId="0750B927" w14:textId="77777777" w:rsidR="00F10CE3" w:rsidRPr="0063119B" w:rsidRDefault="00F10CE3" w:rsidP="00DF57E1">
      <w:pPr>
        <w:suppressAutoHyphens/>
        <w:rPr>
          <w:noProof/>
          <w:szCs w:val="22"/>
        </w:rPr>
      </w:pPr>
      <w:r w:rsidRPr="0063119B">
        <w:rPr>
          <w:noProof/>
          <w:szCs w:val="22"/>
        </w:rPr>
        <w:t xml:space="preserve">Se tiver dificuldade em engolir o comprimido inteiro, fale com o seu médico sobre outras formas de tomar </w:t>
      </w:r>
      <w:r w:rsidR="00607DE4">
        <w:rPr>
          <w:noProof/>
          <w:szCs w:val="22"/>
        </w:rPr>
        <w:t>Rivaroxabano</w:t>
      </w:r>
      <w:r w:rsidR="001F7D02" w:rsidRPr="0063119B">
        <w:rPr>
          <w:noProof/>
          <w:szCs w:val="22"/>
        </w:rPr>
        <w:t xml:space="preserve"> Accord</w:t>
      </w:r>
      <w:r w:rsidRPr="0063119B">
        <w:rPr>
          <w:noProof/>
          <w:szCs w:val="22"/>
        </w:rPr>
        <w:t>. O comprimido pode ser esmagado e misturado com água ou</w:t>
      </w:r>
      <w:r w:rsidR="005250BA" w:rsidRPr="0063119B">
        <w:rPr>
          <w:noProof/>
          <w:szCs w:val="22"/>
        </w:rPr>
        <w:t xml:space="preserve"> </w:t>
      </w:r>
      <w:r w:rsidRPr="0063119B">
        <w:rPr>
          <w:noProof/>
          <w:szCs w:val="22"/>
        </w:rPr>
        <w:t xml:space="preserve"> puré de maçã imediatame</w:t>
      </w:r>
      <w:r w:rsidR="00B01755" w:rsidRPr="0063119B">
        <w:rPr>
          <w:noProof/>
          <w:szCs w:val="22"/>
        </w:rPr>
        <w:t>nte</w:t>
      </w:r>
      <w:r w:rsidRPr="0063119B">
        <w:rPr>
          <w:noProof/>
          <w:szCs w:val="22"/>
        </w:rPr>
        <w:t xml:space="preserve"> antes de o tomar.</w:t>
      </w:r>
    </w:p>
    <w:p w14:paraId="3EDBB6E7" w14:textId="77777777" w:rsidR="00F10CE3" w:rsidRPr="0063119B" w:rsidRDefault="00F10CE3" w:rsidP="00DF57E1">
      <w:pPr>
        <w:suppressAutoHyphens/>
        <w:rPr>
          <w:noProof/>
          <w:szCs w:val="22"/>
        </w:rPr>
      </w:pPr>
      <w:r w:rsidRPr="0063119B">
        <w:rPr>
          <w:noProof/>
          <w:szCs w:val="22"/>
        </w:rPr>
        <w:t>Se necessário, o seu médico pode administrar-lhe</w:t>
      </w:r>
      <w:r w:rsidR="003F4E19" w:rsidRPr="0063119B">
        <w:rPr>
          <w:noProof/>
          <w:szCs w:val="22"/>
        </w:rPr>
        <w:t xml:space="preserve"> também</w:t>
      </w:r>
      <w:r w:rsidRPr="0063119B">
        <w:rPr>
          <w:noProof/>
          <w:szCs w:val="22"/>
        </w:rPr>
        <w:t xml:space="preserve"> o comprimido </w:t>
      </w:r>
      <w:r w:rsidR="00607DE4">
        <w:rPr>
          <w:noProof/>
          <w:szCs w:val="22"/>
        </w:rPr>
        <w:t>Rivaroxabano</w:t>
      </w:r>
      <w:r w:rsidR="001F7D02" w:rsidRPr="0063119B">
        <w:rPr>
          <w:noProof/>
          <w:szCs w:val="22"/>
        </w:rPr>
        <w:t xml:space="preserve"> Accord</w:t>
      </w:r>
      <w:r w:rsidRPr="0063119B">
        <w:rPr>
          <w:noProof/>
          <w:szCs w:val="22"/>
        </w:rPr>
        <w:t xml:space="preserve"> esmagado através de uma sonda gástrica.</w:t>
      </w:r>
    </w:p>
    <w:p w14:paraId="0E049C6E" w14:textId="77777777" w:rsidR="00F10CE3" w:rsidRPr="0063119B" w:rsidRDefault="00F10CE3" w:rsidP="00DF57E1">
      <w:pPr>
        <w:suppressAutoHyphens/>
        <w:rPr>
          <w:noProof/>
          <w:szCs w:val="22"/>
        </w:rPr>
      </w:pPr>
    </w:p>
    <w:p w14:paraId="61F1D9A3" w14:textId="77777777" w:rsidR="00DF57E1" w:rsidRPr="0063119B" w:rsidRDefault="00607DE4" w:rsidP="00076A00">
      <w:pPr>
        <w:numPr>
          <w:ilvl w:val="12"/>
          <w:numId w:val="0"/>
        </w:numPr>
        <w:suppressAutoHyphens/>
        <w:rPr>
          <w:szCs w:val="22"/>
        </w:rPr>
      </w:pPr>
      <w:r>
        <w:rPr>
          <w:noProof/>
          <w:szCs w:val="22"/>
        </w:rPr>
        <w:t>Rivaroxabano</w:t>
      </w:r>
      <w:r w:rsidR="001F7D02" w:rsidRPr="0063119B">
        <w:rPr>
          <w:noProof/>
          <w:szCs w:val="22"/>
        </w:rPr>
        <w:t xml:space="preserve"> Accord</w:t>
      </w:r>
      <w:r w:rsidR="00DF57E1" w:rsidRPr="0063119B">
        <w:rPr>
          <w:noProof/>
          <w:szCs w:val="22"/>
        </w:rPr>
        <w:t xml:space="preserve"> não lhe será administrado isoladamente.</w:t>
      </w:r>
    </w:p>
    <w:p w14:paraId="16372C77" w14:textId="77777777" w:rsidR="00DF57E1" w:rsidRPr="0063119B" w:rsidRDefault="00D713B4" w:rsidP="00DF57E1">
      <w:pPr>
        <w:ind w:right="-2"/>
        <w:rPr>
          <w:szCs w:val="22"/>
        </w:rPr>
      </w:pPr>
      <w:r w:rsidRPr="0063119B">
        <w:rPr>
          <w:szCs w:val="22"/>
        </w:rPr>
        <w:t>O seu médico também lhe dirá para tomar ácido acetilsalicílico. Se lhe for rec</w:t>
      </w:r>
      <w:r w:rsidR="00C6482B" w:rsidRPr="0063119B">
        <w:rPr>
          <w:szCs w:val="22"/>
        </w:rPr>
        <w:t>e</w:t>
      </w:r>
      <w:r w:rsidRPr="0063119B">
        <w:rPr>
          <w:szCs w:val="22"/>
        </w:rPr>
        <w:t xml:space="preserve">itado </w:t>
      </w:r>
      <w:r w:rsidR="00607DE4">
        <w:rPr>
          <w:szCs w:val="22"/>
        </w:rPr>
        <w:t>Rivaroxabano</w:t>
      </w:r>
      <w:r w:rsidR="001F7D02" w:rsidRPr="0063119B">
        <w:rPr>
          <w:szCs w:val="22"/>
        </w:rPr>
        <w:t xml:space="preserve"> Accord</w:t>
      </w:r>
      <w:r w:rsidRPr="0063119B">
        <w:rPr>
          <w:szCs w:val="22"/>
        </w:rPr>
        <w:t xml:space="preserve"> após uma síndrome coronária aguda, o seu médico pode dizer-lhe para tomar também ticlopidina.</w:t>
      </w:r>
    </w:p>
    <w:p w14:paraId="5DB19A6F" w14:textId="77777777" w:rsidR="00D713B4" w:rsidRDefault="00F03D43" w:rsidP="00DF57E1">
      <w:pPr>
        <w:ind w:right="-2"/>
      </w:pPr>
      <w:r>
        <w:t>Se receber Rivaroxabano Accord após um procedimento para abrir uma artéria estreitada ou fechada na sua perna para restaurar o fluxo de sangue, o seu médico poderá também receitar clopidogrel para tomar durante um curto período de tempo, para além do ácido acetilsalicílico</w:t>
      </w:r>
    </w:p>
    <w:p w14:paraId="017E7FED" w14:textId="77777777" w:rsidR="00F03D43" w:rsidRPr="0063119B" w:rsidRDefault="00F03D43" w:rsidP="00DF57E1">
      <w:pPr>
        <w:ind w:right="-2"/>
        <w:rPr>
          <w:szCs w:val="22"/>
        </w:rPr>
      </w:pPr>
    </w:p>
    <w:p w14:paraId="6CFE5447" w14:textId="42512FBD" w:rsidR="00DF57E1" w:rsidRPr="0063119B" w:rsidRDefault="00DF57E1" w:rsidP="00DF57E1">
      <w:pPr>
        <w:suppressAutoHyphens/>
        <w:rPr>
          <w:noProof/>
          <w:szCs w:val="22"/>
        </w:rPr>
      </w:pPr>
      <w:r w:rsidRPr="0063119B">
        <w:rPr>
          <w:noProof/>
          <w:szCs w:val="22"/>
        </w:rPr>
        <w:t xml:space="preserve">O seu médico dir-lhe-á quantos destes tomar (normalmente entre 75 e 100 mg de ácido acetilsalicílico ao dia ou uma dose diária entre 75 e 100 mg de ácido acetilsalicílico mais </w:t>
      </w:r>
      <w:r w:rsidR="00623D01" w:rsidRPr="0063119B">
        <w:rPr>
          <w:noProof/>
          <w:szCs w:val="22"/>
        </w:rPr>
        <w:t xml:space="preserve">a </w:t>
      </w:r>
      <w:r w:rsidRPr="0063119B">
        <w:rPr>
          <w:noProof/>
          <w:szCs w:val="22"/>
        </w:rPr>
        <w:t xml:space="preserve">dose diária </w:t>
      </w:r>
      <w:r w:rsidR="002B5FBC">
        <w:rPr>
          <w:noProof/>
          <w:szCs w:val="22"/>
        </w:rPr>
        <w:t xml:space="preserve">de 75 mg de clopidogrel ou a dose diária </w:t>
      </w:r>
      <w:r w:rsidRPr="0063119B">
        <w:rPr>
          <w:noProof/>
          <w:szCs w:val="22"/>
        </w:rPr>
        <w:t>normal de ticlopidina).</w:t>
      </w:r>
    </w:p>
    <w:p w14:paraId="73F415F0" w14:textId="77777777" w:rsidR="00623D01" w:rsidRPr="0063119B" w:rsidRDefault="00623D01" w:rsidP="00623D01">
      <w:pPr>
        <w:suppressAutoHyphens/>
        <w:rPr>
          <w:noProof/>
          <w:szCs w:val="22"/>
        </w:rPr>
      </w:pPr>
    </w:p>
    <w:p w14:paraId="75FA7E03" w14:textId="77777777" w:rsidR="00DF57E1" w:rsidRPr="0063119B" w:rsidRDefault="00DF57E1" w:rsidP="00DF57E1">
      <w:pPr>
        <w:suppressAutoHyphens/>
        <w:rPr>
          <w:b/>
          <w:noProof/>
          <w:szCs w:val="22"/>
        </w:rPr>
      </w:pPr>
      <w:r w:rsidRPr="0063119B">
        <w:rPr>
          <w:b/>
          <w:noProof/>
          <w:szCs w:val="22"/>
        </w:rPr>
        <w:t>Quan</w:t>
      </w:r>
      <w:r w:rsidR="00E1063C" w:rsidRPr="0063119B">
        <w:rPr>
          <w:b/>
          <w:noProof/>
          <w:szCs w:val="22"/>
        </w:rPr>
        <w:t>d</w:t>
      </w:r>
      <w:r w:rsidRPr="0063119B">
        <w:rPr>
          <w:b/>
          <w:noProof/>
          <w:szCs w:val="22"/>
        </w:rPr>
        <w:t xml:space="preserve">o iniciar </w:t>
      </w:r>
      <w:r w:rsidR="00607DE4">
        <w:rPr>
          <w:b/>
          <w:noProof/>
          <w:szCs w:val="22"/>
        </w:rPr>
        <w:t>Rivaroxabano</w:t>
      </w:r>
      <w:r w:rsidR="001F7D02" w:rsidRPr="0063119B">
        <w:rPr>
          <w:b/>
          <w:noProof/>
          <w:szCs w:val="22"/>
        </w:rPr>
        <w:t xml:space="preserve"> Accord</w:t>
      </w:r>
    </w:p>
    <w:p w14:paraId="25C13399" w14:textId="77777777" w:rsidR="00DF57E1" w:rsidRPr="0063119B" w:rsidRDefault="00DF57E1" w:rsidP="00DF57E1">
      <w:pPr>
        <w:suppressAutoHyphens/>
        <w:rPr>
          <w:noProof/>
          <w:szCs w:val="22"/>
        </w:rPr>
      </w:pPr>
      <w:r w:rsidRPr="0063119B">
        <w:rPr>
          <w:noProof/>
          <w:szCs w:val="22"/>
        </w:rPr>
        <w:t xml:space="preserve">O tratamento com </w:t>
      </w:r>
      <w:r w:rsidR="00607DE4">
        <w:rPr>
          <w:noProof/>
          <w:szCs w:val="22"/>
        </w:rPr>
        <w:t>Rivaroxabano</w:t>
      </w:r>
      <w:r w:rsidR="001F7D02" w:rsidRPr="0063119B">
        <w:rPr>
          <w:noProof/>
          <w:szCs w:val="22"/>
        </w:rPr>
        <w:t xml:space="preserve"> Accord</w:t>
      </w:r>
      <w:r w:rsidRPr="0063119B">
        <w:rPr>
          <w:noProof/>
          <w:szCs w:val="22"/>
        </w:rPr>
        <w:t xml:space="preserve"> </w:t>
      </w:r>
      <w:r w:rsidR="00C6482B" w:rsidRPr="0063119B">
        <w:rPr>
          <w:noProof/>
          <w:szCs w:val="22"/>
        </w:rPr>
        <w:t xml:space="preserve">após uma síndrome coronária aguda </w:t>
      </w:r>
      <w:r w:rsidRPr="0063119B">
        <w:rPr>
          <w:noProof/>
          <w:szCs w:val="22"/>
        </w:rPr>
        <w:t>deve ser iniciado logo que possível após a estabilização d</w:t>
      </w:r>
      <w:r w:rsidR="00440324" w:rsidRPr="0063119B">
        <w:rPr>
          <w:noProof/>
          <w:szCs w:val="22"/>
        </w:rPr>
        <w:t>a síndrome coronária aguda</w:t>
      </w:r>
      <w:r w:rsidRPr="0063119B">
        <w:rPr>
          <w:noProof/>
          <w:szCs w:val="22"/>
        </w:rPr>
        <w:t>, pelo menos 24 horas após a admissão hospitalar e na altura em que é normalmente parada a terapêutica anticoagulante parentérica (via injeção).</w:t>
      </w:r>
    </w:p>
    <w:p w14:paraId="7FE54DD1" w14:textId="77777777" w:rsidR="00C6482B" w:rsidRPr="0063119B" w:rsidRDefault="00C6482B" w:rsidP="00DF57E1">
      <w:pPr>
        <w:suppressAutoHyphens/>
        <w:rPr>
          <w:noProof/>
          <w:szCs w:val="22"/>
        </w:rPr>
      </w:pPr>
      <w:r w:rsidRPr="0063119B">
        <w:rPr>
          <w:noProof/>
          <w:szCs w:val="22"/>
        </w:rPr>
        <w:t xml:space="preserve">O seu médico informá-lo-á sobre quando deverá iniciar o tratamento com </w:t>
      </w:r>
      <w:r w:rsidR="00607DE4">
        <w:rPr>
          <w:noProof/>
          <w:szCs w:val="22"/>
        </w:rPr>
        <w:t>Rivaroxabano</w:t>
      </w:r>
      <w:r w:rsidR="001F7D02" w:rsidRPr="0063119B">
        <w:rPr>
          <w:noProof/>
          <w:szCs w:val="22"/>
        </w:rPr>
        <w:t xml:space="preserve"> Accord</w:t>
      </w:r>
      <w:r w:rsidR="003858C6" w:rsidRPr="0063119B">
        <w:rPr>
          <w:noProof/>
          <w:szCs w:val="22"/>
        </w:rPr>
        <w:t xml:space="preserve"> se lhe tiver sido diagnosticada</w:t>
      </w:r>
      <w:r w:rsidRPr="0063119B">
        <w:rPr>
          <w:noProof/>
          <w:szCs w:val="22"/>
        </w:rPr>
        <w:t xml:space="preserve"> doença arterial coronária ou doença arterial periférica.</w:t>
      </w:r>
    </w:p>
    <w:p w14:paraId="1AE757F2" w14:textId="77777777" w:rsidR="00DF57E1" w:rsidRPr="0063119B" w:rsidRDefault="00DF57E1" w:rsidP="00DF57E1">
      <w:pPr>
        <w:suppressAutoHyphens/>
        <w:rPr>
          <w:noProof/>
          <w:szCs w:val="22"/>
        </w:rPr>
      </w:pPr>
      <w:r w:rsidRPr="0063119B">
        <w:rPr>
          <w:noProof/>
          <w:szCs w:val="22"/>
        </w:rPr>
        <w:t>O seu médico decidirá durante quanto tempo deve continuar o tratamento.</w:t>
      </w:r>
    </w:p>
    <w:p w14:paraId="38258CB2" w14:textId="77777777" w:rsidR="00DF57E1" w:rsidRPr="0063119B" w:rsidRDefault="00DF57E1" w:rsidP="00DF57E1">
      <w:pPr>
        <w:suppressAutoHyphens/>
        <w:rPr>
          <w:noProof/>
          <w:szCs w:val="22"/>
        </w:rPr>
      </w:pPr>
    </w:p>
    <w:p w14:paraId="139361D5" w14:textId="77777777" w:rsidR="00DF57E1" w:rsidRPr="0063119B" w:rsidRDefault="00DF57E1" w:rsidP="00DF57E1">
      <w:pPr>
        <w:suppressAutoHyphens/>
        <w:rPr>
          <w:b/>
          <w:noProof/>
          <w:szCs w:val="22"/>
        </w:rPr>
      </w:pPr>
      <w:r w:rsidRPr="0063119B">
        <w:rPr>
          <w:b/>
          <w:noProof/>
          <w:szCs w:val="22"/>
        </w:rPr>
        <w:t xml:space="preserve">Se tomar mais </w:t>
      </w:r>
      <w:r w:rsidR="00607DE4">
        <w:rPr>
          <w:b/>
          <w:noProof/>
          <w:szCs w:val="22"/>
        </w:rPr>
        <w:t>Rivaroxabano</w:t>
      </w:r>
      <w:r w:rsidR="001F7D02" w:rsidRPr="0063119B">
        <w:rPr>
          <w:b/>
          <w:noProof/>
          <w:szCs w:val="22"/>
        </w:rPr>
        <w:t xml:space="preserve"> Accord</w:t>
      </w:r>
      <w:r w:rsidRPr="0063119B">
        <w:rPr>
          <w:b/>
          <w:noProof/>
          <w:szCs w:val="22"/>
        </w:rPr>
        <w:t xml:space="preserve"> do que deveria</w:t>
      </w:r>
    </w:p>
    <w:p w14:paraId="181CE1B4" w14:textId="77777777" w:rsidR="00DF57E1" w:rsidRPr="0063119B" w:rsidRDefault="00DF57E1" w:rsidP="00DF57E1">
      <w:pPr>
        <w:suppressAutoHyphens/>
        <w:rPr>
          <w:noProof/>
          <w:szCs w:val="22"/>
        </w:rPr>
      </w:pPr>
      <w:r w:rsidRPr="0063119B">
        <w:rPr>
          <w:noProof/>
          <w:szCs w:val="22"/>
        </w:rPr>
        <w:t xml:space="preserve">Contacte imediatamente o seu médico se tiver tomado demasiados comprimidos de </w:t>
      </w:r>
      <w:r w:rsidR="00607DE4">
        <w:rPr>
          <w:noProof/>
          <w:szCs w:val="22"/>
        </w:rPr>
        <w:t>Rivaroxabano</w:t>
      </w:r>
      <w:r w:rsidR="001F7D02" w:rsidRPr="0063119B">
        <w:rPr>
          <w:noProof/>
          <w:szCs w:val="22"/>
        </w:rPr>
        <w:t xml:space="preserve"> Accord</w:t>
      </w:r>
      <w:r w:rsidRPr="0063119B">
        <w:rPr>
          <w:noProof/>
          <w:szCs w:val="22"/>
        </w:rPr>
        <w:t xml:space="preserve">. Tomar </w:t>
      </w:r>
      <w:r w:rsidR="00607DE4">
        <w:rPr>
          <w:noProof/>
          <w:szCs w:val="22"/>
        </w:rPr>
        <w:t>Rivaroxabano</w:t>
      </w:r>
      <w:r w:rsidR="001F7D02" w:rsidRPr="0063119B">
        <w:rPr>
          <w:noProof/>
          <w:szCs w:val="22"/>
        </w:rPr>
        <w:t xml:space="preserve"> Accord</w:t>
      </w:r>
      <w:r w:rsidRPr="0063119B">
        <w:rPr>
          <w:noProof/>
          <w:szCs w:val="22"/>
        </w:rPr>
        <w:t xml:space="preserve"> em excesso aumenta o risco de hemorragia.</w:t>
      </w:r>
    </w:p>
    <w:p w14:paraId="270B6825" w14:textId="77777777" w:rsidR="00DF57E1" w:rsidRPr="0063119B" w:rsidRDefault="00DF57E1" w:rsidP="00DF57E1">
      <w:pPr>
        <w:suppressAutoHyphens/>
        <w:rPr>
          <w:b/>
          <w:noProof/>
          <w:szCs w:val="22"/>
        </w:rPr>
      </w:pPr>
    </w:p>
    <w:p w14:paraId="7BA71E4B" w14:textId="77777777" w:rsidR="00DF57E1" w:rsidRPr="0063119B" w:rsidRDefault="00DF57E1" w:rsidP="00DF57E1">
      <w:pPr>
        <w:suppressAutoHyphens/>
        <w:rPr>
          <w:b/>
          <w:noProof/>
          <w:szCs w:val="22"/>
        </w:rPr>
      </w:pPr>
      <w:r w:rsidRPr="0063119B">
        <w:rPr>
          <w:b/>
          <w:noProof/>
          <w:szCs w:val="22"/>
        </w:rPr>
        <w:t xml:space="preserve">Caso se tenha esquecido de tomar </w:t>
      </w:r>
      <w:r w:rsidR="00607DE4">
        <w:rPr>
          <w:b/>
          <w:noProof/>
          <w:szCs w:val="22"/>
        </w:rPr>
        <w:t>Rivaroxabano</w:t>
      </w:r>
      <w:r w:rsidR="001F7D02" w:rsidRPr="0063119B">
        <w:rPr>
          <w:b/>
          <w:noProof/>
          <w:szCs w:val="22"/>
        </w:rPr>
        <w:t xml:space="preserve"> Accord</w:t>
      </w:r>
    </w:p>
    <w:p w14:paraId="55420EB1" w14:textId="77777777" w:rsidR="00DF57E1" w:rsidRPr="0063119B" w:rsidRDefault="00DF57E1" w:rsidP="00DF57E1">
      <w:pPr>
        <w:suppressAutoHyphens/>
        <w:rPr>
          <w:noProof/>
          <w:szCs w:val="22"/>
        </w:rPr>
      </w:pPr>
      <w:r w:rsidRPr="0063119B">
        <w:rPr>
          <w:noProof/>
          <w:szCs w:val="22"/>
        </w:rPr>
        <w:t>Não tome uma dose a dobrar para compensar uma dose que se esqueceu de tomar. Se</w:t>
      </w:r>
      <w:r w:rsidRPr="0063119B">
        <w:rPr>
          <w:b/>
          <w:noProof/>
          <w:szCs w:val="22"/>
        </w:rPr>
        <w:t xml:space="preserve"> </w:t>
      </w:r>
      <w:r w:rsidRPr="0063119B">
        <w:rPr>
          <w:noProof/>
          <w:szCs w:val="22"/>
        </w:rPr>
        <w:t>se tiver esquecido de uma dose, tome a dose seguinte à hora normal.</w:t>
      </w:r>
    </w:p>
    <w:p w14:paraId="623A886C" w14:textId="77777777" w:rsidR="00DF57E1" w:rsidRPr="0063119B" w:rsidRDefault="00DF57E1" w:rsidP="00DF57E1">
      <w:pPr>
        <w:suppressAutoHyphens/>
        <w:ind w:left="567" w:hanging="567"/>
        <w:rPr>
          <w:b/>
          <w:noProof/>
          <w:szCs w:val="22"/>
        </w:rPr>
      </w:pPr>
    </w:p>
    <w:p w14:paraId="7A907531" w14:textId="77777777" w:rsidR="00DF57E1" w:rsidRPr="001B6FEC" w:rsidRDefault="00DF57E1" w:rsidP="00DF57E1">
      <w:pPr>
        <w:suppressAutoHyphens/>
        <w:rPr>
          <w:noProof/>
          <w:szCs w:val="22"/>
        </w:rPr>
      </w:pPr>
      <w:r w:rsidRPr="001B6FEC">
        <w:rPr>
          <w:b/>
          <w:noProof/>
          <w:szCs w:val="22"/>
        </w:rPr>
        <w:lastRenderedPageBreak/>
        <w:t xml:space="preserve">Se parar de tomar </w:t>
      </w:r>
      <w:r w:rsidR="00607DE4" w:rsidRPr="001B6FEC">
        <w:rPr>
          <w:b/>
          <w:noProof/>
          <w:szCs w:val="22"/>
        </w:rPr>
        <w:t>Rivaroxabano</w:t>
      </w:r>
      <w:r w:rsidR="001F7D02" w:rsidRPr="001B6FEC">
        <w:rPr>
          <w:b/>
          <w:noProof/>
          <w:szCs w:val="22"/>
        </w:rPr>
        <w:t xml:space="preserve"> Accord</w:t>
      </w:r>
    </w:p>
    <w:p w14:paraId="12ECD077" w14:textId="77777777" w:rsidR="00DF57E1" w:rsidRPr="0063119B" w:rsidRDefault="00DF57E1" w:rsidP="00DF57E1">
      <w:pPr>
        <w:suppressAutoHyphens/>
        <w:rPr>
          <w:noProof/>
          <w:szCs w:val="22"/>
        </w:rPr>
      </w:pPr>
      <w:r w:rsidRPr="0063119B">
        <w:rPr>
          <w:noProof/>
          <w:szCs w:val="22"/>
        </w:rPr>
        <w:t xml:space="preserve">Tome </w:t>
      </w:r>
      <w:r w:rsidR="00607DE4">
        <w:rPr>
          <w:noProof/>
          <w:szCs w:val="22"/>
        </w:rPr>
        <w:t>Rivaroxabano</w:t>
      </w:r>
      <w:r w:rsidR="001F7D02" w:rsidRPr="0063119B">
        <w:rPr>
          <w:noProof/>
          <w:szCs w:val="22"/>
        </w:rPr>
        <w:t xml:space="preserve"> Accord</w:t>
      </w:r>
      <w:r w:rsidRPr="0063119B">
        <w:rPr>
          <w:noProof/>
          <w:szCs w:val="22"/>
        </w:rPr>
        <w:t xml:space="preserve"> regularmente e durante o tempo que o seu médico lhe prescrever.</w:t>
      </w:r>
    </w:p>
    <w:p w14:paraId="22061BDB" w14:textId="77777777" w:rsidR="00DF57E1" w:rsidRPr="0063119B" w:rsidRDefault="00DF57E1" w:rsidP="00DF57E1">
      <w:pPr>
        <w:suppressAutoHyphens/>
        <w:rPr>
          <w:noProof/>
          <w:szCs w:val="22"/>
        </w:rPr>
      </w:pPr>
    </w:p>
    <w:p w14:paraId="5F6763FE" w14:textId="77777777" w:rsidR="00DF57E1" w:rsidRPr="0063119B" w:rsidRDefault="00DF57E1" w:rsidP="00DF57E1">
      <w:pPr>
        <w:suppressAutoHyphens/>
        <w:rPr>
          <w:noProof/>
          <w:szCs w:val="22"/>
        </w:rPr>
      </w:pPr>
      <w:r w:rsidRPr="0063119B">
        <w:rPr>
          <w:noProof/>
          <w:szCs w:val="22"/>
        </w:rPr>
        <w:t xml:space="preserve">Não pare de tomar </w:t>
      </w:r>
      <w:r w:rsidR="00607DE4">
        <w:rPr>
          <w:noProof/>
          <w:szCs w:val="22"/>
        </w:rPr>
        <w:t>Rivaroxabano</w:t>
      </w:r>
      <w:r w:rsidR="001F7D02" w:rsidRPr="0063119B">
        <w:rPr>
          <w:noProof/>
          <w:szCs w:val="22"/>
        </w:rPr>
        <w:t xml:space="preserve"> Accord</w:t>
      </w:r>
      <w:r w:rsidRPr="0063119B">
        <w:rPr>
          <w:noProof/>
          <w:szCs w:val="22"/>
        </w:rPr>
        <w:t xml:space="preserve"> sem falar primeiro com o seu médico. Se parar de tomar este medicamento, pode aumentar o risco de ter outro ataque cardíaco ou acidente vascular cerebral ou morrer de uma doença relacionada com o coração ou os vasos sanguíneos.</w:t>
      </w:r>
    </w:p>
    <w:p w14:paraId="1C73F366" w14:textId="77777777" w:rsidR="00DF57E1" w:rsidRPr="0063119B" w:rsidRDefault="00DF57E1" w:rsidP="00DF57E1">
      <w:pPr>
        <w:suppressAutoHyphens/>
        <w:rPr>
          <w:noProof/>
          <w:szCs w:val="22"/>
        </w:rPr>
      </w:pPr>
    </w:p>
    <w:p w14:paraId="274D47A7" w14:textId="77777777" w:rsidR="00DF57E1" w:rsidRPr="0063119B" w:rsidRDefault="00DF57E1" w:rsidP="00DF57E1">
      <w:pPr>
        <w:suppressAutoHyphens/>
        <w:rPr>
          <w:noProof/>
          <w:szCs w:val="22"/>
        </w:rPr>
      </w:pPr>
      <w:r w:rsidRPr="0063119B">
        <w:rPr>
          <w:noProof/>
          <w:szCs w:val="22"/>
        </w:rPr>
        <w:t>Caso ainda tenha dúvidas sobre a utilização deste medicamento, fale com o seu médico ou farmacêutico.</w:t>
      </w:r>
    </w:p>
    <w:p w14:paraId="5AC2A2F7" w14:textId="77777777" w:rsidR="00DF57E1" w:rsidRPr="0063119B" w:rsidRDefault="00DF57E1" w:rsidP="00DF57E1">
      <w:pPr>
        <w:suppressAutoHyphens/>
        <w:rPr>
          <w:noProof/>
          <w:szCs w:val="22"/>
        </w:rPr>
      </w:pPr>
    </w:p>
    <w:p w14:paraId="77F2BAA3" w14:textId="77777777" w:rsidR="00DF57E1" w:rsidRPr="0063119B" w:rsidRDefault="00DF57E1" w:rsidP="00DF57E1">
      <w:pPr>
        <w:suppressAutoHyphens/>
        <w:rPr>
          <w:noProof/>
          <w:szCs w:val="22"/>
        </w:rPr>
      </w:pPr>
    </w:p>
    <w:p w14:paraId="35EF0869" w14:textId="77777777" w:rsidR="00DF57E1" w:rsidRPr="0063119B" w:rsidRDefault="00DF57E1" w:rsidP="00DF57E1">
      <w:pPr>
        <w:suppressAutoHyphens/>
        <w:ind w:left="567" w:hanging="567"/>
        <w:rPr>
          <w:b/>
          <w:noProof/>
          <w:szCs w:val="22"/>
        </w:rPr>
      </w:pPr>
      <w:r w:rsidRPr="0063119B">
        <w:rPr>
          <w:b/>
          <w:noProof/>
          <w:szCs w:val="22"/>
        </w:rPr>
        <w:t>4.</w:t>
      </w:r>
      <w:r w:rsidRPr="0063119B">
        <w:rPr>
          <w:b/>
          <w:noProof/>
          <w:szCs w:val="22"/>
        </w:rPr>
        <w:tab/>
        <w:t xml:space="preserve">Efeitos </w:t>
      </w:r>
      <w:r w:rsidR="007800AD" w:rsidRPr="0063119B">
        <w:rPr>
          <w:b/>
          <w:noProof/>
          <w:szCs w:val="22"/>
        </w:rPr>
        <w:t>indesejáveis</w:t>
      </w:r>
      <w:r w:rsidRPr="0063119B">
        <w:rPr>
          <w:b/>
          <w:noProof/>
          <w:szCs w:val="22"/>
        </w:rPr>
        <w:t xml:space="preserve"> possíveis</w:t>
      </w:r>
    </w:p>
    <w:p w14:paraId="2E226E1A" w14:textId="77777777" w:rsidR="00DF57E1" w:rsidRPr="0063119B" w:rsidRDefault="00DF57E1" w:rsidP="00DF57E1">
      <w:pPr>
        <w:suppressAutoHyphens/>
        <w:rPr>
          <w:noProof/>
          <w:szCs w:val="22"/>
        </w:rPr>
      </w:pPr>
    </w:p>
    <w:p w14:paraId="79E699A2" w14:textId="77777777" w:rsidR="00DF57E1" w:rsidRPr="0063119B" w:rsidRDefault="00DF57E1" w:rsidP="00DF57E1">
      <w:pPr>
        <w:suppressAutoHyphens/>
        <w:rPr>
          <w:noProof/>
          <w:szCs w:val="22"/>
        </w:rPr>
      </w:pPr>
      <w:r w:rsidRPr="0063119B">
        <w:rPr>
          <w:noProof/>
          <w:szCs w:val="22"/>
        </w:rPr>
        <w:t xml:space="preserve">Como todos os medicamentos, </w:t>
      </w:r>
      <w:r w:rsidR="003941DB" w:rsidRPr="0063119B">
        <w:rPr>
          <w:noProof/>
          <w:szCs w:val="22"/>
        </w:rPr>
        <w:t>este medicamento</w:t>
      </w:r>
      <w:r w:rsidRPr="0063119B">
        <w:rPr>
          <w:noProof/>
          <w:szCs w:val="22"/>
        </w:rPr>
        <w:t xml:space="preserve">pode causar efeitos </w:t>
      </w:r>
      <w:r w:rsidR="00CC1A3A" w:rsidRPr="0063119B">
        <w:rPr>
          <w:noProof/>
          <w:szCs w:val="22"/>
        </w:rPr>
        <w:t>indesejáveis</w:t>
      </w:r>
      <w:r w:rsidRPr="0063119B">
        <w:rPr>
          <w:noProof/>
          <w:szCs w:val="22"/>
        </w:rPr>
        <w:t>, embora estes não se manifestem em todas as pessoas.</w:t>
      </w:r>
    </w:p>
    <w:p w14:paraId="1EA0D2EA" w14:textId="77777777" w:rsidR="00DF57E1" w:rsidRPr="0063119B" w:rsidRDefault="00DF57E1" w:rsidP="00DF57E1">
      <w:pPr>
        <w:suppressAutoHyphens/>
        <w:rPr>
          <w:noProof/>
          <w:szCs w:val="22"/>
        </w:rPr>
      </w:pPr>
    </w:p>
    <w:p w14:paraId="1AC8269D" w14:textId="77777777" w:rsidR="00DF57E1" w:rsidRPr="0063119B" w:rsidRDefault="00DF57E1" w:rsidP="00DF57E1">
      <w:pPr>
        <w:suppressAutoHyphens/>
        <w:rPr>
          <w:noProof/>
          <w:szCs w:val="22"/>
        </w:rPr>
      </w:pPr>
      <w:r w:rsidRPr="0063119B">
        <w:rPr>
          <w:noProof/>
          <w:szCs w:val="22"/>
        </w:rPr>
        <w:t xml:space="preserve">Como outros medicamentos similares </w:t>
      </w:r>
      <w:r w:rsidR="00164B57">
        <w:rPr>
          <w:szCs w:val="22"/>
        </w:rPr>
        <w:t>para reduzir a formação de coágulos sanguíneos</w:t>
      </w:r>
      <w:r w:rsidRPr="0063119B">
        <w:rPr>
          <w:noProof/>
          <w:szCs w:val="22"/>
        </w:rPr>
        <w:t xml:space="preserve">, </w:t>
      </w:r>
      <w:r w:rsidR="00607DE4">
        <w:rPr>
          <w:noProof/>
          <w:szCs w:val="22"/>
        </w:rPr>
        <w:t>Rivaroxabano</w:t>
      </w:r>
      <w:r w:rsidR="001F7D02" w:rsidRPr="0063119B">
        <w:rPr>
          <w:noProof/>
          <w:szCs w:val="22"/>
        </w:rPr>
        <w:t xml:space="preserve"> Accord</w:t>
      </w:r>
      <w:r w:rsidRPr="0063119B">
        <w:rPr>
          <w:noProof/>
          <w:szCs w:val="22"/>
        </w:rPr>
        <w:t xml:space="preserve"> pode causar uma hemorragia que pode potencialmente causar risco de vida. Uma hemorragia excessiva pode levar a uma queda súbita da tensão arterial (</w:t>
      </w:r>
      <w:r w:rsidRPr="0063119B">
        <w:rPr>
          <w:i/>
          <w:noProof/>
          <w:szCs w:val="22"/>
        </w:rPr>
        <w:t>choque</w:t>
      </w:r>
      <w:r w:rsidRPr="0063119B">
        <w:rPr>
          <w:noProof/>
          <w:szCs w:val="22"/>
        </w:rPr>
        <w:t>). Em alguns casos, a hemorragia pode não ser óbvia.</w:t>
      </w:r>
    </w:p>
    <w:p w14:paraId="0B7E1314" w14:textId="77777777" w:rsidR="00DF57E1" w:rsidRPr="0063119B" w:rsidRDefault="00DF57E1" w:rsidP="00DF57E1">
      <w:pPr>
        <w:suppressAutoHyphens/>
        <w:rPr>
          <w:noProof/>
          <w:szCs w:val="22"/>
        </w:rPr>
      </w:pPr>
    </w:p>
    <w:p w14:paraId="7EAEA906" w14:textId="77777777" w:rsidR="00DF57E1" w:rsidRDefault="00DF57E1" w:rsidP="00DF57E1">
      <w:pPr>
        <w:suppressAutoHyphens/>
        <w:rPr>
          <w:noProof/>
          <w:szCs w:val="22"/>
        </w:rPr>
      </w:pPr>
      <w:r w:rsidRPr="0063119B">
        <w:rPr>
          <w:b/>
          <w:noProof/>
          <w:szCs w:val="22"/>
        </w:rPr>
        <w:t>Informe imediatamente o seu médico</w:t>
      </w:r>
      <w:r w:rsidRPr="0063119B">
        <w:rPr>
          <w:noProof/>
          <w:szCs w:val="22"/>
        </w:rPr>
        <w:t xml:space="preserve">, se sentir algum dos seguintes efeitos </w:t>
      </w:r>
      <w:r w:rsidR="003914C9" w:rsidRPr="0063119B">
        <w:rPr>
          <w:noProof/>
          <w:szCs w:val="22"/>
        </w:rPr>
        <w:t>indesejáveis</w:t>
      </w:r>
      <w:r w:rsidRPr="0063119B">
        <w:rPr>
          <w:noProof/>
          <w:szCs w:val="22"/>
        </w:rPr>
        <w:t>:</w:t>
      </w:r>
    </w:p>
    <w:p w14:paraId="0D974551" w14:textId="77777777" w:rsidR="00164B57" w:rsidRPr="00164B57" w:rsidRDefault="00164B57" w:rsidP="00164B57">
      <w:pPr>
        <w:autoSpaceDE w:val="0"/>
        <w:autoSpaceDN w:val="0"/>
        <w:adjustRightInd w:val="0"/>
        <w:rPr>
          <w:color w:val="000000"/>
          <w:szCs w:val="22"/>
          <w:lang w:eastAsia="pt-PT"/>
        </w:rPr>
      </w:pPr>
      <w:r w:rsidRPr="00164B57">
        <w:rPr>
          <w:b/>
          <w:bCs/>
          <w:color w:val="000000"/>
          <w:szCs w:val="22"/>
          <w:lang w:eastAsia="pt-PT"/>
        </w:rPr>
        <w:t xml:space="preserve">Sinais de hemorragia </w:t>
      </w:r>
    </w:p>
    <w:p w14:paraId="7F4AEAE5" w14:textId="77777777" w:rsidR="00164B57" w:rsidRPr="00EF3721" w:rsidRDefault="00164B57" w:rsidP="00EF3721">
      <w:pPr>
        <w:numPr>
          <w:ilvl w:val="0"/>
          <w:numId w:val="53"/>
        </w:numPr>
        <w:autoSpaceDE w:val="0"/>
        <w:autoSpaceDN w:val="0"/>
        <w:adjustRightInd w:val="0"/>
        <w:rPr>
          <w:color w:val="000000"/>
          <w:szCs w:val="22"/>
          <w:lang w:eastAsia="pt-PT"/>
        </w:rPr>
      </w:pPr>
      <w:r w:rsidRPr="00164B57">
        <w:rPr>
          <w:color w:val="000000"/>
          <w:szCs w:val="22"/>
          <w:lang w:eastAsia="pt-PT"/>
        </w:rPr>
        <w:t xml:space="preserve">hemorragia no cérebro ou interior do crânio (sintomas podem incluir dor de cabeça, fraqueza de um dos lados, vómitos, tonturas, diminuição do nível de consciência e rigidez do pescoço. Uma emergência médica grave. Procure ajuda médica imediatamente!) </w:t>
      </w:r>
    </w:p>
    <w:p w14:paraId="7822556A" w14:textId="77777777" w:rsidR="00DF57E1" w:rsidRPr="0063119B" w:rsidRDefault="00DF57E1" w:rsidP="000B293C">
      <w:pPr>
        <w:numPr>
          <w:ilvl w:val="0"/>
          <w:numId w:val="51"/>
        </w:numPr>
        <w:tabs>
          <w:tab w:val="clear" w:pos="360"/>
        </w:tabs>
        <w:suppressAutoHyphens/>
        <w:ind w:left="567" w:hanging="567"/>
        <w:rPr>
          <w:noProof/>
          <w:szCs w:val="22"/>
        </w:rPr>
      </w:pPr>
      <w:r w:rsidRPr="0063119B">
        <w:rPr>
          <w:noProof/>
          <w:szCs w:val="22"/>
        </w:rPr>
        <w:t>perda de sangue prolongada ou excessiva</w:t>
      </w:r>
    </w:p>
    <w:p w14:paraId="5833B805" w14:textId="77777777" w:rsidR="00DF57E1" w:rsidRPr="0063119B" w:rsidRDefault="006B4342" w:rsidP="000B293C">
      <w:pPr>
        <w:numPr>
          <w:ilvl w:val="0"/>
          <w:numId w:val="51"/>
        </w:numPr>
        <w:tabs>
          <w:tab w:val="clear" w:pos="360"/>
        </w:tabs>
        <w:suppressAutoHyphens/>
        <w:ind w:left="567" w:hanging="567"/>
        <w:rPr>
          <w:noProof/>
          <w:szCs w:val="22"/>
        </w:rPr>
      </w:pPr>
      <w:r w:rsidRPr="0063119B">
        <w:rPr>
          <w:noProof/>
          <w:szCs w:val="22"/>
        </w:rPr>
        <w:t xml:space="preserve">sensação anormal de </w:t>
      </w:r>
      <w:r w:rsidR="00DF57E1" w:rsidRPr="0063119B">
        <w:rPr>
          <w:noProof/>
          <w:szCs w:val="22"/>
        </w:rPr>
        <w:t>fraqueza, cansaço, palidez, tonturas, dores de cabeça, inchaço inexplicável, falta de ar, dor no peito ou angina de peito</w:t>
      </w:r>
    </w:p>
    <w:p w14:paraId="5327830A" w14:textId="77777777" w:rsidR="00DF57E1" w:rsidRPr="0063119B" w:rsidRDefault="00DF57E1" w:rsidP="00DF57E1">
      <w:pPr>
        <w:suppressAutoHyphens/>
        <w:rPr>
          <w:noProof/>
          <w:szCs w:val="22"/>
        </w:rPr>
      </w:pPr>
      <w:r w:rsidRPr="0063119B">
        <w:rPr>
          <w:noProof/>
          <w:szCs w:val="22"/>
        </w:rPr>
        <w:t>O seu médico pode decidir mantê</w:t>
      </w:r>
      <w:r w:rsidRPr="0063119B">
        <w:rPr>
          <w:noProof/>
          <w:szCs w:val="22"/>
        </w:rPr>
        <w:noBreakHyphen/>
        <w:t xml:space="preserve">lo sob uma observação mais atenta ou alterar </w:t>
      </w:r>
      <w:r w:rsidR="00164B57">
        <w:rPr>
          <w:noProof/>
          <w:szCs w:val="22"/>
        </w:rPr>
        <w:t>o tratamento</w:t>
      </w:r>
      <w:r w:rsidRPr="0063119B">
        <w:rPr>
          <w:noProof/>
          <w:szCs w:val="22"/>
        </w:rPr>
        <w:t>.</w:t>
      </w:r>
    </w:p>
    <w:p w14:paraId="2DDAEDB3" w14:textId="77777777" w:rsidR="00DF57E1" w:rsidRPr="0063119B" w:rsidRDefault="00DF57E1" w:rsidP="00DF57E1">
      <w:pPr>
        <w:suppressAutoHyphens/>
        <w:rPr>
          <w:noProof/>
          <w:szCs w:val="22"/>
        </w:rPr>
      </w:pPr>
    </w:p>
    <w:p w14:paraId="42DDC86A" w14:textId="77777777" w:rsidR="0092575A" w:rsidRPr="0063119B" w:rsidRDefault="00164B57" w:rsidP="00DF57E1">
      <w:pPr>
        <w:suppressAutoHyphens/>
        <w:rPr>
          <w:b/>
          <w:noProof/>
          <w:szCs w:val="22"/>
        </w:rPr>
      </w:pPr>
      <w:r>
        <w:rPr>
          <w:b/>
          <w:noProof/>
          <w:szCs w:val="22"/>
        </w:rPr>
        <w:t>S</w:t>
      </w:r>
      <w:r w:rsidR="0092575A" w:rsidRPr="0063119B">
        <w:rPr>
          <w:b/>
          <w:noProof/>
          <w:szCs w:val="22"/>
        </w:rPr>
        <w:t>ina</w:t>
      </w:r>
      <w:r>
        <w:rPr>
          <w:b/>
          <w:noProof/>
          <w:szCs w:val="22"/>
        </w:rPr>
        <w:t>is</w:t>
      </w:r>
      <w:r w:rsidR="0092575A" w:rsidRPr="0063119B">
        <w:rPr>
          <w:b/>
          <w:noProof/>
          <w:szCs w:val="22"/>
        </w:rPr>
        <w:t xml:space="preserve"> de reaç</w:t>
      </w:r>
      <w:r>
        <w:rPr>
          <w:b/>
          <w:noProof/>
          <w:szCs w:val="22"/>
        </w:rPr>
        <w:t>ões</w:t>
      </w:r>
      <w:r w:rsidR="0092575A" w:rsidRPr="0063119B">
        <w:rPr>
          <w:b/>
          <w:noProof/>
          <w:szCs w:val="22"/>
        </w:rPr>
        <w:t xml:space="preserve"> cutânea</w:t>
      </w:r>
      <w:r>
        <w:rPr>
          <w:b/>
          <w:noProof/>
          <w:szCs w:val="22"/>
        </w:rPr>
        <w:t>s</w:t>
      </w:r>
      <w:r w:rsidR="0092575A" w:rsidRPr="0063119B">
        <w:rPr>
          <w:b/>
          <w:noProof/>
          <w:szCs w:val="22"/>
        </w:rPr>
        <w:t xml:space="preserve"> grave</w:t>
      </w:r>
      <w:r>
        <w:rPr>
          <w:b/>
          <w:noProof/>
          <w:szCs w:val="22"/>
        </w:rPr>
        <w:t>s</w:t>
      </w:r>
    </w:p>
    <w:p w14:paraId="515E62EC" w14:textId="77777777" w:rsidR="0092575A" w:rsidRPr="0063119B" w:rsidRDefault="0092575A" w:rsidP="000B293C">
      <w:pPr>
        <w:numPr>
          <w:ilvl w:val="0"/>
          <w:numId w:val="52"/>
        </w:numPr>
        <w:tabs>
          <w:tab w:val="clear" w:pos="360"/>
        </w:tabs>
        <w:suppressAutoHyphens/>
        <w:ind w:left="567"/>
        <w:rPr>
          <w:noProof/>
          <w:szCs w:val="22"/>
        </w:rPr>
      </w:pPr>
      <w:r w:rsidRPr="0063119B">
        <w:rPr>
          <w:noProof/>
          <w:szCs w:val="22"/>
        </w:rPr>
        <w:t>disseminação intensa da erupção cutânea, bolhas ou lesões das mucosas, ex.: na boca ou olhos (síndrome Stevens-Johnson/</w:t>
      </w:r>
      <w:r w:rsidR="00B37008" w:rsidRPr="0063119B">
        <w:rPr>
          <w:noProof/>
          <w:szCs w:val="22"/>
        </w:rPr>
        <w:t>n</w:t>
      </w:r>
      <w:r w:rsidRPr="0063119B">
        <w:rPr>
          <w:noProof/>
          <w:szCs w:val="22"/>
        </w:rPr>
        <w:t xml:space="preserve">ecrólise </w:t>
      </w:r>
      <w:r w:rsidR="00B37008" w:rsidRPr="0063119B">
        <w:rPr>
          <w:noProof/>
          <w:szCs w:val="22"/>
        </w:rPr>
        <w:t>e</w:t>
      </w:r>
      <w:r w:rsidRPr="0063119B">
        <w:rPr>
          <w:noProof/>
          <w:szCs w:val="22"/>
        </w:rPr>
        <w:t xml:space="preserve">pidérmica </w:t>
      </w:r>
      <w:r w:rsidR="00B37008" w:rsidRPr="0063119B">
        <w:rPr>
          <w:noProof/>
          <w:szCs w:val="22"/>
        </w:rPr>
        <w:t>t</w:t>
      </w:r>
      <w:r w:rsidRPr="0063119B">
        <w:rPr>
          <w:noProof/>
          <w:szCs w:val="22"/>
        </w:rPr>
        <w:t xml:space="preserve">óxica). </w:t>
      </w:r>
    </w:p>
    <w:p w14:paraId="2D05DE76" w14:textId="77777777" w:rsidR="00D40229" w:rsidRDefault="00B97B2B" w:rsidP="00164B57">
      <w:pPr>
        <w:numPr>
          <w:ilvl w:val="0"/>
          <w:numId w:val="52"/>
        </w:numPr>
        <w:tabs>
          <w:tab w:val="clear" w:pos="360"/>
        </w:tabs>
        <w:suppressAutoHyphens/>
        <w:ind w:left="567"/>
        <w:rPr>
          <w:noProof/>
          <w:szCs w:val="22"/>
        </w:rPr>
      </w:pPr>
      <w:r w:rsidRPr="0063119B">
        <w:rPr>
          <w:szCs w:val="22"/>
        </w:rPr>
        <w:t>uma reação medicamentosa que causa erupção cutânea, febre, inflamação dos órgãos internos, anormalida</w:t>
      </w:r>
      <w:r w:rsidR="00C96572" w:rsidRPr="0063119B">
        <w:rPr>
          <w:szCs w:val="22"/>
        </w:rPr>
        <w:t xml:space="preserve">des </w:t>
      </w:r>
      <w:r w:rsidR="00164B57">
        <w:rPr>
          <w:szCs w:val="22"/>
        </w:rPr>
        <w:t>sanguíneas</w:t>
      </w:r>
      <w:r w:rsidR="00C96572" w:rsidRPr="0063119B">
        <w:rPr>
          <w:szCs w:val="22"/>
        </w:rPr>
        <w:t xml:space="preserve"> e doença sisté</w:t>
      </w:r>
      <w:r w:rsidRPr="0063119B">
        <w:rPr>
          <w:szCs w:val="22"/>
        </w:rPr>
        <w:t xml:space="preserve">mica (síndrome de DRESS). </w:t>
      </w:r>
    </w:p>
    <w:p w14:paraId="55342FD4" w14:textId="77777777" w:rsidR="00B97B2B" w:rsidRPr="00EF3721" w:rsidRDefault="00B97B2B" w:rsidP="00EF3721">
      <w:pPr>
        <w:suppressAutoHyphens/>
        <w:ind w:left="207"/>
        <w:rPr>
          <w:noProof/>
          <w:szCs w:val="22"/>
        </w:rPr>
      </w:pPr>
      <w:r w:rsidRPr="00164B57">
        <w:rPr>
          <w:szCs w:val="22"/>
        </w:rPr>
        <w:t>A frequência deste</w:t>
      </w:r>
      <w:r w:rsidR="00164B57" w:rsidRPr="00B35784">
        <w:rPr>
          <w:szCs w:val="22"/>
        </w:rPr>
        <w:t>s</w:t>
      </w:r>
      <w:r w:rsidRPr="00717495">
        <w:rPr>
          <w:szCs w:val="22"/>
        </w:rPr>
        <w:t xml:space="preserve"> efeito</w:t>
      </w:r>
      <w:r w:rsidR="00164B57" w:rsidRPr="00EF1183">
        <w:rPr>
          <w:szCs w:val="22"/>
        </w:rPr>
        <w:t>s</w:t>
      </w:r>
      <w:r w:rsidRPr="001E2E99">
        <w:rPr>
          <w:szCs w:val="22"/>
        </w:rPr>
        <w:t xml:space="preserve"> </w:t>
      </w:r>
      <w:r w:rsidR="00654D4F" w:rsidRPr="001E2E99">
        <w:rPr>
          <w:noProof/>
          <w:szCs w:val="22"/>
        </w:rPr>
        <w:t>indesejáve</w:t>
      </w:r>
      <w:r w:rsidR="00164B57" w:rsidRPr="001E2E99">
        <w:rPr>
          <w:noProof/>
          <w:szCs w:val="22"/>
        </w:rPr>
        <w:t>is</w:t>
      </w:r>
      <w:r w:rsidRPr="00EF3721">
        <w:rPr>
          <w:szCs w:val="22"/>
        </w:rPr>
        <w:t xml:space="preserve"> é muito rara (</w:t>
      </w:r>
      <w:r w:rsidR="0086001C" w:rsidRPr="00EF3721">
        <w:rPr>
          <w:szCs w:val="22"/>
        </w:rPr>
        <w:t>até</w:t>
      </w:r>
      <w:r w:rsidRPr="00EF3721">
        <w:rPr>
          <w:szCs w:val="22"/>
        </w:rPr>
        <w:t xml:space="preserve"> 1 em 10.000</w:t>
      </w:r>
      <w:r w:rsidR="009F7B2E">
        <w:rPr>
          <w:szCs w:val="22"/>
        </w:rPr>
        <w:t xml:space="preserve"> pessoas</w:t>
      </w:r>
      <w:r w:rsidRPr="00EF3721">
        <w:rPr>
          <w:szCs w:val="22"/>
        </w:rPr>
        <w:t>).</w:t>
      </w:r>
    </w:p>
    <w:p w14:paraId="4E1BC57C" w14:textId="77777777" w:rsidR="0092575A" w:rsidRPr="0063119B" w:rsidRDefault="0092575A" w:rsidP="00DF57E1">
      <w:pPr>
        <w:suppressAutoHyphens/>
        <w:rPr>
          <w:b/>
          <w:noProof/>
          <w:szCs w:val="22"/>
        </w:rPr>
      </w:pPr>
    </w:p>
    <w:p w14:paraId="1A740E5A" w14:textId="77777777" w:rsidR="00C96572" w:rsidRPr="0063119B" w:rsidRDefault="00D40229" w:rsidP="00C96572">
      <w:pPr>
        <w:suppressAutoHyphens/>
        <w:rPr>
          <w:b/>
          <w:noProof/>
          <w:szCs w:val="22"/>
        </w:rPr>
      </w:pPr>
      <w:r>
        <w:rPr>
          <w:b/>
          <w:noProof/>
          <w:szCs w:val="22"/>
        </w:rPr>
        <w:t>S</w:t>
      </w:r>
      <w:r w:rsidR="00C96572" w:rsidRPr="0063119B">
        <w:rPr>
          <w:b/>
          <w:noProof/>
          <w:szCs w:val="22"/>
        </w:rPr>
        <w:t>ina</w:t>
      </w:r>
      <w:r>
        <w:rPr>
          <w:b/>
          <w:noProof/>
          <w:szCs w:val="22"/>
        </w:rPr>
        <w:t>is</w:t>
      </w:r>
      <w:r w:rsidR="00C96572" w:rsidRPr="0063119B">
        <w:rPr>
          <w:b/>
          <w:noProof/>
          <w:szCs w:val="22"/>
        </w:rPr>
        <w:t xml:space="preserve"> de </w:t>
      </w:r>
      <w:r w:rsidR="00DF1193" w:rsidRPr="0063119B">
        <w:rPr>
          <w:b/>
          <w:noProof/>
          <w:szCs w:val="22"/>
        </w:rPr>
        <w:t>reações alérgicas graves</w:t>
      </w:r>
    </w:p>
    <w:p w14:paraId="7157402D" w14:textId="77777777" w:rsidR="00D40229" w:rsidRDefault="0095033C" w:rsidP="000B293C">
      <w:pPr>
        <w:numPr>
          <w:ilvl w:val="0"/>
          <w:numId w:val="5"/>
        </w:numPr>
        <w:tabs>
          <w:tab w:val="clear" w:pos="360"/>
        </w:tabs>
        <w:suppressAutoHyphens/>
        <w:ind w:left="567" w:hanging="567"/>
        <w:rPr>
          <w:noProof/>
          <w:szCs w:val="22"/>
        </w:rPr>
      </w:pPr>
      <w:r w:rsidRPr="0063119B">
        <w:rPr>
          <w:szCs w:val="22"/>
        </w:rPr>
        <w:t xml:space="preserve">inchaço da </w:t>
      </w:r>
      <w:r w:rsidR="00454F54" w:rsidRPr="0063119B">
        <w:rPr>
          <w:szCs w:val="22"/>
        </w:rPr>
        <w:t>face,</w:t>
      </w:r>
      <w:r w:rsidRPr="0063119B">
        <w:rPr>
          <w:szCs w:val="22"/>
        </w:rPr>
        <w:t xml:space="preserve"> lábios, boca, língua ou garganta; dificuldade em engolir; urticária e dificuldades respiratórias; </w:t>
      </w:r>
      <w:r w:rsidR="00CA2F64" w:rsidRPr="0063119B">
        <w:rPr>
          <w:szCs w:val="22"/>
        </w:rPr>
        <w:t xml:space="preserve">queda </w:t>
      </w:r>
      <w:r w:rsidRPr="0063119B">
        <w:rPr>
          <w:szCs w:val="22"/>
        </w:rPr>
        <w:t xml:space="preserve">súbita da pressão arterial. </w:t>
      </w:r>
    </w:p>
    <w:p w14:paraId="3B45E201" w14:textId="77777777" w:rsidR="00C96572" w:rsidRPr="0063119B" w:rsidRDefault="0095033C" w:rsidP="00EF3721">
      <w:pPr>
        <w:suppressAutoHyphens/>
        <w:rPr>
          <w:noProof/>
          <w:szCs w:val="22"/>
        </w:rPr>
      </w:pPr>
      <w:r w:rsidRPr="0063119B">
        <w:rPr>
          <w:szCs w:val="22"/>
        </w:rPr>
        <w:t xml:space="preserve">A frequência de </w:t>
      </w:r>
      <w:r w:rsidR="00D40229">
        <w:rPr>
          <w:szCs w:val="22"/>
        </w:rPr>
        <w:t>reações alérgicas graves</w:t>
      </w:r>
      <w:r w:rsidRPr="0063119B">
        <w:rPr>
          <w:szCs w:val="22"/>
        </w:rPr>
        <w:t xml:space="preserve"> é muito rara (reações anafiláticas, incluindo choque anafilático; podem afetar </w:t>
      </w:r>
      <w:r w:rsidR="0086001C" w:rsidRPr="0063119B">
        <w:rPr>
          <w:szCs w:val="22"/>
        </w:rPr>
        <w:t>até</w:t>
      </w:r>
      <w:r w:rsidRPr="0063119B">
        <w:rPr>
          <w:szCs w:val="22"/>
        </w:rPr>
        <w:t xml:space="preserve"> 1 em 10.000 pessoas) e pouco frequentes (angioedema e edema alérgico; podem afetar até 1 em cada 100 pessoas).</w:t>
      </w:r>
    </w:p>
    <w:p w14:paraId="02FC0A52" w14:textId="77777777" w:rsidR="00C96572" w:rsidRPr="0063119B" w:rsidRDefault="00C96572" w:rsidP="00DF57E1">
      <w:pPr>
        <w:suppressAutoHyphens/>
        <w:rPr>
          <w:b/>
          <w:noProof/>
          <w:szCs w:val="22"/>
        </w:rPr>
      </w:pPr>
    </w:p>
    <w:p w14:paraId="1A24A9FB" w14:textId="77777777" w:rsidR="00DF57E1" w:rsidRPr="0063119B" w:rsidRDefault="00DF57E1" w:rsidP="00DF57E1">
      <w:pPr>
        <w:suppressAutoHyphens/>
        <w:rPr>
          <w:b/>
          <w:noProof/>
          <w:szCs w:val="22"/>
        </w:rPr>
      </w:pPr>
      <w:r w:rsidRPr="0063119B">
        <w:rPr>
          <w:b/>
          <w:noProof/>
          <w:szCs w:val="22"/>
        </w:rPr>
        <w:t xml:space="preserve">Lista global dos efeitos </w:t>
      </w:r>
      <w:r w:rsidR="00CC1A3A" w:rsidRPr="0063119B">
        <w:rPr>
          <w:b/>
          <w:noProof/>
          <w:szCs w:val="22"/>
        </w:rPr>
        <w:t>indesejáveis</w:t>
      </w:r>
      <w:r w:rsidRPr="0063119B">
        <w:rPr>
          <w:b/>
          <w:noProof/>
          <w:szCs w:val="22"/>
        </w:rPr>
        <w:t xml:space="preserve"> possíveis</w:t>
      </w:r>
    </w:p>
    <w:p w14:paraId="0B99D2E3" w14:textId="77777777" w:rsidR="00DF57E1" w:rsidRPr="0063119B" w:rsidRDefault="00DF57E1" w:rsidP="00DF57E1">
      <w:pPr>
        <w:suppressAutoHyphens/>
        <w:rPr>
          <w:b/>
          <w:noProof/>
          <w:szCs w:val="22"/>
        </w:rPr>
      </w:pPr>
    </w:p>
    <w:p w14:paraId="273C0AA2" w14:textId="77777777" w:rsidR="00DF57E1" w:rsidRPr="0063119B" w:rsidRDefault="00DF57E1" w:rsidP="00DF57E1">
      <w:pPr>
        <w:suppressAutoHyphens/>
        <w:rPr>
          <w:b/>
          <w:i/>
          <w:noProof/>
          <w:szCs w:val="22"/>
        </w:rPr>
      </w:pPr>
      <w:r w:rsidRPr="0063119B">
        <w:rPr>
          <w:b/>
          <w:noProof/>
          <w:szCs w:val="22"/>
        </w:rPr>
        <w:t xml:space="preserve">Frequentes </w:t>
      </w:r>
      <w:r w:rsidRPr="0063119B">
        <w:rPr>
          <w:noProof/>
          <w:szCs w:val="22"/>
        </w:rPr>
        <w:t>(podem afetar até 1 em 10 pessoas)</w:t>
      </w:r>
    </w:p>
    <w:p w14:paraId="4570BD39" w14:textId="77777777" w:rsidR="00F924C6" w:rsidRPr="0063119B" w:rsidRDefault="00F924C6" w:rsidP="00F924C6">
      <w:pPr>
        <w:suppressAutoHyphens/>
        <w:ind w:left="142" w:hanging="142"/>
        <w:rPr>
          <w:noProof/>
          <w:szCs w:val="22"/>
        </w:rPr>
      </w:pPr>
      <w:r w:rsidRPr="0063119B">
        <w:rPr>
          <w:noProof/>
          <w:szCs w:val="22"/>
        </w:rPr>
        <w:noBreakHyphen/>
        <w:t xml:space="preserve"> diminuição dos glóbulos vermelhos, o que pode provocar palidez da pele e causar fraqueza ou falta de ar</w:t>
      </w:r>
    </w:p>
    <w:p w14:paraId="1117FB6B" w14:textId="77777777" w:rsidR="00DF57E1" w:rsidRPr="0063119B" w:rsidRDefault="00DF57E1" w:rsidP="00DF57E1">
      <w:pPr>
        <w:suppressAutoHyphens/>
        <w:ind w:left="142" w:hanging="142"/>
        <w:rPr>
          <w:noProof/>
          <w:szCs w:val="22"/>
        </w:rPr>
      </w:pPr>
      <w:r w:rsidRPr="0063119B">
        <w:rPr>
          <w:noProof/>
          <w:szCs w:val="22"/>
        </w:rPr>
        <w:noBreakHyphen/>
        <w:t xml:space="preserve"> hemorragia no estômago ou intestino, hemorragia urogenital (incluindo sangue na urina e período menstrual intenso), hemorragia pelo nariz, hemorragia das gengivas</w:t>
      </w:r>
    </w:p>
    <w:p w14:paraId="6014E4D4" w14:textId="77777777" w:rsidR="00DF57E1" w:rsidRPr="0063119B" w:rsidRDefault="00DF57E1" w:rsidP="00DF57E1">
      <w:pPr>
        <w:suppressAutoHyphens/>
        <w:rPr>
          <w:noProof/>
          <w:szCs w:val="22"/>
        </w:rPr>
      </w:pPr>
      <w:r w:rsidRPr="0063119B">
        <w:rPr>
          <w:noProof/>
          <w:szCs w:val="22"/>
        </w:rPr>
        <w:noBreakHyphen/>
        <w:t xml:space="preserve"> hemorragia nos olhos (incluindo hemorragia da parte branca dos olhos)</w:t>
      </w:r>
    </w:p>
    <w:p w14:paraId="1C9B7242" w14:textId="77777777" w:rsidR="00DF57E1" w:rsidRPr="0063119B" w:rsidRDefault="00DF57E1" w:rsidP="00DF57E1">
      <w:pPr>
        <w:suppressAutoHyphens/>
        <w:rPr>
          <w:noProof/>
          <w:szCs w:val="22"/>
        </w:rPr>
      </w:pPr>
      <w:r w:rsidRPr="0063119B">
        <w:rPr>
          <w:noProof/>
          <w:szCs w:val="22"/>
        </w:rPr>
        <w:noBreakHyphen/>
        <w:t xml:space="preserve"> hemorragia num tecido ou uma cavidade do corpo (hematoma, nódoas negras)</w:t>
      </w:r>
    </w:p>
    <w:p w14:paraId="127B0E45" w14:textId="77777777" w:rsidR="00DF57E1" w:rsidRPr="0063119B" w:rsidRDefault="00DF57E1" w:rsidP="00DF57E1">
      <w:pPr>
        <w:suppressAutoHyphens/>
        <w:rPr>
          <w:noProof/>
          <w:szCs w:val="22"/>
        </w:rPr>
      </w:pPr>
      <w:r w:rsidRPr="0063119B">
        <w:rPr>
          <w:noProof/>
          <w:szCs w:val="22"/>
        </w:rPr>
        <w:t>- tossir sangue</w:t>
      </w:r>
    </w:p>
    <w:p w14:paraId="15DF1AB3" w14:textId="77777777" w:rsidR="00DF57E1" w:rsidRPr="0063119B" w:rsidRDefault="00DF57E1" w:rsidP="00DF57E1">
      <w:pPr>
        <w:suppressAutoHyphens/>
        <w:rPr>
          <w:noProof/>
          <w:szCs w:val="22"/>
        </w:rPr>
      </w:pPr>
      <w:r w:rsidRPr="0063119B">
        <w:rPr>
          <w:noProof/>
          <w:szCs w:val="22"/>
        </w:rPr>
        <w:t>- hemorragia da pele ou sob a pele</w:t>
      </w:r>
    </w:p>
    <w:p w14:paraId="2B101042" w14:textId="77777777" w:rsidR="00DF57E1" w:rsidRPr="0063119B" w:rsidRDefault="00DF57E1" w:rsidP="00DF57E1">
      <w:pPr>
        <w:suppressAutoHyphens/>
        <w:rPr>
          <w:noProof/>
          <w:szCs w:val="22"/>
        </w:rPr>
      </w:pPr>
      <w:r w:rsidRPr="0063119B">
        <w:rPr>
          <w:noProof/>
          <w:szCs w:val="22"/>
        </w:rPr>
        <w:noBreakHyphen/>
        <w:t xml:space="preserve"> hemorragia após uma cirurgia</w:t>
      </w:r>
    </w:p>
    <w:p w14:paraId="224C758A" w14:textId="77777777" w:rsidR="00DF57E1" w:rsidRPr="0063119B" w:rsidRDefault="00DF57E1" w:rsidP="00DF57E1">
      <w:pPr>
        <w:suppressAutoHyphens/>
        <w:rPr>
          <w:noProof/>
          <w:szCs w:val="22"/>
        </w:rPr>
      </w:pPr>
      <w:r w:rsidRPr="0063119B">
        <w:rPr>
          <w:noProof/>
          <w:szCs w:val="22"/>
        </w:rPr>
        <w:lastRenderedPageBreak/>
        <w:t>- secreção de sangue ou fluído de uma ferida cirúrgica</w:t>
      </w:r>
    </w:p>
    <w:p w14:paraId="6A46067F" w14:textId="77777777" w:rsidR="00DF57E1" w:rsidRPr="0063119B" w:rsidRDefault="00DF57E1" w:rsidP="00DF57E1">
      <w:pPr>
        <w:suppressAutoHyphens/>
        <w:rPr>
          <w:noProof/>
          <w:szCs w:val="22"/>
        </w:rPr>
      </w:pPr>
      <w:r w:rsidRPr="0063119B">
        <w:rPr>
          <w:noProof/>
          <w:szCs w:val="22"/>
        </w:rPr>
        <w:noBreakHyphen/>
        <w:t xml:space="preserve"> inchaço dos membros</w:t>
      </w:r>
    </w:p>
    <w:p w14:paraId="1B742E66" w14:textId="77777777" w:rsidR="00DF57E1" w:rsidRPr="0063119B" w:rsidRDefault="00DF57E1" w:rsidP="00DF57E1">
      <w:pPr>
        <w:suppressAutoHyphens/>
        <w:rPr>
          <w:noProof/>
          <w:szCs w:val="22"/>
        </w:rPr>
      </w:pPr>
      <w:r w:rsidRPr="0063119B">
        <w:rPr>
          <w:noProof/>
          <w:szCs w:val="22"/>
        </w:rPr>
        <w:noBreakHyphen/>
        <w:t xml:space="preserve"> dor nos membros</w:t>
      </w:r>
    </w:p>
    <w:p w14:paraId="5324C6FC" w14:textId="77777777" w:rsidR="00F924C6" w:rsidRPr="0063119B" w:rsidRDefault="00F924C6" w:rsidP="00F924C6">
      <w:pPr>
        <w:suppressAutoHyphens/>
        <w:rPr>
          <w:noProof/>
          <w:szCs w:val="22"/>
        </w:rPr>
      </w:pPr>
      <w:r w:rsidRPr="0063119B">
        <w:rPr>
          <w:noProof/>
          <w:szCs w:val="22"/>
        </w:rPr>
        <w:t>- função dos rins diminuída (pode ser observada em testes realizados pelo seu médico)</w:t>
      </w:r>
    </w:p>
    <w:p w14:paraId="44F299C6" w14:textId="77777777" w:rsidR="00DF57E1" w:rsidRPr="0063119B" w:rsidRDefault="00DF57E1" w:rsidP="00DF57E1">
      <w:pPr>
        <w:suppressAutoHyphens/>
        <w:rPr>
          <w:noProof/>
          <w:szCs w:val="22"/>
        </w:rPr>
      </w:pPr>
      <w:r w:rsidRPr="0063119B">
        <w:rPr>
          <w:noProof/>
          <w:szCs w:val="22"/>
        </w:rPr>
        <w:noBreakHyphen/>
        <w:t xml:space="preserve"> febre</w:t>
      </w:r>
    </w:p>
    <w:p w14:paraId="2A020DCF" w14:textId="77777777" w:rsidR="00DF57E1" w:rsidRPr="0063119B" w:rsidRDefault="00DF57E1" w:rsidP="00DF57E1">
      <w:pPr>
        <w:suppressAutoHyphens/>
        <w:rPr>
          <w:noProof/>
          <w:szCs w:val="22"/>
        </w:rPr>
      </w:pPr>
      <w:r w:rsidRPr="0063119B">
        <w:rPr>
          <w:noProof/>
          <w:szCs w:val="22"/>
        </w:rPr>
        <w:noBreakHyphen/>
        <w:t xml:space="preserve"> dor de estômago, indigestão, má disposição, prisão de ventre, diarreia </w:t>
      </w:r>
    </w:p>
    <w:p w14:paraId="2BD87F9D" w14:textId="77777777" w:rsidR="00DF57E1" w:rsidRPr="0063119B" w:rsidRDefault="00DF57E1" w:rsidP="00DF57E1">
      <w:pPr>
        <w:suppressAutoHyphens/>
        <w:rPr>
          <w:noProof/>
          <w:szCs w:val="22"/>
        </w:rPr>
      </w:pPr>
      <w:r w:rsidRPr="0063119B">
        <w:rPr>
          <w:noProof/>
          <w:szCs w:val="22"/>
        </w:rPr>
        <w:noBreakHyphen/>
        <w:t xml:space="preserve"> tensão arterial baixa (os sintomas podem ser sensação de tonturas ou desmaio ao levantar</w:t>
      </w:r>
      <w:r w:rsidRPr="0063119B">
        <w:rPr>
          <w:noProof/>
          <w:szCs w:val="22"/>
        </w:rPr>
        <w:noBreakHyphen/>
        <w:t>se)</w:t>
      </w:r>
    </w:p>
    <w:p w14:paraId="2BA47377" w14:textId="77777777" w:rsidR="00DF57E1" w:rsidRPr="0063119B" w:rsidRDefault="00DF57E1" w:rsidP="00DF57E1">
      <w:pPr>
        <w:suppressAutoHyphens/>
        <w:ind w:left="142" w:hanging="142"/>
        <w:rPr>
          <w:noProof/>
          <w:szCs w:val="22"/>
        </w:rPr>
      </w:pPr>
      <w:r w:rsidRPr="0063119B">
        <w:rPr>
          <w:noProof/>
          <w:szCs w:val="22"/>
        </w:rPr>
        <w:noBreakHyphen/>
        <w:t xml:space="preserve"> diminuição da força e energia de um modo geral (fraqueza, cansaço), dores de cabeça, tonturas</w:t>
      </w:r>
    </w:p>
    <w:p w14:paraId="5EEE765E" w14:textId="77777777" w:rsidR="00DF57E1" w:rsidRPr="0063119B" w:rsidRDefault="00DF57E1" w:rsidP="00DF57E1">
      <w:pPr>
        <w:suppressAutoHyphens/>
        <w:rPr>
          <w:noProof/>
          <w:szCs w:val="22"/>
        </w:rPr>
      </w:pPr>
      <w:r w:rsidRPr="0063119B">
        <w:rPr>
          <w:noProof/>
          <w:szCs w:val="22"/>
        </w:rPr>
        <w:noBreakHyphen/>
        <w:t xml:space="preserve"> erupção </w:t>
      </w:r>
      <w:r w:rsidR="00F63417" w:rsidRPr="0063119B">
        <w:rPr>
          <w:noProof/>
          <w:szCs w:val="22"/>
        </w:rPr>
        <w:t>na pele</w:t>
      </w:r>
      <w:r w:rsidRPr="0063119B">
        <w:rPr>
          <w:noProof/>
          <w:szCs w:val="22"/>
        </w:rPr>
        <w:t>, comichão na pele</w:t>
      </w:r>
    </w:p>
    <w:p w14:paraId="7D3FE1B1" w14:textId="77777777" w:rsidR="00DF57E1" w:rsidRPr="0063119B" w:rsidRDefault="00DF57E1" w:rsidP="00DF57E1">
      <w:pPr>
        <w:suppressAutoHyphens/>
        <w:rPr>
          <w:noProof/>
          <w:szCs w:val="22"/>
        </w:rPr>
      </w:pPr>
      <w:r w:rsidRPr="0063119B">
        <w:rPr>
          <w:noProof/>
          <w:szCs w:val="22"/>
        </w:rPr>
        <w:noBreakHyphen/>
        <w:t xml:space="preserve"> testes sanguíneos poderão demonstrar um aumento de algumas enzimas hepáticas</w:t>
      </w:r>
    </w:p>
    <w:p w14:paraId="16C23292" w14:textId="77777777" w:rsidR="00DF57E1" w:rsidRPr="0063119B" w:rsidRDefault="00DF57E1" w:rsidP="00DF57E1">
      <w:pPr>
        <w:suppressAutoHyphens/>
        <w:rPr>
          <w:noProof/>
          <w:szCs w:val="22"/>
        </w:rPr>
      </w:pPr>
    </w:p>
    <w:p w14:paraId="331ADAD7" w14:textId="77777777" w:rsidR="00DF57E1" w:rsidRPr="0063119B" w:rsidRDefault="00DF57E1" w:rsidP="00DF57E1">
      <w:pPr>
        <w:suppressAutoHyphens/>
        <w:rPr>
          <w:b/>
          <w:noProof/>
          <w:szCs w:val="22"/>
        </w:rPr>
      </w:pPr>
      <w:r w:rsidRPr="0063119B">
        <w:rPr>
          <w:b/>
          <w:noProof/>
          <w:szCs w:val="22"/>
        </w:rPr>
        <w:t xml:space="preserve">Pouco frequentes </w:t>
      </w:r>
      <w:r w:rsidRPr="0063119B">
        <w:rPr>
          <w:noProof/>
          <w:szCs w:val="22"/>
        </w:rPr>
        <w:t>(podem afetar até 1 em 100 pessoas)</w:t>
      </w:r>
    </w:p>
    <w:p w14:paraId="284A2EBE" w14:textId="77777777" w:rsidR="00DF57E1" w:rsidRPr="0063119B" w:rsidRDefault="00DF57E1" w:rsidP="00DF57E1">
      <w:pPr>
        <w:suppressAutoHyphens/>
        <w:rPr>
          <w:noProof/>
          <w:szCs w:val="22"/>
        </w:rPr>
      </w:pPr>
      <w:r w:rsidRPr="0063119B">
        <w:rPr>
          <w:noProof/>
          <w:szCs w:val="22"/>
        </w:rPr>
        <w:noBreakHyphen/>
        <w:t xml:space="preserve"> hemorragia no cérebro ou no interior do crânio</w:t>
      </w:r>
      <w:r w:rsidR="00D40229">
        <w:rPr>
          <w:noProof/>
          <w:szCs w:val="22"/>
        </w:rPr>
        <w:t xml:space="preserve"> </w:t>
      </w:r>
      <w:r w:rsidR="00D40229">
        <w:rPr>
          <w:szCs w:val="22"/>
        </w:rPr>
        <w:t>(ver acima, sinais de hemorragia)</w:t>
      </w:r>
    </w:p>
    <w:p w14:paraId="40EFF12F" w14:textId="77777777" w:rsidR="00DF57E1" w:rsidRPr="0063119B" w:rsidRDefault="00DF57E1" w:rsidP="00DF57E1">
      <w:pPr>
        <w:suppressAutoHyphens/>
        <w:rPr>
          <w:noProof/>
          <w:szCs w:val="22"/>
        </w:rPr>
      </w:pPr>
      <w:r w:rsidRPr="0063119B">
        <w:rPr>
          <w:noProof/>
          <w:szCs w:val="22"/>
        </w:rPr>
        <w:noBreakHyphen/>
        <w:t xml:space="preserve"> hemorragia numa articulação causando dor e inchaço</w:t>
      </w:r>
    </w:p>
    <w:p w14:paraId="500480D3" w14:textId="77777777" w:rsidR="00077097" w:rsidRPr="0063119B" w:rsidRDefault="00077097" w:rsidP="00DF57E1">
      <w:pPr>
        <w:suppressAutoHyphens/>
        <w:rPr>
          <w:noProof/>
          <w:szCs w:val="22"/>
        </w:rPr>
      </w:pPr>
      <w:r w:rsidRPr="0063119B">
        <w:rPr>
          <w:noProof/>
          <w:szCs w:val="22"/>
        </w:rPr>
        <w:t xml:space="preserve">- </w:t>
      </w:r>
      <w:r w:rsidRPr="0063119B">
        <w:rPr>
          <w:szCs w:val="22"/>
        </w:rPr>
        <w:t xml:space="preserve">trombocitopenia (baixo número de plaquetas, </w:t>
      </w:r>
      <w:r w:rsidR="00454F54" w:rsidRPr="0063119B">
        <w:rPr>
          <w:szCs w:val="22"/>
        </w:rPr>
        <w:t>que são</w:t>
      </w:r>
      <w:r w:rsidRPr="0063119B">
        <w:rPr>
          <w:szCs w:val="22"/>
        </w:rPr>
        <w:t xml:space="preserve"> células que ajudam o sangue a coagular)</w:t>
      </w:r>
    </w:p>
    <w:p w14:paraId="57CEF5F1" w14:textId="77777777" w:rsidR="00F924C6" w:rsidRPr="0063119B" w:rsidRDefault="00F924C6" w:rsidP="00F924C6">
      <w:pPr>
        <w:suppressAutoHyphens/>
        <w:rPr>
          <w:noProof/>
          <w:szCs w:val="22"/>
        </w:rPr>
      </w:pPr>
      <w:r w:rsidRPr="0063119B">
        <w:rPr>
          <w:noProof/>
          <w:szCs w:val="22"/>
        </w:rPr>
        <w:noBreakHyphen/>
        <w:t xml:space="preserve"> reações alérgicas, incluindo reações alérgicas da pele</w:t>
      </w:r>
    </w:p>
    <w:p w14:paraId="39BE0FD8" w14:textId="77777777" w:rsidR="00F924C6" w:rsidRPr="0063119B" w:rsidRDefault="00F924C6" w:rsidP="00F924C6">
      <w:pPr>
        <w:suppressAutoHyphens/>
        <w:rPr>
          <w:noProof/>
          <w:szCs w:val="22"/>
        </w:rPr>
      </w:pPr>
      <w:r w:rsidRPr="0063119B">
        <w:rPr>
          <w:noProof/>
          <w:szCs w:val="22"/>
        </w:rPr>
        <w:noBreakHyphen/>
        <w:t xml:space="preserve"> função do fígado diminuída (pode ser observada em testes efetuados pelo seu médico)</w:t>
      </w:r>
    </w:p>
    <w:p w14:paraId="4B729D85" w14:textId="77777777" w:rsidR="00F924C6" w:rsidRPr="0063119B" w:rsidRDefault="00F924C6" w:rsidP="00F924C6">
      <w:pPr>
        <w:suppressAutoHyphens/>
        <w:ind w:left="142" w:hanging="142"/>
        <w:rPr>
          <w:noProof/>
          <w:szCs w:val="22"/>
        </w:rPr>
      </w:pPr>
      <w:r w:rsidRPr="0063119B">
        <w:rPr>
          <w:noProof/>
          <w:szCs w:val="22"/>
        </w:rPr>
        <w:noBreakHyphen/>
        <w:t xml:space="preserve"> testes sanguíneos poderão demonstrar um aumento da bilirrubina, de algumas enzimas pancreáticas ou do número de plaquetas</w:t>
      </w:r>
    </w:p>
    <w:p w14:paraId="0711DF2C" w14:textId="77777777" w:rsidR="00DF57E1" w:rsidRPr="0063119B" w:rsidRDefault="00DF57E1" w:rsidP="00DF57E1">
      <w:pPr>
        <w:suppressAutoHyphens/>
        <w:rPr>
          <w:noProof/>
          <w:szCs w:val="22"/>
        </w:rPr>
      </w:pPr>
      <w:r w:rsidRPr="0063119B">
        <w:rPr>
          <w:noProof/>
          <w:szCs w:val="22"/>
        </w:rPr>
        <w:t>- desmaio</w:t>
      </w:r>
    </w:p>
    <w:p w14:paraId="53AB4505" w14:textId="77777777" w:rsidR="00DF57E1" w:rsidRPr="0063119B" w:rsidRDefault="00DF57E1" w:rsidP="00DF57E1">
      <w:pPr>
        <w:suppressAutoHyphens/>
        <w:rPr>
          <w:noProof/>
          <w:szCs w:val="22"/>
        </w:rPr>
      </w:pPr>
      <w:r w:rsidRPr="0063119B">
        <w:rPr>
          <w:noProof/>
          <w:szCs w:val="22"/>
        </w:rPr>
        <w:noBreakHyphen/>
        <w:t xml:space="preserve"> sensação de mal</w:t>
      </w:r>
      <w:r w:rsidRPr="0063119B">
        <w:rPr>
          <w:noProof/>
          <w:szCs w:val="22"/>
        </w:rPr>
        <w:noBreakHyphen/>
        <w:t>estar</w:t>
      </w:r>
    </w:p>
    <w:p w14:paraId="6C83A6D5" w14:textId="77777777" w:rsidR="00F924C6" w:rsidRPr="0063119B" w:rsidRDefault="00F924C6" w:rsidP="00F924C6">
      <w:pPr>
        <w:suppressAutoHyphens/>
        <w:rPr>
          <w:noProof/>
          <w:szCs w:val="22"/>
        </w:rPr>
      </w:pPr>
      <w:r w:rsidRPr="0063119B">
        <w:rPr>
          <w:noProof/>
          <w:szCs w:val="22"/>
        </w:rPr>
        <w:t>- batimento cardíaco mais rápido</w:t>
      </w:r>
    </w:p>
    <w:p w14:paraId="11A4274D" w14:textId="77777777" w:rsidR="00DF57E1" w:rsidRPr="0063119B" w:rsidRDefault="00DF57E1" w:rsidP="00DF57E1">
      <w:pPr>
        <w:suppressAutoHyphens/>
        <w:rPr>
          <w:noProof/>
          <w:szCs w:val="22"/>
        </w:rPr>
      </w:pPr>
      <w:r w:rsidRPr="0063119B">
        <w:rPr>
          <w:noProof/>
          <w:szCs w:val="22"/>
        </w:rPr>
        <w:noBreakHyphen/>
        <w:t xml:space="preserve"> boca seca</w:t>
      </w:r>
    </w:p>
    <w:p w14:paraId="61847A6E" w14:textId="77777777" w:rsidR="00DF57E1" w:rsidRPr="0063119B" w:rsidRDefault="00DF57E1" w:rsidP="00DF57E1">
      <w:pPr>
        <w:suppressAutoHyphens/>
        <w:rPr>
          <w:noProof/>
          <w:szCs w:val="22"/>
        </w:rPr>
      </w:pPr>
      <w:r w:rsidRPr="0063119B">
        <w:rPr>
          <w:noProof/>
          <w:szCs w:val="22"/>
        </w:rPr>
        <w:noBreakHyphen/>
        <w:t xml:space="preserve"> urticária (erupção da pele com comichão)</w:t>
      </w:r>
    </w:p>
    <w:p w14:paraId="3259B66A" w14:textId="77777777" w:rsidR="00DF57E1" w:rsidRPr="0063119B" w:rsidRDefault="00DF57E1" w:rsidP="00DF57E1">
      <w:pPr>
        <w:suppressAutoHyphens/>
        <w:rPr>
          <w:b/>
          <w:noProof/>
          <w:szCs w:val="22"/>
        </w:rPr>
      </w:pPr>
    </w:p>
    <w:p w14:paraId="36B7BBED" w14:textId="77777777" w:rsidR="00DF57E1" w:rsidRPr="0063119B" w:rsidRDefault="00DF57E1" w:rsidP="00DF57E1">
      <w:pPr>
        <w:suppressAutoHyphens/>
        <w:rPr>
          <w:b/>
          <w:noProof/>
          <w:szCs w:val="22"/>
        </w:rPr>
      </w:pPr>
      <w:r w:rsidRPr="0063119B">
        <w:rPr>
          <w:b/>
          <w:noProof/>
          <w:szCs w:val="22"/>
        </w:rPr>
        <w:t xml:space="preserve">Raros </w:t>
      </w:r>
      <w:r w:rsidRPr="0063119B">
        <w:rPr>
          <w:noProof/>
          <w:szCs w:val="22"/>
        </w:rPr>
        <w:t>(podem afetar até 1 em 1.000 pessoas)</w:t>
      </w:r>
    </w:p>
    <w:p w14:paraId="41B14E83" w14:textId="77777777" w:rsidR="00DF57E1" w:rsidRPr="0063119B" w:rsidRDefault="00DF57E1" w:rsidP="00DF57E1">
      <w:pPr>
        <w:suppressAutoHyphens/>
        <w:rPr>
          <w:noProof/>
          <w:szCs w:val="22"/>
        </w:rPr>
      </w:pPr>
      <w:r w:rsidRPr="0063119B">
        <w:rPr>
          <w:noProof/>
          <w:szCs w:val="22"/>
        </w:rPr>
        <w:noBreakHyphen/>
        <w:t xml:space="preserve"> hemorragia num músculo</w:t>
      </w:r>
    </w:p>
    <w:p w14:paraId="4A1DC225" w14:textId="77777777" w:rsidR="00077097" w:rsidRPr="0063119B" w:rsidRDefault="00077097" w:rsidP="00DF57E1">
      <w:pPr>
        <w:suppressAutoHyphens/>
        <w:rPr>
          <w:noProof/>
          <w:szCs w:val="22"/>
        </w:rPr>
      </w:pPr>
      <w:r w:rsidRPr="0063119B">
        <w:rPr>
          <w:noProof/>
          <w:szCs w:val="22"/>
        </w:rPr>
        <w:t xml:space="preserve">- </w:t>
      </w:r>
      <w:r w:rsidRPr="0063119B">
        <w:rPr>
          <w:szCs w:val="22"/>
        </w:rPr>
        <w:t>colestase (diminuição do f</w:t>
      </w:r>
      <w:r w:rsidR="00454F54" w:rsidRPr="0063119B">
        <w:rPr>
          <w:szCs w:val="22"/>
        </w:rPr>
        <w:t>luxo biliar), hepatite incl.</w:t>
      </w:r>
      <w:r w:rsidR="00B23D33" w:rsidRPr="0063119B">
        <w:rPr>
          <w:szCs w:val="22"/>
        </w:rPr>
        <w:t xml:space="preserve"> Lesão </w:t>
      </w:r>
      <w:r w:rsidR="00452127" w:rsidRPr="0063119B">
        <w:rPr>
          <w:szCs w:val="22"/>
        </w:rPr>
        <w:t>hepatocelular (</w:t>
      </w:r>
      <w:r w:rsidR="00454F54" w:rsidRPr="0063119B">
        <w:rPr>
          <w:szCs w:val="22"/>
        </w:rPr>
        <w:t>inflamação do fígado incl. lesão do fígado</w:t>
      </w:r>
      <w:r w:rsidRPr="0063119B">
        <w:rPr>
          <w:szCs w:val="22"/>
        </w:rPr>
        <w:t>)</w:t>
      </w:r>
    </w:p>
    <w:p w14:paraId="72ADD503" w14:textId="77777777" w:rsidR="00F924C6" w:rsidRPr="0063119B" w:rsidRDefault="00F924C6" w:rsidP="00F924C6">
      <w:pPr>
        <w:suppressAutoHyphens/>
        <w:rPr>
          <w:noProof/>
          <w:szCs w:val="22"/>
        </w:rPr>
      </w:pPr>
      <w:r w:rsidRPr="0063119B">
        <w:rPr>
          <w:noProof/>
          <w:szCs w:val="22"/>
        </w:rPr>
        <w:noBreakHyphen/>
        <w:t xml:space="preserve"> amarelecimento da pele e dos olhos (icterícia)</w:t>
      </w:r>
    </w:p>
    <w:p w14:paraId="11D1D08D" w14:textId="77777777" w:rsidR="00DF57E1" w:rsidRPr="0063119B" w:rsidRDefault="00DF57E1" w:rsidP="00DF57E1">
      <w:pPr>
        <w:suppressAutoHyphens/>
        <w:rPr>
          <w:noProof/>
          <w:szCs w:val="22"/>
        </w:rPr>
      </w:pPr>
      <w:r w:rsidRPr="0063119B">
        <w:rPr>
          <w:noProof/>
          <w:szCs w:val="22"/>
        </w:rPr>
        <w:noBreakHyphen/>
        <w:t xml:space="preserve"> inchaço localizado</w:t>
      </w:r>
    </w:p>
    <w:p w14:paraId="393A5976" w14:textId="77777777" w:rsidR="00DF57E1" w:rsidRPr="0063119B" w:rsidRDefault="00DF57E1" w:rsidP="00DF57E1">
      <w:pPr>
        <w:suppressAutoHyphens/>
        <w:rPr>
          <w:noProof/>
          <w:szCs w:val="22"/>
        </w:rPr>
      </w:pPr>
      <w:r w:rsidRPr="0063119B">
        <w:rPr>
          <w:noProof/>
          <w:szCs w:val="22"/>
        </w:rPr>
        <w:noBreakHyphen/>
        <w:t xml:space="preserve"> acumulação de sangue (hematoma) na sua virilha como uma complicação de um procedimento cardíaco no qual um cateter é inserido na artéria da sua perna (pseudoaneurisma)</w:t>
      </w:r>
    </w:p>
    <w:p w14:paraId="0E86CC1A" w14:textId="67C0DA2E" w:rsidR="00DF57E1" w:rsidRDefault="00DF57E1" w:rsidP="00DF57E1">
      <w:pPr>
        <w:suppressAutoHyphens/>
        <w:rPr>
          <w:noProof/>
          <w:szCs w:val="22"/>
        </w:rPr>
      </w:pPr>
    </w:p>
    <w:p w14:paraId="42AADE6F" w14:textId="77777777" w:rsidR="002B5FBC" w:rsidRDefault="002B5FBC" w:rsidP="00DF57E1">
      <w:pPr>
        <w:suppressAutoHyphens/>
      </w:pPr>
      <w:r w:rsidRPr="006A13A4">
        <w:rPr>
          <w:b/>
          <w:bCs/>
        </w:rPr>
        <w:t>Muito raros</w:t>
      </w:r>
      <w:r>
        <w:t xml:space="preserve"> (podem afetar até 1 em 10 000 pessoas) </w:t>
      </w:r>
    </w:p>
    <w:p w14:paraId="6C7F0B4C" w14:textId="6C062448" w:rsidR="002B5FBC" w:rsidRDefault="002B5FBC" w:rsidP="00DF57E1">
      <w:pPr>
        <w:suppressAutoHyphens/>
      </w:pPr>
      <w:r>
        <w:t>- acumulação de eosinófilos, um tipo de glóbulos brancos, granulócitos, no sangue que causam inflamação no pulmão (pneumonia eosinofílica)</w:t>
      </w:r>
    </w:p>
    <w:p w14:paraId="334D3339" w14:textId="77777777" w:rsidR="002B5FBC" w:rsidRPr="0063119B" w:rsidRDefault="002B5FBC" w:rsidP="00DF57E1">
      <w:pPr>
        <w:suppressAutoHyphens/>
        <w:rPr>
          <w:noProof/>
          <w:szCs w:val="22"/>
        </w:rPr>
      </w:pPr>
    </w:p>
    <w:p w14:paraId="6450B8D1" w14:textId="77777777" w:rsidR="00DF57E1" w:rsidRPr="0063119B" w:rsidRDefault="00DF57E1" w:rsidP="00DF57E1">
      <w:pPr>
        <w:suppressAutoHyphens/>
        <w:rPr>
          <w:b/>
          <w:noProof/>
          <w:szCs w:val="22"/>
        </w:rPr>
      </w:pPr>
      <w:r w:rsidRPr="0063119B">
        <w:rPr>
          <w:b/>
          <w:noProof/>
          <w:szCs w:val="22"/>
        </w:rPr>
        <w:t xml:space="preserve">Desconhecido </w:t>
      </w:r>
      <w:r w:rsidRPr="0063119B">
        <w:rPr>
          <w:noProof/>
          <w:szCs w:val="22"/>
        </w:rPr>
        <w:t>(frequência não pode ser calculada a partir dos dados disponíveis):</w:t>
      </w:r>
    </w:p>
    <w:p w14:paraId="07CF0CAF" w14:textId="77777777" w:rsidR="00F924C6" w:rsidRDefault="00F924C6" w:rsidP="00F924C6">
      <w:pPr>
        <w:suppressAutoHyphens/>
        <w:rPr>
          <w:noProof/>
          <w:szCs w:val="22"/>
        </w:rPr>
      </w:pPr>
      <w:r w:rsidRPr="0063119B">
        <w:rPr>
          <w:noProof/>
          <w:szCs w:val="22"/>
        </w:rPr>
        <w:noBreakHyphen/>
        <w:t xml:space="preserve"> insuficiência renal após uma hemorragia grave</w:t>
      </w:r>
    </w:p>
    <w:p w14:paraId="7FC7FD39" w14:textId="6AF36854" w:rsidR="007830B5" w:rsidRPr="007830B5" w:rsidRDefault="007830B5" w:rsidP="007830B5">
      <w:pPr>
        <w:suppressAutoHyphens/>
        <w:rPr>
          <w:noProof/>
          <w:szCs w:val="22"/>
        </w:rPr>
      </w:pPr>
      <w:r>
        <w:rPr>
          <w:noProof/>
          <w:szCs w:val="22"/>
        </w:rPr>
        <w:t xml:space="preserve">- </w:t>
      </w:r>
      <w:r w:rsidRPr="007830B5">
        <w:rPr>
          <w:noProof/>
          <w:szCs w:val="22"/>
        </w:rPr>
        <w:t>hemorragia no rim, por vezes com presença de sangue na urina, levando à incapacidade dos rins</w:t>
      </w:r>
    </w:p>
    <w:p w14:paraId="39D5D3B0" w14:textId="364A80CC" w:rsidR="007830B5" w:rsidRPr="0063119B" w:rsidRDefault="007830B5" w:rsidP="00C64655">
      <w:pPr>
        <w:suppressAutoHyphens/>
        <w:ind w:left="142"/>
        <w:rPr>
          <w:noProof/>
          <w:szCs w:val="22"/>
        </w:rPr>
      </w:pPr>
      <w:r w:rsidRPr="007830B5">
        <w:rPr>
          <w:noProof/>
          <w:szCs w:val="22"/>
        </w:rPr>
        <w:t>funcionarem adequadamente (nefropatia relacionada com anticoagulante)</w:t>
      </w:r>
    </w:p>
    <w:p w14:paraId="2D26587D" w14:textId="77777777" w:rsidR="00DF57E1" w:rsidRPr="0063119B" w:rsidRDefault="00DF57E1" w:rsidP="00DF57E1">
      <w:pPr>
        <w:suppressAutoHyphens/>
        <w:ind w:left="142" w:hanging="142"/>
        <w:rPr>
          <w:noProof/>
          <w:szCs w:val="22"/>
        </w:rPr>
      </w:pPr>
      <w:r w:rsidRPr="0063119B">
        <w:rPr>
          <w:noProof/>
          <w:szCs w:val="22"/>
        </w:rPr>
        <w:noBreakHyphen/>
        <w:t xml:space="preserve"> aumento da pressão nos músculos das suas pernas ou braços após uma hemorragia, que pode causar dor, inchaço, sensação alterada, adormecimento ou paralisia (síndrome compartimental após uma hemorragia)</w:t>
      </w:r>
    </w:p>
    <w:p w14:paraId="331D6EC1" w14:textId="77777777" w:rsidR="00DF57E1" w:rsidRPr="0063119B" w:rsidRDefault="00DF57E1" w:rsidP="00DF57E1">
      <w:pPr>
        <w:suppressAutoHyphens/>
        <w:rPr>
          <w:b/>
          <w:noProof/>
          <w:szCs w:val="22"/>
        </w:rPr>
      </w:pPr>
    </w:p>
    <w:p w14:paraId="0B2EB690" w14:textId="77777777" w:rsidR="00E105F4" w:rsidRPr="0063119B" w:rsidRDefault="00E105F4" w:rsidP="00DF57E1">
      <w:pPr>
        <w:suppressAutoHyphens/>
        <w:rPr>
          <w:b/>
          <w:szCs w:val="22"/>
        </w:rPr>
      </w:pPr>
      <w:r w:rsidRPr="0063119B">
        <w:rPr>
          <w:b/>
          <w:noProof/>
          <w:szCs w:val="22"/>
        </w:rPr>
        <w:t xml:space="preserve">Comunicação de efeitos </w:t>
      </w:r>
      <w:r w:rsidR="00CC1A3A" w:rsidRPr="0063119B">
        <w:rPr>
          <w:b/>
          <w:noProof/>
          <w:szCs w:val="22"/>
        </w:rPr>
        <w:t>indesejáveis</w:t>
      </w:r>
    </w:p>
    <w:p w14:paraId="1A1E5AA0" w14:textId="77777777" w:rsidR="00DF57E1" w:rsidRPr="0063119B" w:rsidRDefault="00DF57E1" w:rsidP="00DF57E1">
      <w:pPr>
        <w:suppressAutoHyphens/>
        <w:rPr>
          <w:noProof/>
          <w:szCs w:val="22"/>
        </w:rPr>
      </w:pPr>
      <w:r w:rsidRPr="0063119B">
        <w:rPr>
          <w:noProof/>
          <w:szCs w:val="22"/>
        </w:rPr>
        <w:t xml:space="preserve">Se tiver quaisquer </w:t>
      </w:r>
      <w:r w:rsidR="00EA5925" w:rsidRPr="0063119B">
        <w:rPr>
          <w:noProof/>
          <w:szCs w:val="22"/>
        </w:rPr>
        <w:t>e</w:t>
      </w:r>
      <w:r w:rsidRPr="0063119B">
        <w:rPr>
          <w:noProof/>
          <w:szCs w:val="22"/>
        </w:rPr>
        <w:t xml:space="preserve">feitos </w:t>
      </w:r>
      <w:r w:rsidR="00CC1A3A" w:rsidRPr="0063119B">
        <w:rPr>
          <w:noProof/>
          <w:szCs w:val="22"/>
        </w:rPr>
        <w:t>indesejáveis</w:t>
      </w:r>
      <w:r w:rsidRPr="0063119B">
        <w:rPr>
          <w:noProof/>
          <w:szCs w:val="22"/>
        </w:rPr>
        <w:t xml:space="preserve">, incluindo possíveis efeitos </w:t>
      </w:r>
      <w:r w:rsidR="00CC1A3A" w:rsidRPr="0063119B">
        <w:rPr>
          <w:noProof/>
          <w:szCs w:val="22"/>
        </w:rPr>
        <w:t>indesejáveis</w:t>
      </w:r>
      <w:r w:rsidRPr="0063119B">
        <w:rPr>
          <w:noProof/>
          <w:szCs w:val="22"/>
        </w:rPr>
        <w:t xml:space="preserve"> não indicados neste folheto, fale com o seu médico ou farmacêutico.</w:t>
      </w:r>
      <w:r w:rsidR="00E105F4" w:rsidRPr="0063119B">
        <w:rPr>
          <w:noProof/>
          <w:szCs w:val="22"/>
        </w:rPr>
        <w:t xml:space="preserve"> </w:t>
      </w:r>
      <w:r w:rsidR="00E105F4" w:rsidRPr="0063119B">
        <w:rPr>
          <w:szCs w:val="22"/>
        </w:rPr>
        <w:t xml:space="preserve">Também poderá comunicar efeitos </w:t>
      </w:r>
      <w:r w:rsidR="00CC1A3A" w:rsidRPr="0063119B">
        <w:rPr>
          <w:noProof/>
          <w:szCs w:val="22"/>
        </w:rPr>
        <w:t>indesejáveis</w:t>
      </w:r>
      <w:r w:rsidR="00E105F4" w:rsidRPr="0063119B">
        <w:rPr>
          <w:szCs w:val="22"/>
        </w:rPr>
        <w:t xml:space="preserve"> diretamente através </w:t>
      </w:r>
      <w:r w:rsidR="00E105F4" w:rsidRPr="0063119B">
        <w:rPr>
          <w:szCs w:val="22"/>
          <w:highlight w:val="lightGray"/>
        </w:rPr>
        <w:t xml:space="preserve">do sistema nacional de notificação mencionado no </w:t>
      </w:r>
      <w:hyperlink r:id="rId24" w:history="1">
        <w:r w:rsidR="00E105F4" w:rsidRPr="0063119B">
          <w:rPr>
            <w:rStyle w:val="Hyperlink"/>
            <w:szCs w:val="22"/>
            <w:highlight w:val="lightGray"/>
          </w:rPr>
          <w:t>Apêndice V</w:t>
        </w:r>
      </w:hyperlink>
      <w:r w:rsidR="00E105F4" w:rsidRPr="0063119B">
        <w:rPr>
          <w:szCs w:val="22"/>
        </w:rPr>
        <w:t xml:space="preserve">. Ao comunicar efeitos </w:t>
      </w:r>
      <w:r w:rsidR="00CC1A3A" w:rsidRPr="0063119B">
        <w:rPr>
          <w:noProof/>
          <w:szCs w:val="22"/>
        </w:rPr>
        <w:t>indesejáveis</w:t>
      </w:r>
      <w:r w:rsidR="00E105F4" w:rsidRPr="0063119B">
        <w:rPr>
          <w:szCs w:val="22"/>
        </w:rPr>
        <w:t>, estará a ajudar a fornecer mais informações sobre a segurança deste medicamento.</w:t>
      </w:r>
    </w:p>
    <w:p w14:paraId="19877B54" w14:textId="77777777" w:rsidR="005B1595" w:rsidRPr="0063119B" w:rsidRDefault="005B1595" w:rsidP="00DF57E1">
      <w:pPr>
        <w:suppressAutoHyphens/>
        <w:rPr>
          <w:b/>
          <w:noProof/>
          <w:szCs w:val="22"/>
        </w:rPr>
      </w:pPr>
    </w:p>
    <w:p w14:paraId="7D92F8C3" w14:textId="77777777" w:rsidR="005B1595" w:rsidRPr="0063119B" w:rsidRDefault="005B1595" w:rsidP="00DF57E1">
      <w:pPr>
        <w:suppressAutoHyphens/>
        <w:rPr>
          <w:b/>
          <w:noProof/>
          <w:szCs w:val="22"/>
        </w:rPr>
      </w:pPr>
    </w:p>
    <w:p w14:paraId="0A5E5A56" w14:textId="77777777" w:rsidR="00DF57E1" w:rsidRPr="0063119B" w:rsidRDefault="00DF57E1" w:rsidP="00B316E9">
      <w:pPr>
        <w:keepNext/>
        <w:suppressAutoHyphens/>
        <w:rPr>
          <w:noProof/>
          <w:szCs w:val="22"/>
        </w:rPr>
      </w:pPr>
      <w:r w:rsidRPr="0063119B">
        <w:rPr>
          <w:b/>
          <w:noProof/>
          <w:szCs w:val="22"/>
        </w:rPr>
        <w:t>5.</w:t>
      </w:r>
      <w:r w:rsidRPr="0063119B">
        <w:rPr>
          <w:b/>
          <w:noProof/>
          <w:szCs w:val="22"/>
        </w:rPr>
        <w:tab/>
        <w:t xml:space="preserve">Como conservar </w:t>
      </w:r>
      <w:r w:rsidR="00607DE4">
        <w:rPr>
          <w:b/>
          <w:noProof/>
          <w:szCs w:val="22"/>
        </w:rPr>
        <w:t>Rivaroxabano</w:t>
      </w:r>
      <w:r w:rsidR="001F7D02" w:rsidRPr="0063119B">
        <w:rPr>
          <w:b/>
          <w:noProof/>
          <w:szCs w:val="22"/>
        </w:rPr>
        <w:t xml:space="preserve"> Accord</w:t>
      </w:r>
    </w:p>
    <w:p w14:paraId="60BC54B4" w14:textId="77777777" w:rsidR="00DF57E1" w:rsidRPr="0063119B" w:rsidRDefault="00DF57E1" w:rsidP="00B316E9">
      <w:pPr>
        <w:keepNext/>
        <w:suppressAutoHyphens/>
        <w:rPr>
          <w:noProof/>
          <w:szCs w:val="22"/>
        </w:rPr>
      </w:pPr>
    </w:p>
    <w:p w14:paraId="340A77D3" w14:textId="77777777" w:rsidR="00DF57E1" w:rsidRPr="0063119B" w:rsidRDefault="00DF57E1" w:rsidP="00B316E9">
      <w:pPr>
        <w:keepNext/>
        <w:suppressAutoHyphens/>
        <w:rPr>
          <w:noProof/>
          <w:szCs w:val="22"/>
        </w:rPr>
      </w:pPr>
      <w:r w:rsidRPr="0063119B">
        <w:rPr>
          <w:noProof/>
          <w:szCs w:val="22"/>
        </w:rPr>
        <w:t>Manter este medicamento fora da vista e do alcance das crianças.</w:t>
      </w:r>
    </w:p>
    <w:p w14:paraId="10A3ABDA" w14:textId="77777777" w:rsidR="00DF57E1" w:rsidRPr="0063119B" w:rsidRDefault="00DF57E1" w:rsidP="00DF57E1">
      <w:pPr>
        <w:suppressAutoHyphens/>
        <w:rPr>
          <w:noProof/>
          <w:szCs w:val="22"/>
        </w:rPr>
      </w:pPr>
    </w:p>
    <w:p w14:paraId="720487A2" w14:textId="77777777" w:rsidR="00DF57E1" w:rsidRPr="0063119B" w:rsidRDefault="00DF57E1" w:rsidP="00DF57E1">
      <w:pPr>
        <w:suppressAutoHyphens/>
        <w:rPr>
          <w:noProof/>
          <w:szCs w:val="22"/>
        </w:rPr>
      </w:pPr>
      <w:r w:rsidRPr="0063119B">
        <w:rPr>
          <w:noProof/>
          <w:szCs w:val="22"/>
        </w:rPr>
        <w:lastRenderedPageBreak/>
        <w:t xml:space="preserve">Não utilize este medicamento após o prazo de validade impresso na embalagem exterior e em cada blister </w:t>
      </w:r>
      <w:r w:rsidR="00F924C6" w:rsidRPr="0063119B">
        <w:rPr>
          <w:noProof/>
          <w:szCs w:val="22"/>
        </w:rPr>
        <w:t xml:space="preserve">ou frasco </w:t>
      </w:r>
      <w:r w:rsidRPr="0063119B">
        <w:rPr>
          <w:noProof/>
          <w:szCs w:val="22"/>
        </w:rPr>
        <w:t>após EXP. O prazo de validade corresponde ao último dia do mês indicado.</w:t>
      </w:r>
    </w:p>
    <w:p w14:paraId="32D44FF5" w14:textId="77777777" w:rsidR="00DF57E1" w:rsidRPr="0063119B" w:rsidRDefault="00DF57E1" w:rsidP="00DF57E1">
      <w:pPr>
        <w:suppressAutoHyphens/>
        <w:rPr>
          <w:noProof/>
          <w:szCs w:val="22"/>
        </w:rPr>
      </w:pPr>
    </w:p>
    <w:p w14:paraId="160C3875" w14:textId="77777777" w:rsidR="00DF57E1" w:rsidRPr="0063119B" w:rsidRDefault="00DF57E1" w:rsidP="00DF57E1">
      <w:pPr>
        <w:suppressAutoHyphens/>
        <w:rPr>
          <w:noProof/>
          <w:szCs w:val="22"/>
        </w:rPr>
      </w:pPr>
      <w:r w:rsidRPr="0063119B">
        <w:rPr>
          <w:noProof/>
          <w:szCs w:val="22"/>
        </w:rPr>
        <w:t>Este medicamento não necessita de condições especiais de conservação.</w:t>
      </w:r>
    </w:p>
    <w:p w14:paraId="6DDE9ACC" w14:textId="77777777" w:rsidR="00DF57E1" w:rsidRDefault="00DF57E1" w:rsidP="00DF57E1">
      <w:pPr>
        <w:suppressAutoHyphens/>
        <w:rPr>
          <w:noProof/>
          <w:szCs w:val="22"/>
        </w:rPr>
      </w:pPr>
    </w:p>
    <w:p w14:paraId="0FE56A17" w14:textId="77777777" w:rsidR="00D40229" w:rsidRPr="00D40229" w:rsidRDefault="00D40229" w:rsidP="00D40229">
      <w:pPr>
        <w:autoSpaceDE w:val="0"/>
        <w:autoSpaceDN w:val="0"/>
        <w:adjustRightInd w:val="0"/>
        <w:rPr>
          <w:color w:val="000000"/>
          <w:szCs w:val="22"/>
          <w:lang w:eastAsia="pt-PT"/>
        </w:rPr>
      </w:pPr>
      <w:r w:rsidRPr="00D40229">
        <w:rPr>
          <w:color w:val="000000"/>
          <w:szCs w:val="22"/>
          <w:lang w:eastAsia="pt-PT"/>
        </w:rPr>
        <w:t xml:space="preserve">Trituração dos comprimidos </w:t>
      </w:r>
    </w:p>
    <w:p w14:paraId="6F23B012" w14:textId="77777777" w:rsidR="00D40229" w:rsidRPr="0063119B" w:rsidRDefault="00D40229" w:rsidP="00D40229">
      <w:pPr>
        <w:suppressAutoHyphens/>
        <w:rPr>
          <w:noProof/>
          <w:szCs w:val="22"/>
        </w:rPr>
      </w:pPr>
      <w:r w:rsidRPr="00D40229">
        <w:rPr>
          <w:color w:val="000000"/>
          <w:szCs w:val="22"/>
          <w:lang w:eastAsia="pt-PT"/>
        </w:rPr>
        <w:t>Os comprimidos triturados são estáveis em água ou puré de maçã até 4 horas.</w:t>
      </w:r>
    </w:p>
    <w:p w14:paraId="472699D3" w14:textId="77777777" w:rsidR="00DF57E1" w:rsidRPr="0063119B" w:rsidRDefault="00DF57E1" w:rsidP="00DF57E1">
      <w:pPr>
        <w:suppressAutoHyphens/>
        <w:rPr>
          <w:noProof/>
          <w:szCs w:val="22"/>
        </w:rPr>
      </w:pPr>
      <w:r w:rsidRPr="0063119B">
        <w:rPr>
          <w:noProof/>
          <w:szCs w:val="22"/>
        </w:rPr>
        <w:t>Não deite fora quaisquer medicamentos na canalização ou no lixo doméstico. Pergunte ao seu farmacêutico como deitar fora os medicamentos que já não utiliza. Estas medidas ajudarão a proteger o ambiente.</w:t>
      </w:r>
    </w:p>
    <w:p w14:paraId="2EE81416" w14:textId="77777777" w:rsidR="00DF57E1" w:rsidRPr="0063119B" w:rsidRDefault="00DF57E1" w:rsidP="00DF57E1">
      <w:pPr>
        <w:suppressAutoHyphens/>
        <w:ind w:left="567" w:hanging="567"/>
        <w:rPr>
          <w:b/>
          <w:noProof/>
          <w:szCs w:val="22"/>
        </w:rPr>
      </w:pPr>
    </w:p>
    <w:p w14:paraId="18576111" w14:textId="77777777" w:rsidR="00DF57E1" w:rsidRPr="0063119B" w:rsidRDefault="00DF57E1" w:rsidP="00DF57E1">
      <w:pPr>
        <w:suppressAutoHyphens/>
        <w:ind w:left="567" w:hanging="567"/>
        <w:rPr>
          <w:b/>
          <w:noProof/>
          <w:szCs w:val="22"/>
        </w:rPr>
      </w:pPr>
    </w:p>
    <w:p w14:paraId="6B33912E" w14:textId="77777777" w:rsidR="00DF57E1" w:rsidRPr="0063119B" w:rsidRDefault="00DF57E1" w:rsidP="003311FD">
      <w:pPr>
        <w:keepNext/>
        <w:suppressAutoHyphens/>
        <w:ind w:left="567" w:hanging="567"/>
        <w:rPr>
          <w:b/>
          <w:noProof/>
          <w:szCs w:val="22"/>
        </w:rPr>
      </w:pPr>
      <w:r w:rsidRPr="0063119B">
        <w:rPr>
          <w:b/>
          <w:noProof/>
          <w:szCs w:val="22"/>
        </w:rPr>
        <w:t>6.</w:t>
      </w:r>
      <w:r w:rsidRPr="0063119B">
        <w:rPr>
          <w:b/>
          <w:noProof/>
          <w:szCs w:val="22"/>
        </w:rPr>
        <w:tab/>
      </w:r>
      <w:r w:rsidRPr="0063119B">
        <w:rPr>
          <w:b/>
          <w:szCs w:val="22"/>
        </w:rPr>
        <w:t xml:space="preserve">Conteúdo da embalagem e </w:t>
      </w:r>
      <w:r w:rsidRPr="0063119B">
        <w:rPr>
          <w:b/>
          <w:noProof/>
          <w:szCs w:val="22"/>
        </w:rPr>
        <w:t>outras informações</w:t>
      </w:r>
    </w:p>
    <w:p w14:paraId="345580E8" w14:textId="77777777" w:rsidR="00DF57E1" w:rsidRPr="0063119B" w:rsidRDefault="00DF57E1" w:rsidP="003311FD">
      <w:pPr>
        <w:keepNext/>
        <w:suppressAutoHyphens/>
        <w:ind w:left="567" w:hanging="567"/>
        <w:rPr>
          <w:noProof/>
          <w:szCs w:val="22"/>
        </w:rPr>
      </w:pPr>
    </w:p>
    <w:p w14:paraId="4F3F0D09" w14:textId="77777777" w:rsidR="00DF57E1" w:rsidRPr="0063119B" w:rsidRDefault="00DF57E1" w:rsidP="003311FD">
      <w:pPr>
        <w:keepNext/>
        <w:suppressAutoHyphens/>
        <w:rPr>
          <w:b/>
          <w:bCs/>
          <w:noProof/>
          <w:szCs w:val="22"/>
        </w:rPr>
      </w:pPr>
      <w:r w:rsidRPr="0063119B">
        <w:rPr>
          <w:b/>
          <w:bCs/>
          <w:noProof/>
          <w:szCs w:val="22"/>
        </w:rPr>
        <w:t xml:space="preserve">Qual a composição de </w:t>
      </w:r>
      <w:r w:rsidR="00607DE4">
        <w:rPr>
          <w:b/>
          <w:bCs/>
          <w:noProof/>
          <w:szCs w:val="22"/>
        </w:rPr>
        <w:t>Rivaroxabano</w:t>
      </w:r>
      <w:r w:rsidR="001F7D02" w:rsidRPr="0063119B">
        <w:rPr>
          <w:b/>
          <w:bCs/>
          <w:noProof/>
          <w:szCs w:val="22"/>
        </w:rPr>
        <w:t xml:space="preserve"> Accord</w:t>
      </w:r>
    </w:p>
    <w:p w14:paraId="40E3FA6C" w14:textId="77777777" w:rsidR="00DF57E1" w:rsidRPr="0063119B" w:rsidRDefault="00DF57E1" w:rsidP="00DF57E1">
      <w:pPr>
        <w:numPr>
          <w:ilvl w:val="0"/>
          <w:numId w:val="1"/>
        </w:numPr>
        <w:suppressAutoHyphens/>
        <w:ind w:left="567" w:hanging="567"/>
        <w:rPr>
          <w:noProof/>
          <w:szCs w:val="22"/>
        </w:rPr>
      </w:pPr>
      <w:r w:rsidRPr="0063119B">
        <w:rPr>
          <w:noProof/>
          <w:szCs w:val="22"/>
        </w:rPr>
        <w:t>A substância ativa é o rivaroxabano. Cada comprimido contém 2,5 mg de rivaroxabano.</w:t>
      </w:r>
    </w:p>
    <w:p w14:paraId="050AC725" w14:textId="77777777" w:rsidR="004F0D72" w:rsidRPr="0063119B" w:rsidRDefault="00DF57E1" w:rsidP="004F0D72">
      <w:pPr>
        <w:numPr>
          <w:ilvl w:val="0"/>
          <w:numId w:val="1"/>
        </w:numPr>
        <w:suppressAutoHyphens/>
        <w:ind w:left="567" w:hanging="567"/>
        <w:rPr>
          <w:noProof/>
          <w:szCs w:val="22"/>
        </w:rPr>
      </w:pPr>
      <w:r w:rsidRPr="0063119B">
        <w:rPr>
          <w:noProof/>
          <w:szCs w:val="22"/>
        </w:rPr>
        <w:t>Os outros componentes são:</w:t>
      </w:r>
    </w:p>
    <w:p w14:paraId="09869BFA" w14:textId="77777777" w:rsidR="004F0D72" w:rsidRPr="0063119B" w:rsidRDefault="004F0D72" w:rsidP="004F0D72">
      <w:pPr>
        <w:suppressAutoHyphens/>
        <w:rPr>
          <w:noProof/>
          <w:szCs w:val="22"/>
        </w:rPr>
      </w:pPr>
    </w:p>
    <w:p w14:paraId="0C1A8EE1" w14:textId="77777777" w:rsidR="004F0D72" w:rsidRPr="0063119B" w:rsidRDefault="00DF57E1" w:rsidP="004F0D72">
      <w:pPr>
        <w:suppressAutoHyphens/>
        <w:rPr>
          <w:noProof/>
          <w:szCs w:val="22"/>
        </w:rPr>
      </w:pPr>
      <w:r w:rsidRPr="0063119B">
        <w:rPr>
          <w:noProof/>
          <w:szCs w:val="22"/>
          <w:u w:val="single"/>
        </w:rPr>
        <w:t>Núcleo do comprimido</w:t>
      </w:r>
    </w:p>
    <w:p w14:paraId="71E80508" w14:textId="77777777" w:rsidR="004F0D72" w:rsidRPr="0063119B" w:rsidRDefault="004F0D72" w:rsidP="004F0D72">
      <w:pPr>
        <w:suppressAutoHyphens/>
        <w:rPr>
          <w:noProof/>
          <w:szCs w:val="22"/>
        </w:rPr>
      </w:pPr>
    </w:p>
    <w:p w14:paraId="6D16060E" w14:textId="77777777" w:rsidR="00A549AF" w:rsidRPr="0063119B" w:rsidRDefault="00A549AF" w:rsidP="00A549AF">
      <w:pPr>
        <w:keepNext/>
        <w:suppressAutoHyphens/>
        <w:rPr>
          <w:noProof/>
          <w:szCs w:val="22"/>
        </w:rPr>
      </w:pPr>
      <w:r w:rsidRPr="0063119B">
        <w:rPr>
          <w:noProof/>
          <w:szCs w:val="22"/>
        </w:rPr>
        <w:t>Lactose mono-hidratada</w:t>
      </w:r>
    </w:p>
    <w:p w14:paraId="00F3348F" w14:textId="77777777" w:rsidR="00A549AF" w:rsidRPr="0063119B" w:rsidRDefault="00A549AF" w:rsidP="00A549AF">
      <w:pPr>
        <w:keepNext/>
        <w:suppressAutoHyphens/>
        <w:rPr>
          <w:noProof/>
          <w:szCs w:val="22"/>
        </w:rPr>
      </w:pPr>
      <w:r w:rsidRPr="0063119B">
        <w:rPr>
          <w:noProof/>
          <w:szCs w:val="22"/>
        </w:rPr>
        <w:t>Croscarmelose sódica (E468)</w:t>
      </w:r>
    </w:p>
    <w:p w14:paraId="0D3413F7" w14:textId="77777777" w:rsidR="00A549AF" w:rsidRPr="0063119B" w:rsidRDefault="00A549AF" w:rsidP="00A549AF">
      <w:pPr>
        <w:keepNext/>
        <w:suppressAutoHyphens/>
        <w:rPr>
          <w:noProof/>
          <w:szCs w:val="22"/>
        </w:rPr>
      </w:pPr>
      <w:r w:rsidRPr="0063119B">
        <w:rPr>
          <w:noProof/>
          <w:szCs w:val="22"/>
        </w:rPr>
        <w:t>Laurilsulfato de sódio (E487)</w:t>
      </w:r>
    </w:p>
    <w:p w14:paraId="21EE9F2F" w14:textId="77777777" w:rsidR="00A549AF" w:rsidRPr="0063119B" w:rsidRDefault="00A549AF" w:rsidP="00A549AF">
      <w:pPr>
        <w:keepNext/>
        <w:suppressAutoHyphens/>
        <w:rPr>
          <w:noProof/>
          <w:szCs w:val="22"/>
        </w:rPr>
      </w:pPr>
      <w:r w:rsidRPr="0063119B">
        <w:rPr>
          <w:noProof/>
          <w:szCs w:val="22"/>
        </w:rPr>
        <w:t>Hipromelose</w:t>
      </w:r>
      <w:r w:rsidR="00F57713" w:rsidRPr="0063119B">
        <w:rPr>
          <w:noProof/>
          <w:szCs w:val="22"/>
        </w:rPr>
        <w:t xml:space="preserve"> 2910 (viscosidade nominal 5,1 mPa.S)</w:t>
      </w:r>
      <w:r w:rsidRPr="0063119B">
        <w:rPr>
          <w:noProof/>
          <w:szCs w:val="22"/>
        </w:rPr>
        <w:t xml:space="preserve"> (E464)</w:t>
      </w:r>
    </w:p>
    <w:p w14:paraId="5A5D92BF" w14:textId="77777777" w:rsidR="00A549AF" w:rsidRPr="0063119B" w:rsidRDefault="00A549AF" w:rsidP="00A549AF">
      <w:pPr>
        <w:keepNext/>
        <w:suppressAutoHyphens/>
        <w:rPr>
          <w:noProof/>
          <w:szCs w:val="22"/>
        </w:rPr>
      </w:pPr>
      <w:r w:rsidRPr="0063119B">
        <w:rPr>
          <w:noProof/>
          <w:szCs w:val="22"/>
        </w:rPr>
        <w:t>Celulose microcristalina (E460)</w:t>
      </w:r>
    </w:p>
    <w:p w14:paraId="52D38237" w14:textId="77777777" w:rsidR="00A549AF" w:rsidRPr="0063119B" w:rsidRDefault="00A549AF" w:rsidP="00A549AF">
      <w:pPr>
        <w:keepNext/>
        <w:suppressAutoHyphens/>
        <w:rPr>
          <w:noProof/>
          <w:szCs w:val="22"/>
        </w:rPr>
      </w:pPr>
      <w:r w:rsidRPr="0063119B">
        <w:rPr>
          <w:noProof/>
          <w:szCs w:val="22"/>
        </w:rPr>
        <w:t>Sílica coloidal anidra (E551)</w:t>
      </w:r>
    </w:p>
    <w:p w14:paraId="17374B74" w14:textId="77777777" w:rsidR="00A549AF" w:rsidRPr="0063119B" w:rsidRDefault="00A549AF" w:rsidP="00A549AF">
      <w:pPr>
        <w:keepNext/>
        <w:suppressAutoHyphens/>
        <w:rPr>
          <w:noProof/>
          <w:szCs w:val="22"/>
        </w:rPr>
      </w:pPr>
      <w:r w:rsidRPr="0063119B">
        <w:rPr>
          <w:noProof/>
          <w:szCs w:val="22"/>
        </w:rPr>
        <w:t>Estearato de magnésio (E572)</w:t>
      </w:r>
    </w:p>
    <w:p w14:paraId="3F5661F4" w14:textId="77777777" w:rsidR="00DF57E1" w:rsidRPr="0063119B" w:rsidRDefault="00DF57E1" w:rsidP="000B293C">
      <w:pPr>
        <w:suppressAutoHyphens/>
        <w:rPr>
          <w:noProof/>
          <w:szCs w:val="22"/>
        </w:rPr>
      </w:pPr>
    </w:p>
    <w:p w14:paraId="6FF8AC0C" w14:textId="77777777" w:rsidR="00A549AF" w:rsidRPr="0063119B" w:rsidRDefault="00DF57E1" w:rsidP="00A549AF">
      <w:pPr>
        <w:suppressAutoHyphens/>
        <w:rPr>
          <w:noProof/>
          <w:szCs w:val="22"/>
        </w:rPr>
      </w:pPr>
      <w:r w:rsidRPr="0063119B">
        <w:rPr>
          <w:noProof/>
          <w:szCs w:val="22"/>
          <w:u w:val="single"/>
        </w:rPr>
        <w:t>Revestimento por película</w:t>
      </w:r>
      <w:r w:rsidR="00A549AF" w:rsidRPr="0063119B">
        <w:rPr>
          <w:noProof/>
          <w:szCs w:val="22"/>
        </w:rPr>
        <w:t>:</w:t>
      </w:r>
    </w:p>
    <w:p w14:paraId="31ED4378" w14:textId="77777777" w:rsidR="00A549AF" w:rsidRPr="0063119B" w:rsidRDefault="00A549AF" w:rsidP="00A549AF">
      <w:pPr>
        <w:suppressAutoHyphens/>
        <w:rPr>
          <w:noProof/>
          <w:szCs w:val="22"/>
        </w:rPr>
      </w:pPr>
    </w:p>
    <w:p w14:paraId="764216DA" w14:textId="77777777" w:rsidR="00A549AF" w:rsidRPr="0063119B" w:rsidRDefault="00D64F59" w:rsidP="00A549AF">
      <w:pPr>
        <w:suppressAutoHyphens/>
        <w:rPr>
          <w:noProof/>
          <w:szCs w:val="22"/>
        </w:rPr>
      </w:pPr>
      <w:r w:rsidRPr="0063119B">
        <w:rPr>
          <w:noProof/>
          <w:szCs w:val="22"/>
        </w:rPr>
        <w:t>Macrog</w:t>
      </w:r>
      <w:r w:rsidR="00A549AF" w:rsidRPr="0063119B">
        <w:rPr>
          <w:noProof/>
          <w:szCs w:val="22"/>
        </w:rPr>
        <w:t>ol 4000 (E1521)</w:t>
      </w:r>
    </w:p>
    <w:p w14:paraId="6073953E" w14:textId="77777777" w:rsidR="00A549AF" w:rsidRPr="0063119B" w:rsidRDefault="00A549AF" w:rsidP="00A549AF">
      <w:pPr>
        <w:suppressAutoHyphens/>
        <w:rPr>
          <w:noProof/>
          <w:szCs w:val="22"/>
        </w:rPr>
      </w:pPr>
      <w:r w:rsidRPr="0063119B">
        <w:rPr>
          <w:noProof/>
          <w:szCs w:val="22"/>
        </w:rPr>
        <w:t xml:space="preserve">Hipromelose </w:t>
      </w:r>
      <w:r w:rsidR="00F57713" w:rsidRPr="0063119B">
        <w:rPr>
          <w:noProof/>
          <w:szCs w:val="22"/>
        </w:rPr>
        <w:t xml:space="preserve">2910 (viscosidade nominal 5,1 mPa.S) </w:t>
      </w:r>
      <w:r w:rsidRPr="0063119B">
        <w:rPr>
          <w:noProof/>
          <w:szCs w:val="22"/>
        </w:rPr>
        <w:t>(E464)</w:t>
      </w:r>
    </w:p>
    <w:p w14:paraId="4D3142AA" w14:textId="77777777" w:rsidR="00A549AF" w:rsidRPr="0063119B" w:rsidRDefault="00A549AF" w:rsidP="00A549AF">
      <w:pPr>
        <w:suppressAutoHyphens/>
        <w:rPr>
          <w:noProof/>
          <w:szCs w:val="22"/>
        </w:rPr>
      </w:pPr>
      <w:r w:rsidRPr="0063119B">
        <w:rPr>
          <w:noProof/>
          <w:szCs w:val="22"/>
        </w:rPr>
        <w:t>Dióxido de titânio (E171)</w:t>
      </w:r>
    </w:p>
    <w:p w14:paraId="75D7571C" w14:textId="77777777" w:rsidR="00DF57E1" w:rsidRPr="0063119B" w:rsidRDefault="00A549AF" w:rsidP="000B293C">
      <w:pPr>
        <w:suppressAutoHyphens/>
        <w:rPr>
          <w:noProof/>
          <w:szCs w:val="22"/>
        </w:rPr>
      </w:pPr>
      <w:r w:rsidRPr="0063119B">
        <w:rPr>
          <w:noProof/>
          <w:szCs w:val="22"/>
        </w:rPr>
        <w:t>Ó</w:t>
      </w:r>
      <w:r w:rsidR="00DF57E1" w:rsidRPr="0063119B">
        <w:rPr>
          <w:noProof/>
          <w:szCs w:val="22"/>
        </w:rPr>
        <w:t>xido de ferro amarelo (E 172).</w:t>
      </w:r>
    </w:p>
    <w:p w14:paraId="6135C7D4" w14:textId="77777777" w:rsidR="00DF57E1" w:rsidRPr="0063119B" w:rsidRDefault="00DF57E1" w:rsidP="00DF57E1">
      <w:pPr>
        <w:suppressAutoHyphens/>
        <w:ind w:left="567"/>
        <w:rPr>
          <w:noProof/>
          <w:szCs w:val="22"/>
        </w:rPr>
      </w:pPr>
    </w:p>
    <w:p w14:paraId="673FF731" w14:textId="77777777" w:rsidR="00DF57E1" w:rsidRPr="0063119B" w:rsidRDefault="00DF57E1" w:rsidP="00DF57E1">
      <w:pPr>
        <w:suppressAutoHyphens/>
        <w:rPr>
          <w:b/>
          <w:bCs/>
          <w:noProof/>
          <w:szCs w:val="22"/>
        </w:rPr>
      </w:pPr>
      <w:r w:rsidRPr="0063119B">
        <w:rPr>
          <w:b/>
          <w:bCs/>
          <w:noProof/>
          <w:szCs w:val="22"/>
        </w:rPr>
        <w:t xml:space="preserve">Qual o aspeto de </w:t>
      </w:r>
      <w:r w:rsidR="00607DE4">
        <w:rPr>
          <w:b/>
          <w:bCs/>
          <w:noProof/>
          <w:szCs w:val="22"/>
        </w:rPr>
        <w:t>Rivaroxabano</w:t>
      </w:r>
      <w:r w:rsidR="001F7D02" w:rsidRPr="0063119B">
        <w:rPr>
          <w:b/>
          <w:bCs/>
          <w:noProof/>
          <w:szCs w:val="22"/>
        </w:rPr>
        <w:t xml:space="preserve"> Accord</w:t>
      </w:r>
      <w:r w:rsidRPr="0063119B">
        <w:rPr>
          <w:b/>
          <w:bCs/>
          <w:noProof/>
          <w:szCs w:val="22"/>
        </w:rPr>
        <w:t xml:space="preserve"> e conteúdo da embalagem</w:t>
      </w:r>
    </w:p>
    <w:p w14:paraId="1BFAF137" w14:textId="77777777" w:rsidR="00DF57E1" w:rsidRPr="0063119B" w:rsidRDefault="00607DE4" w:rsidP="00DF57E1">
      <w:pPr>
        <w:suppressAutoHyphens/>
        <w:rPr>
          <w:noProof/>
          <w:szCs w:val="22"/>
        </w:rPr>
      </w:pPr>
      <w:r>
        <w:rPr>
          <w:noProof/>
          <w:szCs w:val="22"/>
        </w:rPr>
        <w:t>Rivaroxabano</w:t>
      </w:r>
      <w:r w:rsidR="001F7D02" w:rsidRPr="0063119B">
        <w:rPr>
          <w:noProof/>
          <w:szCs w:val="22"/>
        </w:rPr>
        <w:t xml:space="preserve"> Accord</w:t>
      </w:r>
      <w:r w:rsidR="00DF57E1" w:rsidRPr="0063119B">
        <w:rPr>
          <w:noProof/>
          <w:szCs w:val="22"/>
        </w:rPr>
        <w:t xml:space="preserve"> 2,5 mg comprimidos revestidos por película são comprimidos </w:t>
      </w:r>
      <w:r w:rsidR="00A549AF" w:rsidRPr="0063119B">
        <w:rPr>
          <w:noProof/>
          <w:szCs w:val="22"/>
        </w:rPr>
        <w:t>revestidos por película, biconvexos, redondos, com aproximadamente 6</w:t>
      </w:r>
      <w:r w:rsidR="00345924" w:rsidRPr="0063119B">
        <w:rPr>
          <w:noProof/>
          <w:szCs w:val="22"/>
        </w:rPr>
        <w:t>,00</w:t>
      </w:r>
      <w:r w:rsidR="00A549AF" w:rsidRPr="0063119B">
        <w:rPr>
          <w:noProof/>
          <w:szCs w:val="22"/>
        </w:rPr>
        <w:t> mm de diâmetro, de cor amarelo claro, com a gravação”IL4” numa das faces e lisos na outra face</w:t>
      </w:r>
      <w:r w:rsidR="00DF57E1" w:rsidRPr="0063119B">
        <w:rPr>
          <w:noProof/>
          <w:szCs w:val="22"/>
        </w:rPr>
        <w:t>.</w:t>
      </w:r>
    </w:p>
    <w:p w14:paraId="0504795D" w14:textId="77777777" w:rsidR="00A549AF" w:rsidRPr="0063119B" w:rsidRDefault="00A549AF" w:rsidP="00DF57E1">
      <w:pPr>
        <w:suppressAutoHyphens/>
        <w:rPr>
          <w:noProof/>
          <w:szCs w:val="22"/>
        </w:rPr>
      </w:pPr>
    </w:p>
    <w:p w14:paraId="17B0A8F9" w14:textId="77777777" w:rsidR="00F924C6" w:rsidRPr="0063119B" w:rsidRDefault="00607DE4" w:rsidP="00DF57E1">
      <w:pPr>
        <w:suppressAutoHyphens/>
        <w:rPr>
          <w:noProof/>
          <w:szCs w:val="22"/>
        </w:rPr>
      </w:pPr>
      <w:r>
        <w:rPr>
          <w:noProof/>
          <w:szCs w:val="22"/>
        </w:rPr>
        <w:t>Rivaroxabano</w:t>
      </w:r>
      <w:r w:rsidR="00A549AF" w:rsidRPr="0063119B">
        <w:rPr>
          <w:noProof/>
          <w:szCs w:val="22"/>
        </w:rPr>
        <w:t xml:space="preserve"> Accord comprimidos revestidos por película são acondicionados em blisters de PVC transparente/alumínio disponíveis:</w:t>
      </w:r>
    </w:p>
    <w:p w14:paraId="6F4F172B" w14:textId="77777777" w:rsidR="00F924C6" w:rsidRPr="0063119B" w:rsidRDefault="00F924C6" w:rsidP="00DF57E1">
      <w:pPr>
        <w:suppressAutoHyphens/>
        <w:rPr>
          <w:noProof/>
          <w:szCs w:val="22"/>
        </w:rPr>
      </w:pPr>
      <w:r w:rsidRPr="0063119B">
        <w:rPr>
          <w:noProof/>
          <w:szCs w:val="22"/>
        </w:rPr>
        <w:t>-</w:t>
      </w:r>
      <w:r w:rsidRPr="0063119B">
        <w:rPr>
          <w:noProof/>
          <w:szCs w:val="22"/>
        </w:rPr>
        <w:tab/>
      </w:r>
      <w:r w:rsidR="00DF57E1" w:rsidRPr="0063119B">
        <w:rPr>
          <w:noProof/>
          <w:szCs w:val="22"/>
        </w:rPr>
        <w:t>em blisters de 28, 56, 98,</w:t>
      </w:r>
      <w:r w:rsidR="002C3E18" w:rsidRPr="0063119B">
        <w:rPr>
          <w:noProof/>
          <w:szCs w:val="22"/>
        </w:rPr>
        <w:t xml:space="preserve"> 100,</w:t>
      </w:r>
      <w:r w:rsidR="00DF57E1" w:rsidRPr="0063119B">
        <w:rPr>
          <w:noProof/>
          <w:szCs w:val="22"/>
        </w:rPr>
        <w:t xml:space="preserve"> 168 ou 196 comprimidos ou </w:t>
      </w:r>
    </w:p>
    <w:p w14:paraId="4838CE19" w14:textId="77777777" w:rsidR="001B0380" w:rsidRPr="0063119B" w:rsidRDefault="00F924C6" w:rsidP="00DF57E1">
      <w:pPr>
        <w:suppressAutoHyphens/>
        <w:rPr>
          <w:noProof/>
          <w:szCs w:val="22"/>
        </w:rPr>
      </w:pPr>
      <w:r w:rsidRPr="0063119B">
        <w:rPr>
          <w:noProof/>
          <w:szCs w:val="22"/>
        </w:rPr>
        <w:t>-</w:t>
      </w:r>
      <w:r w:rsidRPr="0063119B">
        <w:rPr>
          <w:noProof/>
          <w:szCs w:val="22"/>
        </w:rPr>
        <w:tab/>
      </w:r>
      <w:r w:rsidR="00DF57E1" w:rsidRPr="0063119B">
        <w:rPr>
          <w:noProof/>
          <w:szCs w:val="22"/>
        </w:rPr>
        <w:t xml:space="preserve">em blisters </w:t>
      </w:r>
      <w:r w:rsidR="002C3E18" w:rsidRPr="0063119B">
        <w:rPr>
          <w:noProof/>
          <w:szCs w:val="22"/>
        </w:rPr>
        <w:t xml:space="preserve">perfurados </w:t>
      </w:r>
      <w:r w:rsidR="00DF57E1" w:rsidRPr="0063119B">
        <w:rPr>
          <w:noProof/>
          <w:szCs w:val="22"/>
        </w:rPr>
        <w:t>para dose unitária de 10 x 1 ou 100 x 1 </w:t>
      </w:r>
      <w:r w:rsidR="002C3E18" w:rsidRPr="0063119B">
        <w:rPr>
          <w:noProof/>
          <w:szCs w:val="22"/>
        </w:rPr>
        <w:t>comprimidos.</w:t>
      </w:r>
    </w:p>
    <w:p w14:paraId="46476A20" w14:textId="77777777" w:rsidR="00DF57E1" w:rsidRPr="0063119B" w:rsidRDefault="00607DE4" w:rsidP="00DF57E1">
      <w:pPr>
        <w:suppressAutoHyphens/>
        <w:rPr>
          <w:noProof/>
          <w:szCs w:val="22"/>
        </w:rPr>
      </w:pPr>
      <w:r>
        <w:rPr>
          <w:noProof/>
          <w:szCs w:val="22"/>
        </w:rPr>
        <w:t>Rivaroxabano</w:t>
      </w:r>
      <w:r w:rsidR="002C3E18" w:rsidRPr="0063119B">
        <w:rPr>
          <w:noProof/>
          <w:szCs w:val="22"/>
        </w:rPr>
        <w:t xml:space="preserve"> Accord comprimidos revestidos por película também estão disponíveis </w:t>
      </w:r>
      <w:r w:rsidR="00C67E2F" w:rsidRPr="0063119B">
        <w:rPr>
          <w:noProof/>
          <w:szCs w:val="22"/>
        </w:rPr>
        <w:t xml:space="preserve">em frascos de </w:t>
      </w:r>
      <w:r w:rsidR="00560D86" w:rsidRPr="0063119B">
        <w:rPr>
          <w:noProof/>
          <w:szCs w:val="22"/>
        </w:rPr>
        <w:t xml:space="preserve">PEAD contendo </w:t>
      </w:r>
      <w:r w:rsidR="002C3E18" w:rsidRPr="0063119B">
        <w:rPr>
          <w:noProof/>
          <w:szCs w:val="22"/>
        </w:rPr>
        <w:t>30, 90 ou 500 </w:t>
      </w:r>
      <w:r w:rsidR="00C67E2F" w:rsidRPr="0063119B">
        <w:rPr>
          <w:noProof/>
          <w:szCs w:val="22"/>
        </w:rPr>
        <w:t>comprimidos</w:t>
      </w:r>
      <w:r w:rsidR="00DF57E1" w:rsidRPr="0063119B">
        <w:rPr>
          <w:noProof/>
          <w:szCs w:val="22"/>
        </w:rPr>
        <w:t>.</w:t>
      </w:r>
    </w:p>
    <w:p w14:paraId="3CBF2DAF" w14:textId="77777777" w:rsidR="00DF57E1" w:rsidRPr="0063119B" w:rsidRDefault="00DF57E1" w:rsidP="00DF57E1">
      <w:pPr>
        <w:suppressAutoHyphens/>
        <w:rPr>
          <w:noProof/>
          <w:szCs w:val="22"/>
        </w:rPr>
      </w:pPr>
    </w:p>
    <w:p w14:paraId="0D48672C" w14:textId="77777777" w:rsidR="00DF57E1" w:rsidRPr="0063119B" w:rsidRDefault="00DF57E1" w:rsidP="00DF57E1">
      <w:pPr>
        <w:suppressAutoHyphens/>
        <w:rPr>
          <w:noProof/>
          <w:szCs w:val="22"/>
        </w:rPr>
      </w:pPr>
      <w:r w:rsidRPr="0063119B">
        <w:rPr>
          <w:noProof/>
          <w:szCs w:val="22"/>
        </w:rPr>
        <w:t>É possível que não sejam comercializadas todas as apresentações.</w:t>
      </w:r>
    </w:p>
    <w:p w14:paraId="2DAAB93C" w14:textId="77777777" w:rsidR="00DF57E1" w:rsidRPr="0063119B" w:rsidRDefault="00DF57E1" w:rsidP="00DF57E1">
      <w:pPr>
        <w:numPr>
          <w:ilvl w:val="12"/>
          <w:numId w:val="0"/>
        </w:numPr>
        <w:suppressAutoHyphens/>
        <w:rPr>
          <w:noProof/>
          <w:szCs w:val="22"/>
        </w:rPr>
      </w:pPr>
    </w:p>
    <w:p w14:paraId="0990F9C2" w14:textId="77777777" w:rsidR="00DF57E1" w:rsidRPr="0063119B" w:rsidRDefault="00DF57E1" w:rsidP="00DF57E1">
      <w:pPr>
        <w:keepNext/>
        <w:suppressAutoHyphens/>
        <w:rPr>
          <w:b/>
          <w:bCs/>
          <w:noProof/>
          <w:szCs w:val="22"/>
        </w:rPr>
      </w:pPr>
      <w:r w:rsidRPr="0063119B">
        <w:rPr>
          <w:b/>
          <w:bCs/>
          <w:noProof/>
          <w:szCs w:val="22"/>
        </w:rPr>
        <w:t>Titular da Autorização de Introdução no Mercado</w:t>
      </w:r>
    </w:p>
    <w:p w14:paraId="19CA3B7B" w14:textId="77777777" w:rsidR="00DF57E1" w:rsidRPr="0063119B" w:rsidRDefault="00DF57E1" w:rsidP="00DF57E1">
      <w:pPr>
        <w:keepNext/>
        <w:numPr>
          <w:ilvl w:val="12"/>
          <w:numId w:val="0"/>
        </w:numPr>
        <w:suppressAutoHyphens/>
        <w:rPr>
          <w:noProof/>
          <w:szCs w:val="22"/>
        </w:rPr>
      </w:pPr>
    </w:p>
    <w:p w14:paraId="7E589367" w14:textId="77777777" w:rsidR="002C3E18" w:rsidRPr="0063119B" w:rsidRDefault="002C3E18" w:rsidP="002C3E18">
      <w:pPr>
        <w:rPr>
          <w:szCs w:val="22"/>
          <w:lang w:val="en-GB"/>
        </w:rPr>
      </w:pPr>
      <w:bookmarkStart w:id="19" w:name="_Hlk49013623"/>
      <w:r w:rsidRPr="0063119B">
        <w:rPr>
          <w:szCs w:val="22"/>
          <w:lang w:val="en-GB"/>
        </w:rPr>
        <w:t>Accord Healthcare S.L.U.</w:t>
      </w:r>
    </w:p>
    <w:p w14:paraId="271BDFB0" w14:textId="77777777" w:rsidR="002C3E18" w:rsidRPr="0063119B" w:rsidRDefault="002C3E18" w:rsidP="002C3E18">
      <w:pPr>
        <w:rPr>
          <w:szCs w:val="22"/>
        </w:rPr>
      </w:pPr>
      <w:r w:rsidRPr="0063119B">
        <w:rPr>
          <w:szCs w:val="22"/>
        </w:rPr>
        <w:t xml:space="preserve">World Trade Center, Moll de Barcelona, s/n, Edifici Est 6ª planta, </w:t>
      </w:r>
    </w:p>
    <w:p w14:paraId="736133C8" w14:textId="77777777" w:rsidR="002C3E18" w:rsidRPr="0063119B" w:rsidRDefault="002C3E18" w:rsidP="002C3E18">
      <w:pPr>
        <w:rPr>
          <w:szCs w:val="22"/>
        </w:rPr>
      </w:pPr>
      <w:r w:rsidRPr="0063119B">
        <w:rPr>
          <w:szCs w:val="22"/>
        </w:rPr>
        <w:t>Barcelona, 08039</w:t>
      </w:r>
    </w:p>
    <w:p w14:paraId="730C7F7B" w14:textId="77777777" w:rsidR="002C3E18" w:rsidRPr="0063119B" w:rsidRDefault="002C3E18" w:rsidP="002C3E18">
      <w:pPr>
        <w:rPr>
          <w:szCs w:val="22"/>
        </w:rPr>
      </w:pPr>
      <w:r w:rsidRPr="0063119B">
        <w:rPr>
          <w:szCs w:val="22"/>
        </w:rPr>
        <w:t>Espanha</w:t>
      </w:r>
    </w:p>
    <w:bookmarkEnd w:id="19"/>
    <w:p w14:paraId="41838D64" w14:textId="77777777" w:rsidR="00DF57E1" w:rsidRPr="0063119B" w:rsidRDefault="00DF57E1" w:rsidP="00DF57E1">
      <w:pPr>
        <w:suppressAutoHyphens/>
        <w:rPr>
          <w:noProof/>
          <w:szCs w:val="22"/>
        </w:rPr>
      </w:pPr>
    </w:p>
    <w:p w14:paraId="6ED40AF8" w14:textId="77777777" w:rsidR="00DF57E1" w:rsidRPr="001C3EB7" w:rsidRDefault="00DF57E1" w:rsidP="00DF57E1">
      <w:pPr>
        <w:keepNext/>
        <w:suppressAutoHyphens/>
        <w:rPr>
          <w:b/>
          <w:bCs/>
          <w:noProof/>
          <w:szCs w:val="22"/>
        </w:rPr>
      </w:pPr>
      <w:r w:rsidRPr="001C3EB7">
        <w:rPr>
          <w:b/>
          <w:bCs/>
          <w:noProof/>
          <w:szCs w:val="22"/>
        </w:rPr>
        <w:lastRenderedPageBreak/>
        <w:t>Fabricante</w:t>
      </w:r>
    </w:p>
    <w:p w14:paraId="57B5BD89" w14:textId="77777777" w:rsidR="00DF57E1" w:rsidRPr="001C3EB7" w:rsidRDefault="00DF57E1" w:rsidP="00DF57E1">
      <w:pPr>
        <w:keepNext/>
        <w:numPr>
          <w:ilvl w:val="12"/>
          <w:numId w:val="0"/>
        </w:numPr>
        <w:suppressAutoHyphens/>
        <w:rPr>
          <w:noProof/>
          <w:szCs w:val="22"/>
        </w:rPr>
      </w:pPr>
      <w:bookmarkStart w:id="20" w:name="_Hlk51165691"/>
    </w:p>
    <w:p w14:paraId="72350AE8" w14:textId="77777777" w:rsidR="002C3E18" w:rsidRPr="001C3EB7" w:rsidRDefault="002C3E18" w:rsidP="002C3E18">
      <w:pPr>
        <w:keepNext/>
        <w:contextualSpacing/>
        <w:rPr>
          <w:szCs w:val="22"/>
        </w:rPr>
      </w:pPr>
      <w:r w:rsidRPr="001C3EB7">
        <w:rPr>
          <w:szCs w:val="22"/>
        </w:rPr>
        <w:t>Accord Healthcare Polska Sp. z o.o.</w:t>
      </w:r>
    </w:p>
    <w:p w14:paraId="77F053D3" w14:textId="77777777" w:rsidR="002C3E18" w:rsidRPr="00E63212" w:rsidRDefault="002C3E18" w:rsidP="002C3E18">
      <w:pPr>
        <w:contextualSpacing/>
        <w:rPr>
          <w:szCs w:val="22"/>
        </w:rPr>
      </w:pPr>
      <w:r w:rsidRPr="00E63212">
        <w:rPr>
          <w:szCs w:val="22"/>
        </w:rPr>
        <w:t xml:space="preserve">Ul. Lutomierska 50, </w:t>
      </w:r>
    </w:p>
    <w:p w14:paraId="59CCB512" w14:textId="77777777" w:rsidR="002C3E18" w:rsidRPr="00E63212" w:rsidRDefault="002C3E18" w:rsidP="002C3E18">
      <w:pPr>
        <w:contextualSpacing/>
        <w:rPr>
          <w:szCs w:val="22"/>
        </w:rPr>
      </w:pPr>
      <w:r w:rsidRPr="00E63212">
        <w:rPr>
          <w:szCs w:val="22"/>
        </w:rPr>
        <w:t>95-200 Pabianice, Polónia</w:t>
      </w:r>
    </w:p>
    <w:p w14:paraId="1D4B5147" w14:textId="77777777" w:rsidR="002C3E18" w:rsidRPr="00E63212" w:rsidRDefault="002C3E18" w:rsidP="002C3E18">
      <w:pPr>
        <w:contextualSpacing/>
        <w:rPr>
          <w:szCs w:val="22"/>
        </w:rPr>
      </w:pPr>
    </w:p>
    <w:p w14:paraId="6D79CD2F" w14:textId="77777777" w:rsidR="002C3E18" w:rsidRPr="00E63212" w:rsidRDefault="002C3E18" w:rsidP="002C3E18">
      <w:pPr>
        <w:contextualSpacing/>
        <w:rPr>
          <w:szCs w:val="22"/>
        </w:rPr>
      </w:pPr>
      <w:r w:rsidRPr="00E63212">
        <w:rPr>
          <w:szCs w:val="22"/>
        </w:rPr>
        <w:t xml:space="preserve">Pharmadox Healthcare Limited </w:t>
      </w:r>
    </w:p>
    <w:p w14:paraId="74C16D58" w14:textId="77777777" w:rsidR="002C3E18" w:rsidRPr="00E63212" w:rsidRDefault="002C3E18" w:rsidP="002C3E18">
      <w:pPr>
        <w:contextualSpacing/>
        <w:rPr>
          <w:szCs w:val="22"/>
        </w:rPr>
      </w:pPr>
      <w:r w:rsidRPr="00E63212">
        <w:rPr>
          <w:szCs w:val="22"/>
        </w:rPr>
        <w:t xml:space="preserve">KW20A Kordin Industrial Park, Paola </w:t>
      </w:r>
    </w:p>
    <w:p w14:paraId="3B8CD11D" w14:textId="77777777" w:rsidR="002C3E18" w:rsidRPr="0063119B" w:rsidRDefault="002C3E18" w:rsidP="002C3E18">
      <w:pPr>
        <w:contextualSpacing/>
        <w:rPr>
          <w:szCs w:val="22"/>
          <w:lang w:val="es-ES"/>
        </w:rPr>
      </w:pPr>
      <w:r w:rsidRPr="0063119B">
        <w:rPr>
          <w:szCs w:val="22"/>
          <w:lang w:val="es-ES"/>
        </w:rPr>
        <w:t>PLA 3000, Malta</w:t>
      </w:r>
    </w:p>
    <w:p w14:paraId="243F2106" w14:textId="77777777" w:rsidR="002C3E18" w:rsidRPr="0063119B" w:rsidRDefault="002C3E18" w:rsidP="002C3E18">
      <w:pPr>
        <w:contextualSpacing/>
        <w:rPr>
          <w:szCs w:val="22"/>
          <w:lang w:val="es-ES"/>
        </w:rPr>
      </w:pPr>
    </w:p>
    <w:p w14:paraId="24E2B4B4" w14:textId="77777777" w:rsidR="002C3E18" w:rsidRPr="0063119B" w:rsidRDefault="002C3E18" w:rsidP="002C3E18">
      <w:pPr>
        <w:contextualSpacing/>
        <w:rPr>
          <w:szCs w:val="22"/>
          <w:lang w:val="es-ES"/>
        </w:rPr>
      </w:pPr>
      <w:proofErr w:type="spellStart"/>
      <w:r w:rsidRPr="0063119B">
        <w:rPr>
          <w:szCs w:val="22"/>
          <w:lang w:val="es-ES"/>
        </w:rPr>
        <w:t>Laboratori</w:t>
      </w:r>
      <w:proofErr w:type="spellEnd"/>
      <w:r w:rsidRPr="0063119B">
        <w:rPr>
          <w:szCs w:val="22"/>
          <w:lang w:val="es-ES"/>
        </w:rPr>
        <w:t xml:space="preserve"> </w:t>
      </w:r>
      <w:proofErr w:type="spellStart"/>
      <w:r w:rsidRPr="0063119B">
        <w:rPr>
          <w:szCs w:val="22"/>
          <w:lang w:val="es-ES"/>
        </w:rPr>
        <w:t>Fundació</w:t>
      </w:r>
      <w:proofErr w:type="spellEnd"/>
      <w:r w:rsidRPr="0063119B">
        <w:rPr>
          <w:szCs w:val="22"/>
          <w:lang w:val="es-ES"/>
        </w:rPr>
        <w:t xml:space="preserve"> DAU</w:t>
      </w:r>
    </w:p>
    <w:p w14:paraId="283B28D8" w14:textId="77777777" w:rsidR="002C3E18" w:rsidRPr="0063119B" w:rsidRDefault="002C3E18" w:rsidP="002C3E18">
      <w:pPr>
        <w:contextualSpacing/>
        <w:rPr>
          <w:szCs w:val="22"/>
        </w:rPr>
      </w:pPr>
      <w:r w:rsidRPr="0063119B">
        <w:rPr>
          <w:szCs w:val="22"/>
          <w:lang w:val="es-ES"/>
        </w:rPr>
        <w:t xml:space="preserve">C/ C, 12-14 Pol. </w:t>
      </w:r>
      <w:proofErr w:type="spellStart"/>
      <w:r w:rsidRPr="0063119B">
        <w:rPr>
          <w:szCs w:val="22"/>
          <w:lang w:val="es-ES"/>
        </w:rPr>
        <w:t>Ind</w:t>
      </w:r>
      <w:proofErr w:type="spellEnd"/>
      <w:r w:rsidRPr="0063119B">
        <w:rPr>
          <w:szCs w:val="22"/>
          <w:lang w:val="es-ES"/>
        </w:rPr>
        <w:t xml:space="preserve">. </w:t>
      </w:r>
      <w:r w:rsidRPr="0063119B">
        <w:rPr>
          <w:szCs w:val="22"/>
        </w:rPr>
        <w:t>Zona Franca,</w:t>
      </w:r>
    </w:p>
    <w:p w14:paraId="009ABCF1" w14:textId="77777777" w:rsidR="002C3E18" w:rsidRPr="0063119B" w:rsidRDefault="002C3E18" w:rsidP="002C3E18">
      <w:pPr>
        <w:contextualSpacing/>
        <w:rPr>
          <w:szCs w:val="22"/>
        </w:rPr>
      </w:pPr>
      <w:r w:rsidRPr="0063119B">
        <w:rPr>
          <w:szCs w:val="22"/>
        </w:rPr>
        <w:t>08040 Barcelona, Espanha</w:t>
      </w:r>
    </w:p>
    <w:p w14:paraId="4B4F0E31" w14:textId="77777777" w:rsidR="002C3E18" w:rsidRPr="0063119B" w:rsidRDefault="002C3E18" w:rsidP="002C3E18">
      <w:pPr>
        <w:contextualSpacing/>
        <w:rPr>
          <w:szCs w:val="22"/>
        </w:rPr>
      </w:pPr>
    </w:p>
    <w:p w14:paraId="32E040D3" w14:textId="77777777" w:rsidR="002C3E18" w:rsidRPr="0063119B" w:rsidRDefault="002C3E18" w:rsidP="002C3E18">
      <w:pPr>
        <w:rPr>
          <w:noProof/>
          <w:szCs w:val="22"/>
        </w:rPr>
      </w:pPr>
      <w:r w:rsidRPr="0063119B">
        <w:rPr>
          <w:noProof/>
          <w:szCs w:val="22"/>
        </w:rPr>
        <w:t>Accord Healthcare B.V</w:t>
      </w:r>
    </w:p>
    <w:p w14:paraId="6023A77B" w14:textId="77777777" w:rsidR="002C3E18" w:rsidRPr="0063119B" w:rsidRDefault="002C3E18" w:rsidP="002C3E18">
      <w:pPr>
        <w:rPr>
          <w:noProof/>
          <w:szCs w:val="22"/>
        </w:rPr>
      </w:pPr>
      <w:r w:rsidRPr="0063119B">
        <w:rPr>
          <w:noProof/>
          <w:szCs w:val="22"/>
        </w:rPr>
        <w:t>Winthontlaan 200, 3526KV Utrecht,</w:t>
      </w:r>
    </w:p>
    <w:p w14:paraId="52DD08CD" w14:textId="77777777" w:rsidR="002C3E18" w:rsidRDefault="002C3E18" w:rsidP="002C3E18">
      <w:pPr>
        <w:rPr>
          <w:ins w:id="21" w:author="MAH_Review_JV" w:date="2025-08-06T17:14:00Z" w16du:dateUtc="2025-08-06T16:14:00Z"/>
          <w:noProof/>
          <w:szCs w:val="22"/>
        </w:rPr>
      </w:pPr>
      <w:r w:rsidRPr="0063119B">
        <w:rPr>
          <w:noProof/>
          <w:szCs w:val="22"/>
        </w:rPr>
        <w:t>Países Baixos</w:t>
      </w:r>
    </w:p>
    <w:p w14:paraId="47316CD2" w14:textId="77777777" w:rsidR="00B969D7" w:rsidRDefault="00B969D7" w:rsidP="002C3E18">
      <w:pPr>
        <w:rPr>
          <w:ins w:id="22" w:author="MAH_Review_JV" w:date="2025-08-06T17:14:00Z" w16du:dateUtc="2025-08-06T16:14:00Z"/>
          <w:noProof/>
          <w:szCs w:val="22"/>
        </w:rPr>
      </w:pPr>
    </w:p>
    <w:p w14:paraId="43026275" w14:textId="77777777" w:rsidR="00B969D7" w:rsidRPr="008749C0" w:rsidRDefault="00B969D7" w:rsidP="00B969D7">
      <w:pPr>
        <w:rPr>
          <w:ins w:id="23" w:author="MAH_Review_JV" w:date="2025-08-06T17:14:00Z" w16du:dateUtc="2025-08-06T16:14:00Z"/>
          <w:szCs w:val="22"/>
          <w:lang w:val="en-US"/>
        </w:rPr>
      </w:pPr>
      <w:ins w:id="24" w:author="MAH_Review_JV" w:date="2025-08-06T17:14:00Z" w16du:dateUtc="2025-08-06T16:14:00Z">
        <w:r w:rsidRPr="008749C0">
          <w:rPr>
            <w:szCs w:val="22"/>
            <w:lang w:val="en-US"/>
          </w:rPr>
          <w:t xml:space="preserve">Accord Healthcare single member S.A. </w:t>
        </w:r>
      </w:ins>
    </w:p>
    <w:p w14:paraId="4D880AF4" w14:textId="77777777" w:rsidR="00B969D7" w:rsidRPr="008749C0" w:rsidRDefault="00B969D7" w:rsidP="00B969D7">
      <w:pPr>
        <w:rPr>
          <w:ins w:id="25" w:author="MAH_Review_JV" w:date="2025-08-06T17:14:00Z" w16du:dateUtc="2025-08-06T16:14:00Z"/>
          <w:szCs w:val="22"/>
          <w:lang w:val="en-US"/>
        </w:rPr>
      </w:pPr>
      <w:ins w:id="26" w:author="MAH_Review_JV" w:date="2025-08-06T17:14:00Z" w16du:dateUtc="2025-08-06T16:14:00Z">
        <w:r w:rsidRPr="008749C0">
          <w:rPr>
            <w:szCs w:val="22"/>
            <w:lang w:val="en-US"/>
          </w:rPr>
          <w:t xml:space="preserve">64th Km National Road Athens, </w:t>
        </w:r>
      </w:ins>
    </w:p>
    <w:p w14:paraId="7719146B" w14:textId="77777777" w:rsidR="00B969D7" w:rsidRDefault="00B969D7" w:rsidP="00B969D7">
      <w:pPr>
        <w:rPr>
          <w:ins w:id="27" w:author="MAH_Review_JV" w:date="2025-08-06T17:14:00Z" w16du:dateUtc="2025-08-06T16:14:00Z"/>
          <w:szCs w:val="22"/>
        </w:rPr>
      </w:pPr>
      <w:ins w:id="28" w:author="MAH_Review_JV" w:date="2025-08-06T17:14:00Z" w16du:dateUtc="2025-08-06T16:14:00Z">
        <w:r w:rsidRPr="00F62DEF">
          <w:rPr>
            <w:szCs w:val="22"/>
          </w:rPr>
          <w:t>Lamia, Schimatari, 32009, Gr</w:t>
        </w:r>
        <w:r>
          <w:rPr>
            <w:szCs w:val="22"/>
          </w:rPr>
          <w:t>écia</w:t>
        </w:r>
      </w:ins>
    </w:p>
    <w:p w14:paraId="0CFBFC65" w14:textId="77777777" w:rsidR="00B969D7" w:rsidRPr="0063119B" w:rsidRDefault="00B969D7" w:rsidP="002C3E18">
      <w:pPr>
        <w:rPr>
          <w:noProof/>
          <w:szCs w:val="22"/>
        </w:rPr>
      </w:pPr>
    </w:p>
    <w:bookmarkEnd w:id="20"/>
    <w:p w14:paraId="04A788A0" w14:textId="77777777" w:rsidR="00DF57E1" w:rsidRPr="0063119B" w:rsidRDefault="00DF57E1" w:rsidP="00DF57E1">
      <w:pPr>
        <w:rPr>
          <w:szCs w:val="22"/>
        </w:rPr>
      </w:pPr>
    </w:p>
    <w:p w14:paraId="2A312809" w14:textId="77777777" w:rsidR="00DF57E1" w:rsidRPr="0063119B" w:rsidRDefault="00DF57E1" w:rsidP="00DF57E1">
      <w:pPr>
        <w:suppressAutoHyphens/>
        <w:ind w:right="14"/>
        <w:rPr>
          <w:szCs w:val="22"/>
        </w:rPr>
      </w:pPr>
      <w:r w:rsidRPr="0063119B">
        <w:rPr>
          <w:b/>
          <w:szCs w:val="22"/>
        </w:rPr>
        <w:t xml:space="preserve">Este folheto foi revisto pela última vez em </w:t>
      </w:r>
    </w:p>
    <w:p w14:paraId="3AD9A6CE" w14:textId="77777777" w:rsidR="00DF57E1" w:rsidRPr="0063119B" w:rsidRDefault="00DF57E1" w:rsidP="00DF57E1">
      <w:pPr>
        <w:suppressAutoHyphens/>
        <w:ind w:right="14"/>
        <w:rPr>
          <w:szCs w:val="22"/>
        </w:rPr>
      </w:pPr>
    </w:p>
    <w:p w14:paraId="4AE0F5E4" w14:textId="77777777" w:rsidR="00DF57E1" w:rsidRPr="0063119B" w:rsidRDefault="00DF57E1" w:rsidP="00DF57E1">
      <w:pPr>
        <w:suppressAutoHyphens/>
        <w:ind w:right="14"/>
        <w:rPr>
          <w:noProof/>
          <w:szCs w:val="22"/>
        </w:rPr>
      </w:pPr>
      <w:r w:rsidRPr="0063119B">
        <w:rPr>
          <w:noProof/>
          <w:szCs w:val="22"/>
        </w:rPr>
        <w:t xml:space="preserve">Está disponível informação pormenorizada sobre este medicamento no sítio da internet da Agência Europeia de Medicamentos: </w:t>
      </w:r>
      <w:hyperlink r:id="rId25" w:history="1">
        <w:r w:rsidR="00767D16" w:rsidRPr="0063119B">
          <w:rPr>
            <w:rStyle w:val="Hyperlink"/>
            <w:noProof/>
            <w:szCs w:val="22"/>
          </w:rPr>
          <w:t>http://www.ema.europa.eu</w:t>
        </w:r>
      </w:hyperlink>
      <w:r w:rsidRPr="0063119B">
        <w:rPr>
          <w:noProof/>
          <w:szCs w:val="22"/>
        </w:rPr>
        <w:t>.</w:t>
      </w:r>
    </w:p>
    <w:p w14:paraId="3346097D" w14:textId="77777777" w:rsidR="00084D33" w:rsidRPr="0063119B" w:rsidRDefault="00084D33" w:rsidP="00084D33">
      <w:pPr>
        <w:suppressAutoHyphens/>
        <w:ind w:left="567" w:hanging="567"/>
        <w:jc w:val="center"/>
        <w:rPr>
          <w:b/>
          <w:noProof/>
          <w:szCs w:val="22"/>
        </w:rPr>
      </w:pPr>
      <w:r w:rsidRPr="0063119B">
        <w:rPr>
          <w:b/>
          <w:noProof/>
          <w:szCs w:val="22"/>
        </w:rPr>
        <w:br w:type="page"/>
      </w:r>
      <w:r w:rsidRPr="0063119B">
        <w:rPr>
          <w:b/>
          <w:noProof/>
          <w:szCs w:val="22"/>
        </w:rPr>
        <w:lastRenderedPageBreak/>
        <w:t>Folheto informativo: Informação para o utilizador</w:t>
      </w:r>
    </w:p>
    <w:p w14:paraId="20E6DC33" w14:textId="77777777" w:rsidR="00084D33" w:rsidRPr="0063119B" w:rsidRDefault="00084D33" w:rsidP="00084D33">
      <w:pPr>
        <w:suppressAutoHyphens/>
        <w:ind w:left="567" w:hanging="567"/>
        <w:jc w:val="center"/>
        <w:rPr>
          <w:noProof/>
          <w:szCs w:val="22"/>
        </w:rPr>
      </w:pPr>
    </w:p>
    <w:p w14:paraId="539A578F" w14:textId="77777777" w:rsidR="00084D33" w:rsidRPr="001B6FEC" w:rsidRDefault="00607DE4" w:rsidP="005500AB">
      <w:pPr>
        <w:suppressAutoHyphens/>
        <w:jc w:val="center"/>
        <w:outlineLvl w:val="2"/>
        <w:rPr>
          <w:b/>
          <w:bCs/>
          <w:noProof/>
          <w:szCs w:val="22"/>
        </w:rPr>
      </w:pPr>
      <w:r w:rsidRPr="001B6FEC">
        <w:rPr>
          <w:b/>
          <w:bCs/>
          <w:noProof/>
          <w:szCs w:val="22"/>
        </w:rPr>
        <w:t>Rivaroxabano</w:t>
      </w:r>
      <w:r w:rsidR="001F7D02" w:rsidRPr="001B6FEC">
        <w:rPr>
          <w:b/>
          <w:bCs/>
          <w:noProof/>
          <w:szCs w:val="22"/>
        </w:rPr>
        <w:t xml:space="preserve"> Accord</w:t>
      </w:r>
      <w:r w:rsidR="00084D33" w:rsidRPr="001B6FEC">
        <w:rPr>
          <w:b/>
          <w:bCs/>
          <w:noProof/>
          <w:szCs w:val="22"/>
        </w:rPr>
        <w:t xml:space="preserve"> 10</w:t>
      </w:r>
      <w:r w:rsidR="007B4A7F" w:rsidRPr="001B6FEC">
        <w:rPr>
          <w:b/>
          <w:bCs/>
          <w:noProof/>
          <w:szCs w:val="22"/>
        </w:rPr>
        <w:t> </w:t>
      </w:r>
      <w:r w:rsidR="00084D33" w:rsidRPr="001B6FEC">
        <w:rPr>
          <w:b/>
          <w:bCs/>
          <w:noProof/>
          <w:szCs w:val="22"/>
        </w:rPr>
        <w:t>mg comprimidos revestidos por película</w:t>
      </w:r>
    </w:p>
    <w:p w14:paraId="631DEA47" w14:textId="77777777" w:rsidR="00084D33" w:rsidRPr="0063119B" w:rsidRDefault="00654D4F" w:rsidP="00084D33">
      <w:pPr>
        <w:suppressAutoHyphens/>
        <w:jc w:val="center"/>
        <w:rPr>
          <w:noProof/>
          <w:szCs w:val="22"/>
        </w:rPr>
      </w:pPr>
      <w:r w:rsidRPr="0063119B">
        <w:rPr>
          <w:noProof/>
          <w:szCs w:val="22"/>
        </w:rPr>
        <w:t>r</w:t>
      </w:r>
      <w:r w:rsidR="00084D33" w:rsidRPr="0063119B">
        <w:rPr>
          <w:noProof/>
          <w:szCs w:val="22"/>
        </w:rPr>
        <w:t>ivaroxabano</w:t>
      </w:r>
    </w:p>
    <w:p w14:paraId="0DB1A420" w14:textId="77777777" w:rsidR="00084D33" w:rsidRPr="0063119B" w:rsidRDefault="00084D33" w:rsidP="00084D33">
      <w:pPr>
        <w:suppressAutoHyphens/>
        <w:ind w:left="567" w:hanging="567"/>
        <w:rPr>
          <w:noProof/>
          <w:szCs w:val="22"/>
        </w:rPr>
      </w:pPr>
    </w:p>
    <w:p w14:paraId="72F21C8A" w14:textId="77777777" w:rsidR="00084D33" w:rsidRPr="0063119B" w:rsidRDefault="00084D33" w:rsidP="00084D33">
      <w:pPr>
        <w:ind w:right="-2"/>
        <w:rPr>
          <w:noProof/>
          <w:szCs w:val="22"/>
        </w:rPr>
      </w:pPr>
      <w:r w:rsidRPr="0063119B">
        <w:rPr>
          <w:b/>
          <w:noProof/>
          <w:szCs w:val="22"/>
        </w:rPr>
        <w:t xml:space="preserve">Leia </w:t>
      </w:r>
      <w:r w:rsidRPr="0063119B">
        <w:rPr>
          <w:b/>
          <w:szCs w:val="22"/>
        </w:rPr>
        <w:t>com atenção todo</w:t>
      </w:r>
      <w:r w:rsidRPr="0063119B">
        <w:rPr>
          <w:b/>
          <w:noProof/>
          <w:szCs w:val="22"/>
        </w:rPr>
        <w:t xml:space="preserve"> este folheto antes de começar a tomar este medicamento</w:t>
      </w:r>
      <w:r w:rsidRPr="0063119B">
        <w:rPr>
          <w:b/>
          <w:szCs w:val="22"/>
        </w:rPr>
        <w:t>, pois contém informação importante para si</w:t>
      </w:r>
      <w:r w:rsidRPr="0063119B">
        <w:rPr>
          <w:b/>
          <w:noProof/>
          <w:szCs w:val="22"/>
        </w:rPr>
        <w:t>.</w:t>
      </w:r>
    </w:p>
    <w:p w14:paraId="4D3DCDD2" w14:textId="77777777" w:rsidR="00084D33" w:rsidRPr="0063119B" w:rsidRDefault="00084D33" w:rsidP="00084D33">
      <w:pPr>
        <w:numPr>
          <w:ilvl w:val="0"/>
          <w:numId w:val="1"/>
        </w:numPr>
        <w:ind w:left="567" w:right="-2" w:hanging="567"/>
        <w:rPr>
          <w:noProof/>
          <w:szCs w:val="22"/>
        </w:rPr>
      </w:pPr>
      <w:r w:rsidRPr="0063119B">
        <w:rPr>
          <w:noProof/>
          <w:szCs w:val="22"/>
        </w:rPr>
        <w:t>Conserve este folheto. Pode ter necessidade de o ler</w:t>
      </w:r>
      <w:r w:rsidRPr="0063119B">
        <w:rPr>
          <w:szCs w:val="22"/>
        </w:rPr>
        <w:t xml:space="preserve"> novamente</w:t>
      </w:r>
      <w:r w:rsidRPr="0063119B">
        <w:rPr>
          <w:noProof/>
          <w:szCs w:val="22"/>
        </w:rPr>
        <w:t>.</w:t>
      </w:r>
    </w:p>
    <w:p w14:paraId="570DDC83" w14:textId="77777777" w:rsidR="00084D33" w:rsidRPr="0063119B" w:rsidRDefault="00084D33" w:rsidP="00084D33">
      <w:pPr>
        <w:numPr>
          <w:ilvl w:val="0"/>
          <w:numId w:val="1"/>
        </w:numPr>
        <w:ind w:left="567" w:right="-2" w:hanging="567"/>
        <w:rPr>
          <w:noProof/>
          <w:szCs w:val="22"/>
        </w:rPr>
      </w:pPr>
      <w:r w:rsidRPr="0063119B">
        <w:rPr>
          <w:noProof/>
          <w:szCs w:val="22"/>
        </w:rPr>
        <w:t>Caso ainda tenha dúvidas, fale com o seu médico ou farmacêutico.</w:t>
      </w:r>
    </w:p>
    <w:p w14:paraId="49D164A8" w14:textId="77777777" w:rsidR="00084D33" w:rsidRPr="0063119B" w:rsidRDefault="00084D33" w:rsidP="00084D33">
      <w:pPr>
        <w:numPr>
          <w:ilvl w:val="0"/>
          <w:numId w:val="1"/>
        </w:numPr>
        <w:ind w:left="567" w:right="-2" w:hanging="567"/>
        <w:rPr>
          <w:noProof/>
          <w:szCs w:val="22"/>
        </w:rPr>
      </w:pPr>
      <w:r w:rsidRPr="0063119B">
        <w:rPr>
          <w:noProof/>
          <w:szCs w:val="22"/>
        </w:rPr>
        <w:t xml:space="preserve">Este medicamento foi receitado apenas para si. Não deve dá-lo a outros. O medicamento pode ser-lhes prejudicial mesmo que apresentem os mesmos </w:t>
      </w:r>
      <w:r w:rsidRPr="0063119B">
        <w:rPr>
          <w:szCs w:val="22"/>
        </w:rPr>
        <w:t>sinais de doença</w:t>
      </w:r>
      <w:r w:rsidRPr="0063119B">
        <w:rPr>
          <w:noProof/>
          <w:szCs w:val="22"/>
        </w:rPr>
        <w:t>.</w:t>
      </w:r>
    </w:p>
    <w:p w14:paraId="010F5D6C" w14:textId="77777777" w:rsidR="00084D33" w:rsidRPr="0063119B" w:rsidRDefault="00084D33" w:rsidP="00084D33">
      <w:pPr>
        <w:numPr>
          <w:ilvl w:val="0"/>
          <w:numId w:val="1"/>
        </w:numPr>
        <w:ind w:left="567" w:right="-2" w:hanging="567"/>
        <w:rPr>
          <w:noProof/>
          <w:szCs w:val="22"/>
        </w:rPr>
      </w:pPr>
      <w:r w:rsidRPr="0063119B">
        <w:rPr>
          <w:noProof/>
          <w:szCs w:val="22"/>
        </w:rPr>
        <w:t xml:space="preserve">Se </w:t>
      </w:r>
      <w:r w:rsidRPr="0063119B">
        <w:rPr>
          <w:szCs w:val="22"/>
        </w:rPr>
        <w:t xml:space="preserve">tiver quaisquer efeitos </w:t>
      </w:r>
      <w:r w:rsidR="00CC1A3A" w:rsidRPr="0063119B">
        <w:rPr>
          <w:noProof/>
          <w:szCs w:val="22"/>
        </w:rPr>
        <w:t>indesejáveis</w:t>
      </w:r>
      <w:r w:rsidRPr="0063119B">
        <w:rPr>
          <w:szCs w:val="22"/>
        </w:rPr>
        <w:t xml:space="preserve">, incluindo possíveis efeitos </w:t>
      </w:r>
      <w:r w:rsidR="00CC1A3A" w:rsidRPr="0063119B">
        <w:rPr>
          <w:noProof/>
          <w:szCs w:val="22"/>
        </w:rPr>
        <w:t>indesejáveis</w:t>
      </w:r>
      <w:r w:rsidRPr="0063119B">
        <w:rPr>
          <w:szCs w:val="22"/>
        </w:rPr>
        <w:t xml:space="preserve"> não indicados neste folheto, fale com</w:t>
      </w:r>
      <w:r w:rsidRPr="0063119B">
        <w:rPr>
          <w:noProof/>
          <w:szCs w:val="22"/>
        </w:rPr>
        <w:t xml:space="preserve"> o seu médico ou farmacêutico.</w:t>
      </w:r>
      <w:r w:rsidR="00405C1E" w:rsidRPr="0063119B">
        <w:rPr>
          <w:noProof/>
          <w:szCs w:val="22"/>
        </w:rPr>
        <w:t xml:space="preserve"> Ver secção 4</w:t>
      </w:r>
      <w:r w:rsidR="000E4459" w:rsidRPr="0063119B">
        <w:rPr>
          <w:noProof/>
          <w:szCs w:val="22"/>
        </w:rPr>
        <w:t>.</w:t>
      </w:r>
    </w:p>
    <w:p w14:paraId="457FAA49" w14:textId="77777777" w:rsidR="00084D33" w:rsidRPr="0063119B" w:rsidRDefault="00084D33" w:rsidP="00084D33">
      <w:pPr>
        <w:ind w:right="-2"/>
        <w:rPr>
          <w:noProof/>
          <w:szCs w:val="22"/>
        </w:rPr>
      </w:pPr>
    </w:p>
    <w:p w14:paraId="4DB4993F" w14:textId="77777777" w:rsidR="00084D33" w:rsidRPr="0063119B" w:rsidRDefault="00084D33" w:rsidP="00084D33">
      <w:pPr>
        <w:ind w:right="-2"/>
        <w:rPr>
          <w:noProof/>
          <w:szCs w:val="22"/>
        </w:rPr>
      </w:pPr>
    </w:p>
    <w:p w14:paraId="2467EC51" w14:textId="77777777" w:rsidR="00084D33" w:rsidRPr="0063119B" w:rsidRDefault="00084D33" w:rsidP="00084D33">
      <w:pPr>
        <w:suppressAutoHyphens/>
        <w:rPr>
          <w:noProof/>
          <w:szCs w:val="22"/>
        </w:rPr>
      </w:pPr>
      <w:r w:rsidRPr="0063119B">
        <w:rPr>
          <w:b/>
          <w:szCs w:val="22"/>
        </w:rPr>
        <w:t xml:space="preserve">O que contém </w:t>
      </w:r>
      <w:r w:rsidRPr="0063119B">
        <w:rPr>
          <w:b/>
          <w:noProof/>
          <w:szCs w:val="22"/>
        </w:rPr>
        <w:t>este folheto</w:t>
      </w:r>
    </w:p>
    <w:p w14:paraId="41E19E84" w14:textId="77777777" w:rsidR="00084D33" w:rsidRPr="0063119B" w:rsidRDefault="00084D33" w:rsidP="00084D33">
      <w:pPr>
        <w:suppressAutoHyphens/>
        <w:ind w:left="567" w:hanging="567"/>
        <w:rPr>
          <w:noProof/>
          <w:szCs w:val="22"/>
        </w:rPr>
      </w:pPr>
      <w:r w:rsidRPr="0063119B">
        <w:rPr>
          <w:noProof/>
          <w:szCs w:val="22"/>
        </w:rPr>
        <w:t>1.</w:t>
      </w:r>
      <w:r w:rsidRPr="0063119B">
        <w:rPr>
          <w:noProof/>
          <w:szCs w:val="22"/>
        </w:rPr>
        <w:tab/>
        <w:t xml:space="preserve">O que é </w:t>
      </w:r>
      <w:r w:rsidR="00607DE4">
        <w:rPr>
          <w:noProof/>
          <w:szCs w:val="22"/>
        </w:rPr>
        <w:t>Rivaroxabano</w:t>
      </w:r>
      <w:r w:rsidR="001F7D02" w:rsidRPr="0063119B">
        <w:rPr>
          <w:noProof/>
          <w:szCs w:val="22"/>
        </w:rPr>
        <w:t xml:space="preserve"> Accord</w:t>
      </w:r>
      <w:r w:rsidRPr="0063119B">
        <w:rPr>
          <w:noProof/>
          <w:szCs w:val="22"/>
        </w:rPr>
        <w:t xml:space="preserve"> e para que é utilizado</w:t>
      </w:r>
    </w:p>
    <w:p w14:paraId="078B058C" w14:textId="77777777" w:rsidR="00084D33" w:rsidRPr="0063119B" w:rsidRDefault="00084D33" w:rsidP="00084D33">
      <w:pPr>
        <w:suppressAutoHyphens/>
        <w:ind w:left="567" w:hanging="567"/>
        <w:rPr>
          <w:noProof/>
          <w:szCs w:val="22"/>
        </w:rPr>
      </w:pPr>
      <w:r w:rsidRPr="0063119B">
        <w:rPr>
          <w:noProof/>
          <w:szCs w:val="22"/>
        </w:rPr>
        <w:t>2.</w:t>
      </w:r>
      <w:r w:rsidRPr="0063119B">
        <w:rPr>
          <w:noProof/>
          <w:szCs w:val="22"/>
        </w:rPr>
        <w:tab/>
      </w:r>
      <w:r w:rsidRPr="0063119B">
        <w:rPr>
          <w:szCs w:val="22"/>
        </w:rPr>
        <w:t>O que precisa de saber a</w:t>
      </w:r>
      <w:r w:rsidRPr="0063119B">
        <w:rPr>
          <w:noProof/>
          <w:szCs w:val="22"/>
        </w:rPr>
        <w:t xml:space="preserve">ntes de tomar </w:t>
      </w:r>
      <w:r w:rsidR="00607DE4">
        <w:rPr>
          <w:noProof/>
          <w:szCs w:val="22"/>
        </w:rPr>
        <w:t>Rivaroxabano</w:t>
      </w:r>
      <w:r w:rsidR="001F7D02" w:rsidRPr="0063119B">
        <w:rPr>
          <w:noProof/>
          <w:szCs w:val="22"/>
        </w:rPr>
        <w:t xml:space="preserve"> Accord</w:t>
      </w:r>
    </w:p>
    <w:p w14:paraId="7B608C4B" w14:textId="77777777" w:rsidR="00084D33" w:rsidRPr="0063119B" w:rsidRDefault="00084D33" w:rsidP="00084D33">
      <w:pPr>
        <w:suppressAutoHyphens/>
        <w:ind w:left="567" w:hanging="567"/>
        <w:rPr>
          <w:noProof/>
          <w:szCs w:val="22"/>
        </w:rPr>
      </w:pPr>
      <w:r w:rsidRPr="0063119B">
        <w:rPr>
          <w:noProof/>
          <w:szCs w:val="22"/>
        </w:rPr>
        <w:t>3.</w:t>
      </w:r>
      <w:r w:rsidRPr="0063119B">
        <w:rPr>
          <w:noProof/>
          <w:szCs w:val="22"/>
        </w:rPr>
        <w:tab/>
        <w:t xml:space="preserve">Como tomar </w:t>
      </w:r>
      <w:r w:rsidR="00607DE4">
        <w:rPr>
          <w:noProof/>
          <w:szCs w:val="22"/>
        </w:rPr>
        <w:t>Rivaroxabano</w:t>
      </w:r>
      <w:r w:rsidR="001F7D02" w:rsidRPr="0063119B">
        <w:rPr>
          <w:noProof/>
          <w:szCs w:val="22"/>
        </w:rPr>
        <w:t xml:space="preserve"> Accord</w:t>
      </w:r>
    </w:p>
    <w:p w14:paraId="41F3218A" w14:textId="77777777" w:rsidR="00084D33" w:rsidRPr="0063119B" w:rsidRDefault="00084D33" w:rsidP="00084D33">
      <w:pPr>
        <w:suppressAutoHyphens/>
        <w:ind w:left="567" w:hanging="567"/>
        <w:rPr>
          <w:noProof/>
          <w:szCs w:val="22"/>
        </w:rPr>
      </w:pPr>
      <w:r w:rsidRPr="0063119B">
        <w:rPr>
          <w:noProof/>
          <w:szCs w:val="22"/>
        </w:rPr>
        <w:t>4.</w:t>
      </w:r>
      <w:r w:rsidRPr="0063119B">
        <w:rPr>
          <w:noProof/>
          <w:szCs w:val="22"/>
        </w:rPr>
        <w:tab/>
        <w:t xml:space="preserve">Efeitos </w:t>
      </w:r>
      <w:r w:rsidR="00CC1A3A" w:rsidRPr="0063119B">
        <w:rPr>
          <w:noProof/>
          <w:szCs w:val="22"/>
        </w:rPr>
        <w:t>indesejáveis</w:t>
      </w:r>
      <w:r w:rsidRPr="0063119B">
        <w:rPr>
          <w:noProof/>
          <w:szCs w:val="22"/>
        </w:rPr>
        <w:t xml:space="preserve"> possíveis</w:t>
      </w:r>
    </w:p>
    <w:p w14:paraId="275A948F" w14:textId="77777777" w:rsidR="00084D33" w:rsidRPr="0063119B" w:rsidRDefault="00084D33" w:rsidP="00084D33">
      <w:pPr>
        <w:suppressAutoHyphens/>
        <w:ind w:left="567" w:hanging="567"/>
        <w:rPr>
          <w:noProof/>
          <w:szCs w:val="22"/>
        </w:rPr>
      </w:pPr>
      <w:r w:rsidRPr="0063119B">
        <w:rPr>
          <w:noProof/>
          <w:szCs w:val="22"/>
        </w:rPr>
        <w:t>5.</w:t>
      </w:r>
      <w:r w:rsidRPr="0063119B">
        <w:rPr>
          <w:noProof/>
          <w:szCs w:val="22"/>
        </w:rPr>
        <w:tab/>
        <w:t xml:space="preserve">Como conservar </w:t>
      </w:r>
      <w:r w:rsidR="00607DE4">
        <w:rPr>
          <w:noProof/>
          <w:szCs w:val="22"/>
        </w:rPr>
        <w:t>Rivaroxabano</w:t>
      </w:r>
      <w:r w:rsidR="001F7D02" w:rsidRPr="0063119B">
        <w:rPr>
          <w:noProof/>
          <w:szCs w:val="22"/>
        </w:rPr>
        <w:t xml:space="preserve"> Accord</w:t>
      </w:r>
    </w:p>
    <w:p w14:paraId="5901FB3A" w14:textId="77777777" w:rsidR="00084D33" w:rsidRPr="0063119B" w:rsidRDefault="00084D33" w:rsidP="00084D33">
      <w:pPr>
        <w:suppressAutoHyphens/>
        <w:ind w:left="567" w:hanging="567"/>
        <w:rPr>
          <w:noProof/>
          <w:szCs w:val="22"/>
        </w:rPr>
      </w:pPr>
      <w:r w:rsidRPr="0063119B">
        <w:rPr>
          <w:noProof/>
          <w:szCs w:val="22"/>
        </w:rPr>
        <w:t>6.</w:t>
      </w:r>
      <w:r w:rsidRPr="0063119B">
        <w:rPr>
          <w:noProof/>
          <w:szCs w:val="22"/>
        </w:rPr>
        <w:tab/>
      </w:r>
      <w:r w:rsidRPr="0063119B">
        <w:rPr>
          <w:szCs w:val="22"/>
        </w:rPr>
        <w:t>Conteúdo da embalagem e o</w:t>
      </w:r>
      <w:r w:rsidRPr="0063119B">
        <w:rPr>
          <w:noProof/>
          <w:szCs w:val="22"/>
        </w:rPr>
        <w:t>utras informações</w:t>
      </w:r>
    </w:p>
    <w:p w14:paraId="3C0FD2A3" w14:textId="77777777" w:rsidR="00084D33" w:rsidRPr="0063119B" w:rsidRDefault="00084D33" w:rsidP="00084D33">
      <w:pPr>
        <w:suppressAutoHyphens/>
        <w:rPr>
          <w:noProof/>
          <w:szCs w:val="22"/>
        </w:rPr>
      </w:pPr>
    </w:p>
    <w:p w14:paraId="461086A4" w14:textId="77777777" w:rsidR="00084D33" w:rsidRPr="0063119B" w:rsidRDefault="00084D33" w:rsidP="00084D33">
      <w:pPr>
        <w:suppressAutoHyphens/>
        <w:rPr>
          <w:noProof/>
          <w:szCs w:val="22"/>
        </w:rPr>
      </w:pPr>
    </w:p>
    <w:p w14:paraId="030A09BD" w14:textId="77777777" w:rsidR="00084D33" w:rsidRPr="0063119B" w:rsidRDefault="00084D33" w:rsidP="00084D33">
      <w:pPr>
        <w:suppressAutoHyphens/>
        <w:ind w:left="567" w:hanging="567"/>
        <w:rPr>
          <w:noProof/>
          <w:szCs w:val="22"/>
        </w:rPr>
      </w:pPr>
      <w:r w:rsidRPr="0063119B">
        <w:rPr>
          <w:b/>
          <w:noProof/>
          <w:szCs w:val="22"/>
        </w:rPr>
        <w:t>1.</w:t>
      </w:r>
      <w:r w:rsidRPr="0063119B">
        <w:rPr>
          <w:b/>
          <w:noProof/>
          <w:szCs w:val="22"/>
        </w:rPr>
        <w:tab/>
        <w:t xml:space="preserve">O que é </w:t>
      </w:r>
      <w:r w:rsidR="00607DE4">
        <w:rPr>
          <w:b/>
          <w:noProof/>
          <w:szCs w:val="22"/>
        </w:rPr>
        <w:t>Rivaroxabano</w:t>
      </w:r>
      <w:r w:rsidR="001F7D02" w:rsidRPr="0063119B">
        <w:rPr>
          <w:b/>
          <w:noProof/>
          <w:szCs w:val="22"/>
        </w:rPr>
        <w:t xml:space="preserve"> Accord</w:t>
      </w:r>
      <w:r w:rsidRPr="0063119B">
        <w:rPr>
          <w:b/>
          <w:noProof/>
          <w:szCs w:val="22"/>
        </w:rPr>
        <w:t xml:space="preserve"> e para que é utilizado</w:t>
      </w:r>
    </w:p>
    <w:p w14:paraId="33244811" w14:textId="77777777" w:rsidR="00084D33" w:rsidRPr="0063119B" w:rsidRDefault="00084D33" w:rsidP="00084D33">
      <w:pPr>
        <w:suppressAutoHyphens/>
        <w:rPr>
          <w:noProof/>
          <w:szCs w:val="22"/>
        </w:rPr>
      </w:pPr>
    </w:p>
    <w:p w14:paraId="11ED74B2" w14:textId="77777777" w:rsidR="001914A3" w:rsidRPr="0063119B" w:rsidRDefault="00607DE4" w:rsidP="00084D33">
      <w:pPr>
        <w:suppressAutoHyphens/>
        <w:rPr>
          <w:noProof/>
          <w:szCs w:val="22"/>
        </w:rPr>
      </w:pPr>
      <w:r>
        <w:rPr>
          <w:noProof/>
          <w:szCs w:val="22"/>
        </w:rPr>
        <w:t>Rivaroxabano</w:t>
      </w:r>
      <w:r w:rsidR="001F7D02" w:rsidRPr="0063119B">
        <w:rPr>
          <w:noProof/>
          <w:szCs w:val="22"/>
        </w:rPr>
        <w:t xml:space="preserve"> Accord</w:t>
      </w:r>
      <w:r w:rsidR="00084D33" w:rsidRPr="0063119B">
        <w:rPr>
          <w:noProof/>
          <w:szCs w:val="22"/>
        </w:rPr>
        <w:t xml:space="preserve"> </w:t>
      </w:r>
      <w:r w:rsidR="00680AB6" w:rsidRPr="0063119B">
        <w:rPr>
          <w:noProof/>
          <w:szCs w:val="22"/>
        </w:rPr>
        <w:t xml:space="preserve">contém a substância ativa rivaroxabano e </w:t>
      </w:r>
      <w:r w:rsidR="00084D33" w:rsidRPr="0063119B">
        <w:rPr>
          <w:noProof/>
          <w:szCs w:val="22"/>
        </w:rPr>
        <w:t xml:space="preserve">é usado </w:t>
      </w:r>
      <w:r w:rsidR="00680AB6" w:rsidRPr="0063119B">
        <w:rPr>
          <w:noProof/>
          <w:szCs w:val="22"/>
        </w:rPr>
        <w:t xml:space="preserve">em adultos </w:t>
      </w:r>
      <w:r w:rsidR="00084D33" w:rsidRPr="0063119B">
        <w:rPr>
          <w:noProof/>
          <w:szCs w:val="22"/>
        </w:rPr>
        <w:t xml:space="preserve">para </w:t>
      </w:r>
    </w:p>
    <w:p w14:paraId="5DA283D7" w14:textId="77777777" w:rsidR="00084D33" w:rsidRPr="0063119B" w:rsidRDefault="001914A3" w:rsidP="001914A3">
      <w:pPr>
        <w:suppressAutoHyphens/>
        <w:ind w:left="709" w:hanging="709"/>
        <w:rPr>
          <w:noProof/>
          <w:szCs w:val="22"/>
        </w:rPr>
      </w:pPr>
      <w:r w:rsidRPr="0063119B">
        <w:rPr>
          <w:noProof/>
          <w:szCs w:val="22"/>
        </w:rPr>
        <w:t>-</w:t>
      </w:r>
      <w:r w:rsidRPr="0063119B">
        <w:rPr>
          <w:noProof/>
          <w:szCs w:val="22"/>
        </w:rPr>
        <w:tab/>
      </w:r>
      <w:r w:rsidR="00084D33" w:rsidRPr="0063119B">
        <w:rPr>
          <w:noProof/>
          <w:szCs w:val="22"/>
        </w:rPr>
        <w:t>prevenir a formação de coágulos de sangue nas veias após artoplastia da anca ou joelho. O seu médico receitou-lhe este medicamento porque após uma cirurgia tem um risco aumentado de formação de coágulos de sangue.</w:t>
      </w:r>
    </w:p>
    <w:p w14:paraId="3EA8AB45" w14:textId="77777777" w:rsidR="001914A3" w:rsidRPr="0063119B" w:rsidRDefault="001914A3" w:rsidP="001914A3">
      <w:pPr>
        <w:suppressAutoHyphens/>
        <w:ind w:left="709" w:hanging="709"/>
        <w:rPr>
          <w:noProof/>
          <w:szCs w:val="22"/>
        </w:rPr>
      </w:pPr>
      <w:r w:rsidRPr="0063119B">
        <w:rPr>
          <w:noProof/>
          <w:szCs w:val="22"/>
        </w:rPr>
        <w:t>-</w:t>
      </w:r>
      <w:r w:rsidRPr="0063119B">
        <w:rPr>
          <w:noProof/>
          <w:szCs w:val="22"/>
        </w:rPr>
        <w:tab/>
        <w:t>tratar coágulos de sangue nas veias das suas pernas (trombose venosa profunda) e nos vasos sanguíneos dos seus pulmões (embolismo pulmonar) e para prevenir</w:t>
      </w:r>
      <w:r w:rsidRPr="0063119B">
        <w:rPr>
          <w:b/>
          <w:noProof/>
          <w:szCs w:val="22"/>
        </w:rPr>
        <w:t xml:space="preserve"> </w:t>
      </w:r>
      <w:r w:rsidRPr="0063119B">
        <w:rPr>
          <w:noProof/>
          <w:szCs w:val="22"/>
        </w:rPr>
        <w:t>o reaparecimento</w:t>
      </w:r>
      <w:r w:rsidRPr="0063119B">
        <w:rPr>
          <w:b/>
          <w:noProof/>
          <w:szCs w:val="22"/>
        </w:rPr>
        <w:t xml:space="preserve"> </w:t>
      </w:r>
      <w:r w:rsidRPr="0063119B">
        <w:rPr>
          <w:noProof/>
          <w:szCs w:val="22"/>
        </w:rPr>
        <w:t>de coágulos de sangue nos vasos sanguíneos das suas pernas e/ou pulmões.</w:t>
      </w:r>
    </w:p>
    <w:p w14:paraId="67BF3993" w14:textId="77777777" w:rsidR="00084D33" w:rsidRPr="0063119B" w:rsidRDefault="00084D33" w:rsidP="00084D33">
      <w:pPr>
        <w:rPr>
          <w:noProof/>
          <w:szCs w:val="22"/>
        </w:rPr>
      </w:pPr>
      <w:r w:rsidRPr="0063119B">
        <w:rPr>
          <w:noProof/>
          <w:szCs w:val="22"/>
        </w:rPr>
        <w:br/>
      </w:r>
      <w:r w:rsidR="00607DE4">
        <w:rPr>
          <w:noProof/>
          <w:szCs w:val="22"/>
        </w:rPr>
        <w:t>Rivaroxabano</w:t>
      </w:r>
      <w:r w:rsidR="001F7D02" w:rsidRPr="0063119B">
        <w:rPr>
          <w:noProof/>
          <w:szCs w:val="22"/>
        </w:rPr>
        <w:t xml:space="preserve"> Accord</w:t>
      </w:r>
      <w:r w:rsidRPr="0063119B">
        <w:rPr>
          <w:noProof/>
          <w:szCs w:val="22"/>
        </w:rPr>
        <w:t xml:space="preserve"> pertence a um grupo de medicamentos chamados agentes antitrombóticos. Atua através do bloqueio </w:t>
      </w:r>
      <w:r w:rsidR="002E4B52" w:rsidRPr="0063119B">
        <w:rPr>
          <w:noProof/>
          <w:szCs w:val="22"/>
        </w:rPr>
        <w:t xml:space="preserve">de </w:t>
      </w:r>
      <w:r w:rsidRPr="0063119B">
        <w:rPr>
          <w:noProof/>
          <w:szCs w:val="22"/>
        </w:rPr>
        <w:t>um fator de coagulação sanguínea (fator Xa) reduzindo assim a tendência do sangue para formar coágulos.</w:t>
      </w:r>
    </w:p>
    <w:p w14:paraId="2E10AF7E" w14:textId="77777777" w:rsidR="00084D33" w:rsidRPr="0063119B" w:rsidRDefault="00084D33" w:rsidP="00084D33">
      <w:pPr>
        <w:suppressAutoHyphens/>
        <w:rPr>
          <w:noProof/>
          <w:szCs w:val="22"/>
        </w:rPr>
      </w:pPr>
    </w:p>
    <w:p w14:paraId="51294E9D" w14:textId="77777777" w:rsidR="00084D33" w:rsidRPr="0063119B" w:rsidRDefault="00084D33" w:rsidP="00084D33">
      <w:pPr>
        <w:tabs>
          <w:tab w:val="left" w:pos="1418"/>
        </w:tabs>
        <w:suppressAutoHyphens/>
        <w:rPr>
          <w:noProof/>
          <w:szCs w:val="22"/>
        </w:rPr>
      </w:pPr>
    </w:p>
    <w:p w14:paraId="38B9AEB5" w14:textId="77777777" w:rsidR="00084D33" w:rsidRPr="0063119B" w:rsidRDefault="00084D33" w:rsidP="00084D33">
      <w:pPr>
        <w:suppressAutoHyphens/>
        <w:ind w:left="567" w:hanging="567"/>
        <w:rPr>
          <w:b/>
          <w:noProof/>
          <w:szCs w:val="22"/>
        </w:rPr>
      </w:pPr>
      <w:r w:rsidRPr="0063119B">
        <w:rPr>
          <w:b/>
          <w:noProof/>
          <w:szCs w:val="22"/>
        </w:rPr>
        <w:t>2.</w:t>
      </w:r>
      <w:r w:rsidRPr="0063119B">
        <w:rPr>
          <w:b/>
          <w:noProof/>
          <w:szCs w:val="22"/>
        </w:rPr>
        <w:tab/>
      </w:r>
      <w:r w:rsidRPr="0063119B">
        <w:rPr>
          <w:b/>
          <w:szCs w:val="22"/>
        </w:rPr>
        <w:t>O que precisa de saber a</w:t>
      </w:r>
      <w:r w:rsidRPr="0063119B">
        <w:rPr>
          <w:b/>
          <w:noProof/>
          <w:szCs w:val="22"/>
        </w:rPr>
        <w:t xml:space="preserve">ntes de tomar </w:t>
      </w:r>
      <w:r w:rsidR="00607DE4">
        <w:rPr>
          <w:b/>
          <w:noProof/>
          <w:szCs w:val="22"/>
        </w:rPr>
        <w:t>Rivaroxabano</w:t>
      </w:r>
      <w:r w:rsidR="001F7D02" w:rsidRPr="0063119B">
        <w:rPr>
          <w:b/>
          <w:noProof/>
          <w:szCs w:val="22"/>
        </w:rPr>
        <w:t xml:space="preserve"> Accord</w:t>
      </w:r>
    </w:p>
    <w:p w14:paraId="46702F25" w14:textId="77777777" w:rsidR="00084D33" w:rsidRPr="0063119B" w:rsidRDefault="00084D33" w:rsidP="00084D33">
      <w:pPr>
        <w:suppressAutoHyphens/>
        <w:ind w:left="567" w:hanging="567"/>
        <w:rPr>
          <w:noProof/>
          <w:szCs w:val="22"/>
        </w:rPr>
      </w:pPr>
    </w:p>
    <w:p w14:paraId="58CD6CAA" w14:textId="77777777" w:rsidR="00084D33" w:rsidRPr="0063119B" w:rsidRDefault="00084D33" w:rsidP="00084D33">
      <w:pPr>
        <w:suppressAutoHyphens/>
        <w:rPr>
          <w:noProof/>
          <w:szCs w:val="22"/>
        </w:rPr>
      </w:pPr>
      <w:r w:rsidRPr="0063119B">
        <w:rPr>
          <w:b/>
          <w:noProof/>
          <w:szCs w:val="22"/>
        </w:rPr>
        <w:t xml:space="preserve">Não tome </w:t>
      </w:r>
      <w:r w:rsidR="00607DE4">
        <w:rPr>
          <w:b/>
          <w:noProof/>
          <w:szCs w:val="22"/>
        </w:rPr>
        <w:t>Rivaroxabano</w:t>
      </w:r>
      <w:r w:rsidR="001F7D02" w:rsidRPr="0063119B">
        <w:rPr>
          <w:b/>
          <w:noProof/>
          <w:szCs w:val="22"/>
        </w:rPr>
        <w:t xml:space="preserve"> Accord</w:t>
      </w:r>
    </w:p>
    <w:p w14:paraId="5BCEA7DF" w14:textId="77777777" w:rsidR="00084D33" w:rsidRPr="0063119B" w:rsidRDefault="00084D33" w:rsidP="00084D33">
      <w:pPr>
        <w:ind w:left="567" w:hanging="567"/>
        <w:rPr>
          <w:noProof/>
          <w:szCs w:val="22"/>
        </w:rPr>
      </w:pPr>
      <w:r w:rsidRPr="0063119B">
        <w:rPr>
          <w:noProof/>
          <w:szCs w:val="22"/>
        </w:rPr>
        <w:t>-</w:t>
      </w:r>
      <w:r w:rsidRPr="0063119B">
        <w:rPr>
          <w:noProof/>
          <w:szCs w:val="22"/>
        </w:rPr>
        <w:tab/>
        <w:t>se tem alergia ao rivaroxabano ou a qualquer outro componente deste medicamento (indicados na secção 6)</w:t>
      </w:r>
    </w:p>
    <w:p w14:paraId="220B085B" w14:textId="77777777" w:rsidR="00084D33" w:rsidRPr="0063119B" w:rsidRDefault="00084D33" w:rsidP="00084D33">
      <w:pPr>
        <w:ind w:left="567" w:hanging="567"/>
        <w:rPr>
          <w:noProof/>
          <w:szCs w:val="22"/>
        </w:rPr>
      </w:pPr>
      <w:r w:rsidRPr="0063119B">
        <w:rPr>
          <w:noProof/>
          <w:szCs w:val="22"/>
        </w:rPr>
        <w:t>-</w:t>
      </w:r>
      <w:r w:rsidRPr="0063119B">
        <w:rPr>
          <w:noProof/>
          <w:szCs w:val="22"/>
        </w:rPr>
        <w:tab/>
        <w:t>se está a sangrar excessivamente</w:t>
      </w:r>
    </w:p>
    <w:p w14:paraId="1C4C4595" w14:textId="77777777" w:rsidR="00DE409F" w:rsidRPr="0063119B" w:rsidRDefault="00DE409F" w:rsidP="00DE409F">
      <w:pPr>
        <w:ind w:left="567" w:hanging="567"/>
        <w:rPr>
          <w:szCs w:val="22"/>
          <w:lang w:eastAsia="pt-PT"/>
        </w:rPr>
      </w:pPr>
      <w:r w:rsidRPr="0063119B">
        <w:rPr>
          <w:noProof/>
          <w:szCs w:val="22"/>
        </w:rPr>
        <w:t>-</w:t>
      </w:r>
      <w:r w:rsidRPr="0063119B">
        <w:rPr>
          <w:noProof/>
          <w:szCs w:val="22"/>
        </w:rPr>
        <w:tab/>
        <w:t>se tem uma doença ou uma situação num órgão do corpo</w:t>
      </w:r>
      <w:r w:rsidRPr="0063119B">
        <w:rPr>
          <w:szCs w:val="22"/>
          <w:lang w:eastAsia="pt-PT"/>
        </w:rPr>
        <w:t xml:space="preserve"> que aumente o risco de hemorragia grave (ex.</w:t>
      </w:r>
      <w:r w:rsidR="00667528" w:rsidRPr="0063119B">
        <w:rPr>
          <w:szCs w:val="22"/>
          <w:lang w:eastAsia="pt-PT"/>
        </w:rPr>
        <w:t>:</w:t>
      </w:r>
      <w:r w:rsidRPr="0063119B">
        <w:rPr>
          <w:szCs w:val="22"/>
          <w:lang w:eastAsia="pt-PT"/>
        </w:rPr>
        <w:t xml:space="preserve"> úlcera no estômago, lesão ou hemorragia no cérebro, cirurgia recente do cérebro ou dos olhos)</w:t>
      </w:r>
    </w:p>
    <w:p w14:paraId="35161349" w14:textId="77777777" w:rsidR="00DE409F" w:rsidRPr="0063119B" w:rsidRDefault="00DE409F" w:rsidP="00DE409F">
      <w:pPr>
        <w:autoSpaceDE w:val="0"/>
        <w:autoSpaceDN w:val="0"/>
        <w:adjustRightInd w:val="0"/>
        <w:ind w:left="567" w:hanging="567"/>
        <w:rPr>
          <w:szCs w:val="22"/>
          <w:lang w:eastAsia="pt-PT"/>
        </w:rPr>
      </w:pPr>
      <w:r w:rsidRPr="0063119B">
        <w:rPr>
          <w:noProof/>
          <w:szCs w:val="22"/>
        </w:rPr>
        <w:t>-</w:t>
      </w:r>
      <w:r w:rsidRPr="0063119B">
        <w:rPr>
          <w:noProof/>
          <w:szCs w:val="22"/>
        </w:rPr>
        <w:tab/>
      </w:r>
      <w:r w:rsidRPr="0063119B">
        <w:rPr>
          <w:szCs w:val="22"/>
          <w:lang w:eastAsia="pt-PT"/>
        </w:rPr>
        <w:t>se está a tomar medicamentos para prevenir a coagulação sanguínea (ex.: varfarina, dabigatrano, apixabano ou heparina), exceto quando estiver a mudar de tratamento</w:t>
      </w:r>
      <w:r w:rsidRPr="0063119B">
        <w:rPr>
          <w:b/>
          <w:szCs w:val="22"/>
          <w:lang w:eastAsia="pt-PT"/>
        </w:rPr>
        <w:t xml:space="preserve"> </w:t>
      </w:r>
      <w:r w:rsidRPr="0063119B">
        <w:rPr>
          <w:szCs w:val="22"/>
          <w:lang w:eastAsia="pt-PT"/>
        </w:rPr>
        <w:t>anticoagulante ou enquanto receber heparina através de uma linha venosa ou arterial para a manter aberta</w:t>
      </w:r>
    </w:p>
    <w:p w14:paraId="2AEEAD2A" w14:textId="77777777" w:rsidR="00084D33" w:rsidRPr="0063119B" w:rsidRDefault="00084D33" w:rsidP="00084D33">
      <w:pPr>
        <w:ind w:left="567" w:hanging="567"/>
        <w:rPr>
          <w:noProof/>
          <w:szCs w:val="22"/>
        </w:rPr>
      </w:pPr>
      <w:r w:rsidRPr="0063119B">
        <w:rPr>
          <w:noProof/>
          <w:szCs w:val="22"/>
        </w:rPr>
        <w:t>-</w:t>
      </w:r>
      <w:r w:rsidRPr="0063119B">
        <w:rPr>
          <w:noProof/>
          <w:szCs w:val="22"/>
        </w:rPr>
        <w:tab/>
        <w:t>se tem uma doença no fígado, que leva a um aumento do risco de hemorragias</w:t>
      </w:r>
    </w:p>
    <w:p w14:paraId="2175EF57" w14:textId="77777777" w:rsidR="00084D33" w:rsidRPr="0063119B" w:rsidRDefault="00084D33" w:rsidP="00084D33">
      <w:pPr>
        <w:ind w:left="567" w:hanging="567"/>
        <w:rPr>
          <w:noProof/>
          <w:szCs w:val="22"/>
        </w:rPr>
      </w:pPr>
      <w:r w:rsidRPr="0063119B">
        <w:rPr>
          <w:noProof/>
          <w:szCs w:val="22"/>
        </w:rPr>
        <w:t>-</w:t>
      </w:r>
      <w:r w:rsidRPr="0063119B">
        <w:rPr>
          <w:noProof/>
          <w:szCs w:val="22"/>
        </w:rPr>
        <w:tab/>
        <w:t>se está grávida ou a amamentar</w:t>
      </w:r>
    </w:p>
    <w:p w14:paraId="446B903B" w14:textId="77777777" w:rsidR="00084D33" w:rsidRPr="0063119B" w:rsidRDefault="00084D33" w:rsidP="00084D33">
      <w:pPr>
        <w:suppressAutoHyphens/>
        <w:rPr>
          <w:noProof/>
          <w:szCs w:val="22"/>
        </w:rPr>
      </w:pPr>
      <w:r w:rsidRPr="0063119B">
        <w:rPr>
          <w:b/>
          <w:noProof/>
          <w:szCs w:val="22"/>
        </w:rPr>
        <w:t xml:space="preserve">Não tome </w:t>
      </w:r>
      <w:r w:rsidR="00607DE4">
        <w:rPr>
          <w:b/>
          <w:noProof/>
          <w:szCs w:val="22"/>
        </w:rPr>
        <w:t>Rivaroxabano</w:t>
      </w:r>
      <w:r w:rsidR="001F7D02" w:rsidRPr="0063119B">
        <w:rPr>
          <w:b/>
          <w:noProof/>
          <w:szCs w:val="22"/>
        </w:rPr>
        <w:t xml:space="preserve"> Accord</w:t>
      </w:r>
      <w:r w:rsidRPr="0063119B">
        <w:rPr>
          <w:b/>
          <w:noProof/>
          <w:szCs w:val="22"/>
        </w:rPr>
        <w:t xml:space="preserve"> e informe o seu médico</w:t>
      </w:r>
      <w:r w:rsidRPr="0063119B">
        <w:rPr>
          <w:noProof/>
          <w:szCs w:val="22"/>
        </w:rPr>
        <w:t xml:space="preserve"> se alguma destas situações se aplica a si.</w:t>
      </w:r>
    </w:p>
    <w:p w14:paraId="6D89070A" w14:textId="77777777" w:rsidR="00954ECB" w:rsidRPr="0063119B" w:rsidRDefault="00954ECB" w:rsidP="00084D33">
      <w:pPr>
        <w:suppressAutoHyphens/>
        <w:rPr>
          <w:b/>
          <w:noProof/>
          <w:szCs w:val="22"/>
        </w:rPr>
      </w:pPr>
    </w:p>
    <w:p w14:paraId="3CE00225" w14:textId="77777777" w:rsidR="00084D33" w:rsidRPr="0063119B" w:rsidRDefault="00084D33" w:rsidP="00084D33">
      <w:pPr>
        <w:suppressAutoHyphens/>
        <w:rPr>
          <w:noProof/>
          <w:szCs w:val="22"/>
        </w:rPr>
      </w:pPr>
      <w:r w:rsidRPr="0063119B">
        <w:rPr>
          <w:b/>
          <w:noProof/>
          <w:szCs w:val="22"/>
        </w:rPr>
        <w:t>Advertências e precauções</w:t>
      </w:r>
    </w:p>
    <w:p w14:paraId="78BF147D" w14:textId="77777777" w:rsidR="00084D33" w:rsidRPr="0063119B" w:rsidRDefault="00084D33" w:rsidP="00084D33">
      <w:pPr>
        <w:suppressAutoHyphens/>
        <w:rPr>
          <w:noProof/>
          <w:szCs w:val="22"/>
        </w:rPr>
      </w:pPr>
      <w:r w:rsidRPr="0063119B">
        <w:rPr>
          <w:noProof/>
          <w:szCs w:val="22"/>
        </w:rPr>
        <w:t xml:space="preserve">Fale com o seu médico ou farmacêutico antes de tomar </w:t>
      </w:r>
      <w:r w:rsidR="00607DE4">
        <w:rPr>
          <w:noProof/>
          <w:szCs w:val="22"/>
        </w:rPr>
        <w:t>Rivaroxabano</w:t>
      </w:r>
      <w:r w:rsidR="001F7D02" w:rsidRPr="0063119B">
        <w:rPr>
          <w:noProof/>
          <w:szCs w:val="22"/>
        </w:rPr>
        <w:t xml:space="preserve"> Accord</w:t>
      </w:r>
      <w:r w:rsidRPr="0063119B">
        <w:rPr>
          <w:noProof/>
          <w:szCs w:val="22"/>
        </w:rPr>
        <w:t>.</w:t>
      </w:r>
    </w:p>
    <w:p w14:paraId="5581F173" w14:textId="77777777" w:rsidR="00084D33" w:rsidRPr="0063119B" w:rsidRDefault="00084D33" w:rsidP="00084D33">
      <w:pPr>
        <w:suppressAutoHyphens/>
        <w:rPr>
          <w:noProof/>
          <w:szCs w:val="22"/>
        </w:rPr>
      </w:pPr>
      <w:r w:rsidRPr="0063119B">
        <w:rPr>
          <w:b/>
          <w:noProof/>
          <w:szCs w:val="22"/>
        </w:rPr>
        <w:lastRenderedPageBreak/>
        <w:t xml:space="preserve">Tome especial cuidado com </w:t>
      </w:r>
      <w:r w:rsidR="00607DE4">
        <w:rPr>
          <w:b/>
          <w:noProof/>
          <w:szCs w:val="22"/>
        </w:rPr>
        <w:t>Rivaroxabano</w:t>
      </w:r>
      <w:r w:rsidR="001F7D02" w:rsidRPr="0063119B">
        <w:rPr>
          <w:b/>
          <w:noProof/>
          <w:szCs w:val="22"/>
        </w:rPr>
        <w:t xml:space="preserve"> Accord</w:t>
      </w:r>
    </w:p>
    <w:p w14:paraId="7518B44C" w14:textId="77777777" w:rsidR="00084D33" w:rsidRPr="0063119B" w:rsidRDefault="00084D33" w:rsidP="00084D33">
      <w:pPr>
        <w:suppressAutoHyphens/>
        <w:rPr>
          <w:b/>
          <w:noProof/>
          <w:szCs w:val="22"/>
        </w:rPr>
      </w:pPr>
      <w:r w:rsidRPr="0063119B">
        <w:rPr>
          <w:noProof/>
          <w:szCs w:val="22"/>
        </w:rPr>
        <w:t>-</w:t>
      </w:r>
      <w:r w:rsidRPr="0063119B">
        <w:rPr>
          <w:noProof/>
          <w:szCs w:val="22"/>
        </w:rPr>
        <w:tab/>
        <w:t xml:space="preserve">se tem um risco aumentado de hemorragia, uma vez que pode ser o caso de situações como:  </w:t>
      </w:r>
    </w:p>
    <w:p w14:paraId="4FC9BA8C" w14:textId="77777777" w:rsidR="00084D33" w:rsidRPr="0063119B" w:rsidRDefault="00084D33" w:rsidP="00513F33">
      <w:pPr>
        <w:tabs>
          <w:tab w:val="left" w:pos="1418"/>
        </w:tabs>
        <w:suppressAutoHyphens/>
        <w:ind w:left="1418" w:hanging="851"/>
        <w:rPr>
          <w:noProof/>
          <w:szCs w:val="22"/>
        </w:rPr>
      </w:pPr>
      <w:r w:rsidRPr="0063119B">
        <w:rPr>
          <w:noProof/>
          <w:szCs w:val="22"/>
        </w:rPr>
        <w:t xml:space="preserve">   ▪ </w:t>
      </w:r>
      <w:r w:rsidRPr="0063119B">
        <w:rPr>
          <w:noProof/>
          <w:szCs w:val="22"/>
        </w:rPr>
        <w:tab/>
        <w:t>doença moderada ou grave dos rins</w:t>
      </w:r>
      <w:r w:rsidR="00FD7D94" w:rsidRPr="0063119B">
        <w:rPr>
          <w:noProof/>
          <w:szCs w:val="22"/>
        </w:rPr>
        <w:t>, uma vez que a sua função renal pode afetar a quantidade de medicamento que funciona no seu corpo</w:t>
      </w:r>
    </w:p>
    <w:p w14:paraId="09067F47" w14:textId="77777777" w:rsidR="00D838DB" w:rsidRPr="0063119B" w:rsidRDefault="00D838DB" w:rsidP="006A360C">
      <w:pPr>
        <w:tabs>
          <w:tab w:val="left" w:pos="709"/>
        </w:tabs>
        <w:suppressAutoHyphens/>
        <w:ind w:left="1418" w:hanging="851"/>
        <w:rPr>
          <w:noProof/>
          <w:szCs w:val="22"/>
        </w:rPr>
      </w:pPr>
      <w:r w:rsidRPr="0063119B">
        <w:rPr>
          <w:noProof/>
          <w:szCs w:val="22"/>
        </w:rPr>
        <w:t xml:space="preserve">   ▪ </w:t>
      </w:r>
      <w:r w:rsidRPr="0063119B">
        <w:rPr>
          <w:noProof/>
          <w:szCs w:val="22"/>
        </w:rPr>
        <w:tab/>
        <w:t xml:space="preserve">se está a tomar outros medicamentos para prevenir coágulos de sangue (ex.: varfarina, dabigatrano, apixabano ou heparina), </w:t>
      </w:r>
      <w:r w:rsidRPr="0063119B">
        <w:rPr>
          <w:rStyle w:val="hps"/>
          <w:szCs w:val="22"/>
        </w:rPr>
        <w:t xml:space="preserve">quando estiver a </w:t>
      </w:r>
      <w:r w:rsidRPr="0063119B">
        <w:rPr>
          <w:szCs w:val="22"/>
          <w:lang w:eastAsia="pt-PT"/>
        </w:rPr>
        <w:t>mudar de tratamento</w:t>
      </w:r>
      <w:r w:rsidRPr="0063119B">
        <w:rPr>
          <w:b/>
          <w:szCs w:val="22"/>
          <w:lang w:eastAsia="pt-PT"/>
        </w:rPr>
        <w:t xml:space="preserve"> </w:t>
      </w:r>
      <w:r w:rsidRPr="0063119B">
        <w:rPr>
          <w:szCs w:val="22"/>
          <w:lang w:eastAsia="pt-PT"/>
        </w:rPr>
        <w:t>anticoagulante ou enquanto receber heparina através de uma linha venosa ou arterial para a manter aberta</w:t>
      </w:r>
      <w:r w:rsidRPr="0063119B">
        <w:rPr>
          <w:rStyle w:val="hps"/>
          <w:szCs w:val="22"/>
        </w:rPr>
        <w:t xml:space="preserve"> (</w:t>
      </w:r>
      <w:r w:rsidRPr="0063119B">
        <w:rPr>
          <w:rStyle w:val="atn"/>
          <w:szCs w:val="22"/>
        </w:rPr>
        <w:t>ver secção "</w:t>
      </w:r>
      <w:r w:rsidRPr="0063119B">
        <w:rPr>
          <w:szCs w:val="22"/>
        </w:rPr>
        <w:t xml:space="preserve">Outros medicamentos </w:t>
      </w:r>
      <w:r w:rsidRPr="0063119B">
        <w:rPr>
          <w:rStyle w:val="hps"/>
          <w:szCs w:val="22"/>
        </w:rPr>
        <w:t>e</w:t>
      </w:r>
      <w:r w:rsidRPr="0063119B">
        <w:rPr>
          <w:szCs w:val="22"/>
        </w:rPr>
        <w:t xml:space="preserve"> </w:t>
      </w:r>
      <w:r w:rsidR="00607DE4">
        <w:rPr>
          <w:rStyle w:val="hps"/>
          <w:szCs w:val="22"/>
        </w:rPr>
        <w:t>Rivaroxabano</w:t>
      </w:r>
      <w:r w:rsidR="001F7D02" w:rsidRPr="0063119B">
        <w:rPr>
          <w:rStyle w:val="hps"/>
          <w:szCs w:val="22"/>
        </w:rPr>
        <w:t xml:space="preserve"> Accord</w:t>
      </w:r>
      <w:r w:rsidRPr="0063119B">
        <w:rPr>
          <w:szCs w:val="22"/>
        </w:rPr>
        <w:t>")</w:t>
      </w:r>
    </w:p>
    <w:p w14:paraId="594D8847" w14:textId="77777777" w:rsidR="00084D33" w:rsidRPr="0063119B" w:rsidRDefault="00084D33" w:rsidP="00084D33">
      <w:pPr>
        <w:tabs>
          <w:tab w:val="left" w:pos="1418"/>
        </w:tabs>
        <w:suppressAutoHyphens/>
        <w:ind w:left="567"/>
        <w:rPr>
          <w:noProof/>
          <w:szCs w:val="22"/>
        </w:rPr>
      </w:pPr>
      <w:r w:rsidRPr="0063119B">
        <w:rPr>
          <w:noProof/>
          <w:szCs w:val="22"/>
        </w:rPr>
        <w:t xml:space="preserve">   ▪ </w:t>
      </w:r>
      <w:r w:rsidRPr="0063119B">
        <w:rPr>
          <w:noProof/>
          <w:szCs w:val="22"/>
        </w:rPr>
        <w:tab/>
        <w:t>doenças hemorrágicas</w:t>
      </w:r>
    </w:p>
    <w:p w14:paraId="0E72028F" w14:textId="77777777" w:rsidR="00084D33" w:rsidRPr="0063119B" w:rsidRDefault="00084D33" w:rsidP="00084D33">
      <w:pPr>
        <w:suppressAutoHyphens/>
        <w:ind w:left="1418" w:hanging="851"/>
        <w:rPr>
          <w:noProof/>
          <w:szCs w:val="22"/>
        </w:rPr>
      </w:pPr>
      <w:r w:rsidRPr="0063119B">
        <w:rPr>
          <w:noProof/>
          <w:szCs w:val="22"/>
        </w:rPr>
        <w:t xml:space="preserve">   ▪</w:t>
      </w:r>
      <w:r w:rsidRPr="0063119B">
        <w:rPr>
          <w:noProof/>
          <w:szCs w:val="22"/>
        </w:rPr>
        <w:tab/>
        <w:t>tensão arterial muito alta, não controlada por tratamento médico</w:t>
      </w:r>
    </w:p>
    <w:p w14:paraId="46D8D79B" w14:textId="77777777" w:rsidR="00084D33" w:rsidRPr="0063119B" w:rsidRDefault="00084D33" w:rsidP="00084D33">
      <w:pPr>
        <w:suppressAutoHyphens/>
        <w:ind w:left="1418" w:hanging="851"/>
        <w:rPr>
          <w:noProof/>
          <w:szCs w:val="22"/>
        </w:rPr>
      </w:pPr>
      <w:r w:rsidRPr="0063119B">
        <w:rPr>
          <w:noProof/>
          <w:szCs w:val="22"/>
        </w:rPr>
        <w:t xml:space="preserve">   ▪</w:t>
      </w:r>
      <w:r w:rsidRPr="0063119B">
        <w:rPr>
          <w:noProof/>
          <w:szCs w:val="22"/>
        </w:rPr>
        <w:tab/>
      </w:r>
      <w:r w:rsidR="007B522B" w:rsidRPr="0063119B">
        <w:rPr>
          <w:noProof/>
          <w:szCs w:val="22"/>
        </w:rPr>
        <w:t>doenças do seu estômago ou intestinos que podem resultar em hemorragia, ex.: inflamação dos intestinos ou estôm</w:t>
      </w:r>
      <w:r w:rsidR="00491D4E" w:rsidRPr="0063119B">
        <w:rPr>
          <w:noProof/>
          <w:szCs w:val="22"/>
        </w:rPr>
        <w:t xml:space="preserve">ago, ou inflamação do esófago </w:t>
      </w:r>
      <w:r w:rsidR="007B522B" w:rsidRPr="0063119B">
        <w:rPr>
          <w:noProof/>
          <w:szCs w:val="22"/>
        </w:rPr>
        <w:t>ex.: devido à doença de refluxo gastroesofágico (doença em que o ácido do estômago sobe para o esófago)</w:t>
      </w:r>
      <w:r w:rsidRPr="0063119B">
        <w:rPr>
          <w:noProof/>
          <w:szCs w:val="22"/>
        </w:rPr>
        <w:t xml:space="preserve"> </w:t>
      </w:r>
      <w:r w:rsidR="009F7B2E">
        <w:t>ou tumores localizados no estômago ou intestinos ou trato genital ou trato urinário</w:t>
      </w:r>
    </w:p>
    <w:p w14:paraId="07D41CDE" w14:textId="77777777" w:rsidR="00084D33" w:rsidRPr="0063119B" w:rsidRDefault="00084D33" w:rsidP="00084D33">
      <w:pPr>
        <w:suppressAutoHyphens/>
        <w:ind w:left="1418" w:hanging="851"/>
        <w:rPr>
          <w:noProof/>
          <w:szCs w:val="22"/>
        </w:rPr>
      </w:pPr>
      <w:r w:rsidRPr="0063119B">
        <w:rPr>
          <w:noProof/>
          <w:szCs w:val="22"/>
        </w:rPr>
        <w:t xml:space="preserve">   ▪</w:t>
      </w:r>
      <w:r w:rsidRPr="0063119B">
        <w:rPr>
          <w:noProof/>
          <w:szCs w:val="22"/>
        </w:rPr>
        <w:tab/>
        <w:t>um problema com os vasos sanguíneos do fundo do olho (retinopatia)</w:t>
      </w:r>
    </w:p>
    <w:p w14:paraId="6F643608" w14:textId="77777777" w:rsidR="00084D33" w:rsidRPr="0063119B" w:rsidRDefault="00084D33" w:rsidP="00084D33">
      <w:pPr>
        <w:suppressAutoHyphens/>
        <w:ind w:left="1418" w:hanging="851"/>
        <w:rPr>
          <w:noProof/>
          <w:szCs w:val="22"/>
        </w:rPr>
      </w:pPr>
      <w:r w:rsidRPr="0063119B">
        <w:rPr>
          <w:noProof/>
          <w:szCs w:val="22"/>
        </w:rPr>
        <w:t xml:space="preserve">   ▪ </w:t>
      </w:r>
      <w:r w:rsidRPr="0063119B">
        <w:rPr>
          <w:noProof/>
          <w:szCs w:val="22"/>
        </w:rPr>
        <w:tab/>
        <w:t>uma doença dos pulmões em que os seus brônquios estão alargados e cheios de pús</w:t>
      </w:r>
      <w:r w:rsidRPr="0063119B">
        <w:rPr>
          <w:b/>
          <w:noProof/>
          <w:szCs w:val="22"/>
        </w:rPr>
        <w:t xml:space="preserve"> </w:t>
      </w:r>
      <w:r w:rsidRPr="0063119B">
        <w:rPr>
          <w:noProof/>
          <w:szCs w:val="22"/>
        </w:rPr>
        <w:t xml:space="preserve">(bronquiectasias) ou hemorragia anterior dos pulmões </w:t>
      </w:r>
    </w:p>
    <w:p w14:paraId="7279B263" w14:textId="77777777" w:rsidR="001914A3" w:rsidRPr="0063119B" w:rsidRDefault="001914A3" w:rsidP="00FB3537">
      <w:pPr>
        <w:numPr>
          <w:ilvl w:val="0"/>
          <w:numId w:val="34"/>
        </w:numPr>
        <w:suppressAutoHyphens/>
        <w:ind w:left="709" w:hanging="709"/>
        <w:rPr>
          <w:noProof/>
          <w:szCs w:val="22"/>
        </w:rPr>
      </w:pPr>
      <w:r w:rsidRPr="0063119B">
        <w:rPr>
          <w:noProof/>
          <w:szCs w:val="22"/>
        </w:rPr>
        <w:tab/>
        <w:t>se tem uma válvula cardíaca protésica</w:t>
      </w:r>
    </w:p>
    <w:p w14:paraId="41BD65F1" w14:textId="77777777" w:rsidR="007B4A7F" w:rsidRPr="0063119B" w:rsidRDefault="007B4A7F" w:rsidP="007B4A7F">
      <w:pPr>
        <w:numPr>
          <w:ilvl w:val="0"/>
          <w:numId w:val="34"/>
        </w:numPr>
        <w:suppressAutoHyphens/>
        <w:ind w:left="709" w:hanging="709"/>
        <w:rPr>
          <w:noProof/>
          <w:szCs w:val="22"/>
        </w:rPr>
      </w:pPr>
      <w:r w:rsidRPr="0063119B">
        <w:rPr>
          <w:noProof/>
          <w:szCs w:val="22"/>
        </w:rPr>
        <w:tab/>
        <w:t>se o seu médico determinar que a sua</w:t>
      </w:r>
      <w:r w:rsidRPr="0063119B">
        <w:rPr>
          <w:b/>
          <w:noProof/>
          <w:szCs w:val="22"/>
        </w:rPr>
        <w:t xml:space="preserve"> </w:t>
      </w:r>
      <w:r w:rsidRPr="0063119B">
        <w:rPr>
          <w:noProof/>
          <w:szCs w:val="22"/>
        </w:rPr>
        <w:t>tensão arterial é instável ou está planeado outro tratamento</w:t>
      </w:r>
      <w:r w:rsidRPr="0063119B">
        <w:rPr>
          <w:b/>
          <w:noProof/>
          <w:szCs w:val="22"/>
        </w:rPr>
        <w:t xml:space="preserve"> </w:t>
      </w:r>
      <w:r w:rsidRPr="0063119B">
        <w:rPr>
          <w:noProof/>
          <w:szCs w:val="22"/>
        </w:rPr>
        <w:t>ou procedimento cirúrgico para remover o cóagulo de sangue dos seus pulmões.</w:t>
      </w:r>
    </w:p>
    <w:p w14:paraId="19FCB0A2" w14:textId="77777777" w:rsidR="00C909B6" w:rsidRPr="0063119B" w:rsidRDefault="00C909B6" w:rsidP="00C909B6">
      <w:pPr>
        <w:numPr>
          <w:ilvl w:val="0"/>
          <w:numId w:val="34"/>
        </w:numPr>
        <w:suppressAutoHyphens/>
        <w:ind w:left="709" w:hanging="709"/>
        <w:rPr>
          <w:noProof/>
          <w:szCs w:val="22"/>
        </w:rPr>
      </w:pPr>
      <w:r w:rsidRPr="0063119B">
        <w:rPr>
          <w:noProof/>
          <w:szCs w:val="22"/>
        </w:rPr>
        <w:t>se tem uma doença chamada síndrome antifosfolipídica (uma doença do sistema imunitário que provoca um aumento do risco de coágulos sanguíneos), informe o seu médico, que decidirá se o tratamento necessita de ser alterado</w:t>
      </w:r>
    </w:p>
    <w:p w14:paraId="0E1107C7" w14:textId="77777777" w:rsidR="008C1793" w:rsidRPr="0063119B" w:rsidRDefault="008C1793" w:rsidP="00084D33">
      <w:pPr>
        <w:suppressAutoHyphens/>
        <w:rPr>
          <w:noProof/>
          <w:szCs w:val="22"/>
        </w:rPr>
      </w:pPr>
    </w:p>
    <w:p w14:paraId="3E64175D" w14:textId="77777777" w:rsidR="00A9394A" w:rsidRPr="0063119B" w:rsidRDefault="00084D33" w:rsidP="008E645F">
      <w:pPr>
        <w:suppressAutoHyphens/>
        <w:rPr>
          <w:noProof/>
          <w:szCs w:val="22"/>
        </w:rPr>
      </w:pPr>
      <w:r w:rsidRPr="0063119B">
        <w:rPr>
          <w:b/>
          <w:noProof/>
          <w:szCs w:val="22"/>
        </w:rPr>
        <w:t>Se algumas d</w:t>
      </w:r>
      <w:r w:rsidR="00A9623F" w:rsidRPr="0063119B">
        <w:rPr>
          <w:b/>
          <w:noProof/>
          <w:szCs w:val="22"/>
        </w:rPr>
        <w:t>as</w:t>
      </w:r>
      <w:r w:rsidRPr="0063119B">
        <w:rPr>
          <w:b/>
          <w:noProof/>
          <w:szCs w:val="22"/>
        </w:rPr>
        <w:t xml:space="preserve"> situações </w:t>
      </w:r>
      <w:r w:rsidR="00954ECB" w:rsidRPr="0063119B">
        <w:rPr>
          <w:b/>
          <w:noProof/>
          <w:szCs w:val="22"/>
        </w:rPr>
        <w:t xml:space="preserve">acima </w:t>
      </w:r>
      <w:r w:rsidRPr="0063119B">
        <w:rPr>
          <w:b/>
          <w:noProof/>
          <w:szCs w:val="22"/>
        </w:rPr>
        <w:t>se aplica</w:t>
      </w:r>
      <w:r w:rsidR="00954ECB" w:rsidRPr="0063119B">
        <w:rPr>
          <w:b/>
          <w:noProof/>
          <w:szCs w:val="22"/>
        </w:rPr>
        <w:t>r</w:t>
      </w:r>
      <w:r w:rsidRPr="0063119B">
        <w:rPr>
          <w:b/>
          <w:noProof/>
          <w:szCs w:val="22"/>
        </w:rPr>
        <w:t xml:space="preserve"> a si,</w:t>
      </w:r>
      <w:r w:rsidRPr="0063119B">
        <w:rPr>
          <w:noProof/>
          <w:szCs w:val="22"/>
        </w:rPr>
        <w:t xml:space="preserve"> </w:t>
      </w:r>
      <w:r w:rsidRPr="0063119B">
        <w:rPr>
          <w:b/>
          <w:noProof/>
          <w:szCs w:val="22"/>
        </w:rPr>
        <w:t>informe o seu médico</w:t>
      </w:r>
      <w:r w:rsidRPr="0063119B">
        <w:rPr>
          <w:noProof/>
          <w:szCs w:val="22"/>
        </w:rPr>
        <w:t xml:space="preserve"> antes de tomar </w:t>
      </w:r>
      <w:r w:rsidR="00607DE4">
        <w:rPr>
          <w:noProof/>
          <w:szCs w:val="22"/>
        </w:rPr>
        <w:t>Rivaroxabano</w:t>
      </w:r>
      <w:r w:rsidR="001F7D02" w:rsidRPr="0063119B">
        <w:rPr>
          <w:noProof/>
          <w:szCs w:val="22"/>
        </w:rPr>
        <w:t xml:space="preserve"> Accord</w:t>
      </w:r>
      <w:r w:rsidRPr="0063119B">
        <w:rPr>
          <w:noProof/>
          <w:szCs w:val="22"/>
        </w:rPr>
        <w:t xml:space="preserve">. O seu médico decidirá se deve ser tratado com </w:t>
      </w:r>
      <w:r w:rsidR="00C20519" w:rsidRPr="0063119B">
        <w:rPr>
          <w:noProof/>
          <w:szCs w:val="22"/>
        </w:rPr>
        <w:t xml:space="preserve">este medicamento </w:t>
      </w:r>
      <w:r w:rsidRPr="0063119B">
        <w:rPr>
          <w:noProof/>
          <w:szCs w:val="22"/>
        </w:rPr>
        <w:t>e se deve ser mantido sob uma observação mais atenta.</w:t>
      </w:r>
    </w:p>
    <w:p w14:paraId="20E11BDC" w14:textId="77777777" w:rsidR="00084D33" w:rsidRPr="0063119B" w:rsidRDefault="00084D33" w:rsidP="008E645F">
      <w:pPr>
        <w:suppressAutoHyphens/>
        <w:rPr>
          <w:noProof/>
          <w:szCs w:val="22"/>
        </w:rPr>
      </w:pPr>
    </w:p>
    <w:p w14:paraId="76F68EED" w14:textId="77777777" w:rsidR="006A2C34" w:rsidRPr="0063119B" w:rsidDel="008A376F" w:rsidRDefault="006A2C34" w:rsidP="006A2C34">
      <w:pPr>
        <w:tabs>
          <w:tab w:val="left" w:pos="709"/>
        </w:tabs>
        <w:suppressAutoHyphens/>
        <w:ind w:left="709" w:hanging="709"/>
        <w:rPr>
          <w:b/>
          <w:noProof/>
          <w:szCs w:val="22"/>
        </w:rPr>
      </w:pPr>
      <w:r w:rsidRPr="0063119B">
        <w:rPr>
          <w:b/>
          <w:noProof/>
          <w:szCs w:val="22"/>
        </w:rPr>
        <w:t>Se necessitar de ser operado</w:t>
      </w:r>
    </w:p>
    <w:p w14:paraId="6BD6094A" w14:textId="77777777" w:rsidR="006A2C34" w:rsidRPr="0063119B" w:rsidRDefault="006A2C34" w:rsidP="00F4070A">
      <w:pPr>
        <w:suppressAutoHyphens/>
        <w:ind w:left="567" w:hanging="567"/>
        <w:rPr>
          <w:noProof/>
          <w:szCs w:val="22"/>
        </w:rPr>
      </w:pPr>
      <w:r w:rsidRPr="0063119B">
        <w:rPr>
          <w:noProof/>
          <w:szCs w:val="22"/>
        </w:rPr>
        <w:noBreakHyphen/>
      </w:r>
      <w:r w:rsidRPr="0063119B">
        <w:rPr>
          <w:noProof/>
          <w:szCs w:val="22"/>
        </w:rPr>
        <w:tab/>
        <w:t xml:space="preserve">é muito importante tomar </w:t>
      </w:r>
      <w:r w:rsidR="00607DE4">
        <w:rPr>
          <w:noProof/>
          <w:szCs w:val="22"/>
        </w:rPr>
        <w:t>Rivaroxabano</w:t>
      </w:r>
      <w:r w:rsidR="001F7D02" w:rsidRPr="0063119B">
        <w:rPr>
          <w:noProof/>
          <w:szCs w:val="22"/>
        </w:rPr>
        <w:t xml:space="preserve"> Accord</w:t>
      </w:r>
      <w:r w:rsidRPr="0063119B">
        <w:rPr>
          <w:noProof/>
          <w:szCs w:val="22"/>
        </w:rPr>
        <w:t xml:space="preserve"> antes e após a cirurgia, exatamente às horas que o seu médico lhe indicou.</w:t>
      </w:r>
    </w:p>
    <w:p w14:paraId="0D2F4B01" w14:textId="77777777" w:rsidR="00084D33" w:rsidRPr="0063119B" w:rsidRDefault="006A2C34" w:rsidP="00F4070A">
      <w:pPr>
        <w:tabs>
          <w:tab w:val="left" w:pos="567"/>
        </w:tabs>
        <w:suppressAutoHyphens/>
        <w:ind w:left="567" w:hanging="567"/>
        <w:rPr>
          <w:noProof/>
          <w:szCs w:val="22"/>
        </w:rPr>
      </w:pPr>
      <w:r w:rsidRPr="0063119B">
        <w:rPr>
          <w:noProof/>
          <w:szCs w:val="22"/>
        </w:rPr>
        <w:t>-</w:t>
      </w:r>
      <w:r w:rsidRPr="0063119B">
        <w:rPr>
          <w:noProof/>
          <w:szCs w:val="22"/>
        </w:rPr>
        <w:tab/>
      </w:r>
      <w:r w:rsidR="00084D33" w:rsidRPr="0063119B">
        <w:rPr>
          <w:noProof/>
          <w:szCs w:val="22"/>
        </w:rPr>
        <w:t>Se a cirurgia envolve a colocação de um cateter ou injeção na coluna vertebral (ex.: anestesia epidural ou espinal ou redução da dor):</w:t>
      </w:r>
    </w:p>
    <w:p w14:paraId="6A5D2739" w14:textId="77777777" w:rsidR="00084D33" w:rsidRPr="0063119B" w:rsidRDefault="00084D33" w:rsidP="00084D33">
      <w:pPr>
        <w:tabs>
          <w:tab w:val="left" w:pos="1418"/>
        </w:tabs>
        <w:suppressAutoHyphens/>
        <w:ind w:left="1418" w:hanging="709"/>
        <w:rPr>
          <w:noProof/>
          <w:szCs w:val="22"/>
        </w:rPr>
      </w:pPr>
      <w:r w:rsidRPr="0063119B">
        <w:rPr>
          <w:noProof/>
          <w:szCs w:val="22"/>
        </w:rPr>
        <w:t>▪</w:t>
      </w:r>
      <w:r w:rsidRPr="0063119B">
        <w:rPr>
          <w:noProof/>
          <w:szCs w:val="22"/>
        </w:rPr>
        <w:tab/>
        <w:t xml:space="preserve">é muito importante tomar </w:t>
      </w:r>
      <w:r w:rsidR="00607DE4">
        <w:rPr>
          <w:noProof/>
          <w:szCs w:val="22"/>
        </w:rPr>
        <w:t>Rivaroxabano</w:t>
      </w:r>
      <w:r w:rsidR="001F7D02" w:rsidRPr="0063119B">
        <w:rPr>
          <w:noProof/>
          <w:szCs w:val="22"/>
        </w:rPr>
        <w:t xml:space="preserve"> Accord</w:t>
      </w:r>
      <w:r w:rsidRPr="0063119B">
        <w:rPr>
          <w:noProof/>
          <w:szCs w:val="22"/>
        </w:rPr>
        <w:t xml:space="preserve">  exatamente às horas que o seu médico lhe indicou</w:t>
      </w:r>
    </w:p>
    <w:p w14:paraId="12B6A8F3" w14:textId="77777777" w:rsidR="00084D33" w:rsidRPr="0063119B" w:rsidRDefault="00084D33" w:rsidP="001B6FEC">
      <w:pPr>
        <w:tabs>
          <w:tab w:val="left" w:pos="1418"/>
        </w:tabs>
        <w:suppressAutoHyphens/>
        <w:ind w:left="1418" w:hanging="709"/>
        <w:rPr>
          <w:noProof/>
          <w:szCs w:val="22"/>
        </w:rPr>
      </w:pPr>
      <w:r w:rsidRPr="0063119B">
        <w:rPr>
          <w:noProof/>
          <w:szCs w:val="22"/>
        </w:rPr>
        <w:t>▪</w:t>
      </w:r>
      <w:r w:rsidRPr="0063119B">
        <w:rPr>
          <w:noProof/>
          <w:szCs w:val="22"/>
        </w:rPr>
        <w:tab/>
        <w:t>informe imediatamente o seu médico se apresentar adormecimento ou fraqueza das pernas ou problemas com o seu intestino ou bexiga após terminar a anestesia, porque é necessário um cuidado urgente.</w:t>
      </w:r>
    </w:p>
    <w:p w14:paraId="047C33B2" w14:textId="77777777" w:rsidR="00084D33" w:rsidRPr="0063119B" w:rsidRDefault="00084D33" w:rsidP="001B6FEC">
      <w:pPr>
        <w:tabs>
          <w:tab w:val="left" w:pos="1418"/>
        </w:tabs>
        <w:suppressAutoHyphens/>
        <w:ind w:left="1418" w:hanging="709"/>
        <w:rPr>
          <w:noProof/>
          <w:szCs w:val="22"/>
        </w:rPr>
      </w:pPr>
    </w:p>
    <w:p w14:paraId="2BD7D6BB" w14:textId="77777777" w:rsidR="00084D33" w:rsidRPr="0063119B" w:rsidRDefault="00084D33" w:rsidP="001B6FEC">
      <w:pPr>
        <w:suppressAutoHyphens/>
        <w:ind w:left="709" w:hanging="709"/>
        <w:rPr>
          <w:noProof/>
          <w:szCs w:val="22"/>
        </w:rPr>
      </w:pPr>
      <w:r w:rsidRPr="0063119B">
        <w:rPr>
          <w:b/>
          <w:noProof/>
          <w:szCs w:val="22"/>
        </w:rPr>
        <w:t>Crianças e adolescentes</w:t>
      </w:r>
    </w:p>
    <w:p w14:paraId="12559E13" w14:textId="77777777" w:rsidR="00084D33" w:rsidRPr="0063119B" w:rsidRDefault="00607DE4" w:rsidP="00084D33">
      <w:pPr>
        <w:suppressAutoHyphens/>
        <w:rPr>
          <w:noProof/>
          <w:szCs w:val="22"/>
        </w:rPr>
      </w:pPr>
      <w:r>
        <w:rPr>
          <w:noProof/>
          <w:szCs w:val="22"/>
        </w:rPr>
        <w:t>Rivaroxabano</w:t>
      </w:r>
      <w:r w:rsidR="001F7D02" w:rsidRPr="0063119B">
        <w:rPr>
          <w:noProof/>
          <w:szCs w:val="22"/>
        </w:rPr>
        <w:t xml:space="preserve"> Accord</w:t>
      </w:r>
      <w:r w:rsidR="00084D33" w:rsidRPr="0063119B">
        <w:rPr>
          <w:noProof/>
          <w:szCs w:val="22"/>
        </w:rPr>
        <w:t xml:space="preserve"> </w:t>
      </w:r>
      <w:r w:rsidR="00084D33" w:rsidRPr="0063119B">
        <w:rPr>
          <w:b/>
          <w:noProof/>
          <w:szCs w:val="22"/>
        </w:rPr>
        <w:t>não é</w:t>
      </w:r>
      <w:r w:rsidR="00084D33" w:rsidRPr="0063119B">
        <w:rPr>
          <w:noProof/>
          <w:szCs w:val="22"/>
        </w:rPr>
        <w:t xml:space="preserve"> </w:t>
      </w:r>
      <w:r w:rsidR="00084D33" w:rsidRPr="0063119B">
        <w:rPr>
          <w:b/>
          <w:noProof/>
          <w:szCs w:val="22"/>
        </w:rPr>
        <w:t xml:space="preserve">recomendado para pessoas com menos de 18 anos de idade. </w:t>
      </w:r>
      <w:r w:rsidR="00084D33" w:rsidRPr="0063119B">
        <w:rPr>
          <w:noProof/>
          <w:szCs w:val="22"/>
        </w:rPr>
        <w:t>Não existe informação suficiente sobre a sua utilização em crianças e adolescentes.</w:t>
      </w:r>
    </w:p>
    <w:p w14:paraId="799E0615" w14:textId="77777777" w:rsidR="00084D33" w:rsidRPr="0063119B" w:rsidRDefault="00084D33" w:rsidP="00084D33">
      <w:pPr>
        <w:suppressAutoHyphens/>
        <w:rPr>
          <w:noProof/>
          <w:szCs w:val="22"/>
        </w:rPr>
      </w:pPr>
    </w:p>
    <w:p w14:paraId="3E5C42E6" w14:textId="77777777" w:rsidR="00084D33" w:rsidRPr="0063119B" w:rsidRDefault="00084D33" w:rsidP="00084D33">
      <w:pPr>
        <w:suppressAutoHyphens/>
        <w:rPr>
          <w:noProof/>
          <w:szCs w:val="22"/>
        </w:rPr>
      </w:pPr>
      <w:r w:rsidRPr="0063119B">
        <w:rPr>
          <w:b/>
          <w:noProof/>
          <w:szCs w:val="22"/>
        </w:rPr>
        <w:t xml:space="preserve">Outros medicamentos e </w:t>
      </w:r>
      <w:r w:rsidR="00607DE4">
        <w:rPr>
          <w:b/>
          <w:noProof/>
          <w:szCs w:val="22"/>
        </w:rPr>
        <w:t>Rivaroxabano</w:t>
      </w:r>
      <w:r w:rsidR="001F7D02" w:rsidRPr="0063119B">
        <w:rPr>
          <w:b/>
          <w:noProof/>
          <w:szCs w:val="22"/>
        </w:rPr>
        <w:t xml:space="preserve"> Accord</w:t>
      </w:r>
    </w:p>
    <w:p w14:paraId="747F415A" w14:textId="77777777" w:rsidR="00084D33" w:rsidRPr="0063119B" w:rsidRDefault="00084D33" w:rsidP="00084D33">
      <w:pPr>
        <w:rPr>
          <w:noProof/>
          <w:szCs w:val="22"/>
        </w:rPr>
      </w:pPr>
      <w:r w:rsidRPr="0063119B">
        <w:rPr>
          <w:noProof/>
          <w:szCs w:val="22"/>
        </w:rPr>
        <w:t>Informe o seu médico ou farmacêutico se estiver a tomar, tiver tomado recentemente ou se vier a tomar outros medicamentos, incluindo medicamentos não sujeitos a receita médica.</w:t>
      </w:r>
    </w:p>
    <w:p w14:paraId="50FB04B1" w14:textId="77777777" w:rsidR="00C20519" w:rsidRPr="0063119B" w:rsidRDefault="00C20519" w:rsidP="00084D33">
      <w:pPr>
        <w:rPr>
          <w:noProof/>
          <w:szCs w:val="22"/>
        </w:rPr>
      </w:pPr>
    </w:p>
    <w:p w14:paraId="48EFE2D3" w14:textId="77777777" w:rsidR="00084D33" w:rsidRPr="0063119B" w:rsidRDefault="00084D33" w:rsidP="00084D33">
      <w:pPr>
        <w:tabs>
          <w:tab w:val="left" w:pos="709"/>
        </w:tabs>
        <w:suppressAutoHyphens/>
        <w:rPr>
          <w:b/>
          <w:noProof/>
          <w:szCs w:val="22"/>
        </w:rPr>
      </w:pPr>
      <w:r w:rsidRPr="0063119B">
        <w:rPr>
          <w:b/>
          <w:noProof/>
          <w:szCs w:val="22"/>
        </w:rPr>
        <w:t>-</w:t>
      </w:r>
      <w:r w:rsidRPr="0063119B">
        <w:rPr>
          <w:b/>
          <w:noProof/>
          <w:szCs w:val="22"/>
        </w:rPr>
        <w:tab/>
        <w:t>Se está a tomar</w:t>
      </w:r>
    </w:p>
    <w:p w14:paraId="35DDA167" w14:textId="77777777" w:rsidR="00084D33" w:rsidRPr="0063119B" w:rsidRDefault="00084D33" w:rsidP="00084D33">
      <w:pPr>
        <w:suppressAutoHyphens/>
        <w:ind w:left="1418" w:hanging="709"/>
        <w:rPr>
          <w:noProof/>
          <w:szCs w:val="22"/>
        </w:rPr>
      </w:pPr>
      <w:r w:rsidRPr="0063119B">
        <w:rPr>
          <w:noProof/>
          <w:szCs w:val="22"/>
        </w:rPr>
        <w:t>▪</w:t>
      </w:r>
      <w:r w:rsidRPr="0063119B">
        <w:rPr>
          <w:noProof/>
          <w:szCs w:val="22"/>
        </w:rPr>
        <w:tab/>
        <w:t xml:space="preserve">alguns medicamentos para as infeções fúngicas (ex.: </w:t>
      </w:r>
      <w:r w:rsidR="00452127" w:rsidRPr="0063119B">
        <w:rPr>
          <w:noProof/>
          <w:szCs w:val="22"/>
        </w:rPr>
        <w:t xml:space="preserve">fluconazol, </w:t>
      </w:r>
      <w:r w:rsidRPr="0063119B">
        <w:rPr>
          <w:noProof/>
          <w:szCs w:val="22"/>
        </w:rPr>
        <w:t>itraconazol, voriconazol, posaconazol), a menos que seja apenas aplicado na pele</w:t>
      </w:r>
    </w:p>
    <w:p w14:paraId="1285C3B6" w14:textId="77777777" w:rsidR="0086001C" w:rsidRPr="0063119B" w:rsidRDefault="0086001C" w:rsidP="00084D33">
      <w:pPr>
        <w:suppressAutoHyphens/>
        <w:ind w:left="1418" w:hanging="709"/>
        <w:rPr>
          <w:noProof/>
          <w:szCs w:val="22"/>
        </w:rPr>
      </w:pPr>
      <w:r w:rsidRPr="0063119B">
        <w:rPr>
          <w:noProof/>
          <w:szCs w:val="22"/>
        </w:rPr>
        <w:t>▪</w:t>
      </w:r>
      <w:r w:rsidRPr="0063119B">
        <w:rPr>
          <w:noProof/>
          <w:szCs w:val="22"/>
        </w:rPr>
        <w:tab/>
      </w:r>
      <w:bookmarkStart w:id="29" w:name="_Hlk519081474"/>
      <w:r w:rsidRPr="0063119B">
        <w:rPr>
          <w:noProof/>
          <w:szCs w:val="22"/>
        </w:rPr>
        <w:t xml:space="preserve">comprimidos de cetoconazol (utilizados para tratar a síndrome de Cushing </w:t>
      </w:r>
      <w:r w:rsidR="00076A00" w:rsidRPr="0063119B">
        <w:rPr>
          <w:noProof/>
          <w:szCs w:val="22"/>
        </w:rPr>
        <w:t>–</w:t>
      </w:r>
      <w:r w:rsidRPr="0063119B">
        <w:rPr>
          <w:noProof/>
          <w:szCs w:val="22"/>
        </w:rPr>
        <w:t xml:space="preserve"> quando o organismo produz um excesso de cortisol)</w:t>
      </w:r>
      <w:bookmarkEnd w:id="29"/>
    </w:p>
    <w:p w14:paraId="30B1E80C" w14:textId="77777777" w:rsidR="00452127" w:rsidRPr="0063119B" w:rsidRDefault="00452127" w:rsidP="00452127">
      <w:pPr>
        <w:suppressAutoHyphens/>
        <w:ind w:left="1418" w:hanging="709"/>
        <w:rPr>
          <w:noProof/>
          <w:szCs w:val="22"/>
        </w:rPr>
      </w:pPr>
      <w:r w:rsidRPr="0063119B">
        <w:rPr>
          <w:noProof/>
          <w:szCs w:val="22"/>
        </w:rPr>
        <w:t>▪</w:t>
      </w:r>
      <w:r w:rsidRPr="0063119B">
        <w:rPr>
          <w:noProof/>
          <w:szCs w:val="22"/>
        </w:rPr>
        <w:tab/>
        <w:t>alguns medicamentos para infeções bacteriana</w:t>
      </w:r>
      <w:r w:rsidR="00BC3CDB" w:rsidRPr="0063119B">
        <w:rPr>
          <w:noProof/>
          <w:szCs w:val="22"/>
        </w:rPr>
        <w:t>s (ex.: claritromicina, eritromi</w:t>
      </w:r>
      <w:r w:rsidRPr="0063119B">
        <w:rPr>
          <w:noProof/>
          <w:szCs w:val="22"/>
        </w:rPr>
        <w:t>cina)</w:t>
      </w:r>
    </w:p>
    <w:p w14:paraId="341FE06A" w14:textId="77777777" w:rsidR="00084D33" w:rsidRPr="0063119B" w:rsidRDefault="00084D33" w:rsidP="00084D33">
      <w:pPr>
        <w:suppressAutoHyphens/>
        <w:ind w:left="1418" w:hanging="709"/>
        <w:rPr>
          <w:noProof/>
          <w:szCs w:val="22"/>
        </w:rPr>
      </w:pPr>
      <w:r w:rsidRPr="0063119B">
        <w:rPr>
          <w:noProof/>
          <w:szCs w:val="22"/>
        </w:rPr>
        <w:t>▪</w:t>
      </w:r>
      <w:r w:rsidRPr="0063119B">
        <w:rPr>
          <w:noProof/>
          <w:szCs w:val="22"/>
        </w:rPr>
        <w:tab/>
        <w:t>alguns medicamentos antivirais para VIH / SIDA (ex.: ritonavir)</w:t>
      </w:r>
    </w:p>
    <w:p w14:paraId="45F103FF" w14:textId="77777777" w:rsidR="00084D33" w:rsidRPr="0063119B" w:rsidRDefault="00084D33" w:rsidP="00084D33">
      <w:pPr>
        <w:suppressAutoHyphens/>
        <w:ind w:left="1418" w:hanging="709"/>
        <w:rPr>
          <w:noProof/>
          <w:szCs w:val="22"/>
        </w:rPr>
      </w:pPr>
      <w:r w:rsidRPr="0063119B">
        <w:rPr>
          <w:noProof/>
          <w:szCs w:val="22"/>
        </w:rPr>
        <w:t>▪</w:t>
      </w:r>
      <w:r w:rsidRPr="0063119B">
        <w:rPr>
          <w:noProof/>
          <w:szCs w:val="22"/>
        </w:rPr>
        <w:tab/>
        <w:t>outros medicamentos para diminuir a coagulação sanguínea (ex.: enoxaparina, clopidogrel ou antagonistas da vitamina K como a varfarina e o acenocumarol)</w:t>
      </w:r>
    </w:p>
    <w:p w14:paraId="4A331E09" w14:textId="77777777" w:rsidR="00084D33" w:rsidRPr="0063119B" w:rsidRDefault="00084D33" w:rsidP="00084D33">
      <w:pPr>
        <w:suppressAutoHyphens/>
        <w:ind w:left="1418" w:hanging="709"/>
        <w:rPr>
          <w:noProof/>
          <w:szCs w:val="22"/>
        </w:rPr>
      </w:pPr>
      <w:r w:rsidRPr="0063119B">
        <w:rPr>
          <w:noProof/>
          <w:szCs w:val="22"/>
        </w:rPr>
        <w:lastRenderedPageBreak/>
        <w:t>▪</w:t>
      </w:r>
      <w:r w:rsidRPr="0063119B">
        <w:rPr>
          <w:noProof/>
          <w:szCs w:val="22"/>
        </w:rPr>
        <w:tab/>
        <w:t>anti-inflamatórios e medicamentos para aliviar a dor (ex.: naproxeno ou ácido acetilsalicílico)</w:t>
      </w:r>
    </w:p>
    <w:p w14:paraId="2614154A" w14:textId="77777777" w:rsidR="00084D33" w:rsidRPr="0063119B" w:rsidRDefault="00084D33" w:rsidP="00084D33">
      <w:pPr>
        <w:suppressAutoHyphens/>
        <w:ind w:left="1418" w:hanging="709"/>
        <w:rPr>
          <w:noProof/>
          <w:szCs w:val="22"/>
        </w:rPr>
      </w:pPr>
      <w:r w:rsidRPr="0063119B">
        <w:rPr>
          <w:noProof/>
          <w:szCs w:val="22"/>
        </w:rPr>
        <w:t>▪</w:t>
      </w:r>
      <w:r w:rsidRPr="0063119B">
        <w:rPr>
          <w:noProof/>
          <w:szCs w:val="22"/>
        </w:rPr>
        <w:tab/>
        <w:t>dronedarona, um medicamento para tratar o batimento cardíaco anormal</w:t>
      </w:r>
    </w:p>
    <w:p w14:paraId="6B817F70" w14:textId="77777777" w:rsidR="001914A3" w:rsidRPr="0063119B" w:rsidRDefault="001914A3" w:rsidP="00084D33">
      <w:pPr>
        <w:suppressAutoHyphens/>
        <w:ind w:left="1418" w:hanging="709"/>
        <w:rPr>
          <w:b/>
          <w:noProof/>
          <w:szCs w:val="22"/>
        </w:rPr>
      </w:pPr>
      <w:r w:rsidRPr="0063119B">
        <w:rPr>
          <w:noProof/>
          <w:szCs w:val="22"/>
        </w:rPr>
        <w:t>▪</w:t>
      </w:r>
      <w:r w:rsidRPr="0063119B">
        <w:rPr>
          <w:noProof/>
          <w:szCs w:val="22"/>
        </w:rPr>
        <w:tab/>
        <w:t>alguns medicamentos para tratar a depressão (inibidores seletivos da recaptação da serotonina (ISRS) ou inibidores da recaptação da serotonina e norepinefrina (IRSN))</w:t>
      </w:r>
    </w:p>
    <w:p w14:paraId="6202D76F" w14:textId="77777777" w:rsidR="00C20519" w:rsidRPr="0063119B" w:rsidRDefault="00C20519" w:rsidP="00084D33">
      <w:pPr>
        <w:suppressAutoHyphens/>
        <w:ind w:left="709"/>
        <w:rPr>
          <w:b/>
          <w:noProof/>
          <w:szCs w:val="22"/>
        </w:rPr>
      </w:pPr>
    </w:p>
    <w:p w14:paraId="220F9EF5" w14:textId="77777777" w:rsidR="00084D33" w:rsidRPr="0063119B" w:rsidRDefault="00462F55" w:rsidP="00084D33">
      <w:pPr>
        <w:suppressAutoHyphens/>
        <w:ind w:left="709"/>
        <w:rPr>
          <w:noProof/>
          <w:szCs w:val="22"/>
        </w:rPr>
      </w:pPr>
      <w:r w:rsidRPr="0063119B">
        <w:rPr>
          <w:b/>
          <w:noProof/>
          <w:szCs w:val="22"/>
        </w:rPr>
        <w:t>Se alguma das situações acima se aplicar a si, i</w:t>
      </w:r>
      <w:r w:rsidR="00084D33" w:rsidRPr="0063119B">
        <w:rPr>
          <w:b/>
          <w:noProof/>
          <w:szCs w:val="22"/>
        </w:rPr>
        <w:t xml:space="preserve">nforme o seu médico </w:t>
      </w:r>
      <w:r w:rsidR="00084D33" w:rsidRPr="0063119B">
        <w:rPr>
          <w:noProof/>
          <w:szCs w:val="22"/>
        </w:rPr>
        <w:t xml:space="preserve">antes de tomar </w:t>
      </w:r>
      <w:r w:rsidR="00607DE4">
        <w:rPr>
          <w:noProof/>
          <w:szCs w:val="22"/>
        </w:rPr>
        <w:t>Rivaroxabano</w:t>
      </w:r>
      <w:r w:rsidR="001F7D02" w:rsidRPr="0063119B">
        <w:rPr>
          <w:noProof/>
          <w:szCs w:val="22"/>
        </w:rPr>
        <w:t xml:space="preserve"> Accord</w:t>
      </w:r>
      <w:r w:rsidR="00084D33" w:rsidRPr="0063119B">
        <w:rPr>
          <w:noProof/>
          <w:szCs w:val="22"/>
        </w:rPr>
        <w:t xml:space="preserve">, porque o efeito de </w:t>
      </w:r>
      <w:r w:rsidR="00607DE4">
        <w:rPr>
          <w:noProof/>
          <w:szCs w:val="22"/>
        </w:rPr>
        <w:t>Rivaroxabano</w:t>
      </w:r>
      <w:r w:rsidR="001F7D02" w:rsidRPr="0063119B">
        <w:rPr>
          <w:noProof/>
          <w:szCs w:val="22"/>
        </w:rPr>
        <w:t xml:space="preserve"> Accord</w:t>
      </w:r>
      <w:r w:rsidR="00084D33" w:rsidRPr="0063119B">
        <w:rPr>
          <w:noProof/>
          <w:szCs w:val="22"/>
        </w:rPr>
        <w:t xml:space="preserve"> pode estar aumentado. O seu médico decidirá se deve ser tratado com </w:t>
      </w:r>
      <w:r w:rsidR="00C20519" w:rsidRPr="0063119B">
        <w:rPr>
          <w:noProof/>
          <w:szCs w:val="22"/>
        </w:rPr>
        <w:t xml:space="preserve">este medicamento </w:t>
      </w:r>
      <w:r w:rsidR="00084D33" w:rsidRPr="0063119B">
        <w:rPr>
          <w:noProof/>
          <w:szCs w:val="22"/>
        </w:rPr>
        <w:t>e se deve ser mantido sob uma observação mais atenta.</w:t>
      </w:r>
    </w:p>
    <w:p w14:paraId="4C51EA7B" w14:textId="77777777" w:rsidR="00084D33" w:rsidRPr="0063119B" w:rsidRDefault="00084D33" w:rsidP="00084D33">
      <w:pPr>
        <w:suppressAutoHyphens/>
        <w:ind w:left="709"/>
        <w:rPr>
          <w:noProof/>
          <w:szCs w:val="22"/>
        </w:rPr>
      </w:pPr>
      <w:r w:rsidRPr="0063119B">
        <w:rPr>
          <w:noProof/>
          <w:szCs w:val="22"/>
        </w:rPr>
        <w:t>Se o seu médico considerar que corre risco de desenvolver úlceras do estômago ou intestino, poderá prescrever-lhe também um tratamento preventivo de úlcera.</w:t>
      </w:r>
    </w:p>
    <w:p w14:paraId="7D9D437A" w14:textId="77777777" w:rsidR="00AC1B18" w:rsidRPr="0063119B" w:rsidRDefault="00AC1B18" w:rsidP="00084D33">
      <w:pPr>
        <w:suppressAutoHyphens/>
        <w:ind w:left="709"/>
        <w:rPr>
          <w:b/>
          <w:noProof/>
          <w:szCs w:val="22"/>
        </w:rPr>
      </w:pPr>
    </w:p>
    <w:p w14:paraId="15329483" w14:textId="77777777" w:rsidR="00084D33" w:rsidRPr="0063119B" w:rsidRDefault="00084D33" w:rsidP="001F10F8">
      <w:pPr>
        <w:keepNext/>
        <w:keepLines/>
        <w:suppressAutoHyphens/>
        <w:rPr>
          <w:b/>
          <w:noProof/>
          <w:szCs w:val="22"/>
        </w:rPr>
      </w:pPr>
      <w:r w:rsidRPr="0063119B">
        <w:rPr>
          <w:b/>
          <w:noProof/>
          <w:szCs w:val="22"/>
        </w:rPr>
        <w:t>-</w:t>
      </w:r>
      <w:r w:rsidRPr="0063119B">
        <w:rPr>
          <w:b/>
          <w:noProof/>
          <w:szCs w:val="22"/>
        </w:rPr>
        <w:tab/>
        <w:t>Se está a tomar</w:t>
      </w:r>
    </w:p>
    <w:p w14:paraId="50781C5D" w14:textId="77777777" w:rsidR="00084D33" w:rsidRPr="0063119B" w:rsidRDefault="00084D33" w:rsidP="00084D33">
      <w:pPr>
        <w:suppressAutoHyphens/>
        <w:ind w:left="1418" w:hanging="709"/>
        <w:rPr>
          <w:b/>
          <w:noProof/>
          <w:szCs w:val="22"/>
        </w:rPr>
      </w:pPr>
      <w:r w:rsidRPr="0063119B">
        <w:rPr>
          <w:noProof/>
          <w:szCs w:val="22"/>
        </w:rPr>
        <w:t>▪</w:t>
      </w:r>
      <w:r w:rsidRPr="0063119B">
        <w:rPr>
          <w:noProof/>
          <w:szCs w:val="22"/>
        </w:rPr>
        <w:tab/>
        <w:t>alguns medicamentos para o tratamento da epilepsia</w:t>
      </w:r>
      <w:r w:rsidRPr="0063119B">
        <w:rPr>
          <w:b/>
          <w:noProof/>
          <w:szCs w:val="22"/>
        </w:rPr>
        <w:t xml:space="preserve"> </w:t>
      </w:r>
      <w:r w:rsidRPr="0063119B">
        <w:rPr>
          <w:noProof/>
          <w:szCs w:val="22"/>
        </w:rPr>
        <w:t>(fenitoína, carbamazepina, fenobarbital)</w:t>
      </w:r>
    </w:p>
    <w:p w14:paraId="2AE4ED29" w14:textId="77777777" w:rsidR="00084D33" w:rsidRPr="0063119B" w:rsidRDefault="00084D33" w:rsidP="00084D33">
      <w:pPr>
        <w:suppressAutoHyphens/>
        <w:ind w:left="1418" w:hanging="709"/>
        <w:rPr>
          <w:b/>
          <w:noProof/>
          <w:szCs w:val="22"/>
        </w:rPr>
      </w:pPr>
      <w:r w:rsidRPr="0063119B">
        <w:rPr>
          <w:noProof/>
          <w:szCs w:val="22"/>
        </w:rPr>
        <w:t>▪</w:t>
      </w:r>
      <w:r w:rsidRPr="0063119B">
        <w:rPr>
          <w:noProof/>
          <w:szCs w:val="22"/>
        </w:rPr>
        <w:tab/>
        <w:t>hipericão</w:t>
      </w:r>
      <w:r w:rsidR="00C20519" w:rsidRPr="0063119B">
        <w:rPr>
          <w:noProof/>
          <w:szCs w:val="22"/>
        </w:rPr>
        <w:t xml:space="preserve"> (</w:t>
      </w:r>
      <w:r w:rsidR="00C20519" w:rsidRPr="0063119B">
        <w:rPr>
          <w:i/>
          <w:iCs/>
          <w:szCs w:val="22"/>
          <w:lang w:eastAsia="de-DE"/>
        </w:rPr>
        <w:t>Hypericum perforatum</w:t>
      </w:r>
      <w:r w:rsidR="00C20519" w:rsidRPr="0063119B">
        <w:rPr>
          <w:iCs/>
          <w:szCs w:val="22"/>
          <w:lang w:eastAsia="de-DE"/>
        </w:rPr>
        <w:t>)</w:t>
      </w:r>
      <w:r w:rsidRPr="0063119B">
        <w:rPr>
          <w:noProof/>
          <w:szCs w:val="22"/>
        </w:rPr>
        <w:t>,</w:t>
      </w:r>
      <w:r w:rsidRPr="0063119B">
        <w:rPr>
          <w:b/>
          <w:noProof/>
          <w:szCs w:val="22"/>
        </w:rPr>
        <w:t xml:space="preserve"> </w:t>
      </w:r>
      <w:r w:rsidRPr="0063119B">
        <w:rPr>
          <w:noProof/>
          <w:szCs w:val="22"/>
        </w:rPr>
        <w:t>um produto à base de plantas utilizado para a depressão</w:t>
      </w:r>
    </w:p>
    <w:p w14:paraId="2B6AFB6A" w14:textId="77777777" w:rsidR="00084D33" w:rsidRPr="0063119B" w:rsidRDefault="00084D33" w:rsidP="00084D33">
      <w:pPr>
        <w:suppressAutoHyphens/>
        <w:ind w:left="1418" w:hanging="709"/>
        <w:rPr>
          <w:noProof/>
          <w:szCs w:val="22"/>
        </w:rPr>
      </w:pPr>
      <w:r w:rsidRPr="0063119B">
        <w:rPr>
          <w:noProof/>
          <w:szCs w:val="22"/>
        </w:rPr>
        <w:t>▪</w:t>
      </w:r>
      <w:r w:rsidRPr="0063119B">
        <w:rPr>
          <w:noProof/>
          <w:szCs w:val="22"/>
        </w:rPr>
        <w:tab/>
        <w:t>rifampicina,</w:t>
      </w:r>
      <w:r w:rsidRPr="0063119B">
        <w:rPr>
          <w:b/>
          <w:noProof/>
          <w:szCs w:val="22"/>
        </w:rPr>
        <w:t xml:space="preserve"> </w:t>
      </w:r>
      <w:r w:rsidRPr="0063119B">
        <w:rPr>
          <w:noProof/>
          <w:szCs w:val="22"/>
        </w:rPr>
        <w:t>um antibiótico</w:t>
      </w:r>
    </w:p>
    <w:p w14:paraId="423BC9DB" w14:textId="77777777" w:rsidR="00084D33" w:rsidRPr="0063119B" w:rsidRDefault="00690EF1" w:rsidP="00084D33">
      <w:pPr>
        <w:suppressAutoHyphens/>
        <w:ind w:left="709"/>
        <w:rPr>
          <w:b/>
          <w:noProof/>
          <w:szCs w:val="22"/>
        </w:rPr>
      </w:pPr>
      <w:r w:rsidRPr="0063119B">
        <w:rPr>
          <w:b/>
          <w:noProof/>
          <w:szCs w:val="22"/>
        </w:rPr>
        <w:t xml:space="preserve">Se alguma das situações </w:t>
      </w:r>
      <w:r w:rsidR="00E1447B" w:rsidRPr="0063119B">
        <w:rPr>
          <w:b/>
          <w:noProof/>
          <w:szCs w:val="22"/>
        </w:rPr>
        <w:t>a</w:t>
      </w:r>
      <w:r w:rsidRPr="0063119B">
        <w:rPr>
          <w:b/>
          <w:noProof/>
          <w:szCs w:val="22"/>
        </w:rPr>
        <w:t>cima se aplicar a si, i</w:t>
      </w:r>
      <w:r w:rsidR="00084D33" w:rsidRPr="0063119B">
        <w:rPr>
          <w:b/>
          <w:noProof/>
          <w:szCs w:val="22"/>
        </w:rPr>
        <w:t xml:space="preserve">nforme o seu médico </w:t>
      </w:r>
      <w:r w:rsidR="00084D33" w:rsidRPr="0063119B">
        <w:rPr>
          <w:noProof/>
          <w:szCs w:val="22"/>
        </w:rPr>
        <w:t xml:space="preserve">antes de tomar </w:t>
      </w:r>
      <w:r w:rsidR="00607DE4">
        <w:rPr>
          <w:noProof/>
          <w:szCs w:val="22"/>
        </w:rPr>
        <w:t>Rivaroxabano</w:t>
      </w:r>
      <w:r w:rsidR="001F7D02" w:rsidRPr="0063119B">
        <w:rPr>
          <w:noProof/>
          <w:szCs w:val="22"/>
        </w:rPr>
        <w:t xml:space="preserve"> Accord</w:t>
      </w:r>
      <w:r w:rsidR="00084D33" w:rsidRPr="0063119B">
        <w:rPr>
          <w:noProof/>
          <w:szCs w:val="22"/>
        </w:rPr>
        <w:t xml:space="preserve">, porque o efeito de </w:t>
      </w:r>
      <w:r w:rsidR="00607DE4">
        <w:rPr>
          <w:noProof/>
          <w:szCs w:val="22"/>
        </w:rPr>
        <w:t>Rivaroxabano</w:t>
      </w:r>
      <w:r w:rsidR="001F7D02" w:rsidRPr="0063119B">
        <w:rPr>
          <w:noProof/>
          <w:szCs w:val="22"/>
        </w:rPr>
        <w:t xml:space="preserve"> Accord</w:t>
      </w:r>
      <w:r w:rsidR="00084D33" w:rsidRPr="0063119B">
        <w:rPr>
          <w:noProof/>
          <w:szCs w:val="22"/>
        </w:rPr>
        <w:t xml:space="preserve"> pode estar diminuído. O seu médico decidirá se deve ser tratado com </w:t>
      </w:r>
      <w:r w:rsidR="00607DE4">
        <w:rPr>
          <w:noProof/>
          <w:szCs w:val="22"/>
        </w:rPr>
        <w:t>Rivaroxabano</w:t>
      </w:r>
      <w:r w:rsidR="001F7D02" w:rsidRPr="0063119B">
        <w:rPr>
          <w:noProof/>
          <w:szCs w:val="22"/>
        </w:rPr>
        <w:t xml:space="preserve"> Accord</w:t>
      </w:r>
      <w:r w:rsidR="00084D33" w:rsidRPr="0063119B">
        <w:rPr>
          <w:noProof/>
          <w:szCs w:val="22"/>
        </w:rPr>
        <w:t xml:space="preserve"> e se deve ser mantido sob uma observação mais atenta.</w:t>
      </w:r>
    </w:p>
    <w:p w14:paraId="0ABBA0D1" w14:textId="77777777" w:rsidR="00084D33" w:rsidRPr="0063119B" w:rsidRDefault="00084D33" w:rsidP="00084D33">
      <w:pPr>
        <w:suppressAutoHyphens/>
        <w:rPr>
          <w:b/>
          <w:noProof/>
          <w:szCs w:val="22"/>
        </w:rPr>
      </w:pPr>
    </w:p>
    <w:p w14:paraId="5B1525A0" w14:textId="77777777" w:rsidR="00084D33" w:rsidRPr="0063119B" w:rsidRDefault="00084D33" w:rsidP="00084D33">
      <w:pPr>
        <w:suppressAutoHyphens/>
        <w:rPr>
          <w:noProof/>
          <w:szCs w:val="22"/>
        </w:rPr>
      </w:pPr>
      <w:r w:rsidRPr="0063119B">
        <w:rPr>
          <w:b/>
          <w:noProof/>
          <w:szCs w:val="22"/>
        </w:rPr>
        <w:t>Gravidez e amamentação</w:t>
      </w:r>
    </w:p>
    <w:p w14:paraId="555151B3" w14:textId="77777777" w:rsidR="00084D33" w:rsidRPr="0063119B" w:rsidRDefault="00C20519" w:rsidP="00084D33">
      <w:pPr>
        <w:suppressAutoHyphens/>
        <w:rPr>
          <w:noProof/>
          <w:szCs w:val="22"/>
        </w:rPr>
      </w:pPr>
      <w:r w:rsidRPr="0063119B">
        <w:rPr>
          <w:noProof/>
          <w:szCs w:val="22"/>
        </w:rPr>
        <w:t xml:space="preserve">Não tome </w:t>
      </w:r>
      <w:r w:rsidR="00607DE4">
        <w:rPr>
          <w:noProof/>
          <w:szCs w:val="22"/>
        </w:rPr>
        <w:t>Rivaroxabano</w:t>
      </w:r>
      <w:r w:rsidR="001F7D02" w:rsidRPr="0063119B">
        <w:rPr>
          <w:noProof/>
          <w:szCs w:val="22"/>
        </w:rPr>
        <w:t xml:space="preserve"> Accord</w:t>
      </w:r>
      <w:r w:rsidRPr="0063119B">
        <w:rPr>
          <w:noProof/>
          <w:szCs w:val="22"/>
        </w:rPr>
        <w:t xml:space="preserve"> s</w:t>
      </w:r>
      <w:r w:rsidR="00084D33" w:rsidRPr="0063119B">
        <w:rPr>
          <w:noProof/>
          <w:szCs w:val="22"/>
        </w:rPr>
        <w:t xml:space="preserve">e está grávida ou a amamentar. Se existe a possibilidade de poder ficar grávida, utilize um contracetivo fiável, enquanto toma </w:t>
      </w:r>
      <w:r w:rsidR="00607DE4">
        <w:rPr>
          <w:noProof/>
          <w:szCs w:val="22"/>
        </w:rPr>
        <w:t>Rivaroxabano</w:t>
      </w:r>
      <w:r w:rsidR="001F7D02" w:rsidRPr="0063119B">
        <w:rPr>
          <w:noProof/>
          <w:szCs w:val="22"/>
        </w:rPr>
        <w:t xml:space="preserve"> Accord</w:t>
      </w:r>
      <w:r w:rsidR="00084D33" w:rsidRPr="0063119B">
        <w:rPr>
          <w:noProof/>
          <w:szCs w:val="22"/>
        </w:rPr>
        <w:t xml:space="preserve">. Se engravidar, enquanto está a tomar </w:t>
      </w:r>
      <w:r w:rsidRPr="0063119B">
        <w:rPr>
          <w:noProof/>
          <w:szCs w:val="22"/>
        </w:rPr>
        <w:t>este medicamento</w:t>
      </w:r>
      <w:r w:rsidR="00084D33" w:rsidRPr="0063119B">
        <w:rPr>
          <w:noProof/>
          <w:szCs w:val="22"/>
        </w:rPr>
        <w:t>, informe o seu médico</w:t>
      </w:r>
      <w:r w:rsidR="00964436" w:rsidRPr="0063119B">
        <w:rPr>
          <w:noProof/>
          <w:szCs w:val="22"/>
        </w:rPr>
        <w:t xml:space="preserve"> imediatamente</w:t>
      </w:r>
      <w:r w:rsidR="00084D33" w:rsidRPr="0063119B">
        <w:rPr>
          <w:noProof/>
          <w:szCs w:val="22"/>
        </w:rPr>
        <w:t>, que decidirá como deverá ser tratada.</w:t>
      </w:r>
    </w:p>
    <w:p w14:paraId="2BB8336B" w14:textId="77777777" w:rsidR="00084D33" w:rsidRPr="0063119B" w:rsidRDefault="00084D33" w:rsidP="00084D33">
      <w:pPr>
        <w:suppressAutoHyphens/>
        <w:rPr>
          <w:b/>
          <w:noProof/>
          <w:szCs w:val="22"/>
        </w:rPr>
      </w:pPr>
    </w:p>
    <w:p w14:paraId="54995F38" w14:textId="77777777" w:rsidR="00084D33" w:rsidRPr="0063119B" w:rsidRDefault="00084D33" w:rsidP="00084D33">
      <w:pPr>
        <w:keepNext/>
        <w:suppressAutoHyphens/>
        <w:rPr>
          <w:noProof/>
          <w:szCs w:val="22"/>
        </w:rPr>
      </w:pPr>
      <w:r w:rsidRPr="0063119B">
        <w:rPr>
          <w:b/>
          <w:noProof/>
          <w:szCs w:val="22"/>
        </w:rPr>
        <w:t>Condução de veículos e utilização de máquinas</w:t>
      </w:r>
    </w:p>
    <w:p w14:paraId="1AE6CEE6" w14:textId="77777777" w:rsidR="00084D33" w:rsidRPr="0063119B" w:rsidRDefault="00607DE4" w:rsidP="00084D33">
      <w:pPr>
        <w:keepNext/>
        <w:suppressAutoHyphens/>
        <w:rPr>
          <w:noProof/>
          <w:szCs w:val="22"/>
        </w:rPr>
      </w:pPr>
      <w:r>
        <w:rPr>
          <w:noProof/>
          <w:szCs w:val="22"/>
        </w:rPr>
        <w:t>Rivaroxabano</w:t>
      </w:r>
      <w:r w:rsidR="001F7D02" w:rsidRPr="0063119B">
        <w:rPr>
          <w:noProof/>
          <w:szCs w:val="22"/>
        </w:rPr>
        <w:t xml:space="preserve"> Accord</w:t>
      </w:r>
      <w:r w:rsidR="00084D33" w:rsidRPr="0063119B">
        <w:rPr>
          <w:noProof/>
          <w:szCs w:val="22"/>
        </w:rPr>
        <w:t xml:space="preserve"> pode causar tonturas </w:t>
      </w:r>
      <w:r w:rsidR="00573B75" w:rsidRPr="0063119B">
        <w:rPr>
          <w:noProof/>
          <w:szCs w:val="22"/>
        </w:rPr>
        <w:t xml:space="preserve">(efeito </w:t>
      </w:r>
      <w:r w:rsidR="00654D4F" w:rsidRPr="0063119B">
        <w:rPr>
          <w:noProof/>
          <w:szCs w:val="22"/>
        </w:rPr>
        <w:t>indesejável</w:t>
      </w:r>
      <w:r w:rsidR="00573B75" w:rsidRPr="0063119B">
        <w:rPr>
          <w:noProof/>
          <w:szCs w:val="22"/>
        </w:rPr>
        <w:t xml:space="preserve"> frequente) </w:t>
      </w:r>
      <w:r w:rsidR="00084D33" w:rsidRPr="0063119B">
        <w:rPr>
          <w:noProof/>
          <w:szCs w:val="22"/>
        </w:rPr>
        <w:t xml:space="preserve">ou desmaio </w:t>
      </w:r>
      <w:r w:rsidR="00573B75" w:rsidRPr="0063119B">
        <w:rPr>
          <w:noProof/>
          <w:szCs w:val="22"/>
        </w:rPr>
        <w:t xml:space="preserve">(efeito </w:t>
      </w:r>
      <w:r w:rsidR="00654D4F" w:rsidRPr="0063119B">
        <w:rPr>
          <w:noProof/>
          <w:szCs w:val="22"/>
        </w:rPr>
        <w:t>indesejável</w:t>
      </w:r>
      <w:r w:rsidR="00573B75" w:rsidRPr="0063119B">
        <w:rPr>
          <w:noProof/>
          <w:szCs w:val="22"/>
        </w:rPr>
        <w:t xml:space="preserve"> pouco frequente) </w:t>
      </w:r>
      <w:r w:rsidR="00084D33" w:rsidRPr="0063119B">
        <w:rPr>
          <w:noProof/>
          <w:szCs w:val="22"/>
        </w:rPr>
        <w:t>(ver secção 4</w:t>
      </w:r>
      <w:r w:rsidR="006220E6" w:rsidRPr="0063119B">
        <w:rPr>
          <w:noProof/>
          <w:szCs w:val="22"/>
        </w:rPr>
        <w:t>,</w:t>
      </w:r>
      <w:r w:rsidR="00084D33" w:rsidRPr="0063119B">
        <w:rPr>
          <w:noProof/>
          <w:szCs w:val="22"/>
        </w:rPr>
        <w:t xml:space="preserve"> “Efeitos </w:t>
      </w:r>
      <w:r w:rsidR="00CC1A3A" w:rsidRPr="0063119B">
        <w:rPr>
          <w:noProof/>
          <w:szCs w:val="22"/>
        </w:rPr>
        <w:t>indesejáveis</w:t>
      </w:r>
      <w:r w:rsidR="00084D33" w:rsidRPr="0063119B">
        <w:rPr>
          <w:noProof/>
          <w:szCs w:val="22"/>
        </w:rPr>
        <w:t xml:space="preserve"> possíveis”). Não deve conduzir</w:t>
      </w:r>
      <w:r w:rsidR="00D40229">
        <w:rPr>
          <w:noProof/>
          <w:szCs w:val="22"/>
        </w:rPr>
        <w:t xml:space="preserve">, </w:t>
      </w:r>
      <w:r w:rsidR="00D40229">
        <w:rPr>
          <w:szCs w:val="22"/>
        </w:rPr>
        <w:t>andar de bicicleta</w:t>
      </w:r>
      <w:r w:rsidR="00084D33" w:rsidRPr="0063119B">
        <w:rPr>
          <w:noProof/>
          <w:szCs w:val="22"/>
        </w:rPr>
        <w:t xml:space="preserve"> ou utilizar </w:t>
      </w:r>
      <w:r w:rsidR="00D40229">
        <w:rPr>
          <w:szCs w:val="22"/>
        </w:rPr>
        <w:t xml:space="preserve">qualquer ferramenta ou </w:t>
      </w:r>
      <w:r w:rsidR="00084D33" w:rsidRPr="0063119B">
        <w:rPr>
          <w:noProof/>
          <w:szCs w:val="22"/>
        </w:rPr>
        <w:t xml:space="preserve">máquinas se for afetado por estes sintomas. </w:t>
      </w:r>
    </w:p>
    <w:p w14:paraId="239C0215" w14:textId="77777777" w:rsidR="00084D33" w:rsidRPr="0063119B" w:rsidRDefault="00084D33" w:rsidP="00084D33">
      <w:pPr>
        <w:suppressAutoHyphens/>
        <w:rPr>
          <w:noProof/>
          <w:szCs w:val="22"/>
        </w:rPr>
      </w:pPr>
    </w:p>
    <w:p w14:paraId="33089FC5" w14:textId="77777777" w:rsidR="00084D33" w:rsidRPr="0063119B" w:rsidRDefault="00607DE4" w:rsidP="00084D33">
      <w:pPr>
        <w:keepNext/>
        <w:suppressAutoHyphens/>
        <w:rPr>
          <w:b/>
          <w:noProof/>
          <w:szCs w:val="22"/>
        </w:rPr>
      </w:pPr>
      <w:r>
        <w:rPr>
          <w:b/>
          <w:noProof/>
          <w:szCs w:val="22"/>
        </w:rPr>
        <w:t>Rivaroxabano</w:t>
      </w:r>
      <w:r w:rsidR="001F7D02" w:rsidRPr="0063119B">
        <w:rPr>
          <w:b/>
          <w:noProof/>
          <w:szCs w:val="22"/>
        </w:rPr>
        <w:t xml:space="preserve"> Accord</w:t>
      </w:r>
      <w:r w:rsidR="00084D33" w:rsidRPr="0063119B">
        <w:rPr>
          <w:b/>
          <w:noProof/>
          <w:szCs w:val="22"/>
        </w:rPr>
        <w:t xml:space="preserve"> contém lactose</w:t>
      </w:r>
      <w:r w:rsidR="0058751A" w:rsidRPr="0063119B">
        <w:rPr>
          <w:b/>
          <w:noProof/>
          <w:szCs w:val="22"/>
        </w:rPr>
        <w:t xml:space="preserve"> e sódio</w:t>
      </w:r>
    </w:p>
    <w:p w14:paraId="6CE60E9F" w14:textId="77777777" w:rsidR="00084D33" w:rsidRPr="0063119B" w:rsidRDefault="00084D33" w:rsidP="00084D33">
      <w:pPr>
        <w:keepNext/>
        <w:suppressAutoHyphens/>
        <w:rPr>
          <w:noProof/>
          <w:szCs w:val="22"/>
        </w:rPr>
      </w:pPr>
      <w:r w:rsidRPr="0063119B">
        <w:rPr>
          <w:noProof/>
          <w:szCs w:val="22"/>
        </w:rPr>
        <w:t xml:space="preserve">Se foi informado pelo seu médico que tem intolerância a alguns açúcares, contacte-o antes de tomar </w:t>
      </w:r>
      <w:r w:rsidR="00C20519" w:rsidRPr="0063119B">
        <w:rPr>
          <w:noProof/>
          <w:szCs w:val="22"/>
        </w:rPr>
        <w:t>este medicamento</w:t>
      </w:r>
      <w:r w:rsidRPr="0063119B">
        <w:rPr>
          <w:noProof/>
          <w:szCs w:val="22"/>
        </w:rPr>
        <w:t>.</w:t>
      </w:r>
    </w:p>
    <w:p w14:paraId="50CBE398" w14:textId="77777777" w:rsidR="0058751A" w:rsidRPr="0063119B" w:rsidRDefault="0058751A" w:rsidP="0058751A">
      <w:pPr>
        <w:keepNext/>
        <w:suppressAutoHyphens/>
        <w:rPr>
          <w:noProof/>
          <w:szCs w:val="22"/>
        </w:rPr>
      </w:pPr>
      <w:r w:rsidRPr="0063119B">
        <w:rPr>
          <w:noProof/>
          <w:szCs w:val="22"/>
        </w:rPr>
        <w:t xml:space="preserve">Este medicamento contém menos de 1 mmol de sódio (23 mg) por comprimido, </w:t>
      </w:r>
      <w:r w:rsidR="00B06231" w:rsidRPr="0063119B">
        <w:rPr>
          <w:noProof/>
          <w:szCs w:val="22"/>
        </w:rPr>
        <w:t xml:space="preserve">ou </w:t>
      </w:r>
      <w:r w:rsidRPr="0063119B">
        <w:rPr>
          <w:noProof/>
          <w:szCs w:val="22"/>
        </w:rPr>
        <w:t>seja é praticamente “isento de sódio”.</w:t>
      </w:r>
    </w:p>
    <w:p w14:paraId="38E7258C" w14:textId="77777777" w:rsidR="00084D33" w:rsidRPr="0063119B" w:rsidRDefault="00084D33" w:rsidP="00084D33">
      <w:pPr>
        <w:suppressAutoHyphens/>
        <w:rPr>
          <w:noProof/>
          <w:szCs w:val="22"/>
        </w:rPr>
      </w:pPr>
    </w:p>
    <w:p w14:paraId="169831D8" w14:textId="77777777" w:rsidR="00084D33" w:rsidRPr="0063119B" w:rsidRDefault="00084D33" w:rsidP="00084D33">
      <w:pPr>
        <w:suppressAutoHyphens/>
        <w:rPr>
          <w:noProof/>
          <w:szCs w:val="22"/>
        </w:rPr>
      </w:pPr>
    </w:p>
    <w:p w14:paraId="67BCF7F8" w14:textId="77777777" w:rsidR="00084D33" w:rsidRPr="0063119B" w:rsidRDefault="00084D33" w:rsidP="00084D33">
      <w:pPr>
        <w:suppressAutoHyphens/>
        <w:ind w:left="567" w:hanging="567"/>
        <w:rPr>
          <w:noProof/>
          <w:szCs w:val="22"/>
        </w:rPr>
      </w:pPr>
      <w:r w:rsidRPr="0063119B">
        <w:rPr>
          <w:b/>
          <w:noProof/>
          <w:szCs w:val="22"/>
        </w:rPr>
        <w:t>3.</w:t>
      </w:r>
      <w:r w:rsidRPr="0063119B">
        <w:rPr>
          <w:b/>
          <w:noProof/>
          <w:szCs w:val="22"/>
        </w:rPr>
        <w:tab/>
        <w:t xml:space="preserve">Como tomar </w:t>
      </w:r>
      <w:r w:rsidR="00607DE4">
        <w:rPr>
          <w:b/>
          <w:noProof/>
          <w:szCs w:val="22"/>
        </w:rPr>
        <w:t>Rivaroxabano</w:t>
      </w:r>
      <w:r w:rsidR="001F7D02" w:rsidRPr="0063119B">
        <w:rPr>
          <w:b/>
          <w:noProof/>
          <w:szCs w:val="22"/>
        </w:rPr>
        <w:t xml:space="preserve"> Accord</w:t>
      </w:r>
    </w:p>
    <w:p w14:paraId="5781D064" w14:textId="77777777" w:rsidR="00084D33" w:rsidRPr="0063119B" w:rsidRDefault="00084D33" w:rsidP="00084D33">
      <w:pPr>
        <w:suppressAutoHyphens/>
        <w:rPr>
          <w:noProof/>
          <w:szCs w:val="22"/>
        </w:rPr>
      </w:pPr>
    </w:p>
    <w:p w14:paraId="2A246A5D" w14:textId="77777777" w:rsidR="00084D33" w:rsidRPr="0063119B" w:rsidRDefault="00084D33" w:rsidP="00084D33">
      <w:pPr>
        <w:suppressAutoHyphens/>
        <w:rPr>
          <w:noProof/>
          <w:szCs w:val="22"/>
        </w:rPr>
      </w:pPr>
      <w:r w:rsidRPr="0063119B">
        <w:rPr>
          <w:noProof/>
          <w:szCs w:val="22"/>
        </w:rPr>
        <w:t>Tome este medicamento exatamente como indicado pelo seu médico. Fale com o seu médico ou farmacêutico se tiver dúvidas.</w:t>
      </w:r>
    </w:p>
    <w:p w14:paraId="52114A0D" w14:textId="77777777" w:rsidR="00084D33" w:rsidRPr="0063119B" w:rsidRDefault="00084D33" w:rsidP="00084D33">
      <w:pPr>
        <w:suppressAutoHyphens/>
        <w:rPr>
          <w:noProof/>
          <w:szCs w:val="22"/>
        </w:rPr>
      </w:pPr>
    </w:p>
    <w:p w14:paraId="7C52AD82" w14:textId="77777777" w:rsidR="00084D33" w:rsidRPr="0063119B" w:rsidRDefault="00084D33" w:rsidP="00084D33">
      <w:pPr>
        <w:suppressAutoHyphens/>
        <w:rPr>
          <w:b/>
          <w:noProof/>
          <w:szCs w:val="22"/>
        </w:rPr>
      </w:pPr>
      <w:r w:rsidRPr="0063119B">
        <w:rPr>
          <w:b/>
          <w:noProof/>
          <w:szCs w:val="22"/>
        </w:rPr>
        <w:t>Que quantidade tomar</w:t>
      </w:r>
    </w:p>
    <w:p w14:paraId="0AD75DCC" w14:textId="77777777" w:rsidR="006A2C34" w:rsidRPr="0063119B" w:rsidRDefault="006A2C34" w:rsidP="00F4070A">
      <w:pPr>
        <w:numPr>
          <w:ilvl w:val="0"/>
          <w:numId w:val="31"/>
        </w:numPr>
        <w:suppressAutoHyphens/>
        <w:ind w:left="567" w:hanging="567"/>
        <w:rPr>
          <w:noProof/>
          <w:szCs w:val="22"/>
        </w:rPr>
      </w:pPr>
      <w:r w:rsidRPr="0063119B">
        <w:rPr>
          <w:noProof/>
          <w:szCs w:val="22"/>
        </w:rPr>
        <w:t>Para prevenir a formação de coágulos de sangue nas veias após artoplastia da anca ou joelho</w:t>
      </w:r>
    </w:p>
    <w:p w14:paraId="03362179" w14:textId="77777777" w:rsidR="00084D33" w:rsidRPr="0063119B" w:rsidRDefault="006A2C34" w:rsidP="00F4070A">
      <w:pPr>
        <w:tabs>
          <w:tab w:val="left" w:pos="567"/>
        </w:tabs>
        <w:suppressAutoHyphens/>
        <w:rPr>
          <w:noProof/>
          <w:szCs w:val="22"/>
        </w:rPr>
      </w:pPr>
      <w:r w:rsidRPr="0063119B">
        <w:rPr>
          <w:noProof/>
          <w:szCs w:val="22"/>
        </w:rPr>
        <w:tab/>
      </w:r>
      <w:r w:rsidR="00084D33" w:rsidRPr="0063119B">
        <w:rPr>
          <w:noProof/>
          <w:szCs w:val="22"/>
        </w:rPr>
        <w:t xml:space="preserve">A dose recomendada é 1 comprimido </w:t>
      </w:r>
      <w:r w:rsidRPr="0063119B">
        <w:rPr>
          <w:noProof/>
          <w:szCs w:val="22"/>
        </w:rPr>
        <w:t xml:space="preserve">de </w:t>
      </w:r>
      <w:r w:rsidR="00607DE4">
        <w:rPr>
          <w:noProof/>
          <w:szCs w:val="22"/>
        </w:rPr>
        <w:t>Rivaroxabano</w:t>
      </w:r>
      <w:r w:rsidR="001F7D02" w:rsidRPr="0063119B">
        <w:rPr>
          <w:noProof/>
          <w:szCs w:val="22"/>
        </w:rPr>
        <w:t xml:space="preserve"> Accord</w:t>
      </w:r>
      <w:r w:rsidRPr="0063119B">
        <w:rPr>
          <w:noProof/>
          <w:szCs w:val="22"/>
        </w:rPr>
        <w:t xml:space="preserve"> </w:t>
      </w:r>
      <w:r w:rsidR="00084D33" w:rsidRPr="0063119B">
        <w:rPr>
          <w:noProof/>
          <w:szCs w:val="22"/>
        </w:rPr>
        <w:t>10 mg uma vez ao dia.</w:t>
      </w:r>
    </w:p>
    <w:p w14:paraId="4EAEC193" w14:textId="77777777" w:rsidR="006A2C34" w:rsidRPr="0063119B" w:rsidRDefault="006A2C34" w:rsidP="00F4070A">
      <w:pPr>
        <w:tabs>
          <w:tab w:val="left" w:pos="567"/>
        </w:tabs>
        <w:suppressAutoHyphens/>
        <w:rPr>
          <w:noProof/>
          <w:szCs w:val="22"/>
        </w:rPr>
      </w:pPr>
    </w:p>
    <w:p w14:paraId="2144FB19" w14:textId="77777777" w:rsidR="006A2C34" w:rsidRPr="0063119B" w:rsidRDefault="006A2C34" w:rsidP="00F4070A">
      <w:pPr>
        <w:numPr>
          <w:ilvl w:val="0"/>
          <w:numId w:val="32"/>
        </w:numPr>
        <w:suppressAutoHyphens/>
        <w:ind w:left="567" w:hanging="567"/>
        <w:rPr>
          <w:b/>
          <w:noProof/>
          <w:szCs w:val="22"/>
        </w:rPr>
      </w:pPr>
      <w:r w:rsidRPr="0063119B">
        <w:rPr>
          <w:noProof/>
          <w:szCs w:val="22"/>
        </w:rPr>
        <w:t>Para tratar coágulos de sangue nas veias das suas pernas e coágulos de sangue nos vasos sanguíneos dos seus pulmões e para prevenir o reaparecimento de coágulos de sangue</w:t>
      </w:r>
    </w:p>
    <w:p w14:paraId="6E61BEA1" w14:textId="77777777" w:rsidR="006A2C34" w:rsidRPr="0063119B" w:rsidRDefault="006A2C34" w:rsidP="00F4070A">
      <w:pPr>
        <w:suppressAutoHyphens/>
        <w:ind w:left="567"/>
        <w:rPr>
          <w:noProof/>
          <w:szCs w:val="22"/>
        </w:rPr>
      </w:pPr>
      <w:r w:rsidRPr="0063119B">
        <w:rPr>
          <w:noProof/>
          <w:szCs w:val="22"/>
        </w:rPr>
        <w:t>Após pelo menos 6 meses</w:t>
      </w:r>
      <w:r w:rsidR="00902E2B" w:rsidRPr="0063119B">
        <w:rPr>
          <w:noProof/>
          <w:szCs w:val="22"/>
        </w:rPr>
        <w:t xml:space="preserve"> de tratamento dos coágulos de sangue</w:t>
      </w:r>
      <w:r w:rsidRPr="0063119B">
        <w:rPr>
          <w:noProof/>
          <w:szCs w:val="22"/>
        </w:rPr>
        <w:t>, a dose reco</w:t>
      </w:r>
      <w:r w:rsidR="00902E2B" w:rsidRPr="0063119B">
        <w:rPr>
          <w:noProof/>
          <w:szCs w:val="22"/>
        </w:rPr>
        <w:t>mendada é de um comprimido de 10</w:t>
      </w:r>
      <w:r w:rsidRPr="0063119B">
        <w:rPr>
          <w:noProof/>
          <w:szCs w:val="22"/>
        </w:rPr>
        <w:t xml:space="preserve"> mg </w:t>
      </w:r>
      <w:r w:rsidR="00902E2B" w:rsidRPr="0063119B">
        <w:rPr>
          <w:noProof/>
          <w:szCs w:val="22"/>
        </w:rPr>
        <w:t>uma vez ao dia ou um comprimido de 20 mg uma vez ao dia</w:t>
      </w:r>
      <w:r w:rsidRPr="0063119B">
        <w:rPr>
          <w:noProof/>
          <w:szCs w:val="22"/>
        </w:rPr>
        <w:t>.</w:t>
      </w:r>
      <w:r w:rsidR="00902E2B" w:rsidRPr="0063119B">
        <w:rPr>
          <w:noProof/>
          <w:szCs w:val="22"/>
        </w:rPr>
        <w:t xml:space="preserve"> O seu médico receitou-lhe </w:t>
      </w:r>
      <w:r w:rsidR="00607DE4">
        <w:rPr>
          <w:noProof/>
          <w:szCs w:val="22"/>
        </w:rPr>
        <w:t>Rivaroxabano</w:t>
      </w:r>
      <w:r w:rsidR="001F7D02" w:rsidRPr="0063119B">
        <w:rPr>
          <w:noProof/>
          <w:szCs w:val="22"/>
        </w:rPr>
        <w:t xml:space="preserve"> Accord</w:t>
      </w:r>
      <w:r w:rsidR="00902E2B" w:rsidRPr="0063119B">
        <w:rPr>
          <w:noProof/>
          <w:szCs w:val="22"/>
        </w:rPr>
        <w:t xml:space="preserve"> 10 mg uma vez ao dia</w:t>
      </w:r>
      <w:r w:rsidRPr="0063119B">
        <w:rPr>
          <w:noProof/>
          <w:szCs w:val="22"/>
        </w:rPr>
        <w:t>.</w:t>
      </w:r>
    </w:p>
    <w:p w14:paraId="36DB0A72" w14:textId="77777777" w:rsidR="00902E2B" w:rsidRPr="0063119B" w:rsidRDefault="00902E2B" w:rsidP="00F4070A">
      <w:pPr>
        <w:suppressAutoHyphens/>
        <w:ind w:left="567"/>
        <w:rPr>
          <w:noProof/>
          <w:szCs w:val="22"/>
        </w:rPr>
      </w:pPr>
    </w:p>
    <w:p w14:paraId="0C2C76E2" w14:textId="77777777" w:rsidR="00084D33" w:rsidRPr="0063119B" w:rsidRDefault="00084D33" w:rsidP="00084D33">
      <w:pPr>
        <w:suppressAutoHyphens/>
        <w:rPr>
          <w:noProof/>
          <w:szCs w:val="22"/>
        </w:rPr>
      </w:pPr>
      <w:r w:rsidRPr="0063119B">
        <w:rPr>
          <w:noProof/>
          <w:szCs w:val="22"/>
        </w:rPr>
        <w:lastRenderedPageBreak/>
        <w:t>Engolir o comprimido de preferência com água.</w:t>
      </w:r>
    </w:p>
    <w:p w14:paraId="20D969CF" w14:textId="77777777" w:rsidR="00084D33" w:rsidRPr="0063119B" w:rsidRDefault="00607DE4" w:rsidP="00084D33">
      <w:pPr>
        <w:suppressAutoHyphens/>
        <w:rPr>
          <w:noProof/>
          <w:szCs w:val="22"/>
        </w:rPr>
      </w:pPr>
      <w:r>
        <w:rPr>
          <w:noProof/>
          <w:szCs w:val="22"/>
        </w:rPr>
        <w:t>Rivaroxabano</w:t>
      </w:r>
      <w:r w:rsidR="001F7D02" w:rsidRPr="0063119B">
        <w:rPr>
          <w:noProof/>
          <w:szCs w:val="22"/>
        </w:rPr>
        <w:t xml:space="preserve"> Accord</w:t>
      </w:r>
      <w:r w:rsidR="00084D33" w:rsidRPr="0063119B">
        <w:rPr>
          <w:noProof/>
          <w:szCs w:val="22"/>
        </w:rPr>
        <w:t xml:space="preserve"> pode ser tomado com ou sem alimentos.</w:t>
      </w:r>
    </w:p>
    <w:p w14:paraId="4FBCFC65" w14:textId="77777777" w:rsidR="002E26DF" w:rsidRPr="0063119B" w:rsidRDefault="002E26DF" w:rsidP="002E26DF">
      <w:pPr>
        <w:suppressAutoHyphens/>
        <w:rPr>
          <w:noProof/>
          <w:szCs w:val="22"/>
        </w:rPr>
      </w:pPr>
    </w:p>
    <w:p w14:paraId="202B9280" w14:textId="77777777" w:rsidR="002E26DF" w:rsidRPr="0063119B" w:rsidRDefault="002E26DF" w:rsidP="002E26DF">
      <w:pPr>
        <w:suppressAutoHyphens/>
        <w:rPr>
          <w:noProof/>
          <w:szCs w:val="22"/>
        </w:rPr>
      </w:pPr>
      <w:r w:rsidRPr="0063119B">
        <w:rPr>
          <w:noProof/>
          <w:szCs w:val="22"/>
        </w:rPr>
        <w:t xml:space="preserve">Se tiver dificuldade em engolir o comprimido inteiro, fale com o seu médico sobre outras formas de tomar </w:t>
      </w:r>
      <w:r w:rsidR="00607DE4">
        <w:rPr>
          <w:noProof/>
          <w:szCs w:val="22"/>
        </w:rPr>
        <w:t>Rivaroxabano</w:t>
      </w:r>
      <w:r w:rsidR="001F7D02" w:rsidRPr="0063119B">
        <w:rPr>
          <w:noProof/>
          <w:szCs w:val="22"/>
        </w:rPr>
        <w:t xml:space="preserve"> Accord</w:t>
      </w:r>
      <w:r w:rsidRPr="0063119B">
        <w:rPr>
          <w:noProof/>
          <w:szCs w:val="22"/>
        </w:rPr>
        <w:t>. O comprimido pode ser esmagado e misturado com água ou puré de maçã imediata</w:t>
      </w:r>
      <w:r w:rsidR="009A770B" w:rsidRPr="0063119B">
        <w:rPr>
          <w:noProof/>
          <w:szCs w:val="22"/>
        </w:rPr>
        <w:t>mente</w:t>
      </w:r>
      <w:r w:rsidRPr="0063119B">
        <w:rPr>
          <w:noProof/>
          <w:szCs w:val="22"/>
        </w:rPr>
        <w:t xml:space="preserve"> antes de o tomar.</w:t>
      </w:r>
    </w:p>
    <w:p w14:paraId="429FE9E1" w14:textId="77777777" w:rsidR="002E26DF" w:rsidRPr="0063119B" w:rsidRDefault="002E26DF" w:rsidP="002E26DF">
      <w:pPr>
        <w:suppressAutoHyphens/>
        <w:rPr>
          <w:noProof/>
          <w:szCs w:val="22"/>
        </w:rPr>
      </w:pPr>
      <w:r w:rsidRPr="0063119B">
        <w:rPr>
          <w:noProof/>
          <w:szCs w:val="22"/>
        </w:rPr>
        <w:t xml:space="preserve">Se necessário, o seu médico pode administrar-lhe </w:t>
      </w:r>
      <w:r w:rsidR="00065CE1" w:rsidRPr="0063119B">
        <w:rPr>
          <w:noProof/>
          <w:szCs w:val="22"/>
        </w:rPr>
        <w:t xml:space="preserve">também </w:t>
      </w:r>
      <w:r w:rsidRPr="0063119B">
        <w:rPr>
          <w:noProof/>
          <w:szCs w:val="22"/>
        </w:rPr>
        <w:t xml:space="preserve">o comprimido </w:t>
      </w:r>
      <w:r w:rsidR="00607DE4">
        <w:rPr>
          <w:noProof/>
          <w:szCs w:val="22"/>
        </w:rPr>
        <w:t>Rivaroxabano</w:t>
      </w:r>
      <w:r w:rsidR="001F7D02" w:rsidRPr="0063119B">
        <w:rPr>
          <w:noProof/>
          <w:szCs w:val="22"/>
        </w:rPr>
        <w:t xml:space="preserve"> Accord</w:t>
      </w:r>
      <w:r w:rsidRPr="0063119B">
        <w:rPr>
          <w:noProof/>
          <w:szCs w:val="22"/>
        </w:rPr>
        <w:t xml:space="preserve"> esmagado através de uma sonda gástrica.</w:t>
      </w:r>
    </w:p>
    <w:p w14:paraId="0BDC2B1E" w14:textId="77777777" w:rsidR="00084D33" w:rsidRPr="0063119B" w:rsidRDefault="00084D33" w:rsidP="00084D33">
      <w:pPr>
        <w:suppressAutoHyphens/>
        <w:rPr>
          <w:noProof/>
          <w:szCs w:val="22"/>
        </w:rPr>
      </w:pPr>
    </w:p>
    <w:p w14:paraId="186ED13A" w14:textId="77777777" w:rsidR="00084D33" w:rsidRPr="0063119B" w:rsidRDefault="00084D33" w:rsidP="00084D33">
      <w:pPr>
        <w:suppressAutoHyphens/>
        <w:rPr>
          <w:b/>
          <w:noProof/>
          <w:szCs w:val="22"/>
        </w:rPr>
      </w:pPr>
      <w:r w:rsidRPr="0063119B">
        <w:rPr>
          <w:b/>
          <w:noProof/>
          <w:szCs w:val="22"/>
        </w:rPr>
        <w:t xml:space="preserve">Quando tomar </w:t>
      </w:r>
      <w:r w:rsidR="00607DE4">
        <w:rPr>
          <w:b/>
          <w:noProof/>
          <w:szCs w:val="22"/>
        </w:rPr>
        <w:t>Rivaroxabano</w:t>
      </w:r>
      <w:r w:rsidR="001F7D02" w:rsidRPr="0063119B">
        <w:rPr>
          <w:b/>
          <w:noProof/>
          <w:szCs w:val="22"/>
        </w:rPr>
        <w:t xml:space="preserve"> Accord</w:t>
      </w:r>
    </w:p>
    <w:p w14:paraId="6E5D61CE" w14:textId="77777777" w:rsidR="00084D33" w:rsidRPr="0063119B" w:rsidRDefault="00902E2B" w:rsidP="00084D33">
      <w:pPr>
        <w:suppressAutoHyphens/>
        <w:rPr>
          <w:noProof/>
          <w:szCs w:val="22"/>
        </w:rPr>
      </w:pPr>
      <w:r w:rsidRPr="0063119B">
        <w:rPr>
          <w:noProof/>
          <w:szCs w:val="22"/>
        </w:rPr>
        <w:t>T</w:t>
      </w:r>
      <w:r w:rsidR="00084D33" w:rsidRPr="0063119B">
        <w:rPr>
          <w:noProof/>
          <w:szCs w:val="22"/>
        </w:rPr>
        <w:t xml:space="preserve">ome </w:t>
      </w:r>
      <w:r w:rsidRPr="0063119B">
        <w:rPr>
          <w:noProof/>
          <w:szCs w:val="22"/>
        </w:rPr>
        <w:t xml:space="preserve">o </w:t>
      </w:r>
      <w:r w:rsidR="00084D33" w:rsidRPr="0063119B">
        <w:rPr>
          <w:noProof/>
          <w:szCs w:val="22"/>
        </w:rPr>
        <w:t>comprimido todos os dias, até que o seu médico lhe diga para parar.</w:t>
      </w:r>
    </w:p>
    <w:p w14:paraId="0F7DFD79" w14:textId="77777777" w:rsidR="00084D33" w:rsidRPr="0063119B" w:rsidRDefault="00084D33" w:rsidP="00084D33">
      <w:pPr>
        <w:suppressAutoHyphens/>
        <w:rPr>
          <w:noProof/>
          <w:szCs w:val="22"/>
        </w:rPr>
      </w:pPr>
      <w:r w:rsidRPr="0063119B">
        <w:rPr>
          <w:noProof/>
          <w:szCs w:val="22"/>
        </w:rPr>
        <w:t>Tente tomar o comprimido sempre à mesma hora, todos os dias, para ajudá-lo a lembrar-se da sua toma.</w:t>
      </w:r>
    </w:p>
    <w:p w14:paraId="6F71B224" w14:textId="77777777" w:rsidR="00902E2B" w:rsidRPr="0063119B" w:rsidRDefault="00902E2B" w:rsidP="00084D33">
      <w:pPr>
        <w:suppressAutoHyphens/>
        <w:rPr>
          <w:noProof/>
          <w:szCs w:val="22"/>
        </w:rPr>
      </w:pPr>
      <w:r w:rsidRPr="0063119B">
        <w:rPr>
          <w:noProof/>
          <w:szCs w:val="22"/>
        </w:rPr>
        <w:t>O seu médico decidirá durante quanto tempo deve continuar o tratamento.</w:t>
      </w:r>
    </w:p>
    <w:p w14:paraId="77CC0F34" w14:textId="77777777" w:rsidR="00902E2B" w:rsidRPr="0063119B" w:rsidRDefault="00902E2B" w:rsidP="00084D33">
      <w:pPr>
        <w:suppressAutoHyphens/>
        <w:rPr>
          <w:noProof/>
          <w:szCs w:val="22"/>
        </w:rPr>
      </w:pPr>
    </w:p>
    <w:p w14:paraId="6A702F1B" w14:textId="77777777" w:rsidR="00902E2B" w:rsidRPr="0063119B" w:rsidRDefault="00902E2B" w:rsidP="00084D33">
      <w:pPr>
        <w:suppressAutoHyphens/>
        <w:rPr>
          <w:noProof/>
          <w:szCs w:val="22"/>
        </w:rPr>
      </w:pPr>
      <w:r w:rsidRPr="0063119B">
        <w:rPr>
          <w:noProof/>
          <w:szCs w:val="22"/>
        </w:rPr>
        <w:t>Para prevenir a formação de coágulos de sangue nas veias após artoplastia da anca ou joelho:</w:t>
      </w:r>
    </w:p>
    <w:p w14:paraId="6CCC0A54" w14:textId="77777777" w:rsidR="00902E2B" w:rsidRPr="0063119B" w:rsidRDefault="00902E2B" w:rsidP="00084D33">
      <w:pPr>
        <w:suppressAutoHyphens/>
        <w:rPr>
          <w:noProof/>
          <w:szCs w:val="22"/>
        </w:rPr>
      </w:pPr>
      <w:r w:rsidRPr="0063119B">
        <w:rPr>
          <w:noProof/>
          <w:szCs w:val="22"/>
        </w:rPr>
        <w:t>Tome o primeiro comprimido 6 </w:t>
      </w:r>
      <w:r w:rsidR="00377739" w:rsidRPr="0063119B">
        <w:rPr>
          <w:noProof/>
          <w:szCs w:val="22"/>
        </w:rPr>
        <w:t>-</w:t>
      </w:r>
      <w:r w:rsidRPr="0063119B">
        <w:rPr>
          <w:noProof/>
          <w:szCs w:val="22"/>
        </w:rPr>
        <w:t> 10 horas após a sua cirurgia.</w:t>
      </w:r>
    </w:p>
    <w:p w14:paraId="6AB52B74" w14:textId="77777777" w:rsidR="00084D33" w:rsidRPr="0063119B" w:rsidRDefault="00084D33" w:rsidP="00084D33">
      <w:pPr>
        <w:suppressAutoHyphens/>
        <w:rPr>
          <w:b/>
          <w:noProof/>
          <w:szCs w:val="22"/>
        </w:rPr>
      </w:pPr>
      <w:r w:rsidRPr="0063119B">
        <w:rPr>
          <w:noProof/>
          <w:szCs w:val="22"/>
        </w:rPr>
        <w:t xml:space="preserve">Se foi submetido a uma grande cirurgia da anca, tomará normalmente os comprimidos durante 5 semanas. </w:t>
      </w:r>
      <w:r w:rsidRPr="0063119B">
        <w:rPr>
          <w:noProof/>
          <w:szCs w:val="22"/>
        </w:rPr>
        <w:br/>
        <w:t xml:space="preserve">Se foi submetido a uma grande cirurgia do joelho, tomará normalmente os comprimidos durante 2 semanas. </w:t>
      </w:r>
      <w:r w:rsidRPr="0063119B">
        <w:rPr>
          <w:noProof/>
          <w:szCs w:val="22"/>
        </w:rPr>
        <w:br/>
      </w:r>
    </w:p>
    <w:p w14:paraId="4350F38E" w14:textId="77777777" w:rsidR="00084D33" w:rsidRPr="0063119B" w:rsidRDefault="00084D33" w:rsidP="00084D33">
      <w:pPr>
        <w:suppressAutoHyphens/>
        <w:rPr>
          <w:b/>
          <w:noProof/>
          <w:szCs w:val="22"/>
        </w:rPr>
      </w:pPr>
      <w:r w:rsidRPr="0063119B">
        <w:rPr>
          <w:b/>
          <w:noProof/>
          <w:szCs w:val="22"/>
        </w:rPr>
        <w:t xml:space="preserve">Se tomar mais </w:t>
      </w:r>
      <w:r w:rsidR="00607DE4">
        <w:rPr>
          <w:b/>
          <w:noProof/>
          <w:szCs w:val="22"/>
        </w:rPr>
        <w:t>Rivaroxabano</w:t>
      </w:r>
      <w:r w:rsidR="001F7D02" w:rsidRPr="0063119B">
        <w:rPr>
          <w:b/>
          <w:noProof/>
          <w:szCs w:val="22"/>
        </w:rPr>
        <w:t xml:space="preserve"> Accord</w:t>
      </w:r>
      <w:r w:rsidRPr="0063119B">
        <w:rPr>
          <w:b/>
          <w:noProof/>
          <w:szCs w:val="22"/>
        </w:rPr>
        <w:t xml:space="preserve"> do que deveria</w:t>
      </w:r>
    </w:p>
    <w:p w14:paraId="139C7671" w14:textId="77777777" w:rsidR="00084D33" w:rsidRPr="0063119B" w:rsidRDefault="00084D33" w:rsidP="00084D33">
      <w:pPr>
        <w:suppressAutoHyphens/>
        <w:rPr>
          <w:noProof/>
          <w:szCs w:val="22"/>
        </w:rPr>
      </w:pPr>
      <w:r w:rsidRPr="0063119B">
        <w:rPr>
          <w:noProof/>
          <w:szCs w:val="22"/>
        </w:rPr>
        <w:t xml:space="preserve">Contacte imediatamente o seu médico se tiver tomado demasiados comprimidos de </w:t>
      </w:r>
      <w:r w:rsidR="00607DE4">
        <w:rPr>
          <w:noProof/>
          <w:szCs w:val="22"/>
        </w:rPr>
        <w:t>Rivaroxabano</w:t>
      </w:r>
      <w:r w:rsidR="001F7D02" w:rsidRPr="0063119B">
        <w:rPr>
          <w:noProof/>
          <w:szCs w:val="22"/>
        </w:rPr>
        <w:t xml:space="preserve"> Accord</w:t>
      </w:r>
      <w:r w:rsidRPr="0063119B">
        <w:rPr>
          <w:noProof/>
          <w:szCs w:val="22"/>
        </w:rPr>
        <w:t xml:space="preserve">. Tomar </w:t>
      </w:r>
      <w:r w:rsidR="00607DE4">
        <w:rPr>
          <w:noProof/>
          <w:szCs w:val="22"/>
        </w:rPr>
        <w:t>Rivaroxabano</w:t>
      </w:r>
      <w:r w:rsidR="001F7D02" w:rsidRPr="0063119B">
        <w:rPr>
          <w:noProof/>
          <w:szCs w:val="22"/>
        </w:rPr>
        <w:t xml:space="preserve"> Accord</w:t>
      </w:r>
      <w:r w:rsidRPr="0063119B">
        <w:rPr>
          <w:noProof/>
          <w:szCs w:val="22"/>
        </w:rPr>
        <w:t xml:space="preserve"> em excesso aumenta o risco de hemorragia.</w:t>
      </w:r>
    </w:p>
    <w:p w14:paraId="74787715" w14:textId="77777777" w:rsidR="008121A9" w:rsidRPr="0063119B" w:rsidRDefault="008121A9" w:rsidP="00084D33">
      <w:pPr>
        <w:suppressAutoHyphens/>
        <w:rPr>
          <w:b/>
          <w:noProof/>
          <w:szCs w:val="22"/>
        </w:rPr>
      </w:pPr>
    </w:p>
    <w:p w14:paraId="4C7D5D02" w14:textId="77777777" w:rsidR="00084D33" w:rsidRPr="0063119B" w:rsidRDefault="00084D33" w:rsidP="00B316E9">
      <w:pPr>
        <w:keepNext/>
        <w:suppressAutoHyphens/>
        <w:rPr>
          <w:b/>
          <w:noProof/>
          <w:szCs w:val="22"/>
        </w:rPr>
      </w:pPr>
      <w:r w:rsidRPr="0063119B">
        <w:rPr>
          <w:b/>
          <w:noProof/>
          <w:szCs w:val="22"/>
        </w:rPr>
        <w:t xml:space="preserve">Caso se tenha esquecido de tomar </w:t>
      </w:r>
      <w:r w:rsidR="00607DE4">
        <w:rPr>
          <w:b/>
          <w:noProof/>
          <w:szCs w:val="22"/>
        </w:rPr>
        <w:t>Rivaroxabano</w:t>
      </w:r>
      <w:r w:rsidR="001F7D02" w:rsidRPr="0063119B">
        <w:rPr>
          <w:b/>
          <w:noProof/>
          <w:szCs w:val="22"/>
        </w:rPr>
        <w:t xml:space="preserve"> Accord</w:t>
      </w:r>
    </w:p>
    <w:p w14:paraId="006603A7" w14:textId="77777777" w:rsidR="00084D33" w:rsidRPr="0063119B" w:rsidRDefault="00084D33" w:rsidP="00B316E9">
      <w:pPr>
        <w:keepNext/>
        <w:suppressAutoHyphens/>
        <w:rPr>
          <w:noProof/>
          <w:szCs w:val="22"/>
        </w:rPr>
      </w:pPr>
      <w:r w:rsidRPr="0063119B">
        <w:rPr>
          <w:noProof/>
          <w:szCs w:val="22"/>
        </w:rPr>
        <w:t xml:space="preserve">Caso se tenha esquecido de uma dose, tome-a assim que se lembrar. Tome o próximo comprimido no dia seguinte e, em seguida, continue a tomar o comprimido uma vez ao dia como habitualmente. </w:t>
      </w:r>
      <w:r w:rsidRPr="0063119B">
        <w:rPr>
          <w:noProof/>
          <w:szCs w:val="22"/>
        </w:rPr>
        <w:br/>
        <w:t xml:space="preserve">Não tome uma dose a dobrar para compensar </w:t>
      </w:r>
      <w:r w:rsidR="007B4A7F" w:rsidRPr="0063119B">
        <w:rPr>
          <w:noProof/>
          <w:szCs w:val="22"/>
        </w:rPr>
        <w:t>uma dose</w:t>
      </w:r>
      <w:r w:rsidRPr="0063119B">
        <w:rPr>
          <w:noProof/>
          <w:szCs w:val="22"/>
        </w:rPr>
        <w:t xml:space="preserve"> que se esqueceu de tomar.</w:t>
      </w:r>
    </w:p>
    <w:p w14:paraId="64A6BCB0" w14:textId="77777777" w:rsidR="00084D33" w:rsidRPr="0063119B" w:rsidRDefault="00084D33" w:rsidP="00084D33">
      <w:pPr>
        <w:suppressAutoHyphens/>
        <w:rPr>
          <w:b/>
          <w:noProof/>
          <w:szCs w:val="22"/>
        </w:rPr>
      </w:pPr>
    </w:p>
    <w:p w14:paraId="6BA18D6B" w14:textId="77777777" w:rsidR="00084D33" w:rsidRPr="001B6FEC" w:rsidRDefault="00084D33" w:rsidP="00084D33">
      <w:pPr>
        <w:suppressAutoHyphens/>
        <w:rPr>
          <w:noProof/>
          <w:szCs w:val="22"/>
        </w:rPr>
      </w:pPr>
      <w:r w:rsidRPr="001B6FEC">
        <w:rPr>
          <w:b/>
          <w:noProof/>
          <w:szCs w:val="22"/>
        </w:rPr>
        <w:t xml:space="preserve">Se parar de tomar </w:t>
      </w:r>
      <w:r w:rsidR="00607DE4" w:rsidRPr="001B6FEC">
        <w:rPr>
          <w:b/>
          <w:noProof/>
          <w:szCs w:val="22"/>
        </w:rPr>
        <w:t>Rivaroxabano</w:t>
      </w:r>
      <w:r w:rsidR="001F7D02" w:rsidRPr="001B6FEC">
        <w:rPr>
          <w:b/>
          <w:noProof/>
          <w:szCs w:val="22"/>
        </w:rPr>
        <w:t xml:space="preserve"> Accord</w:t>
      </w:r>
    </w:p>
    <w:p w14:paraId="2FBB3629" w14:textId="77777777" w:rsidR="00084D33" w:rsidRPr="0063119B" w:rsidRDefault="00084D33" w:rsidP="00084D33">
      <w:pPr>
        <w:suppressAutoHyphens/>
        <w:rPr>
          <w:noProof/>
          <w:szCs w:val="22"/>
        </w:rPr>
      </w:pPr>
      <w:r w:rsidRPr="0063119B">
        <w:rPr>
          <w:noProof/>
          <w:szCs w:val="22"/>
        </w:rPr>
        <w:t xml:space="preserve">Não pare de tomar </w:t>
      </w:r>
      <w:r w:rsidR="00607DE4">
        <w:rPr>
          <w:noProof/>
          <w:szCs w:val="22"/>
        </w:rPr>
        <w:t>Rivaroxabano</w:t>
      </w:r>
      <w:r w:rsidR="001F7D02" w:rsidRPr="0063119B">
        <w:rPr>
          <w:noProof/>
          <w:szCs w:val="22"/>
        </w:rPr>
        <w:t xml:space="preserve"> Accord</w:t>
      </w:r>
      <w:r w:rsidRPr="0063119B">
        <w:rPr>
          <w:noProof/>
          <w:szCs w:val="22"/>
        </w:rPr>
        <w:t xml:space="preserve"> sem falar primeiro com o seu médico, porque </w:t>
      </w:r>
      <w:r w:rsidR="00607DE4">
        <w:rPr>
          <w:noProof/>
          <w:szCs w:val="22"/>
        </w:rPr>
        <w:t>Rivaroxabano</w:t>
      </w:r>
      <w:r w:rsidR="001F7D02" w:rsidRPr="0063119B">
        <w:rPr>
          <w:noProof/>
          <w:szCs w:val="22"/>
        </w:rPr>
        <w:t xml:space="preserve"> Accord</w:t>
      </w:r>
      <w:r w:rsidRPr="0063119B">
        <w:rPr>
          <w:noProof/>
          <w:szCs w:val="22"/>
        </w:rPr>
        <w:t xml:space="preserve"> impede o desenvolvimento de uma situação grave.</w:t>
      </w:r>
    </w:p>
    <w:p w14:paraId="3C199923" w14:textId="77777777" w:rsidR="00084D33" w:rsidRPr="0063119B" w:rsidRDefault="00084D33" w:rsidP="00084D33">
      <w:pPr>
        <w:suppressAutoHyphens/>
        <w:rPr>
          <w:noProof/>
          <w:szCs w:val="22"/>
        </w:rPr>
      </w:pPr>
    </w:p>
    <w:p w14:paraId="3D14B02D" w14:textId="77777777" w:rsidR="00084D33" w:rsidRPr="0063119B" w:rsidRDefault="00084D33" w:rsidP="00084D33">
      <w:pPr>
        <w:suppressAutoHyphens/>
        <w:rPr>
          <w:noProof/>
          <w:szCs w:val="22"/>
        </w:rPr>
      </w:pPr>
      <w:r w:rsidRPr="0063119B">
        <w:rPr>
          <w:noProof/>
          <w:szCs w:val="22"/>
        </w:rPr>
        <w:t>Caso ainda tenha dúvidas sobre a utilização deste medicamento, fale com o seu médico ou farmacêutico.</w:t>
      </w:r>
    </w:p>
    <w:p w14:paraId="5DB78DBB" w14:textId="77777777" w:rsidR="00084D33" w:rsidRPr="0063119B" w:rsidRDefault="00084D33" w:rsidP="00084D33">
      <w:pPr>
        <w:suppressAutoHyphens/>
        <w:rPr>
          <w:noProof/>
          <w:szCs w:val="22"/>
        </w:rPr>
      </w:pPr>
    </w:p>
    <w:p w14:paraId="65C5218A" w14:textId="77777777" w:rsidR="00084D33" w:rsidRPr="0063119B" w:rsidRDefault="00084D33" w:rsidP="00084D33">
      <w:pPr>
        <w:suppressAutoHyphens/>
        <w:rPr>
          <w:noProof/>
          <w:szCs w:val="22"/>
        </w:rPr>
      </w:pPr>
    </w:p>
    <w:p w14:paraId="56A48678" w14:textId="77777777" w:rsidR="00084D33" w:rsidRPr="0063119B" w:rsidRDefault="00084D33" w:rsidP="00084D33">
      <w:pPr>
        <w:suppressAutoHyphens/>
        <w:ind w:left="567" w:hanging="567"/>
        <w:rPr>
          <w:noProof/>
          <w:szCs w:val="22"/>
        </w:rPr>
      </w:pPr>
      <w:r w:rsidRPr="0063119B">
        <w:rPr>
          <w:b/>
          <w:noProof/>
          <w:szCs w:val="22"/>
        </w:rPr>
        <w:t>4.</w:t>
      </w:r>
      <w:r w:rsidRPr="0063119B">
        <w:rPr>
          <w:b/>
          <w:noProof/>
          <w:szCs w:val="22"/>
        </w:rPr>
        <w:tab/>
        <w:t xml:space="preserve">Efeitos </w:t>
      </w:r>
      <w:r w:rsidR="00CC1A3A" w:rsidRPr="0063119B">
        <w:rPr>
          <w:b/>
          <w:noProof/>
          <w:szCs w:val="22"/>
        </w:rPr>
        <w:t>indesejáveis</w:t>
      </w:r>
      <w:r w:rsidRPr="0063119B">
        <w:rPr>
          <w:b/>
          <w:noProof/>
          <w:szCs w:val="22"/>
        </w:rPr>
        <w:t xml:space="preserve"> possíveis </w:t>
      </w:r>
    </w:p>
    <w:p w14:paraId="00C7938C" w14:textId="77777777" w:rsidR="00084D33" w:rsidRPr="0063119B" w:rsidRDefault="00084D33" w:rsidP="00084D33">
      <w:pPr>
        <w:suppressAutoHyphens/>
        <w:rPr>
          <w:noProof/>
          <w:szCs w:val="22"/>
        </w:rPr>
      </w:pPr>
    </w:p>
    <w:p w14:paraId="03740F32" w14:textId="77777777" w:rsidR="00084D33" w:rsidRPr="0063119B" w:rsidRDefault="00084D33" w:rsidP="00084D33">
      <w:pPr>
        <w:suppressAutoHyphens/>
        <w:rPr>
          <w:noProof/>
          <w:szCs w:val="22"/>
        </w:rPr>
      </w:pPr>
      <w:r w:rsidRPr="0063119B">
        <w:rPr>
          <w:noProof/>
          <w:szCs w:val="22"/>
        </w:rPr>
        <w:t xml:space="preserve">Como todos os medicamentos, </w:t>
      </w:r>
      <w:r w:rsidR="003941DB" w:rsidRPr="0063119B">
        <w:rPr>
          <w:noProof/>
          <w:szCs w:val="22"/>
        </w:rPr>
        <w:t>este medicamento</w:t>
      </w:r>
      <w:r w:rsidRPr="0063119B">
        <w:rPr>
          <w:noProof/>
          <w:szCs w:val="22"/>
        </w:rPr>
        <w:t xml:space="preserve"> pode causar efeitos </w:t>
      </w:r>
      <w:r w:rsidR="00CC1A3A" w:rsidRPr="0063119B">
        <w:rPr>
          <w:noProof/>
          <w:szCs w:val="22"/>
        </w:rPr>
        <w:t>indesejáveis</w:t>
      </w:r>
      <w:r w:rsidRPr="0063119B">
        <w:rPr>
          <w:noProof/>
          <w:szCs w:val="22"/>
        </w:rPr>
        <w:t>, embora estes não se manifestem em todas as pessoas.</w:t>
      </w:r>
    </w:p>
    <w:p w14:paraId="1677A086" w14:textId="77777777" w:rsidR="00084D33" w:rsidRPr="0063119B" w:rsidRDefault="00084D33" w:rsidP="00084D33">
      <w:pPr>
        <w:suppressAutoHyphens/>
        <w:rPr>
          <w:noProof/>
          <w:szCs w:val="22"/>
        </w:rPr>
      </w:pPr>
    </w:p>
    <w:p w14:paraId="0655EBDD" w14:textId="77777777" w:rsidR="00084D33" w:rsidRPr="0063119B" w:rsidRDefault="00084D33" w:rsidP="00084D33">
      <w:pPr>
        <w:suppressAutoHyphens/>
        <w:rPr>
          <w:noProof/>
          <w:szCs w:val="22"/>
        </w:rPr>
      </w:pPr>
      <w:r w:rsidRPr="0063119B">
        <w:rPr>
          <w:noProof/>
          <w:szCs w:val="22"/>
        </w:rPr>
        <w:t xml:space="preserve">Como outros medicamentos similares </w:t>
      </w:r>
      <w:r w:rsidR="00D40229">
        <w:rPr>
          <w:szCs w:val="22"/>
        </w:rPr>
        <w:t>para reduzir a formação de coágulosa sanguíneos</w:t>
      </w:r>
      <w:r w:rsidRPr="0063119B">
        <w:rPr>
          <w:noProof/>
          <w:szCs w:val="22"/>
        </w:rPr>
        <w:t xml:space="preserve">, </w:t>
      </w:r>
      <w:r w:rsidR="00607DE4">
        <w:rPr>
          <w:noProof/>
          <w:szCs w:val="22"/>
        </w:rPr>
        <w:t>Rivaroxabano</w:t>
      </w:r>
      <w:r w:rsidR="001F7D02" w:rsidRPr="0063119B">
        <w:rPr>
          <w:noProof/>
          <w:szCs w:val="22"/>
        </w:rPr>
        <w:t xml:space="preserve"> Accord</w:t>
      </w:r>
      <w:r w:rsidRPr="0063119B">
        <w:rPr>
          <w:noProof/>
          <w:szCs w:val="22"/>
        </w:rPr>
        <w:t xml:space="preserve"> pode causar hemorragia que podem potencialmente causar risco de vida. Uma hemorragia excessiva pode levar a uma queda súbita da tensão arterial (choque). Em alguns casos, a hemorragia pode não ser óbvia.</w:t>
      </w:r>
    </w:p>
    <w:p w14:paraId="294633D1" w14:textId="77777777" w:rsidR="00084D33" w:rsidRPr="0063119B" w:rsidRDefault="00084D33" w:rsidP="00084D33">
      <w:pPr>
        <w:suppressAutoHyphens/>
        <w:rPr>
          <w:b/>
          <w:noProof/>
          <w:szCs w:val="22"/>
        </w:rPr>
      </w:pPr>
    </w:p>
    <w:p w14:paraId="053E9D3F" w14:textId="77777777" w:rsidR="00084D33" w:rsidRDefault="00084D33" w:rsidP="00084D33">
      <w:pPr>
        <w:keepNext/>
        <w:suppressAutoHyphens/>
        <w:rPr>
          <w:noProof/>
          <w:szCs w:val="22"/>
        </w:rPr>
      </w:pPr>
      <w:r w:rsidRPr="0063119B">
        <w:rPr>
          <w:b/>
          <w:noProof/>
          <w:szCs w:val="22"/>
        </w:rPr>
        <w:t>Informe imediatamente o seu médico</w:t>
      </w:r>
      <w:r w:rsidRPr="0063119B">
        <w:rPr>
          <w:noProof/>
          <w:szCs w:val="22"/>
        </w:rPr>
        <w:t xml:space="preserve">, se sentir algum dos seguintes efeitos </w:t>
      </w:r>
      <w:r w:rsidR="00CC1A3A" w:rsidRPr="0063119B">
        <w:rPr>
          <w:noProof/>
          <w:szCs w:val="22"/>
        </w:rPr>
        <w:t>indesejáveis</w:t>
      </w:r>
      <w:r w:rsidRPr="0063119B">
        <w:rPr>
          <w:noProof/>
          <w:szCs w:val="22"/>
        </w:rPr>
        <w:t>:</w:t>
      </w:r>
    </w:p>
    <w:p w14:paraId="4E23280B" w14:textId="77777777" w:rsidR="00D40229" w:rsidRDefault="00D40229" w:rsidP="00084D33">
      <w:pPr>
        <w:keepNext/>
        <w:suppressAutoHyphens/>
        <w:rPr>
          <w:b/>
          <w:bCs/>
          <w:noProof/>
          <w:szCs w:val="22"/>
        </w:rPr>
      </w:pPr>
      <w:r w:rsidRPr="00EF3721">
        <w:rPr>
          <w:b/>
          <w:bCs/>
          <w:noProof/>
          <w:szCs w:val="22"/>
        </w:rPr>
        <w:t>Sinais de hemorragia</w:t>
      </w:r>
    </w:p>
    <w:p w14:paraId="35C403A4" w14:textId="77777777" w:rsidR="00D40229" w:rsidRPr="00EF3721" w:rsidRDefault="00D40229" w:rsidP="00EF3721">
      <w:pPr>
        <w:numPr>
          <w:ilvl w:val="0"/>
          <w:numId w:val="53"/>
        </w:numPr>
        <w:autoSpaceDE w:val="0"/>
        <w:autoSpaceDN w:val="0"/>
        <w:adjustRightInd w:val="0"/>
        <w:rPr>
          <w:color w:val="000000"/>
          <w:sz w:val="24"/>
          <w:szCs w:val="24"/>
          <w:lang w:eastAsia="pt-PT"/>
        </w:rPr>
      </w:pPr>
      <w:r w:rsidRPr="00B35784">
        <w:rPr>
          <w:color w:val="000000"/>
          <w:szCs w:val="22"/>
          <w:lang w:eastAsia="pt-PT"/>
        </w:rPr>
        <w:t xml:space="preserve">hemorragia no cérebro ou interior do crânio (sintomas podem incluir dor de cabeça, fraqueza de um dos lados, vómitos, tonturas, diminuição do nível de consciência e rigidez do pescoço. Uma urgência médica grave. Procure ajuda médica imediatamente!) </w:t>
      </w:r>
    </w:p>
    <w:p w14:paraId="3BCC75A8" w14:textId="77777777" w:rsidR="00084D33" w:rsidRPr="0063119B" w:rsidRDefault="00084D33" w:rsidP="000B293C">
      <w:pPr>
        <w:keepNext/>
        <w:numPr>
          <w:ilvl w:val="0"/>
          <w:numId w:val="49"/>
        </w:numPr>
        <w:tabs>
          <w:tab w:val="clear" w:pos="360"/>
        </w:tabs>
        <w:suppressAutoHyphens/>
        <w:ind w:left="567" w:hanging="567"/>
        <w:rPr>
          <w:noProof/>
          <w:szCs w:val="22"/>
        </w:rPr>
      </w:pPr>
      <w:r w:rsidRPr="0063119B">
        <w:rPr>
          <w:noProof/>
          <w:szCs w:val="22"/>
        </w:rPr>
        <w:lastRenderedPageBreak/>
        <w:t>perda de sangue prolongada ou excessiva</w:t>
      </w:r>
    </w:p>
    <w:p w14:paraId="2DCA8806" w14:textId="77777777" w:rsidR="00084D33" w:rsidRPr="0063119B" w:rsidRDefault="00CE26CE" w:rsidP="000B293C">
      <w:pPr>
        <w:keepNext/>
        <w:numPr>
          <w:ilvl w:val="0"/>
          <w:numId w:val="49"/>
        </w:numPr>
        <w:tabs>
          <w:tab w:val="clear" w:pos="360"/>
        </w:tabs>
        <w:suppressAutoHyphens/>
        <w:ind w:left="567" w:hanging="567"/>
        <w:rPr>
          <w:b/>
          <w:noProof/>
          <w:szCs w:val="22"/>
        </w:rPr>
      </w:pPr>
      <w:r w:rsidRPr="0063119B">
        <w:rPr>
          <w:noProof/>
          <w:szCs w:val="22"/>
        </w:rPr>
        <w:t xml:space="preserve">sensação anormal de </w:t>
      </w:r>
      <w:r w:rsidR="00084D33" w:rsidRPr="0063119B">
        <w:rPr>
          <w:noProof/>
          <w:szCs w:val="22"/>
        </w:rPr>
        <w:t>fraqueza, cansaço, palidez, tonturas, dores de cabeça, inchaço inexplicável, falta de ar, dor no peito ou angina de peito</w:t>
      </w:r>
    </w:p>
    <w:p w14:paraId="4DD1076D" w14:textId="77777777" w:rsidR="00084D33" w:rsidRPr="0063119B" w:rsidRDefault="00084D33" w:rsidP="00084D33">
      <w:pPr>
        <w:suppressAutoHyphens/>
        <w:rPr>
          <w:noProof/>
          <w:szCs w:val="22"/>
        </w:rPr>
      </w:pPr>
      <w:r w:rsidRPr="0063119B">
        <w:rPr>
          <w:noProof/>
          <w:szCs w:val="22"/>
        </w:rPr>
        <w:t xml:space="preserve">O seu médico pode decidir mantê-lo sob uma observação mais atenta ou alterar </w:t>
      </w:r>
      <w:r w:rsidR="00D40229">
        <w:rPr>
          <w:noProof/>
          <w:szCs w:val="22"/>
        </w:rPr>
        <w:t>o tratamento</w:t>
      </w:r>
      <w:r w:rsidRPr="0063119B">
        <w:rPr>
          <w:noProof/>
          <w:szCs w:val="22"/>
        </w:rPr>
        <w:t>.</w:t>
      </w:r>
    </w:p>
    <w:p w14:paraId="6716B1BE" w14:textId="77777777" w:rsidR="00084D33" w:rsidRPr="0063119B" w:rsidRDefault="00084D33" w:rsidP="00084D33">
      <w:pPr>
        <w:suppressAutoHyphens/>
        <w:rPr>
          <w:noProof/>
          <w:szCs w:val="22"/>
        </w:rPr>
      </w:pPr>
    </w:p>
    <w:p w14:paraId="6CADBB5C" w14:textId="77777777" w:rsidR="00A979C7" w:rsidRPr="0063119B" w:rsidRDefault="00D40229" w:rsidP="00DA6697">
      <w:pPr>
        <w:keepNext/>
        <w:suppressAutoHyphens/>
        <w:rPr>
          <w:b/>
          <w:noProof/>
          <w:szCs w:val="22"/>
        </w:rPr>
      </w:pPr>
      <w:r>
        <w:rPr>
          <w:b/>
          <w:noProof/>
          <w:szCs w:val="22"/>
        </w:rPr>
        <w:t>S</w:t>
      </w:r>
      <w:r w:rsidR="00A979C7" w:rsidRPr="0063119B">
        <w:rPr>
          <w:b/>
          <w:noProof/>
          <w:szCs w:val="22"/>
        </w:rPr>
        <w:t>ina</w:t>
      </w:r>
      <w:r>
        <w:rPr>
          <w:b/>
          <w:noProof/>
          <w:szCs w:val="22"/>
        </w:rPr>
        <w:t>is</w:t>
      </w:r>
      <w:r w:rsidR="00A979C7" w:rsidRPr="0063119B">
        <w:rPr>
          <w:b/>
          <w:noProof/>
          <w:szCs w:val="22"/>
        </w:rPr>
        <w:t xml:space="preserve"> de reaç</w:t>
      </w:r>
      <w:r>
        <w:rPr>
          <w:b/>
          <w:noProof/>
          <w:szCs w:val="22"/>
        </w:rPr>
        <w:t>ões</w:t>
      </w:r>
      <w:r w:rsidR="00A979C7" w:rsidRPr="0063119B">
        <w:rPr>
          <w:b/>
          <w:noProof/>
          <w:szCs w:val="22"/>
        </w:rPr>
        <w:t xml:space="preserve"> cutânea</w:t>
      </w:r>
      <w:r>
        <w:rPr>
          <w:b/>
          <w:noProof/>
          <w:szCs w:val="22"/>
        </w:rPr>
        <w:t>s</w:t>
      </w:r>
      <w:r w:rsidR="00A979C7" w:rsidRPr="0063119B">
        <w:rPr>
          <w:b/>
          <w:noProof/>
          <w:szCs w:val="22"/>
        </w:rPr>
        <w:t xml:space="preserve"> grave</w:t>
      </w:r>
      <w:r>
        <w:rPr>
          <w:b/>
          <w:noProof/>
          <w:szCs w:val="22"/>
        </w:rPr>
        <w:t>s</w:t>
      </w:r>
    </w:p>
    <w:p w14:paraId="5FF9A37E" w14:textId="77777777" w:rsidR="00072EF3" w:rsidRPr="0063119B" w:rsidRDefault="00A979C7" w:rsidP="000B293C">
      <w:pPr>
        <w:keepNext/>
        <w:numPr>
          <w:ilvl w:val="0"/>
          <w:numId w:val="50"/>
        </w:numPr>
        <w:tabs>
          <w:tab w:val="clear" w:pos="360"/>
        </w:tabs>
        <w:suppressAutoHyphens/>
        <w:ind w:left="567" w:hanging="567"/>
        <w:rPr>
          <w:noProof/>
          <w:szCs w:val="22"/>
        </w:rPr>
      </w:pPr>
      <w:r w:rsidRPr="0063119B">
        <w:rPr>
          <w:noProof/>
          <w:szCs w:val="22"/>
        </w:rPr>
        <w:t>disseminação intensa da erupção cutânea, bolhas ou lesões das mucosas, ex.: na boca ou olhos (síndrome Stevens-Johnson/</w:t>
      </w:r>
      <w:r w:rsidR="00B37008" w:rsidRPr="0063119B">
        <w:rPr>
          <w:noProof/>
          <w:szCs w:val="22"/>
        </w:rPr>
        <w:t>n</w:t>
      </w:r>
      <w:r w:rsidRPr="0063119B">
        <w:rPr>
          <w:noProof/>
          <w:szCs w:val="22"/>
        </w:rPr>
        <w:t xml:space="preserve">ecrólise </w:t>
      </w:r>
      <w:r w:rsidR="00B37008" w:rsidRPr="0063119B">
        <w:rPr>
          <w:noProof/>
          <w:szCs w:val="22"/>
        </w:rPr>
        <w:t>e</w:t>
      </w:r>
      <w:r w:rsidRPr="0063119B">
        <w:rPr>
          <w:noProof/>
          <w:szCs w:val="22"/>
        </w:rPr>
        <w:t xml:space="preserve">pidérmica </w:t>
      </w:r>
      <w:r w:rsidR="00B37008" w:rsidRPr="0063119B">
        <w:rPr>
          <w:noProof/>
          <w:szCs w:val="22"/>
        </w:rPr>
        <w:t>t</w:t>
      </w:r>
      <w:r w:rsidRPr="0063119B">
        <w:rPr>
          <w:noProof/>
          <w:szCs w:val="22"/>
        </w:rPr>
        <w:t xml:space="preserve">óxica). </w:t>
      </w:r>
    </w:p>
    <w:p w14:paraId="07020858" w14:textId="3AB9F1B3" w:rsidR="00D40229" w:rsidRDefault="00072EF3" w:rsidP="000B293C">
      <w:pPr>
        <w:numPr>
          <w:ilvl w:val="0"/>
          <w:numId w:val="50"/>
        </w:numPr>
        <w:tabs>
          <w:tab w:val="clear" w:pos="360"/>
        </w:tabs>
        <w:suppressAutoHyphens/>
        <w:ind w:left="567" w:hanging="567"/>
        <w:rPr>
          <w:noProof/>
          <w:szCs w:val="22"/>
        </w:rPr>
      </w:pPr>
      <w:r w:rsidRPr="0063119B">
        <w:rPr>
          <w:szCs w:val="22"/>
        </w:rPr>
        <w:t xml:space="preserve">uma reação medicamentosa que causa erupção cutânea, febre, inflamação dos órgãos internos, anormalidades </w:t>
      </w:r>
      <w:r w:rsidR="002B5FBC">
        <w:rPr>
          <w:szCs w:val="22"/>
        </w:rPr>
        <w:t>no sangue</w:t>
      </w:r>
      <w:r w:rsidR="002B5FBC" w:rsidRPr="0063119B">
        <w:rPr>
          <w:szCs w:val="22"/>
        </w:rPr>
        <w:t xml:space="preserve"> </w:t>
      </w:r>
      <w:r w:rsidRPr="0063119B">
        <w:rPr>
          <w:szCs w:val="22"/>
        </w:rPr>
        <w:t xml:space="preserve">e doença sistémica (síndrome de DRESS). </w:t>
      </w:r>
    </w:p>
    <w:p w14:paraId="7406DD33" w14:textId="0A7A2CE8" w:rsidR="00072EF3" w:rsidRPr="0063119B" w:rsidRDefault="00072EF3" w:rsidP="00EF3721">
      <w:pPr>
        <w:suppressAutoHyphens/>
        <w:rPr>
          <w:noProof/>
          <w:szCs w:val="22"/>
        </w:rPr>
      </w:pPr>
      <w:r w:rsidRPr="0063119B">
        <w:rPr>
          <w:szCs w:val="22"/>
        </w:rPr>
        <w:t>A frequência deste</w:t>
      </w:r>
      <w:r w:rsidR="00D40229">
        <w:rPr>
          <w:szCs w:val="22"/>
        </w:rPr>
        <w:t>s</w:t>
      </w:r>
      <w:r w:rsidRPr="0063119B">
        <w:rPr>
          <w:szCs w:val="22"/>
        </w:rPr>
        <w:t xml:space="preserve"> efeito</w:t>
      </w:r>
      <w:r w:rsidR="00D40229">
        <w:rPr>
          <w:szCs w:val="22"/>
        </w:rPr>
        <w:t>s</w:t>
      </w:r>
      <w:r w:rsidRPr="0063119B">
        <w:rPr>
          <w:szCs w:val="22"/>
        </w:rPr>
        <w:t xml:space="preserve"> </w:t>
      </w:r>
      <w:r w:rsidR="00654D4F" w:rsidRPr="0063119B">
        <w:rPr>
          <w:noProof/>
          <w:szCs w:val="22"/>
        </w:rPr>
        <w:t>indesejáve</w:t>
      </w:r>
      <w:r w:rsidR="00D40229">
        <w:rPr>
          <w:noProof/>
          <w:szCs w:val="22"/>
        </w:rPr>
        <w:t>is</w:t>
      </w:r>
      <w:r w:rsidRPr="0063119B">
        <w:rPr>
          <w:szCs w:val="22"/>
        </w:rPr>
        <w:t xml:space="preserve"> é muito rara (</w:t>
      </w:r>
      <w:r w:rsidR="0086001C" w:rsidRPr="0063119B">
        <w:rPr>
          <w:szCs w:val="22"/>
        </w:rPr>
        <w:t>até</w:t>
      </w:r>
      <w:r w:rsidRPr="0063119B">
        <w:rPr>
          <w:szCs w:val="22"/>
        </w:rPr>
        <w:t xml:space="preserve"> 1 em 10</w:t>
      </w:r>
      <w:r w:rsidR="002B5FBC">
        <w:rPr>
          <w:szCs w:val="22"/>
        </w:rPr>
        <w:t> </w:t>
      </w:r>
      <w:r w:rsidRPr="0063119B">
        <w:rPr>
          <w:szCs w:val="22"/>
        </w:rPr>
        <w:t>000</w:t>
      </w:r>
      <w:r w:rsidR="002B5FBC">
        <w:rPr>
          <w:szCs w:val="22"/>
        </w:rPr>
        <w:t xml:space="preserve"> pessoas</w:t>
      </w:r>
      <w:r w:rsidRPr="0063119B">
        <w:rPr>
          <w:szCs w:val="22"/>
        </w:rPr>
        <w:t>).</w:t>
      </w:r>
    </w:p>
    <w:p w14:paraId="4660E770" w14:textId="77777777" w:rsidR="00072EF3" w:rsidRPr="0063119B" w:rsidRDefault="00072EF3" w:rsidP="00072EF3">
      <w:pPr>
        <w:suppressAutoHyphens/>
        <w:rPr>
          <w:b/>
          <w:noProof/>
          <w:szCs w:val="22"/>
        </w:rPr>
      </w:pPr>
    </w:p>
    <w:p w14:paraId="0E9B7B8C" w14:textId="77777777" w:rsidR="00072EF3" w:rsidRPr="0063119B" w:rsidRDefault="00D40229" w:rsidP="00072EF3">
      <w:pPr>
        <w:suppressAutoHyphens/>
        <w:rPr>
          <w:b/>
          <w:noProof/>
          <w:szCs w:val="22"/>
        </w:rPr>
      </w:pPr>
      <w:r>
        <w:rPr>
          <w:b/>
          <w:noProof/>
          <w:szCs w:val="22"/>
        </w:rPr>
        <w:t>S</w:t>
      </w:r>
      <w:r w:rsidR="00072EF3" w:rsidRPr="0063119B">
        <w:rPr>
          <w:b/>
          <w:noProof/>
          <w:szCs w:val="22"/>
        </w:rPr>
        <w:t>ina</w:t>
      </w:r>
      <w:r>
        <w:rPr>
          <w:b/>
          <w:noProof/>
          <w:szCs w:val="22"/>
        </w:rPr>
        <w:t>is</w:t>
      </w:r>
      <w:r w:rsidR="00072EF3" w:rsidRPr="0063119B">
        <w:rPr>
          <w:b/>
          <w:noProof/>
          <w:szCs w:val="22"/>
        </w:rPr>
        <w:t xml:space="preserve"> de </w:t>
      </w:r>
      <w:r w:rsidR="00DF1193" w:rsidRPr="0063119B">
        <w:rPr>
          <w:b/>
          <w:noProof/>
          <w:szCs w:val="22"/>
        </w:rPr>
        <w:t>reações alérgicas graves</w:t>
      </w:r>
    </w:p>
    <w:p w14:paraId="7DDF64C0" w14:textId="77777777" w:rsidR="00D40229" w:rsidRDefault="00072EF3" w:rsidP="00072EF3">
      <w:pPr>
        <w:numPr>
          <w:ilvl w:val="0"/>
          <w:numId w:val="5"/>
        </w:numPr>
        <w:suppressAutoHyphens/>
        <w:rPr>
          <w:noProof/>
          <w:szCs w:val="22"/>
        </w:rPr>
      </w:pPr>
      <w:r w:rsidRPr="0063119B">
        <w:rPr>
          <w:szCs w:val="22"/>
        </w:rPr>
        <w:t xml:space="preserve">inchaço da </w:t>
      </w:r>
      <w:r w:rsidR="00454F54" w:rsidRPr="0063119B">
        <w:rPr>
          <w:szCs w:val="22"/>
        </w:rPr>
        <w:t>face,</w:t>
      </w:r>
      <w:r w:rsidRPr="0063119B">
        <w:rPr>
          <w:szCs w:val="22"/>
        </w:rPr>
        <w:t xml:space="preserve"> lábios, boca, língua ou garganta; dificuldade em engolir; urticária e dificuldades respiratórias; </w:t>
      </w:r>
      <w:r w:rsidR="00CA2F64" w:rsidRPr="0063119B">
        <w:rPr>
          <w:szCs w:val="22"/>
        </w:rPr>
        <w:t>queda</w:t>
      </w:r>
      <w:r w:rsidRPr="0063119B">
        <w:rPr>
          <w:szCs w:val="22"/>
        </w:rPr>
        <w:t xml:space="preserve"> súbita da pressão arterial. </w:t>
      </w:r>
    </w:p>
    <w:p w14:paraId="7E29111B" w14:textId="77777777" w:rsidR="00072EF3" w:rsidRPr="0063119B" w:rsidRDefault="00072EF3" w:rsidP="00EF3721">
      <w:pPr>
        <w:suppressAutoHyphens/>
        <w:rPr>
          <w:noProof/>
          <w:szCs w:val="22"/>
        </w:rPr>
      </w:pPr>
      <w:r w:rsidRPr="0063119B">
        <w:rPr>
          <w:szCs w:val="22"/>
        </w:rPr>
        <w:t xml:space="preserve">A frequência de </w:t>
      </w:r>
      <w:r w:rsidR="00D40229">
        <w:rPr>
          <w:szCs w:val="22"/>
        </w:rPr>
        <w:t xml:space="preserve">reações alérgicas graves </w:t>
      </w:r>
      <w:r w:rsidRPr="0063119B">
        <w:rPr>
          <w:szCs w:val="22"/>
        </w:rPr>
        <w:t xml:space="preserve">é muito rara (reações anafiláticas, incluindo choque anafilático; podem afetar </w:t>
      </w:r>
      <w:r w:rsidR="0086001C" w:rsidRPr="0063119B">
        <w:rPr>
          <w:szCs w:val="22"/>
        </w:rPr>
        <w:t>até</w:t>
      </w:r>
      <w:r w:rsidRPr="0063119B">
        <w:rPr>
          <w:szCs w:val="22"/>
        </w:rPr>
        <w:t xml:space="preserve"> 1 em 10.000 pessoas) e pouco frequentes (angioedema e edema alérgico; podem afetar até 1 em cada 100 pessoas).</w:t>
      </w:r>
    </w:p>
    <w:p w14:paraId="088246A7" w14:textId="77777777" w:rsidR="00A979C7" w:rsidRPr="0063119B" w:rsidRDefault="00A979C7" w:rsidP="00A979C7">
      <w:pPr>
        <w:suppressAutoHyphens/>
        <w:rPr>
          <w:noProof/>
          <w:szCs w:val="22"/>
        </w:rPr>
      </w:pPr>
    </w:p>
    <w:p w14:paraId="08DD224E" w14:textId="77777777" w:rsidR="00084D33" w:rsidRPr="0063119B" w:rsidRDefault="00084D33" w:rsidP="00084D33">
      <w:pPr>
        <w:suppressAutoHyphens/>
        <w:rPr>
          <w:b/>
          <w:noProof/>
          <w:szCs w:val="22"/>
        </w:rPr>
      </w:pPr>
      <w:r w:rsidRPr="0063119B">
        <w:rPr>
          <w:b/>
          <w:noProof/>
          <w:szCs w:val="22"/>
        </w:rPr>
        <w:t xml:space="preserve">Lista global dos efeitos </w:t>
      </w:r>
      <w:r w:rsidR="00CC1A3A" w:rsidRPr="0063119B">
        <w:rPr>
          <w:b/>
          <w:noProof/>
          <w:szCs w:val="22"/>
        </w:rPr>
        <w:t>indesejáveis</w:t>
      </w:r>
      <w:r w:rsidRPr="0063119B">
        <w:rPr>
          <w:b/>
          <w:noProof/>
          <w:szCs w:val="22"/>
        </w:rPr>
        <w:t xml:space="preserve"> possíveis</w:t>
      </w:r>
    </w:p>
    <w:p w14:paraId="2679AF34" w14:textId="77777777" w:rsidR="003941DB" w:rsidRPr="0063119B" w:rsidRDefault="003941DB" w:rsidP="00084D33">
      <w:pPr>
        <w:suppressAutoHyphens/>
        <w:rPr>
          <w:b/>
          <w:noProof/>
          <w:szCs w:val="22"/>
        </w:rPr>
      </w:pPr>
    </w:p>
    <w:p w14:paraId="25431F74" w14:textId="77777777" w:rsidR="00084D33" w:rsidRPr="0063119B" w:rsidRDefault="00084D33" w:rsidP="00084D33">
      <w:pPr>
        <w:suppressAutoHyphens/>
        <w:rPr>
          <w:b/>
          <w:noProof/>
          <w:szCs w:val="22"/>
        </w:rPr>
      </w:pPr>
      <w:r w:rsidRPr="0063119B">
        <w:rPr>
          <w:b/>
          <w:noProof/>
          <w:szCs w:val="22"/>
        </w:rPr>
        <w:t xml:space="preserve">Frequentes </w:t>
      </w:r>
      <w:r w:rsidRPr="0063119B">
        <w:rPr>
          <w:noProof/>
          <w:szCs w:val="22"/>
        </w:rPr>
        <w:t>(podem afetar até 1 em 10 pessoas)</w:t>
      </w:r>
    </w:p>
    <w:p w14:paraId="1B1A7C82" w14:textId="77777777" w:rsidR="006D3081" w:rsidRPr="0063119B" w:rsidRDefault="006D3081" w:rsidP="006D3081">
      <w:pPr>
        <w:suppressAutoHyphens/>
        <w:ind w:left="142" w:hanging="142"/>
        <w:rPr>
          <w:noProof/>
          <w:szCs w:val="22"/>
        </w:rPr>
      </w:pPr>
      <w:r w:rsidRPr="0063119B">
        <w:rPr>
          <w:noProof/>
          <w:szCs w:val="22"/>
        </w:rPr>
        <w:t xml:space="preserve">- diminuição dos glóbulos vermelhos o que pode provocar palidez da pele e causar fraqueza ou falta de ar </w:t>
      </w:r>
    </w:p>
    <w:p w14:paraId="6227591F" w14:textId="77777777" w:rsidR="00084D33" w:rsidRPr="0063119B" w:rsidRDefault="00084D33" w:rsidP="00084D33">
      <w:pPr>
        <w:suppressAutoHyphens/>
        <w:rPr>
          <w:noProof/>
          <w:szCs w:val="22"/>
        </w:rPr>
      </w:pPr>
      <w:r w:rsidRPr="0063119B">
        <w:rPr>
          <w:noProof/>
          <w:szCs w:val="22"/>
        </w:rPr>
        <w:t>- hemorragia no estômago ou intestino, hemorragia urogenital (incluindo sangue na urina e período menstrual intenso), hemorragia pelo nariz, hemorragia das gengivas</w:t>
      </w:r>
    </w:p>
    <w:p w14:paraId="1A92E88F" w14:textId="77777777" w:rsidR="00084D33" w:rsidRPr="0063119B" w:rsidRDefault="00084D33" w:rsidP="00084D33">
      <w:pPr>
        <w:suppressAutoHyphens/>
        <w:rPr>
          <w:noProof/>
          <w:szCs w:val="22"/>
        </w:rPr>
      </w:pPr>
      <w:r w:rsidRPr="0063119B">
        <w:rPr>
          <w:noProof/>
          <w:szCs w:val="22"/>
        </w:rPr>
        <w:t>- hemorragia nos olhos (incluindo hemorragia na parte branca dos olhos)</w:t>
      </w:r>
    </w:p>
    <w:p w14:paraId="10F077D0" w14:textId="77777777" w:rsidR="00084D33" w:rsidRPr="0063119B" w:rsidRDefault="00084D33" w:rsidP="00084D33">
      <w:pPr>
        <w:suppressAutoHyphens/>
        <w:rPr>
          <w:noProof/>
          <w:szCs w:val="22"/>
        </w:rPr>
      </w:pPr>
      <w:r w:rsidRPr="0063119B">
        <w:rPr>
          <w:noProof/>
          <w:szCs w:val="22"/>
        </w:rPr>
        <w:t>- hemorragia num tecido ou cavidade do seu corpo (hematoma, nódoas negras)</w:t>
      </w:r>
    </w:p>
    <w:p w14:paraId="74313370" w14:textId="77777777" w:rsidR="00240178" w:rsidRPr="0063119B" w:rsidRDefault="00240178" w:rsidP="00240178">
      <w:pPr>
        <w:suppressAutoHyphens/>
        <w:rPr>
          <w:noProof/>
          <w:szCs w:val="22"/>
        </w:rPr>
      </w:pPr>
      <w:r w:rsidRPr="0063119B">
        <w:rPr>
          <w:noProof/>
          <w:szCs w:val="22"/>
        </w:rPr>
        <w:t>- tossir sangue</w:t>
      </w:r>
    </w:p>
    <w:p w14:paraId="1E8F3777" w14:textId="77777777" w:rsidR="009841AF" w:rsidRPr="0063119B" w:rsidRDefault="00240178" w:rsidP="00084D33">
      <w:pPr>
        <w:suppressAutoHyphens/>
        <w:rPr>
          <w:noProof/>
          <w:szCs w:val="22"/>
        </w:rPr>
      </w:pPr>
      <w:r w:rsidRPr="0063119B">
        <w:rPr>
          <w:noProof/>
          <w:szCs w:val="22"/>
        </w:rPr>
        <w:t>- hemorragia da pele ou sob a pele</w:t>
      </w:r>
    </w:p>
    <w:p w14:paraId="774F99BB" w14:textId="77777777" w:rsidR="00084D33" w:rsidRPr="0063119B" w:rsidRDefault="00084D33" w:rsidP="00084D33">
      <w:pPr>
        <w:suppressAutoHyphens/>
        <w:rPr>
          <w:noProof/>
          <w:szCs w:val="22"/>
        </w:rPr>
      </w:pPr>
      <w:r w:rsidRPr="0063119B">
        <w:rPr>
          <w:noProof/>
          <w:szCs w:val="22"/>
        </w:rPr>
        <w:t>- hemorragia após uma cirurgia</w:t>
      </w:r>
    </w:p>
    <w:p w14:paraId="43C9A267" w14:textId="77777777" w:rsidR="00084D33" w:rsidRPr="0063119B" w:rsidRDefault="00084D33" w:rsidP="00084D33">
      <w:pPr>
        <w:suppressAutoHyphens/>
        <w:rPr>
          <w:noProof/>
          <w:szCs w:val="22"/>
        </w:rPr>
      </w:pPr>
      <w:r w:rsidRPr="0063119B">
        <w:rPr>
          <w:noProof/>
          <w:szCs w:val="22"/>
        </w:rPr>
        <w:t>- secreção de sangue ou fluído de uma ferida cirúrgica</w:t>
      </w:r>
    </w:p>
    <w:p w14:paraId="296832D8" w14:textId="77777777" w:rsidR="00084D33" w:rsidRPr="0063119B" w:rsidRDefault="00084D33" w:rsidP="00084D33">
      <w:pPr>
        <w:suppressAutoHyphens/>
        <w:rPr>
          <w:noProof/>
          <w:szCs w:val="22"/>
        </w:rPr>
      </w:pPr>
      <w:r w:rsidRPr="0063119B">
        <w:rPr>
          <w:noProof/>
          <w:szCs w:val="22"/>
        </w:rPr>
        <w:t>- inchaço dos membros</w:t>
      </w:r>
    </w:p>
    <w:p w14:paraId="1D7351C0" w14:textId="77777777" w:rsidR="00084D33" w:rsidRPr="0063119B" w:rsidRDefault="00084D33" w:rsidP="00084D33">
      <w:pPr>
        <w:suppressAutoHyphens/>
        <w:rPr>
          <w:noProof/>
          <w:szCs w:val="22"/>
        </w:rPr>
      </w:pPr>
      <w:r w:rsidRPr="0063119B">
        <w:rPr>
          <w:noProof/>
          <w:szCs w:val="22"/>
        </w:rPr>
        <w:t>- dor nos membros</w:t>
      </w:r>
    </w:p>
    <w:p w14:paraId="6C13FEF3" w14:textId="77777777" w:rsidR="006D3081" w:rsidRPr="0063119B" w:rsidRDefault="006D3081" w:rsidP="006D3081">
      <w:pPr>
        <w:suppressAutoHyphens/>
        <w:rPr>
          <w:noProof/>
          <w:szCs w:val="22"/>
        </w:rPr>
      </w:pPr>
      <w:r w:rsidRPr="0063119B">
        <w:rPr>
          <w:noProof/>
          <w:szCs w:val="22"/>
        </w:rPr>
        <w:t>- função dos rins diminuída (pode ser observada em testes realizados pelo seu médico)</w:t>
      </w:r>
    </w:p>
    <w:p w14:paraId="5628A610" w14:textId="77777777" w:rsidR="00084D33" w:rsidRPr="0063119B" w:rsidRDefault="00084D33" w:rsidP="00084D33">
      <w:pPr>
        <w:suppressAutoHyphens/>
        <w:rPr>
          <w:noProof/>
          <w:szCs w:val="22"/>
        </w:rPr>
      </w:pPr>
      <w:r w:rsidRPr="0063119B">
        <w:rPr>
          <w:noProof/>
          <w:szCs w:val="22"/>
        </w:rPr>
        <w:t>- febre</w:t>
      </w:r>
    </w:p>
    <w:p w14:paraId="7077A254" w14:textId="77777777" w:rsidR="00084D33" w:rsidRPr="0063119B" w:rsidRDefault="00084D33" w:rsidP="00084D33">
      <w:pPr>
        <w:suppressAutoHyphens/>
        <w:rPr>
          <w:noProof/>
          <w:szCs w:val="22"/>
        </w:rPr>
      </w:pPr>
      <w:r w:rsidRPr="0063119B">
        <w:rPr>
          <w:noProof/>
          <w:szCs w:val="22"/>
        </w:rPr>
        <w:t>- dor de estômago, indigestão, má disposição, prisão de ventre, diarreia</w:t>
      </w:r>
    </w:p>
    <w:p w14:paraId="389B6DA6" w14:textId="77777777" w:rsidR="00084D33" w:rsidRPr="0063119B" w:rsidRDefault="00084D33" w:rsidP="00084D33">
      <w:pPr>
        <w:suppressAutoHyphens/>
        <w:rPr>
          <w:noProof/>
          <w:szCs w:val="22"/>
        </w:rPr>
      </w:pPr>
      <w:r w:rsidRPr="0063119B">
        <w:rPr>
          <w:noProof/>
          <w:szCs w:val="22"/>
        </w:rPr>
        <w:t>- tensão arterial baixa (os sintomas podem ser sensação de tonturas ou desmaio ao levantar-se)</w:t>
      </w:r>
    </w:p>
    <w:p w14:paraId="3DCA39F8" w14:textId="77777777" w:rsidR="00084D33" w:rsidRPr="0063119B" w:rsidRDefault="00084D33" w:rsidP="00084D33">
      <w:pPr>
        <w:suppressAutoHyphens/>
        <w:ind w:left="142" w:hanging="142"/>
        <w:rPr>
          <w:noProof/>
          <w:szCs w:val="22"/>
        </w:rPr>
      </w:pPr>
      <w:r w:rsidRPr="0063119B">
        <w:rPr>
          <w:noProof/>
          <w:szCs w:val="22"/>
        </w:rPr>
        <w:t>- diminuição da força e energia de um modo geral (fraqueza, cansaço), dores de cabeça, tonturas</w:t>
      </w:r>
    </w:p>
    <w:p w14:paraId="121EAF92" w14:textId="77777777" w:rsidR="00084D33" w:rsidRPr="0063119B" w:rsidRDefault="00084D33" w:rsidP="00084D33">
      <w:pPr>
        <w:suppressAutoHyphens/>
        <w:rPr>
          <w:noProof/>
          <w:szCs w:val="22"/>
        </w:rPr>
      </w:pPr>
      <w:r w:rsidRPr="0063119B">
        <w:rPr>
          <w:noProof/>
          <w:szCs w:val="22"/>
        </w:rPr>
        <w:t xml:space="preserve">- erupção </w:t>
      </w:r>
      <w:r w:rsidR="00BC2618" w:rsidRPr="0063119B">
        <w:rPr>
          <w:noProof/>
          <w:szCs w:val="22"/>
        </w:rPr>
        <w:t>na pele</w:t>
      </w:r>
      <w:r w:rsidRPr="0063119B">
        <w:rPr>
          <w:noProof/>
          <w:szCs w:val="22"/>
        </w:rPr>
        <w:t>, comichão na pele</w:t>
      </w:r>
    </w:p>
    <w:p w14:paraId="3E422AAA" w14:textId="77777777" w:rsidR="00084D33" w:rsidRPr="0063119B" w:rsidRDefault="00084D33" w:rsidP="00084D33">
      <w:pPr>
        <w:suppressAutoHyphens/>
        <w:rPr>
          <w:noProof/>
          <w:szCs w:val="22"/>
        </w:rPr>
      </w:pPr>
      <w:r w:rsidRPr="0063119B">
        <w:rPr>
          <w:noProof/>
          <w:szCs w:val="22"/>
        </w:rPr>
        <w:t>- testes sanguíneos poderão demonstrar um aumento das enzimas do fígado</w:t>
      </w:r>
    </w:p>
    <w:p w14:paraId="0B6B7F32" w14:textId="77777777" w:rsidR="00084D33" w:rsidRPr="0063119B" w:rsidRDefault="00084D33" w:rsidP="00084D33">
      <w:pPr>
        <w:suppressAutoHyphens/>
        <w:rPr>
          <w:noProof/>
          <w:szCs w:val="22"/>
        </w:rPr>
      </w:pPr>
    </w:p>
    <w:p w14:paraId="35FB66EC" w14:textId="77777777" w:rsidR="00084D33" w:rsidRPr="0063119B" w:rsidRDefault="00084D33" w:rsidP="00084D33">
      <w:pPr>
        <w:suppressAutoHyphens/>
        <w:rPr>
          <w:b/>
          <w:noProof/>
          <w:szCs w:val="22"/>
        </w:rPr>
      </w:pPr>
      <w:r w:rsidRPr="0063119B">
        <w:rPr>
          <w:b/>
          <w:noProof/>
          <w:szCs w:val="22"/>
        </w:rPr>
        <w:t xml:space="preserve">Pouco frequentes </w:t>
      </w:r>
      <w:r w:rsidRPr="0063119B">
        <w:rPr>
          <w:noProof/>
          <w:szCs w:val="22"/>
        </w:rPr>
        <w:t>(podem afetar até 1 em 100 pessoas)</w:t>
      </w:r>
    </w:p>
    <w:p w14:paraId="08A849B3" w14:textId="77777777" w:rsidR="00084D33" w:rsidRPr="0063119B" w:rsidRDefault="00084D33" w:rsidP="00084D33">
      <w:pPr>
        <w:suppressAutoHyphens/>
        <w:rPr>
          <w:noProof/>
          <w:szCs w:val="22"/>
        </w:rPr>
      </w:pPr>
      <w:r w:rsidRPr="0063119B">
        <w:rPr>
          <w:noProof/>
          <w:szCs w:val="22"/>
        </w:rPr>
        <w:t>- hemorragia no cérebro ou no interior do crânio</w:t>
      </w:r>
      <w:r w:rsidR="00DA13B6">
        <w:rPr>
          <w:noProof/>
          <w:szCs w:val="22"/>
        </w:rPr>
        <w:t xml:space="preserve"> </w:t>
      </w:r>
      <w:r w:rsidR="00DA13B6">
        <w:rPr>
          <w:szCs w:val="22"/>
        </w:rPr>
        <w:t>(ver acima, sinais de hemorragia)</w:t>
      </w:r>
    </w:p>
    <w:p w14:paraId="3B2002F6" w14:textId="77777777" w:rsidR="00084D33" w:rsidRPr="0063119B" w:rsidRDefault="00084D33" w:rsidP="00084D33">
      <w:pPr>
        <w:suppressAutoHyphens/>
        <w:rPr>
          <w:noProof/>
          <w:szCs w:val="22"/>
        </w:rPr>
      </w:pPr>
      <w:r w:rsidRPr="0063119B">
        <w:rPr>
          <w:noProof/>
          <w:szCs w:val="22"/>
        </w:rPr>
        <w:t>- hemorragia numa articulação causando dor e inchaço</w:t>
      </w:r>
    </w:p>
    <w:p w14:paraId="561E7447" w14:textId="77777777" w:rsidR="00072EF3" w:rsidRPr="0063119B" w:rsidRDefault="00072EF3" w:rsidP="00072EF3">
      <w:pPr>
        <w:suppressAutoHyphens/>
        <w:rPr>
          <w:noProof/>
          <w:szCs w:val="22"/>
        </w:rPr>
      </w:pPr>
      <w:r w:rsidRPr="0063119B">
        <w:rPr>
          <w:noProof/>
          <w:szCs w:val="22"/>
        </w:rPr>
        <w:t xml:space="preserve">- </w:t>
      </w:r>
      <w:r w:rsidRPr="0063119B">
        <w:rPr>
          <w:szCs w:val="22"/>
        </w:rPr>
        <w:t xml:space="preserve">trombocitopenia (baixo número de plaquetas, </w:t>
      </w:r>
      <w:r w:rsidR="00454F54" w:rsidRPr="0063119B">
        <w:rPr>
          <w:szCs w:val="22"/>
        </w:rPr>
        <w:t>que são</w:t>
      </w:r>
      <w:r w:rsidRPr="0063119B">
        <w:rPr>
          <w:szCs w:val="22"/>
        </w:rPr>
        <w:t xml:space="preserve"> células que ajudam o sangue a coagular)</w:t>
      </w:r>
    </w:p>
    <w:p w14:paraId="695FAA9F" w14:textId="77777777" w:rsidR="006D3081" w:rsidRPr="0063119B" w:rsidRDefault="006D3081" w:rsidP="006D3081">
      <w:pPr>
        <w:suppressAutoHyphens/>
        <w:rPr>
          <w:noProof/>
          <w:szCs w:val="22"/>
        </w:rPr>
      </w:pPr>
      <w:r w:rsidRPr="0063119B">
        <w:rPr>
          <w:noProof/>
          <w:szCs w:val="22"/>
        </w:rPr>
        <w:t>- reações alérgicas, incluindo reações alérgicas da pele</w:t>
      </w:r>
    </w:p>
    <w:p w14:paraId="16218602" w14:textId="77777777" w:rsidR="006D3081" w:rsidRPr="0063119B" w:rsidRDefault="006D3081" w:rsidP="006D3081">
      <w:pPr>
        <w:suppressAutoHyphens/>
        <w:rPr>
          <w:noProof/>
          <w:szCs w:val="22"/>
        </w:rPr>
      </w:pPr>
      <w:r w:rsidRPr="0063119B">
        <w:rPr>
          <w:noProof/>
          <w:szCs w:val="22"/>
        </w:rPr>
        <w:t>- função do fígado diminuída (pode ser observada em testes efetuados pelo seu médico)</w:t>
      </w:r>
    </w:p>
    <w:p w14:paraId="1F1EB1F3" w14:textId="77777777" w:rsidR="006D3081" w:rsidRPr="0063119B" w:rsidRDefault="006D3081" w:rsidP="006D3081">
      <w:pPr>
        <w:suppressAutoHyphens/>
        <w:ind w:left="142" w:hanging="142"/>
        <w:rPr>
          <w:noProof/>
          <w:szCs w:val="22"/>
        </w:rPr>
      </w:pPr>
      <w:r w:rsidRPr="0063119B">
        <w:rPr>
          <w:noProof/>
          <w:szCs w:val="22"/>
        </w:rPr>
        <w:t>- testes sanguíneos poderão demonstrar um aumento da bilirrubina, de algumas enzimas pancreáticas ou do fígado ou do número de plaquetas</w:t>
      </w:r>
    </w:p>
    <w:p w14:paraId="779D8C18" w14:textId="77777777" w:rsidR="00756D7E" w:rsidRPr="0063119B" w:rsidRDefault="00756D7E" w:rsidP="00084D33">
      <w:pPr>
        <w:suppressAutoHyphens/>
        <w:rPr>
          <w:noProof/>
          <w:szCs w:val="22"/>
        </w:rPr>
      </w:pPr>
      <w:r w:rsidRPr="0063119B">
        <w:rPr>
          <w:noProof/>
          <w:szCs w:val="22"/>
        </w:rPr>
        <w:t>- desmaio</w:t>
      </w:r>
    </w:p>
    <w:p w14:paraId="7214663B" w14:textId="77777777" w:rsidR="00084D33" w:rsidRPr="0063119B" w:rsidRDefault="00084D33" w:rsidP="00084D33">
      <w:pPr>
        <w:suppressAutoHyphens/>
        <w:rPr>
          <w:noProof/>
          <w:szCs w:val="22"/>
        </w:rPr>
      </w:pPr>
      <w:r w:rsidRPr="0063119B">
        <w:rPr>
          <w:noProof/>
          <w:szCs w:val="22"/>
        </w:rPr>
        <w:t>- sensação de mal-estar</w:t>
      </w:r>
    </w:p>
    <w:p w14:paraId="13A2ECD5" w14:textId="77777777" w:rsidR="006D3081" w:rsidRPr="0063119B" w:rsidRDefault="006D3081" w:rsidP="006D3081">
      <w:pPr>
        <w:suppressAutoHyphens/>
        <w:rPr>
          <w:noProof/>
          <w:szCs w:val="22"/>
        </w:rPr>
      </w:pPr>
      <w:r w:rsidRPr="0063119B">
        <w:rPr>
          <w:noProof/>
          <w:szCs w:val="22"/>
        </w:rPr>
        <w:t>- batimento cardíaco mais rápido</w:t>
      </w:r>
    </w:p>
    <w:p w14:paraId="6C64638B" w14:textId="77777777" w:rsidR="00084D33" w:rsidRPr="0063119B" w:rsidRDefault="00084D33" w:rsidP="00084D33">
      <w:pPr>
        <w:suppressAutoHyphens/>
        <w:rPr>
          <w:noProof/>
          <w:szCs w:val="22"/>
        </w:rPr>
      </w:pPr>
      <w:r w:rsidRPr="0063119B">
        <w:rPr>
          <w:noProof/>
          <w:szCs w:val="22"/>
        </w:rPr>
        <w:t>- boca seca</w:t>
      </w:r>
    </w:p>
    <w:p w14:paraId="624BC63A" w14:textId="77777777" w:rsidR="00084D33" w:rsidRPr="0063119B" w:rsidRDefault="00084D33" w:rsidP="00084D33">
      <w:pPr>
        <w:suppressAutoHyphens/>
        <w:rPr>
          <w:noProof/>
          <w:szCs w:val="22"/>
        </w:rPr>
      </w:pPr>
      <w:r w:rsidRPr="0063119B">
        <w:rPr>
          <w:noProof/>
          <w:szCs w:val="22"/>
        </w:rPr>
        <w:t>- urticária (erupção da pele com comichão)</w:t>
      </w:r>
    </w:p>
    <w:p w14:paraId="10008D4B" w14:textId="77777777" w:rsidR="00084D33" w:rsidRPr="0063119B" w:rsidRDefault="00084D33" w:rsidP="00084D33">
      <w:pPr>
        <w:suppressAutoHyphens/>
        <w:rPr>
          <w:noProof/>
          <w:szCs w:val="22"/>
        </w:rPr>
      </w:pPr>
    </w:p>
    <w:p w14:paraId="00393125" w14:textId="77777777" w:rsidR="00084D33" w:rsidRPr="0063119B" w:rsidRDefault="00084D33" w:rsidP="00084D33">
      <w:pPr>
        <w:suppressAutoHyphens/>
        <w:rPr>
          <w:b/>
          <w:noProof/>
          <w:szCs w:val="22"/>
        </w:rPr>
      </w:pPr>
      <w:r w:rsidRPr="0063119B">
        <w:rPr>
          <w:b/>
          <w:noProof/>
          <w:szCs w:val="22"/>
        </w:rPr>
        <w:t xml:space="preserve">Raros </w:t>
      </w:r>
      <w:r w:rsidRPr="0063119B">
        <w:rPr>
          <w:noProof/>
          <w:szCs w:val="22"/>
        </w:rPr>
        <w:t>(podem afetar até 1 em 1.000 pessoas)</w:t>
      </w:r>
    </w:p>
    <w:p w14:paraId="2D1F0314" w14:textId="77777777" w:rsidR="00084D33" w:rsidRPr="0063119B" w:rsidRDefault="00084D33" w:rsidP="00084D33">
      <w:pPr>
        <w:suppressAutoHyphens/>
        <w:rPr>
          <w:noProof/>
          <w:szCs w:val="22"/>
        </w:rPr>
      </w:pPr>
      <w:r w:rsidRPr="0063119B">
        <w:rPr>
          <w:noProof/>
          <w:szCs w:val="22"/>
        </w:rPr>
        <w:lastRenderedPageBreak/>
        <w:t>- hemorragia num músculo</w:t>
      </w:r>
    </w:p>
    <w:p w14:paraId="19C5D74F" w14:textId="77777777" w:rsidR="00072EF3" w:rsidRPr="0063119B" w:rsidRDefault="00072EF3" w:rsidP="00084D33">
      <w:pPr>
        <w:suppressAutoHyphens/>
        <w:rPr>
          <w:noProof/>
          <w:szCs w:val="22"/>
        </w:rPr>
      </w:pPr>
      <w:r w:rsidRPr="0063119B">
        <w:rPr>
          <w:noProof/>
          <w:szCs w:val="22"/>
        </w:rPr>
        <w:t xml:space="preserve">- </w:t>
      </w:r>
      <w:r w:rsidRPr="0063119B">
        <w:rPr>
          <w:szCs w:val="22"/>
        </w:rPr>
        <w:t>colestase (diminuição do f</w:t>
      </w:r>
      <w:r w:rsidR="00454F54" w:rsidRPr="0063119B">
        <w:rPr>
          <w:szCs w:val="22"/>
        </w:rPr>
        <w:t>luxo biliar), hepatite incl.</w:t>
      </w:r>
      <w:r w:rsidRPr="0063119B">
        <w:rPr>
          <w:szCs w:val="22"/>
        </w:rPr>
        <w:t xml:space="preserve"> lesão hepatocelular (</w:t>
      </w:r>
      <w:r w:rsidR="00454F54" w:rsidRPr="0063119B">
        <w:rPr>
          <w:szCs w:val="22"/>
        </w:rPr>
        <w:t xml:space="preserve">inflamação do </w:t>
      </w:r>
      <w:r w:rsidR="00F8021F" w:rsidRPr="0063119B">
        <w:rPr>
          <w:szCs w:val="22"/>
        </w:rPr>
        <w:t>fígado</w:t>
      </w:r>
      <w:r w:rsidRPr="0063119B">
        <w:rPr>
          <w:szCs w:val="22"/>
        </w:rPr>
        <w:t xml:space="preserve"> </w:t>
      </w:r>
      <w:r w:rsidR="00454F54" w:rsidRPr="0063119B">
        <w:rPr>
          <w:szCs w:val="22"/>
        </w:rPr>
        <w:t>incl. lesão do fígado</w:t>
      </w:r>
      <w:r w:rsidRPr="0063119B">
        <w:rPr>
          <w:szCs w:val="22"/>
        </w:rPr>
        <w:t>)</w:t>
      </w:r>
    </w:p>
    <w:p w14:paraId="55E1A6AC" w14:textId="77777777" w:rsidR="006D3081" w:rsidRPr="0063119B" w:rsidRDefault="006D3081" w:rsidP="006D3081">
      <w:pPr>
        <w:suppressAutoHyphens/>
        <w:rPr>
          <w:noProof/>
          <w:szCs w:val="22"/>
        </w:rPr>
      </w:pPr>
      <w:r w:rsidRPr="0063119B">
        <w:rPr>
          <w:noProof/>
          <w:szCs w:val="22"/>
        </w:rPr>
        <w:t>- amarelecimento da pele e dos olhos (icterícia)</w:t>
      </w:r>
    </w:p>
    <w:p w14:paraId="4CC3FE6F" w14:textId="77777777" w:rsidR="00756D7E" w:rsidRPr="0063119B" w:rsidRDefault="00756D7E" w:rsidP="00084D33">
      <w:pPr>
        <w:suppressAutoHyphens/>
        <w:rPr>
          <w:noProof/>
          <w:szCs w:val="22"/>
        </w:rPr>
      </w:pPr>
      <w:r w:rsidRPr="0063119B">
        <w:rPr>
          <w:noProof/>
          <w:szCs w:val="22"/>
        </w:rPr>
        <w:t>- inchaço localizado</w:t>
      </w:r>
    </w:p>
    <w:p w14:paraId="1604BC06" w14:textId="77777777" w:rsidR="00257EE9" w:rsidRPr="0063119B" w:rsidRDefault="00257EE9" w:rsidP="00793F92">
      <w:pPr>
        <w:suppressAutoHyphens/>
        <w:rPr>
          <w:noProof/>
          <w:szCs w:val="22"/>
        </w:rPr>
      </w:pPr>
      <w:r w:rsidRPr="0063119B">
        <w:rPr>
          <w:noProof/>
          <w:szCs w:val="22"/>
        </w:rPr>
        <w:t xml:space="preserve">- acumulação de sangue (hematoma) </w:t>
      </w:r>
      <w:r w:rsidR="00472C6E" w:rsidRPr="0063119B">
        <w:rPr>
          <w:noProof/>
          <w:szCs w:val="22"/>
        </w:rPr>
        <w:t>na sua virilha como uma complicação de um procedimento cardíaco no qual um cateter é inserido no interior de uma artéria da sua perna (pseudoaneurisma)</w:t>
      </w:r>
    </w:p>
    <w:p w14:paraId="4EADE189" w14:textId="4B553E53" w:rsidR="00084D33" w:rsidRDefault="00084D33" w:rsidP="00084D33">
      <w:pPr>
        <w:suppressAutoHyphens/>
        <w:rPr>
          <w:noProof/>
          <w:szCs w:val="22"/>
        </w:rPr>
      </w:pPr>
    </w:p>
    <w:p w14:paraId="19872F33" w14:textId="77777777" w:rsidR="002B5FBC" w:rsidRDefault="002B5FBC" w:rsidP="00084D33">
      <w:pPr>
        <w:suppressAutoHyphens/>
      </w:pPr>
      <w:r w:rsidRPr="006A13A4">
        <w:rPr>
          <w:b/>
          <w:bCs/>
        </w:rPr>
        <w:t>Muito raros</w:t>
      </w:r>
      <w:r>
        <w:t xml:space="preserve"> (podem afetar até 1 em 10 000 pessoas) </w:t>
      </w:r>
    </w:p>
    <w:p w14:paraId="2044C5A7" w14:textId="14C9B73C" w:rsidR="002B5FBC" w:rsidRDefault="002B5FBC" w:rsidP="00084D33">
      <w:pPr>
        <w:suppressAutoHyphens/>
        <w:rPr>
          <w:noProof/>
          <w:szCs w:val="22"/>
        </w:rPr>
      </w:pPr>
      <w:r>
        <w:t>- acumulação de eosinófilos, um tipo de glóbulos brancos, granulócitos, no sangue que causam inflamação no pulmão (pneumonia eosinofílica)</w:t>
      </w:r>
    </w:p>
    <w:p w14:paraId="0241F657" w14:textId="77777777" w:rsidR="002B5FBC" w:rsidRPr="0063119B" w:rsidRDefault="002B5FBC" w:rsidP="00084D33">
      <w:pPr>
        <w:suppressAutoHyphens/>
        <w:rPr>
          <w:noProof/>
          <w:szCs w:val="22"/>
        </w:rPr>
      </w:pPr>
    </w:p>
    <w:p w14:paraId="7FB216D0" w14:textId="77777777" w:rsidR="00084D33" w:rsidRPr="0063119B" w:rsidRDefault="00084D33" w:rsidP="00084D33">
      <w:pPr>
        <w:suppressAutoHyphens/>
        <w:rPr>
          <w:noProof/>
          <w:szCs w:val="22"/>
        </w:rPr>
      </w:pPr>
      <w:r w:rsidRPr="0063119B">
        <w:rPr>
          <w:b/>
          <w:noProof/>
          <w:szCs w:val="22"/>
        </w:rPr>
        <w:t xml:space="preserve">Desconhecido </w:t>
      </w:r>
      <w:r w:rsidRPr="0063119B">
        <w:rPr>
          <w:noProof/>
          <w:szCs w:val="22"/>
        </w:rPr>
        <w:t>(frequência não pode ser calculada a partir dos dados disponíveis)</w:t>
      </w:r>
    </w:p>
    <w:p w14:paraId="6E2225CB" w14:textId="77777777" w:rsidR="006D3081" w:rsidRDefault="006D3081" w:rsidP="006D3081">
      <w:pPr>
        <w:numPr>
          <w:ilvl w:val="0"/>
          <w:numId w:val="6"/>
        </w:numPr>
        <w:suppressAutoHyphens/>
        <w:ind w:left="142" w:hanging="142"/>
        <w:rPr>
          <w:noProof/>
          <w:szCs w:val="22"/>
        </w:rPr>
      </w:pPr>
      <w:r w:rsidRPr="0063119B">
        <w:rPr>
          <w:noProof/>
          <w:szCs w:val="22"/>
        </w:rPr>
        <w:t>insuficiência renal após uma hemorragia grave</w:t>
      </w:r>
    </w:p>
    <w:p w14:paraId="53FBE17B" w14:textId="7337255F" w:rsidR="007830B5" w:rsidRPr="0063119B" w:rsidRDefault="007830B5" w:rsidP="006D3081">
      <w:pPr>
        <w:numPr>
          <w:ilvl w:val="0"/>
          <w:numId w:val="6"/>
        </w:numPr>
        <w:suppressAutoHyphens/>
        <w:ind w:left="142" w:hanging="142"/>
        <w:rPr>
          <w:noProof/>
          <w:szCs w:val="22"/>
        </w:rPr>
      </w:pPr>
      <w:r>
        <w:t>hemorragia no rim, por vezes com presença de sangue na urina, levando à incapacidade dos rins funcionarem adequadamente (nefropatia relacionada com anticoagulante)</w:t>
      </w:r>
    </w:p>
    <w:p w14:paraId="2F10BCE1" w14:textId="77777777" w:rsidR="00084D33" w:rsidRPr="0063119B" w:rsidRDefault="00084D33" w:rsidP="00FF261B">
      <w:pPr>
        <w:numPr>
          <w:ilvl w:val="0"/>
          <w:numId w:val="6"/>
        </w:numPr>
        <w:suppressAutoHyphens/>
        <w:ind w:left="142" w:hanging="142"/>
        <w:rPr>
          <w:noProof/>
          <w:szCs w:val="22"/>
        </w:rPr>
      </w:pPr>
      <w:r w:rsidRPr="0063119B">
        <w:rPr>
          <w:noProof/>
          <w:szCs w:val="22"/>
        </w:rPr>
        <w:t>aumento da pressão nos músculos das pernas ou braços após uma hemorragia, que pode causar dor, inchaço, sensação alterada, adormecimento ou paralisia (síndrome compartimental após uma hemorragia)</w:t>
      </w:r>
    </w:p>
    <w:p w14:paraId="302ADF60" w14:textId="77777777" w:rsidR="00CA6E79" w:rsidRPr="0063119B" w:rsidRDefault="00CA6E79" w:rsidP="00084D33">
      <w:pPr>
        <w:suppressAutoHyphens/>
        <w:rPr>
          <w:b/>
          <w:noProof/>
          <w:szCs w:val="22"/>
        </w:rPr>
      </w:pPr>
    </w:p>
    <w:p w14:paraId="77C84555" w14:textId="77777777" w:rsidR="00CA6E79" w:rsidRPr="0063119B" w:rsidRDefault="00CA6E79" w:rsidP="00CA6E79">
      <w:pPr>
        <w:suppressAutoHyphens/>
        <w:rPr>
          <w:b/>
          <w:szCs w:val="22"/>
        </w:rPr>
      </w:pPr>
      <w:r w:rsidRPr="0063119B">
        <w:rPr>
          <w:b/>
          <w:noProof/>
          <w:szCs w:val="22"/>
        </w:rPr>
        <w:t xml:space="preserve">Comunicação de efeitos </w:t>
      </w:r>
      <w:r w:rsidR="00CC1A3A" w:rsidRPr="0063119B">
        <w:rPr>
          <w:b/>
          <w:noProof/>
          <w:szCs w:val="22"/>
        </w:rPr>
        <w:t>indesejáveis</w:t>
      </w:r>
    </w:p>
    <w:p w14:paraId="5918B774" w14:textId="77777777" w:rsidR="00084D33" w:rsidRPr="0063119B" w:rsidRDefault="00084D33" w:rsidP="00084D33">
      <w:pPr>
        <w:suppressAutoHyphens/>
        <w:rPr>
          <w:szCs w:val="22"/>
        </w:rPr>
      </w:pPr>
      <w:r w:rsidRPr="0063119B">
        <w:rPr>
          <w:noProof/>
          <w:szCs w:val="22"/>
        </w:rPr>
        <w:t xml:space="preserve">Se </w:t>
      </w:r>
      <w:r w:rsidRPr="0063119B">
        <w:rPr>
          <w:szCs w:val="22"/>
        </w:rPr>
        <w:t xml:space="preserve">tiver quaisquer efeitos </w:t>
      </w:r>
      <w:r w:rsidR="00CC1A3A" w:rsidRPr="0063119B">
        <w:rPr>
          <w:noProof/>
          <w:szCs w:val="22"/>
        </w:rPr>
        <w:t>indesejáveis</w:t>
      </w:r>
      <w:r w:rsidRPr="0063119B">
        <w:rPr>
          <w:szCs w:val="22"/>
        </w:rPr>
        <w:t xml:space="preserve">, incluindo possíveis efeitos </w:t>
      </w:r>
      <w:r w:rsidR="00CC1A3A" w:rsidRPr="0063119B">
        <w:rPr>
          <w:noProof/>
          <w:szCs w:val="22"/>
        </w:rPr>
        <w:t>indesejáveis</w:t>
      </w:r>
      <w:r w:rsidRPr="0063119B">
        <w:rPr>
          <w:szCs w:val="22"/>
        </w:rPr>
        <w:t xml:space="preserve"> não indicados neste folheto, fale com</w:t>
      </w:r>
      <w:r w:rsidRPr="0063119B">
        <w:rPr>
          <w:noProof/>
          <w:szCs w:val="22"/>
        </w:rPr>
        <w:t xml:space="preserve"> o seu médico ou farmacêutico.</w:t>
      </w:r>
      <w:r w:rsidR="00CA6E79" w:rsidRPr="0063119B">
        <w:rPr>
          <w:noProof/>
          <w:szCs w:val="22"/>
        </w:rPr>
        <w:t xml:space="preserve"> </w:t>
      </w:r>
      <w:r w:rsidR="00CA6E79" w:rsidRPr="0063119B">
        <w:rPr>
          <w:szCs w:val="22"/>
        </w:rPr>
        <w:t xml:space="preserve">Também poderá comunicar efeitos </w:t>
      </w:r>
      <w:r w:rsidR="00CC1A3A" w:rsidRPr="0063119B">
        <w:rPr>
          <w:noProof/>
          <w:szCs w:val="22"/>
        </w:rPr>
        <w:t>indesejáveis</w:t>
      </w:r>
      <w:r w:rsidR="00CA6E79" w:rsidRPr="0063119B">
        <w:rPr>
          <w:szCs w:val="22"/>
        </w:rPr>
        <w:t xml:space="preserve"> diretamente através </w:t>
      </w:r>
      <w:r w:rsidR="00CA6E79" w:rsidRPr="0063119B">
        <w:rPr>
          <w:szCs w:val="22"/>
          <w:highlight w:val="lightGray"/>
        </w:rPr>
        <w:t xml:space="preserve">do sistema nacional de notificação mencionado no </w:t>
      </w:r>
      <w:r w:rsidR="006D3081">
        <w:fldChar w:fldCharType="begin"/>
      </w:r>
      <w:r w:rsidR="006D3081">
        <w:instrText>HYPERLINK "http://www.ema.europa.eu/docs/en_GB/document_library/Template_or_form/2013/03/WC500139752.doc"</w:instrText>
      </w:r>
      <w:r w:rsidR="006D3081">
        <w:fldChar w:fldCharType="separate"/>
      </w:r>
      <w:r w:rsidR="006D3081" w:rsidRPr="0063119B">
        <w:rPr>
          <w:rStyle w:val="Hyperlink"/>
          <w:szCs w:val="22"/>
          <w:highlight w:val="lightGray"/>
        </w:rPr>
        <w:t>Appendix V</w:t>
      </w:r>
      <w:r w:rsidR="006D3081">
        <w:fldChar w:fldCharType="end"/>
      </w:r>
      <w:r w:rsidR="00CA6E79" w:rsidRPr="0063119B">
        <w:rPr>
          <w:szCs w:val="22"/>
        </w:rPr>
        <w:t xml:space="preserve">. Ao comunicar efeitos </w:t>
      </w:r>
      <w:r w:rsidR="00CC1A3A" w:rsidRPr="0063119B">
        <w:rPr>
          <w:noProof/>
          <w:szCs w:val="22"/>
        </w:rPr>
        <w:t>indesejáveis</w:t>
      </w:r>
      <w:r w:rsidR="00CA6E79" w:rsidRPr="0063119B">
        <w:rPr>
          <w:szCs w:val="22"/>
        </w:rPr>
        <w:t>, estará a ajudar a fornecer mais informações sobre a segurança deste medicamento.</w:t>
      </w:r>
    </w:p>
    <w:p w14:paraId="2442B46F" w14:textId="77777777" w:rsidR="00793F92" w:rsidRPr="0063119B" w:rsidRDefault="00793F92" w:rsidP="00084D33">
      <w:pPr>
        <w:suppressAutoHyphens/>
        <w:rPr>
          <w:noProof/>
          <w:szCs w:val="22"/>
        </w:rPr>
      </w:pPr>
    </w:p>
    <w:p w14:paraId="2E10D141" w14:textId="77777777" w:rsidR="00084D33" w:rsidRPr="0063119B" w:rsidRDefault="00084D33" w:rsidP="00084D33">
      <w:pPr>
        <w:suppressAutoHyphens/>
        <w:rPr>
          <w:noProof/>
          <w:szCs w:val="22"/>
        </w:rPr>
      </w:pPr>
    </w:p>
    <w:p w14:paraId="563876AA" w14:textId="77777777" w:rsidR="00084D33" w:rsidRPr="0063119B" w:rsidRDefault="00084D33" w:rsidP="00084D33">
      <w:pPr>
        <w:keepNext/>
        <w:suppressAutoHyphens/>
        <w:rPr>
          <w:noProof/>
          <w:szCs w:val="22"/>
        </w:rPr>
      </w:pPr>
      <w:r w:rsidRPr="0063119B">
        <w:rPr>
          <w:b/>
          <w:noProof/>
          <w:szCs w:val="22"/>
        </w:rPr>
        <w:t>5.</w:t>
      </w:r>
      <w:r w:rsidRPr="0063119B">
        <w:rPr>
          <w:b/>
          <w:noProof/>
          <w:szCs w:val="22"/>
        </w:rPr>
        <w:tab/>
        <w:t xml:space="preserve">Como conservar </w:t>
      </w:r>
      <w:r w:rsidR="00607DE4">
        <w:rPr>
          <w:b/>
          <w:noProof/>
          <w:szCs w:val="22"/>
        </w:rPr>
        <w:t>Rivaroxabano</w:t>
      </w:r>
      <w:r w:rsidR="001F7D02" w:rsidRPr="0063119B">
        <w:rPr>
          <w:b/>
          <w:noProof/>
          <w:szCs w:val="22"/>
        </w:rPr>
        <w:t xml:space="preserve"> Accord</w:t>
      </w:r>
    </w:p>
    <w:p w14:paraId="4F2D3F9C" w14:textId="77777777" w:rsidR="00084D33" w:rsidRPr="0063119B" w:rsidRDefault="00084D33" w:rsidP="00084D33">
      <w:pPr>
        <w:keepNext/>
        <w:suppressAutoHyphens/>
        <w:rPr>
          <w:noProof/>
          <w:szCs w:val="22"/>
        </w:rPr>
      </w:pPr>
    </w:p>
    <w:p w14:paraId="15EE1413" w14:textId="77777777" w:rsidR="00084D33" w:rsidRPr="0063119B" w:rsidRDefault="00084D33" w:rsidP="00084D33">
      <w:pPr>
        <w:keepNext/>
        <w:suppressAutoHyphens/>
        <w:rPr>
          <w:noProof/>
          <w:szCs w:val="22"/>
        </w:rPr>
      </w:pPr>
      <w:r w:rsidRPr="0063119B">
        <w:rPr>
          <w:noProof/>
          <w:szCs w:val="22"/>
        </w:rPr>
        <w:t>Manter este medicamento fora da vista e do alcance das crianças.</w:t>
      </w:r>
    </w:p>
    <w:p w14:paraId="6984CC8E" w14:textId="77777777" w:rsidR="00084D33" w:rsidRPr="0063119B" w:rsidRDefault="00084D33" w:rsidP="00084D33">
      <w:pPr>
        <w:suppressAutoHyphens/>
        <w:rPr>
          <w:noProof/>
          <w:szCs w:val="22"/>
        </w:rPr>
      </w:pPr>
    </w:p>
    <w:p w14:paraId="26A85182" w14:textId="77777777" w:rsidR="00084D33" w:rsidRPr="0063119B" w:rsidRDefault="00084D33" w:rsidP="00084D33">
      <w:pPr>
        <w:suppressAutoHyphens/>
        <w:rPr>
          <w:noProof/>
          <w:szCs w:val="22"/>
        </w:rPr>
      </w:pPr>
      <w:r w:rsidRPr="0063119B">
        <w:rPr>
          <w:noProof/>
          <w:szCs w:val="22"/>
        </w:rPr>
        <w:t>Não utilize este medicamento após o prazo de validade impresso na embalagem exterior e em cada blister</w:t>
      </w:r>
      <w:r w:rsidR="006D3081" w:rsidRPr="0063119B">
        <w:rPr>
          <w:noProof/>
          <w:szCs w:val="22"/>
        </w:rPr>
        <w:t xml:space="preserve"> ou frasco</w:t>
      </w:r>
      <w:r w:rsidRPr="0063119B">
        <w:rPr>
          <w:noProof/>
          <w:szCs w:val="22"/>
        </w:rPr>
        <w:t xml:space="preserve"> após EXP. O prazo de validade corresponde ao último dia do mês indicado.</w:t>
      </w:r>
    </w:p>
    <w:p w14:paraId="224BAD9D" w14:textId="77777777" w:rsidR="00084D33" w:rsidRPr="0063119B" w:rsidRDefault="00084D33" w:rsidP="00084D33">
      <w:pPr>
        <w:suppressAutoHyphens/>
        <w:rPr>
          <w:noProof/>
          <w:szCs w:val="22"/>
        </w:rPr>
      </w:pPr>
    </w:p>
    <w:p w14:paraId="4C501B27" w14:textId="77777777" w:rsidR="00084D33" w:rsidRPr="0063119B" w:rsidRDefault="00084D33" w:rsidP="00084D33">
      <w:pPr>
        <w:suppressAutoHyphens/>
        <w:rPr>
          <w:noProof/>
          <w:szCs w:val="22"/>
        </w:rPr>
      </w:pPr>
      <w:r w:rsidRPr="0063119B">
        <w:rPr>
          <w:noProof/>
          <w:szCs w:val="22"/>
        </w:rPr>
        <w:t>Este medicamento não necessita de condições especiais de conservação.</w:t>
      </w:r>
    </w:p>
    <w:p w14:paraId="382E8D12" w14:textId="77777777" w:rsidR="00084D33" w:rsidRDefault="00084D33" w:rsidP="00084D33">
      <w:pPr>
        <w:suppressAutoHyphens/>
        <w:rPr>
          <w:noProof/>
          <w:szCs w:val="22"/>
        </w:rPr>
      </w:pPr>
    </w:p>
    <w:p w14:paraId="6CE6C693" w14:textId="77777777" w:rsidR="00DA13B6" w:rsidRPr="00DA13B6" w:rsidRDefault="00DA13B6" w:rsidP="00DA13B6">
      <w:pPr>
        <w:autoSpaceDE w:val="0"/>
        <w:autoSpaceDN w:val="0"/>
        <w:adjustRightInd w:val="0"/>
        <w:rPr>
          <w:color w:val="000000"/>
          <w:szCs w:val="22"/>
          <w:lang w:eastAsia="pt-PT"/>
        </w:rPr>
      </w:pPr>
      <w:r w:rsidRPr="00DA13B6">
        <w:rPr>
          <w:color w:val="000000"/>
          <w:szCs w:val="22"/>
          <w:lang w:eastAsia="pt-PT"/>
        </w:rPr>
        <w:t xml:space="preserve">Trituração dos comprimidos </w:t>
      </w:r>
    </w:p>
    <w:p w14:paraId="6C5CE9D7" w14:textId="77777777" w:rsidR="00DA13B6" w:rsidRDefault="00DA13B6" w:rsidP="00DA13B6">
      <w:pPr>
        <w:suppressAutoHyphens/>
        <w:rPr>
          <w:color w:val="000000"/>
          <w:szCs w:val="22"/>
          <w:lang w:eastAsia="pt-PT"/>
        </w:rPr>
      </w:pPr>
      <w:r w:rsidRPr="00DA13B6">
        <w:rPr>
          <w:color w:val="000000"/>
          <w:szCs w:val="22"/>
          <w:lang w:eastAsia="pt-PT"/>
        </w:rPr>
        <w:t>Os comprimidos triturados são estáveis em água ou puré de maçã até 4 horas.</w:t>
      </w:r>
    </w:p>
    <w:p w14:paraId="4383C16F" w14:textId="77777777" w:rsidR="00DA13B6" w:rsidRPr="00EF3721" w:rsidRDefault="00DA13B6" w:rsidP="00DA13B6">
      <w:pPr>
        <w:suppressAutoHyphens/>
        <w:rPr>
          <w:color w:val="000000"/>
          <w:szCs w:val="22"/>
          <w:lang w:eastAsia="pt-PT"/>
        </w:rPr>
      </w:pPr>
    </w:p>
    <w:p w14:paraId="30A0A18E" w14:textId="77777777" w:rsidR="00084D33" w:rsidRPr="0063119B" w:rsidRDefault="00084D33" w:rsidP="00084D33">
      <w:pPr>
        <w:suppressAutoHyphens/>
        <w:rPr>
          <w:noProof/>
          <w:szCs w:val="22"/>
        </w:rPr>
      </w:pPr>
      <w:r w:rsidRPr="0063119B">
        <w:rPr>
          <w:szCs w:val="22"/>
        </w:rPr>
        <w:t>Não deite fora quaisquer</w:t>
      </w:r>
      <w:r w:rsidRPr="0063119B">
        <w:rPr>
          <w:noProof/>
          <w:szCs w:val="22"/>
        </w:rPr>
        <w:t xml:space="preserve"> medicamentos na canalização ou no lixo doméstico. Pergunte ao seu farmacêutico como deitar fora os medicamentos que já não utiliza. Estas medidas ajudarão a proteger o ambiente.</w:t>
      </w:r>
    </w:p>
    <w:p w14:paraId="1D62A373" w14:textId="77777777" w:rsidR="00084D33" w:rsidRPr="0063119B" w:rsidRDefault="00084D33" w:rsidP="00084D33">
      <w:pPr>
        <w:suppressAutoHyphens/>
        <w:ind w:left="567" w:hanging="567"/>
        <w:rPr>
          <w:b/>
          <w:noProof/>
          <w:szCs w:val="22"/>
        </w:rPr>
      </w:pPr>
    </w:p>
    <w:p w14:paraId="6C25249A" w14:textId="77777777" w:rsidR="00084D33" w:rsidRPr="0063119B" w:rsidRDefault="00084D33" w:rsidP="00084D33">
      <w:pPr>
        <w:suppressAutoHyphens/>
        <w:ind w:left="567" w:hanging="567"/>
        <w:rPr>
          <w:b/>
          <w:noProof/>
          <w:szCs w:val="22"/>
        </w:rPr>
      </w:pPr>
    </w:p>
    <w:p w14:paraId="67FA2021" w14:textId="77777777" w:rsidR="00084D33" w:rsidRPr="0063119B" w:rsidRDefault="00084D33" w:rsidP="001F10F8">
      <w:pPr>
        <w:keepNext/>
        <w:keepLines/>
        <w:suppressAutoHyphens/>
        <w:ind w:left="567" w:hanging="567"/>
        <w:rPr>
          <w:b/>
          <w:noProof/>
          <w:szCs w:val="22"/>
        </w:rPr>
      </w:pPr>
      <w:r w:rsidRPr="0063119B">
        <w:rPr>
          <w:b/>
          <w:noProof/>
          <w:szCs w:val="22"/>
        </w:rPr>
        <w:lastRenderedPageBreak/>
        <w:t>6.</w:t>
      </w:r>
      <w:r w:rsidRPr="0063119B">
        <w:rPr>
          <w:b/>
          <w:noProof/>
          <w:szCs w:val="22"/>
        </w:rPr>
        <w:tab/>
      </w:r>
      <w:r w:rsidRPr="0063119B">
        <w:rPr>
          <w:b/>
          <w:szCs w:val="22"/>
        </w:rPr>
        <w:t xml:space="preserve">Conteúdo da embalagem e </w:t>
      </w:r>
      <w:r w:rsidRPr="0063119B">
        <w:rPr>
          <w:b/>
          <w:noProof/>
          <w:szCs w:val="22"/>
        </w:rPr>
        <w:t>outras informações</w:t>
      </w:r>
    </w:p>
    <w:p w14:paraId="01AF7952" w14:textId="77777777" w:rsidR="00084D33" w:rsidRPr="0063119B" w:rsidRDefault="00084D33" w:rsidP="001F10F8">
      <w:pPr>
        <w:keepNext/>
        <w:keepLines/>
        <w:suppressAutoHyphens/>
        <w:rPr>
          <w:noProof/>
          <w:szCs w:val="22"/>
        </w:rPr>
      </w:pPr>
    </w:p>
    <w:p w14:paraId="43CDDE69" w14:textId="77777777" w:rsidR="00084D33" w:rsidRPr="0063119B" w:rsidRDefault="00084D33" w:rsidP="001F10F8">
      <w:pPr>
        <w:keepNext/>
        <w:keepLines/>
        <w:suppressAutoHyphens/>
        <w:rPr>
          <w:b/>
          <w:bCs/>
          <w:noProof/>
          <w:szCs w:val="22"/>
        </w:rPr>
      </w:pPr>
      <w:r w:rsidRPr="0063119B">
        <w:rPr>
          <w:b/>
          <w:bCs/>
          <w:noProof/>
          <w:szCs w:val="22"/>
        </w:rPr>
        <w:t xml:space="preserve">Qual a composição de </w:t>
      </w:r>
      <w:r w:rsidR="00607DE4">
        <w:rPr>
          <w:b/>
          <w:bCs/>
          <w:noProof/>
          <w:szCs w:val="22"/>
        </w:rPr>
        <w:t>Rivaroxabano</w:t>
      </w:r>
      <w:r w:rsidR="001F7D02" w:rsidRPr="0063119B">
        <w:rPr>
          <w:b/>
          <w:bCs/>
          <w:noProof/>
          <w:szCs w:val="22"/>
        </w:rPr>
        <w:t xml:space="preserve"> Accord</w:t>
      </w:r>
    </w:p>
    <w:p w14:paraId="4BDA2EA6" w14:textId="77777777" w:rsidR="00084D33" w:rsidRPr="0063119B" w:rsidRDefault="00084D33" w:rsidP="001F10F8">
      <w:pPr>
        <w:keepNext/>
        <w:keepLines/>
        <w:suppressAutoHyphens/>
        <w:rPr>
          <w:noProof/>
          <w:szCs w:val="22"/>
        </w:rPr>
      </w:pPr>
    </w:p>
    <w:p w14:paraId="0C3C723F" w14:textId="77777777" w:rsidR="00084D33" w:rsidRPr="0063119B" w:rsidRDefault="00084D33" w:rsidP="001F10F8">
      <w:pPr>
        <w:keepNext/>
        <w:keepLines/>
        <w:numPr>
          <w:ilvl w:val="0"/>
          <w:numId w:val="1"/>
        </w:numPr>
        <w:suppressAutoHyphens/>
        <w:ind w:left="567" w:hanging="567"/>
        <w:rPr>
          <w:noProof/>
          <w:szCs w:val="22"/>
        </w:rPr>
      </w:pPr>
      <w:r w:rsidRPr="0063119B">
        <w:rPr>
          <w:noProof/>
          <w:szCs w:val="22"/>
        </w:rPr>
        <w:t>A substância ativa é o rivaroxabano. Cada comprimido contém 10 mg de rivaroxabano.</w:t>
      </w:r>
    </w:p>
    <w:p w14:paraId="05F7897F" w14:textId="77777777" w:rsidR="00084D33" w:rsidRPr="0063119B" w:rsidRDefault="00084D33" w:rsidP="001F10F8">
      <w:pPr>
        <w:keepNext/>
        <w:keepLines/>
        <w:numPr>
          <w:ilvl w:val="0"/>
          <w:numId w:val="1"/>
        </w:numPr>
        <w:suppressAutoHyphens/>
        <w:ind w:left="567" w:hanging="567"/>
        <w:rPr>
          <w:noProof/>
          <w:szCs w:val="22"/>
        </w:rPr>
      </w:pPr>
      <w:r w:rsidRPr="0063119B">
        <w:rPr>
          <w:noProof/>
          <w:szCs w:val="22"/>
        </w:rPr>
        <w:t>Os outros componentes são:</w:t>
      </w:r>
    </w:p>
    <w:p w14:paraId="04627FDE" w14:textId="77777777" w:rsidR="00490175" w:rsidRPr="0063119B" w:rsidRDefault="00490175" w:rsidP="00490175">
      <w:pPr>
        <w:keepNext/>
        <w:keepLines/>
        <w:suppressAutoHyphens/>
        <w:rPr>
          <w:noProof/>
          <w:szCs w:val="22"/>
        </w:rPr>
      </w:pPr>
    </w:p>
    <w:p w14:paraId="51D01A00" w14:textId="77777777" w:rsidR="00490175" w:rsidRPr="0063119B" w:rsidRDefault="00084D33" w:rsidP="00490175">
      <w:pPr>
        <w:keepNext/>
        <w:keepLines/>
        <w:suppressAutoHyphens/>
        <w:rPr>
          <w:noProof/>
          <w:szCs w:val="22"/>
        </w:rPr>
      </w:pPr>
      <w:r w:rsidRPr="0063119B">
        <w:rPr>
          <w:noProof/>
          <w:szCs w:val="22"/>
          <w:u w:val="single"/>
        </w:rPr>
        <w:t>Núcleo do comprimido</w:t>
      </w:r>
      <w:r w:rsidRPr="0063119B">
        <w:rPr>
          <w:noProof/>
          <w:szCs w:val="22"/>
        </w:rPr>
        <w:t xml:space="preserve"> </w:t>
      </w:r>
    </w:p>
    <w:p w14:paraId="37824E3D" w14:textId="77777777" w:rsidR="00490175" w:rsidRPr="0063119B" w:rsidRDefault="00490175" w:rsidP="00490175">
      <w:pPr>
        <w:keepNext/>
        <w:suppressAutoHyphens/>
        <w:rPr>
          <w:noProof/>
          <w:szCs w:val="22"/>
        </w:rPr>
      </w:pPr>
      <w:r w:rsidRPr="0063119B">
        <w:rPr>
          <w:noProof/>
          <w:szCs w:val="22"/>
        </w:rPr>
        <w:t>Lactose mono-hidratada</w:t>
      </w:r>
    </w:p>
    <w:p w14:paraId="1D0044A4" w14:textId="77777777" w:rsidR="00490175" w:rsidRPr="0063119B" w:rsidRDefault="00490175" w:rsidP="00490175">
      <w:pPr>
        <w:keepNext/>
        <w:suppressAutoHyphens/>
        <w:rPr>
          <w:noProof/>
          <w:szCs w:val="22"/>
        </w:rPr>
      </w:pPr>
      <w:r w:rsidRPr="0063119B">
        <w:rPr>
          <w:noProof/>
          <w:szCs w:val="22"/>
        </w:rPr>
        <w:t>Croscarmelose sódica (E468)</w:t>
      </w:r>
    </w:p>
    <w:p w14:paraId="2E56102F" w14:textId="77777777" w:rsidR="00490175" w:rsidRPr="0063119B" w:rsidRDefault="00490175" w:rsidP="00490175">
      <w:pPr>
        <w:keepNext/>
        <w:suppressAutoHyphens/>
        <w:rPr>
          <w:noProof/>
          <w:szCs w:val="22"/>
        </w:rPr>
      </w:pPr>
      <w:r w:rsidRPr="0063119B">
        <w:rPr>
          <w:noProof/>
          <w:szCs w:val="22"/>
        </w:rPr>
        <w:t>Laurilsulfato de sódio (E487)</w:t>
      </w:r>
    </w:p>
    <w:p w14:paraId="36B7B54A" w14:textId="77777777" w:rsidR="00490175" w:rsidRPr="0063119B" w:rsidRDefault="00490175" w:rsidP="00490175">
      <w:pPr>
        <w:keepNext/>
        <w:suppressAutoHyphens/>
        <w:rPr>
          <w:noProof/>
          <w:szCs w:val="22"/>
        </w:rPr>
      </w:pPr>
      <w:r w:rsidRPr="0063119B">
        <w:rPr>
          <w:noProof/>
          <w:szCs w:val="22"/>
        </w:rPr>
        <w:t>Hipromelose</w:t>
      </w:r>
      <w:r w:rsidR="00F57713" w:rsidRPr="0063119B">
        <w:rPr>
          <w:noProof/>
          <w:szCs w:val="22"/>
        </w:rPr>
        <w:t xml:space="preserve"> 2910 (viscosidade nominal 5,1 mPa.S) </w:t>
      </w:r>
      <w:r w:rsidRPr="0063119B">
        <w:rPr>
          <w:noProof/>
          <w:szCs w:val="22"/>
        </w:rPr>
        <w:t xml:space="preserve"> (E464)</w:t>
      </w:r>
    </w:p>
    <w:p w14:paraId="40B2A609" w14:textId="77777777" w:rsidR="00490175" w:rsidRPr="0063119B" w:rsidRDefault="00490175" w:rsidP="00490175">
      <w:pPr>
        <w:keepNext/>
        <w:suppressAutoHyphens/>
        <w:rPr>
          <w:noProof/>
          <w:szCs w:val="22"/>
        </w:rPr>
      </w:pPr>
      <w:r w:rsidRPr="0063119B">
        <w:rPr>
          <w:noProof/>
          <w:szCs w:val="22"/>
        </w:rPr>
        <w:t>Celulose microcristalina (E460)</w:t>
      </w:r>
    </w:p>
    <w:p w14:paraId="20986C0E" w14:textId="77777777" w:rsidR="00490175" w:rsidRPr="0063119B" w:rsidRDefault="00490175" w:rsidP="00490175">
      <w:pPr>
        <w:keepNext/>
        <w:suppressAutoHyphens/>
        <w:rPr>
          <w:noProof/>
          <w:szCs w:val="22"/>
        </w:rPr>
      </w:pPr>
      <w:r w:rsidRPr="0063119B">
        <w:rPr>
          <w:noProof/>
          <w:szCs w:val="22"/>
        </w:rPr>
        <w:t>Sílica coloidal anidra (E551)</w:t>
      </w:r>
    </w:p>
    <w:p w14:paraId="12762530" w14:textId="77777777" w:rsidR="00490175" w:rsidRPr="0063119B" w:rsidRDefault="00490175" w:rsidP="00490175">
      <w:pPr>
        <w:keepNext/>
        <w:suppressAutoHyphens/>
        <w:rPr>
          <w:noProof/>
          <w:szCs w:val="22"/>
        </w:rPr>
      </w:pPr>
      <w:r w:rsidRPr="0063119B">
        <w:rPr>
          <w:noProof/>
          <w:szCs w:val="22"/>
        </w:rPr>
        <w:t>Estearato de magnésio (E572)</w:t>
      </w:r>
    </w:p>
    <w:p w14:paraId="597D5C95" w14:textId="77777777" w:rsidR="00490175" w:rsidRPr="0063119B" w:rsidRDefault="00490175" w:rsidP="000B293C">
      <w:pPr>
        <w:keepNext/>
        <w:keepLines/>
        <w:suppressAutoHyphens/>
        <w:rPr>
          <w:noProof/>
          <w:szCs w:val="22"/>
        </w:rPr>
      </w:pPr>
    </w:p>
    <w:p w14:paraId="3955982C" w14:textId="77777777" w:rsidR="00490175" w:rsidRPr="0063119B" w:rsidRDefault="00084D33" w:rsidP="00490175">
      <w:pPr>
        <w:suppressAutoHyphens/>
        <w:rPr>
          <w:noProof/>
          <w:szCs w:val="22"/>
        </w:rPr>
      </w:pPr>
      <w:r w:rsidRPr="0063119B">
        <w:rPr>
          <w:noProof/>
          <w:szCs w:val="22"/>
          <w:u w:val="single"/>
        </w:rPr>
        <w:t>Revestimento</w:t>
      </w:r>
      <w:r w:rsidR="00687BD2" w:rsidRPr="0063119B">
        <w:rPr>
          <w:noProof/>
          <w:szCs w:val="22"/>
          <w:u w:val="single"/>
        </w:rPr>
        <w:t xml:space="preserve"> por película</w:t>
      </w:r>
    </w:p>
    <w:p w14:paraId="23BB93DF" w14:textId="77777777" w:rsidR="00490175" w:rsidRPr="0063119B" w:rsidRDefault="00490175" w:rsidP="00490175">
      <w:pPr>
        <w:suppressAutoHyphens/>
        <w:rPr>
          <w:noProof/>
          <w:szCs w:val="22"/>
        </w:rPr>
      </w:pPr>
    </w:p>
    <w:p w14:paraId="6E249B37" w14:textId="77777777" w:rsidR="00490175" w:rsidRPr="0063119B" w:rsidRDefault="00D64F59" w:rsidP="00490175">
      <w:pPr>
        <w:suppressAutoHyphens/>
        <w:rPr>
          <w:noProof/>
          <w:szCs w:val="22"/>
        </w:rPr>
      </w:pPr>
      <w:r w:rsidRPr="0063119B">
        <w:rPr>
          <w:noProof/>
          <w:szCs w:val="22"/>
        </w:rPr>
        <w:t>Macrog</w:t>
      </w:r>
      <w:r w:rsidR="00490175" w:rsidRPr="0063119B">
        <w:rPr>
          <w:noProof/>
          <w:szCs w:val="22"/>
        </w:rPr>
        <w:t>ol 4000 (E1521)</w:t>
      </w:r>
    </w:p>
    <w:p w14:paraId="0D637895" w14:textId="77777777" w:rsidR="00490175" w:rsidRPr="0063119B" w:rsidRDefault="00490175" w:rsidP="00490175">
      <w:pPr>
        <w:suppressAutoHyphens/>
        <w:rPr>
          <w:noProof/>
          <w:szCs w:val="22"/>
        </w:rPr>
      </w:pPr>
      <w:r w:rsidRPr="0063119B">
        <w:rPr>
          <w:noProof/>
          <w:szCs w:val="22"/>
        </w:rPr>
        <w:t xml:space="preserve">Hipromelose </w:t>
      </w:r>
      <w:r w:rsidR="00F57713" w:rsidRPr="0063119B">
        <w:rPr>
          <w:noProof/>
          <w:szCs w:val="22"/>
        </w:rPr>
        <w:t xml:space="preserve">2910 (viscosidade nominal 5,1 mPa.S) </w:t>
      </w:r>
      <w:r w:rsidRPr="0063119B">
        <w:rPr>
          <w:noProof/>
          <w:szCs w:val="22"/>
        </w:rPr>
        <w:t>(E464)</w:t>
      </w:r>
    </w:p>
    <w:p w14:paraId="3C159950" w14:textId="77777777" w:rsidR="00490175" w:rsidRPr="0063119B" w:rsidRDefault="00490175" w:rsidP="00490175">
      <w:pPr>
        <w:suppressAutoHyphens/>
        <w:rPr>
          <w:noProof/>
          <w:szCs w:val="22"/>
        </w:rPr>
      </w:pPr>
      <w:r w:rsidRPr="0063119B">
        <w:rPr>
          <w:noProof/>
          <w:szCs w:val="22"/>
        </w:rPr>
        <w:t>Dióxido de titânio (E171)</w:t>
      </w:r>
    </w:p>
    <w:p w14:paraId="23A759D9" w14:textId="77777777" w:rsidR="00084D33" w:rsidRPr="0063119B" w:rsidRDefault="00490175" w:rsidP="000B293C">
      <w:pPr>
        <w:suppressAutoHyphens/>
        <w:rPr>
          <w:noProof/>
          <w:szCs w:val="22"/>
        </w:rPr>
      </w:pPr>
      <w:r w:rsidRPr="0063119B">
        <w:rPr>
          <w:noProof/>
          <w:szCs w:val="22"/>
        </w:rPr>
        <w:t>Ó</w:t>
      </w:r>
      <w:r w:rsidR="00084D33" w:rsidRPr="0063119B">
        <w:rPr>
          <w:noProof/>
          <w:szCs w:val="22"/>
        </w:rPr>
        <w:t>xido de ferro vermelho (E172).</w:t>
      </w:r>
    </w:p>
    <w:p w14:paraId="662E8DC1" w14:textId="77777777" w:rsidR="008121A9" w:rsidRPr="0063119B" w:rsidRDefault="008121A9" w:rsidP="00084D33">
      <w:pPr>
        <w:suppressAutoHyphens/>
        <w:rPr>
          <w:b/>
          <w:bCs/>
          <w:noProof/>
          <w:szCs w:val="22"/>
        </w:rPr>
      </w:pPr>
    </w:p>
    <w:p w14:paraId="23012099" w14:textId="77777777" w:rsidR="00084D33" w:rsidRPr="0063119B" w:rsidRDefault="00084D33" w:rsidP="00084D33">
      <w:pPr>
        <w:suppressAutoHyphens/>
        <w:rPr>
          <w:b/>
          <w:bCs/>
          <w:noProof/>
          <w:szCs w:val="22"/>
        </w:rPr>
      </w:pPr>
      <w:r w:rsidRPr="0063119B">
        <w:rPr>
          <w:b/>
          <w:bCs/>
          <w:noProof/>
          <w:szCs w:val="22"/>
        </w:rPr>
        <w:t xml:space="preserve">Qual o aspeto de </w:t>
      </w:r>
      <w:r w:rsidR="00607DE4">
        <w:rPr>
          <w:b/>
          <w:bCs/>
          <w:noProof/>
          <w:szCs w:val="22"/>
        </w:rPr>
        <w:t>Rivaroxabano</w:t>
      </w:r>
      <w:r w:rsidR="001F7D02" w:rsidRPr="0063119B">
        <w:rPr>
          <w:b/>
          <w:bCs/>
          <w:noProof/>
          <w:szCs w:val="22"/>
        </w:rPr>
        <w:t xml:space="preserve"> Accord</w:t>
      </w:r>
      <w:r w:rsidRPr="0063119B">
        <w:rPr>
          <w:b/>
          <w:bCs/>
          <w:noProof/>
          <w:szCs w:val="22"/>
        </w:rPr>
        <w:t xml:space="preserve"> e conteúdo da embalagem</w:t>
      </w:r>
    </w:p>
    <w:p w14:paraId="7D4C4E3E" w14:textId="77777777" w:rsidR="00B34EAD" w:rsidRPr="0063119B" w:rsidRDefault="00607DE4" w:rsidP="00084D33">
      <w:pPr>
        <w:suppressAutoHyphens/>
        <w:rPr>
          <w:noProof/>
          <w:szCs w:val="22"/>
        </w:rPr>
      </w:pPr>
      <w:r>
        <w:rPr>
          <w:noProof/>
          <w:szCs w:val="22"/>
        </w:rPr>
        <w:t>Rivaroxabano</w:t>
      </w:r>
      <w:r w:rsidR="001F7D02" w:rsidRPr="0063119B">
        <w:rPr>
          <w:noProof/>
          <w:szCs w:val="22"/>
        </w:rPr>
        <w:t xml:space="preserve"> Accord</w:t>
      </w:r>
      <w:r w:rsidR="002B273D" w:rsidRPr="0063119B">
        <w:rPr>
          <w:noProof/>
          <w:szCs w:val="22"/>
        </w:rPr>
        <w:t xml:space="preserve"> 10 mg </w:t>
      </w:r>
      <w:r w:rsidR="00084D33" w:rsidRPr="0063119B">
        <w:rPr>
          <w:noProof/>
          <w:szCs w:val="22"/>
        </w:rPr>
        <w:t xml:space="preserve">comprimidos revestidos por película são </w:t>
      </w:r>
      <w:r w:rsidR="00D64F59" w:rsidRPr="0063119B">
        <w:rPr>
          <w:noProof/>
          <w:szCs w:val="22"/>
        </w:rPr>
        <w:t xml:space="preserve">comprimidos </w:t>
      </w:r>
      <w:r w:rsidR="00490175" w:rsidRPr="0063119B">
        <w:rPr>
          <w:noProof/>
          <w:szCs w:val="22"/>
        </w:rPr>
        <w:t>revestidos por película, biconvexos, redondos, com aproximadamente 6</w:t>
      </w:r>
      <w:r w:rsidR="00345924" w:rsidRPr="0063119B">
        <w:rPr>
          <w:noProof/>
          <w:szCs w:val="22"/>
        </w:rPr>
        <w:t>,00</w:t>
      </w:r>
      <w:r w:rsidR="00490175" w:rsidRPr="0063119B">
        <w:rPr>
          <w:noProof/>
          <w:szCs w:val="22"/>
        </w:rPr>
        <w:t xml:space="preserve"> mm de diâmetro, cor </w:t>
      </w:r>
      <w:r w:rsidR="00084D33" w:rsidRPr="0063119B">
        <w:rPr>
          <w:noProof/>
          <w:szCs w:val="22"/>
        </w:rPr>
        <w:t xml:space="preserve">de </w:t>
      </w:r>
      <w:r w:rsidR="00D64F59" w:rsidRPr="0063119B">
        <w:rPr>
          <w:noProof/>
          <w:szCs w:val="22"/>
        </w:rPr>
        <w:t>rosa a cor de rosa</w:t>
      </w:r>
      <w:r w:rsidR="00084D33" w:rsidRPr="0063119B">
        <w:rPr>
          <w:noProof/>
          <w:szCs w:val="22"/>
        </w:rPr>
        <w:t xml:space="preserve"> claro, </w:t>
      </w:r>
      <w:r w:rsidR="00490175" w:rsidRPr="0063119B">
        <w:rPr>
          <w:noProof/>
          <w:szCs w:val="22"/>
        </w:rPr>
        <w:t>com a gravação”IL1” numa das faces e lisos na outra face.</w:t>
      </w:r>
      <w:r w:rsidR="00084D33" w:rsidRPr="0063119B">
        <w:rPr>
          <w:noProof/>
          <w:szCs w:val="22"/>
        </w:rPr>
        <w:t xml:space="preserve"> </w:t>
      </w:r>
    </w:p>
    <w:p w14:paraId="7362975B" w14:textId="77777777" w:rsidR="00B34EAD" w:rsidRPr="0063119B" w:rsidRDefault="00607DE4" w:rsidP="00084D33">
      <w:pPr>
        <w:suppressAutoHyphens/>
        <w:rPr>
          <w:noProof/>
          <w:szCs w:val="22"/>
        </w:rPr>
      </w:pPr>
      <w:r>
        <w:rPr>
          <w:noProof/>
          <w:szCs w:val="22"/>
        </w:rPr>
        <w:t>Rivaroxabano</w:t>
      </w:r>
      <w:r w:rsidR="00490175" w:rsidRPr="0063119B">
        <w:rPr>
          <w:noProof/>
          <w:szCs w:val="22"/>
        </w:rPr>
        <w:t xml:space="preserve"> Accord comprimidos revestidos por película são acondicionados em blisters de PVC transparente/alumínio disponíveis:</w:t>
      </w:r>
    </w:p>
    <w:p w14:paraId="2855818F" w14:textId="77777777" w:rsidR="00B34EAD" w:rsidRPr="0063119B" w:rsidRDefault="00B34EAD" w:rsidP="00084D33">
      <w:pPr>
        <w:suppressAutoHyphens/>
        <w:rPr>
          <w:noProof/>
          <w:szCs w:val="22"/>
        </w:rPr>
      </w:pPr>
      <w:r w:rsidRPr="0063119B">
        <w:rPr>
          <w:noProof/>
          <w:szCs w:val="22"/>
        </w:rPr>
        <w:t>-</w:t>
      </w:r>
      <w:r w:rsidRPr="0063119B">
        <w:rPr>
          <w:noProof/>
          <w:szCs w:val="22"/>
        </w:rPr>
        <w:tab/>
      </w:r>
      <w:r w:rsidR="00084D33" w:rsidRPr="0063119B">
        <w:rPr>
          <w:noProof/>
          <w:szCs w:val="22"/>
        </w:rPr>
        <w:t>em blisters de 5, 10</w:t>
      </w:r>
      <w:r w:rsidR="00902E2B" w:rsidRPr="0063119B">
        <w:rPr>
          <w:noProof/>
          <w:szCs w:val="22"/>
        </w:rPr>
        <w:t>, 14, 28,</w:t>
      </w:r>
      <w:r w:rsidR="00084D33" w:rsidRPr="0063119B">
        <w:rPr>
          <w:noProof/>
          <w:szCs w:val="22"/>
        </w:rPr>
        <w:t xml:space="preserve"> 30</w:t>
      </w:r>
      <w:r w:rsidR="00490175" w:rsidRPr="0063119B">
        <w:rPr>
          <w:noProof/>
          <w:szCs w:val="22"/>
        </w:rPr>
        <w:t>,</w:t>
      </w:r>
      <w:r w:rsidR="00902E2B" w:rsidRPr="0063119B">
        <w:rPr>
          <w:noProof/>
          <w:szCs w:val="22"/>
        </w:rPr>
        <w:t xml:space="preserve"> 98</w:t>
      </w:r>
      <w:r w:rsidR="00490175" w:rsidRPr="0063119B">
        <w:rPr>
          <w:noProof/>
          <w:szCs w:val="22"/>
        </w:rPr>
        <w:t xml:space="preserve"> ou 100</w:t>
      </w:r>
      <w:r w:rsidR="00902E2B" w:rsidRPr="0063119B">
        <w:rPr>
          <w:noProof/>
          <w:szCs w:val="22"/>
        </w:rPr>
        <w:t> </w:t>
      </w:r>
      <w:r w:rsidR="00084D33" w:rsidRPr="0063119B">
        <w:rPr>
          <w:noProof/>
          <w:szCs w:val="22"/>
        </w:rPr>
        <w:t>comprimidos ou</w:t>
      </w:r>
    </w:p>
    <w:p w14:paraId="73581C65" w14:textId="77777777" w:rsidR="00490175" w:rsidRPr="0063119B" w:rsidRDefault="00B34EAD" w:rsidP="00490175">
      <w:pPr>
        <w:suppressAutoHyphens/>
        <w:rPr>
          <w:noProof/>
          <w:szCs w:val="22"/>
        </w:rPr>
      </w:pPr>
      <w:r w:rsidRPr="0063119B">
        <w:rPr>
          <w:noProof/>
          <w:szCs w:val="22"/>
        </w:rPr>
        <w:t>-</w:t>
      </w:r>
      <w:r w:rsidRPr="0063119B">
        <w:rPr>
          <w:noProof/>
          <w:szCs w:val="22"/>
        </w:rPr>
        <w:tab/>
        <w:t>em</w:t>
      </w:r>
      <w:r w:rsidR="00084D33" w:rsidRPr="0063119B">
        <w:rPr>
          <w:noProof/>
          <w:szCs w:val="22"/>
        </w:rPr>
        <w:t xml:space="preserve"> blisters </w:t>
      </w:r>
      <w:r w:rsidR="00490175" w:rsidRPr="0063119B">
        <w:rPr>
          <w:noProof/>
          <w:szCs w:val="22"/>
        </w:rPr>
        <w:t xml:space="preserve">perfurados </w:t>
      </w:r>
      <w:r w:rsidR="00084D33" w:rsidRPr="0063119B">
        <w:rPr>
          <w:noProof/>
          <w:szCs w:val="22"/>
        </w:rPr>
        <w:t>para dose unitária de 10 x 1 ou 100 x 1</w:t>
      </w:r>
      <w:r w:rsidR="00490175" w:rsidRPr="0063119B">
        <w:rPr>
          <w:noProof/>
          <w:szCs w:val="22"/>
        </w:rPr>
        <w:t> comprimidos.</w:t>
      </w:r>
    </w:p>
    <w:p w14:paraId="1646398B" w14:textId="77777777" w:rsidR="00084D33" w:rsidRPr="0063119B" w:rsidRDefault="00607DE4" w:rsidP="00490175">
      <w:pPr>
        <w:suppressAutoHyphens/>
        <w:rPr>
          <w:noProof/>
          <w:szCs w:val="22"/>
        </w:rPr>
      </w:pPr>
      <w:r>
        <w:rPr>
          <w:noProof/>
          <w:szCs w:val="22"/>
        </w:rPr>
        <w:t>Rivaroxabano</w:t>
      </w:r>
      <w:r w:rsidR="00490175" w:rsidRPr="0063119B">
        <w:rPr>
          <w:noProof/>
          <w:szCs w:val="22"/>
        </w:rPr>
        <w:t xml:space="preserve"> Accord comprimidos revestidos por película também estão disponíveis </w:t>
      </w:r>
      <w:r w:rsidR="00902E2B" w:rsidRPr="0063119B">
        <w:rPr>
          <w:noProof/>
          <w:szCs w:val="22"/>
        </w:rPr>
        <w:t xml:space="preserve">em frascos de </w:t>
      </w:r>
      <w:r w:rsidR="00490175" w:rsidRPr="0063119B">
        <w:rPr>
          <w:noProof/>
          <w:szCs w:val="22"/>
        </w:rPr>
        <w:t xml:space="preserve">PEAD contendo </w:t>
      </w:r>
      <w:r w:rsidR="00D64F59" w:rsidRPr="0063119B">
        <w:rPr>
          <w:noProof/>
          <w:szCs w:val="22"/>
        </w:rPr>
        <w:t>30, 90 ou 5</w:t>
      </w:r>
      <w:r w:rsidR="00902E2B" w:rsidRPr="0063119B">
        <w:rPr>
          <w:noProof/>
          <w:szCs w:val="22"/>
        </w:rPr>
        <w:t>00 comprimidos</w:t>
      </w:r>
      <w:r w:rsidR="00084D33" w:rsidRPr="0063119B">
        <w:rPr>
          <w:noProof/>
          <w:szCs w:val="22"/>
        </w:rPr>
        <w:t>.</w:t>
      </w:r>
    </w:p>
    <w:p w14:paraId="1F1A3DE0" w14:textId="77777777" w:rsidR="00AF0534" w:rsidRPr="0063119B" w:rsidRDefault="00AF0534" w:rsidP="00084D33">
      <w:pPr>
        <w:suppressAutoHyphens/>
        <w:rPr>
          <w:noProof/>
          <w:szCs w:val="22"/>
        </w:rPr>
      </w:pPr>
    </w:p>
    <w:p w14:paraId="4CC46C94" w14:textId="77777777" w:rsidR="00084D33" w:rsidRPr="0063119B" w:rsidRDefault="00084D33" w:rsidP="00084D33">
      <w:pPr>
        <w:suppressAutoHyphens/>
        <w:rPr>
          <w:noProof/>
          <w:szCs w:val="22"/>
        </w:rPr>
      </w:pPr>
      <w:r w:rsidRPr="0063119B">
        <w:rPr>
          <w:noProof/>
          <w:szCs w:val="22"/>
        </w:rPr>
        <w:t>É possível que não sejam comercializadas todas as apresentações.</w:t>
      </w:r>
    </w:p>
    <w:p w14:paraId="26863811" w14:textId="77777777" w:rsidR="00084D33" w:rsidRPr="0063119B" w:rsidRDefault="00084D33" w:rsidP="00084D33">
      <w:pPr>
        <w:suppressAutoHyphens/>
        <w:rPr>
          <w:noProof/>
          <w:szCs w:val="22"/>
        </w:rPr>
      </w:pPr>
    </w:p>
    <w:p w14:paraId="0621B6E7" w14:textId="77777777" w:rsidR="00084D33" w:rsidRPr="0063119B" w:rsidRDefault="00084D33" w:rsidP="00084D33">
      <w:pPr>
        <w:keepNext/>
        <w:suppressAutoHyphens/>
        <w:rPr>
          <w:b/>
          <w:bCs/>
          <w:noProof/>
          <w:szCs w:val="22"/>
        </w:rPr>
      </w:pPr>
      <w:r w:rsidRPr="0063119B">
        <w:rPr>
          <w:b/>
          <w:bCs/>
          <w:noProof/>
          <w:szCs w:val="22"/>
        </w:rPr>
        <w:t>Titular da Autorização de Introdução no Mercado</w:t>
      </w:r>
    </w:p>
    <w:p w14:paraId="56725D69" w14:textId="77777777" w:rsidR="00084D33" w:rsidRPr="0063119B" w:rsidRDefault="00084D33" w:rsidP="00084D33">
      <w:pPr>
        <w:keepNext/>
        <w:suppressAutoHyphens/>
        <w:rPr>
          <w:noProof/>
          <w:szCs w:val="22"/>
        </w:rPr>
      </w:pPr>
    </w:p>
    <w:p w14:paraId="7C766666" w14:textId="77777777" w:rsidR="00490175" w:rsidRPr="0063119B" w:rsidRDefault="00490175" w:rsidP="00490175">
      <w:pPr>
        <w:rPr>
          <w:szCs w:val="22"/>
          <w:lang w:val="en-GB"/>
        </w:rPr>
      </w:pPr>
      <w:r w:rsidRPr="0063119B">
        <w:rPr>
          <w:szCs w:val="22"/>
          <w:lang w:val="en-GB"/>
        </w:rPr>
        <w:t>Accord Healthcare S.L.U.</w:t>
      </w:r>
    </w:p>
    <w:p w14:paraId="65434E6A" w14:textId="77777777" w:rsidR="00490175" w:rsidRPr="0063119B" w:rsidRDefault="00490175" w:rsidP="00490175">
      <w:pPr>
        <w:rPr>
          <w:szCs w:val="22"/>
        </w:rPr>
      </w:pPr>
      <w:r w:rsidRPr="0063119B">
        <w:rPr>
          <w:szCs w:val="22"/>
        </w:rPr>
        <w:t xml:space="preserve">World Trade Center, Moll de Barcelona, s/n, Edifici Est 6ª planta, </w:t>
      </w:r>
    </w:p>
    <w:p w14:paraId="62241FFB" w14:textId="77777777" w:rsidR="00490175" w:rsidRPr="0063119B" w:rsidRDefault="00490175" w:rsidP="00490175">
      <w:pPr>
        <w:rPr>
          <w:szCs w:val="22"/>
        </w:rPr>
      </w:pPr>
      <w:r w:rsidRPr="0063119B">
        <w:rPr>
          <w:szCs w:val="22"/>
        </w:rPr>
        <w:t>Barcelona, 08039</w:t>
      </w:r>
    </w:p>
    <w:p w14:paraId="1EEBDA78" w14:textId="77777777" w:rsidR="00E00EFB" w:rsidRPr="0063119B" w:rsidRDefault="00490175" w:rsidP="00084D33">
      <w:pPr>
        <w:suppressAutoHyphens/>
        <w:rPr>
          <w:noProof/>
          <w:szCs w:val="22"/>
        </w:rPr>
      </w:pPr>
      <w:r w:rsidRPr="0063119B">
        <w:rPr>
          <w:szCs w:val="22"/>
        </w:rPr>
        <w:t>Espanha</w:t>
      </w:r>
    </w:p>
    <w:p w14:paraId="5928F1DA" w14:textId="77777777" w:rsidR="00E00EFB" w:rsidRPr="0063119B" w:rsidRDefault="00E00EFB" w:rsidP="00084D33">
      <w:pPr>
        <w:suppressAutoHyphens/>
        <w:rPr>
          <w:noProof/>
          <w:szCs w:val="22"/>
        </w:rPr>
      </w:pPr>
    </w:p>
    <w:p w14:paraId="12D3243F" w14:textId="77777777" w:rsidR="00E00EFB" w:rsidRPr="001C3EB7" w:rsidRDefault="00084D33" w:rsidP="003311FD">
      <w:pPr>
        <w:suppressAutoHyphens/>
        <w:rPr>
          <w:b/>
          <w:bCs/>
          <w:noProof/>
          <w:szCs w:val="22"/>
        </w:rPr>
      </w:pPr>
      <w:r w:rsidRPr="001C3EB7">
        <w:rPr>
          <w:b/>
          <w:bCs/>
          <w:noProof/>
          <w:szCs w:val="22"/>
        </w:rPr>
        <w:t>Fabricante</w:t>
      </w:r>
    </w:p>
    <w:p w14:paraId="49223584" w14:textId="77777777" w:rsidR="00490175" w:rsidRPr="001C3EB7" w:rsidRDefault="00490175" w:rsidP="00490175">
      <w:pPr>
        <w:keepNext/>
        <w:numPr>
          <w:ilvl w:val="12"/>
          <w:numId w:val="0"/>
        </w:numPr>
        <w:suppressAutoHyphens/>
        <w:rPr>
          <w:noProof/>
          <w:szCs w:val="22"/>
        </w:rPr>
      </w:pPr>
    </w:p>
    <w:p w14:paraId="406BDE5F" w14:textId="77777777" w:rsidR="00490175" w:rsidRPr="001C3EB7" w:rsidRDefault="00490175" w:rsidP="00490175">
      <w:pPr>
        <w:keepNext/>
        <w:contextualSpacing/>
        <w:rPr>
          <w:szCs w:val="22"/>
        </w:rPr>
      </w:pPr>
      <w:r w:rsidRPr="001C3EB7">
        <w:rPr>
          <w:szCs w:val="22"/>
        </w:rPr>
        <w:t>Accord Healthcare Polska Sp. z o.o.</w:t>
      </w:r>
    </w:p>
    <w:p w14:paraId="053EBF0D" w14:textId="77777777" w:rsidR="00490175" w:rsidRPr="00E63212" w:rsidRDefault="00490175" w:rsidP="00490175">
      <w:pPr>
        <w:contextualSpacing/>
        <w:rPr>
          <w:szCs w:val="22"/>
        </w:rPr>
      </w:pPr>
      <w:r w:rsidRPr="00E63212">
        <w:rPr>
          <w:szCs w:val="22"/>
        </w:rPr>
        <w:t xml:space="preserve">Ul. Lutomierska 50, </w:t>
      </w:r>
    </w:p>
    <w:p w14:paraId="533415B6" w14:textId="77777777" w:rsidR="00490175" w:rsidRPr="00E63212" w:rsidRDefault="00490175" w:rsidP="00490175">
      <w:pPr>
        <w:contextualSpacing/>
        <w:rPr>
          <w:szCs w:val="22"/>
        </w:rPr>
      </w:pPr>
      <w:r w:rsidRPr="00E63212">
        <w:rPr>
          <w:szCs w:val="22"/>
        </w:rPr>
        <w:t>95-200 Pabianice, Polónia</w:t>
      </w:r>
    </w:p>
    <w:p w14:paraId="1031C59B" w14:textId="77777777" w:rsidR="00490175" w:rsidRPr="00E63212" w:rsidRDefault="00490175" w:rsidP="00490175">
      <w:pPr>
        <w:contextualSpacing/>
        <w:rPr>
          <w:szCs w:val="22"/>
        </w:rPr>
      </w:pPr>
    </w:p>
    <w:p w14:paraId="607680A8" w14:textId="77777777" w:rsidR="00490175" w:rsidRPr="00E63212" w:rsidRDefault="00490175" w:rsidP="00490175">
      <w:pPr>
        <w:contextualSpacing/>
        <w:rPr>
          <w:szCs w:val="22"/>
        </w:rPr>
      </w:pPr>
      <w:r w:rsidRPr="00E63212">
        <w:rPr>
          <w:szCs w:val="22"/>
        </w:rPr>
        <w:t xml:space="preserve">Pharmadox Healthcare Limited </w:t>
      </w:r>
    </w:p>
    <w:p w14:paraId="3D329375" w14:textId="77777777" w:rsidR="00490175" w:rsidRPr="00E63212" w:rsidRDefault="00490175" w:rsidP="00490175">
      <w:pPr>
        <w:contextualSpacing/>
        <w:rPr>
          <w:szCs w:val="22"/>
        </w:rPr>
      </w:pPr>
      <w:r w:rsidRPr="00E63212">
        <w:rPr>
          <w:szCs w:val="22"/>
        </w:rPr>
        <w:t xml:space="preserve">KW20A Kordin Industrial Park, Paola </w:t>
      </w:r>
    </w:p>
    <w:p w14:paraId="584FD4F5" w14:textId="77777777" w:rsidR="00490175" w:rsidRPr="0063119B" w:rsidRDefault="00490175" w:rsidP="00490175">
      <w:pPr>
        <w:contextualSpacing/>
        <w:rPr>
          <w:szCs w:val="22"/>
          <w:lang w:val="es-ES"/>
        </w:rPr>
      </w:pPr>
      <w:r w:rsidRPr="0063119B">
        <w:rPr>
          <w:szCs w:val="22"/>
          <w:lang w:val="es-ES"/>
        </w:rPr>
        <w:t>PLA 3000, Malta</w:t>
      </w:r>
    </w:p>
    <w:p w14:paraId="09A99299" w14:textId="77777777" w:rsidR="00490175" w:rsidRPr="0063119B" w:rsidRDefault="00490175" w:rsidP="00490175">
      <w:pPr>
        <w:contextualSpacing/>
        <w:rPr>
          <w:szCs w:val="22"/>
          <w:lang w:val="es-ES"/>
        </w:rPr>
      </w:pPr>
    </w:p>
    <w:p w14:paraId="4969B805" w14:textId="77777777" w:rsidR="00490175" w:rsidRPr="0063119B" w:rsidRDefault="00490175" w:rsidP="00490175">
      <w:pPr>
        <w:contextualSpacing/>
        <w:rPr>
          <w:szCs w:val="22"/>
          <w:lang w:val="es-ES"/>
        </w:rPr>
      </w:pPr>
      <w:proofErr w:type="spellStart"/>
      <w:r w:rsidRPr="0063119B">
        <w:rPr>
          <w:szCs w:val="22"/>
          <w:lang w:val="es-ES"/>
        </w:rPr>
        <w:t>Laboratori</w:t>
      </w:r>
      <w:proofErr w:type="spellEnd"/>
      <w:r w:rsidRPr="0063119B">
        <w:rPr>
          <w:szCs w:val="22"/>
          <w:lang w:val="es-ES"/>
        </w:rPr>
        <w:t xml:space="preserve"> </w:t>
      </w:r>
      <w:proofErr w:type="spellStart"/>
      <w:r w:rsidRPr="0063119B">
        <w:rPr>
          <w:szCs w:val="22"/>
          <w:lang w:val="es-ES"/>
        </w:rPr>
        <w:t>Fundació</w:t>
      </w:r>
      <w:proofErr w:type="spellEnd"/>
      <w:r w:rsidRPr="0063119B">
        <w:rPr>
          <w:szCs w:val="22"/>
          <w:lang w:val="es-ES"/>
        </w:rPr>
        <w:t xml:space="preserve"> DAU</w:t>
      </w:r>
    </w:p>
    <w:p w14:paraId="77C579BF" w14:textId="77777777" w:rsidR="00490175" w:rsidRPr="0063119B" w:rsidRDefault="00490175" w:rsidP="00490175">
      <w:pPr>
        <w:contextualSpacing/>
        <w:rPr>
          <w:szCs w:val="22"/>
        </w:rPr>
      </w:pPr>
      <w:r w:rsidRPr="0063119B">
        <w:rPr>
          <w:szCs w:val="22"/>
          <w:lang w:val="es-ES"/>
        </w:rPr>
        <w:t xml:space="preserve">C/ C, 12-14 Pol. </w:t>
      </w:r>
      <w:proofErr w:type="spellStart"/>
      <w:r w:rsidRPr="0063119B">
        <w:rPr>
          <w:szCs w:val="22"/>
          <w:lang w:val="es-ES"/>
        </w:rPr>
        <w:t>Ind</w:t>
      </w:r>
      <w:proofErr w:type="spellEnd"/>
      <w:r w:rsidRPr="0063119B">
        <w:rPr>
          <w:szCs w:val="22"/>
          <w:lang w:val="es-ES"/>
        </w:rPr>
        <w:t xml:space="preserve">. </w:t>
      </w:r>
      <w:r w:rsidRPr="0063119B">
        <w:rPr>
          <w:szCs w:val="22"/>
        </w:rPr>
        <w:t>Zona Franca,</w:t>
      </w:r>
    </w:p>
    <w:p w14:paraId="6DDC7DBC" w14:textId="77777777" w:rsidR="00490175" w:rsidRPr="0063119B" w:rsidRDefault="00490175" w:rsidP="00490175">
      <w:pPr>
        <w:contextualSpacing/>
        <w:rPr>
          <w:szCs w:val="22"/>
        </w:rPr>
      </w:pPr>
      <w:r w:rsidRPr="0063119B">
        <w:rPr>
          <w:szCs w:val="22"/>
        </w:rPr>
        <w:t>08040 Barcelona, Espanha</w:t>
      </w:r>
    </w:p>
    <w:p w14:paraId="3ED07E1F" w14:textId="77777777" w:rsidR="00490175" w:rsidRPr="0063119B" w:rsidRDefault="00490175" w:rsidP="00490175">
      <w:pPr>
        <w:contextualSpacing/>
        <w:rPr>
          <w:szCs w:val="22"/>
        </w:rPr>
      </w:pPr>
    </w:p>
    <w:p w14:paraId="5F834998" w14:textId="77777777" w:rsidR="00490175" w:rsidRPr="0063119B" w:rsidRDefault="00490175" w:rsidP="00490175">
      <w:pPr>
        <w:rPr>
          <w:noProof/>
          <w:szCs w:val="22"/>
        </w:rPr>
      </w:pPr>
      <w:r w:rsidRPr="0063119B">
        <w:rPr>
          <w:noProof/>
          <w:szCs w:val="22"/>
        </w:rPr>
        <w:lastRenderedPageBreak/>
        <w:t>Accord Healthcare B.V</w:t>
      </w:r>
    </w:p>
    <w:p w14:paraId="4AAB405B" w14:textId="77777777" w:rsidR="00490175" w:rsidRPr="0063119B" w:rsidRDefault="00490175" w:rsidP="00490175">
      <w:pPr>
        <w:rPr>
          <w:noProof/>
          <w:szCs w:val="22"/>
        </w:rPr>
      </w:pPr>
      <w:r w:rsidRPr="0063119B">
        <w:rPr>
          <w:noProof/>
          <w:szCs w:val="22"/>
        </w:rPr>
        <w:t>Winthontlaan 200, 3526KV Utrecht,</w:t>
      </w:r>
    </w:p>
    <w:p w14:paraId="26D0D1BB" w14:textId="77777777" w:rsidR="00490175" w:rsidRDefault="00490175" w:rsidP="00490175">
      <w:pPr>
        <w:rPr>
          <w:ins w:id="30" w:author="MAH_Review_JV" w:date="2025-08-06T17:14:00Z" w16du:dateUtc="2025-08-06T16:14:00Z"/>
          <w:noProof/>
          <w:szCs w:val="22"/>
        </w:rPr>
      </w:pPr>
      <w:r w:rsidRPr="0063119B">
        <w:rPr>
          <w:noProof/>
          <w:szCs w:val="22"/>
        </w:rPr>
        <w:t>Países Baixos</w:t>
      </w:r>
    </w:p>
    <w:p w14:paraId="3DE5DD2C" w14:textId="77777777" w:rsidR="00B969D7" w:rsidRDefault="00B969D7" w:rsidP="00490175">
      <w:pPr>
        <w:rPr>
          <w:ins w:id="31" w:author="MAH_Review_JV" w:date="2025-08-06T17:14:00Z" w16du:dateUtc="2025-08-06T16:14:00Z"/>
          <w:noProof/>
          <w:szCs w:val="22"/>
        </w:rPr>
      </w:pPr>
    </w:p>
    <w:p w14:paraId="5882A4E7" w14:textId="77777777" w:rsidR="00B969D7" w:rsidRPr="008749C0" w:rsidRDefault="00B969D7" w:rsidP="00B969D7">
      <w:pPr>
        <w:rPr>
          <w:ins w:id="32" w:author="MAH_Review_JV" w:date="2025-08-06T17:14:00Z" w16du:dateUtc="2025-08-06T16:14:00Z"/>
          <w:szCs w:val="22"/>
          <w:lang w:val="en-US"/>
        </w:rPr>
      </w:pPr>
      <w:ins w:id="33" w:author="MAH_Review_JV" w:date="2025-08-06T17:14:00Z" w16du:dateUtc="2025-08-06T16:14:00Z">
        <w:r w:rsidRPr="008749C0">
          <w:rPr>
            <w:szCs w:val="22"/>
            <w:lang w:val="en-US"/>
          </w:rPr>
          <w:t xml:space="preserve">Accord Healthcare single member S.A. </w:t>
        </w:r>
      </w:ins>
    </w:p>
    <w:p w14:paraId="26FD1C2B" w14:textId="77777777" w:rsidR="00B969D7" w:rsidRPr="008749C0" w:rsidRDefault="00B969D7" w:rsidP="00B969D7">
      <w:pPr>
        <w:rPr>
          <w:ins w:id="34" w:author="MAH_Review_JV" w:date="2025-08-06T17:14:00Z" w16du:dateUtc="2025-08-06T16:14:00Z"/>
          <w:szCs w:val="22"/>
          <w:lang w:val="en-US"/>
        </w:rPr>
      </w:pPr>
      <w:ins w:id="35" w:author="MAH_Review_JV" w:date="2025-08-06T17:14:00Z" w16du:dateUtc="2025-08-06T16:14:00Z">
        <w:r w:rsidRPr="008749C0">
          <w:rPr>
            <w:szCs w:val="22"/>
            <w:lang w:val="en-US"/>
          </w:rPr>
          <w:t xml:space="preserve">64th Km National Road Athens, </w:t>
        </w:r>
      </w:ins>
    </w:p>
    <w:p w14:paraId="572E66D3" w14:textId="77777777" w:rsidR="00B969D7" w:rsidRDefault="00B969D7" w:rsidP="00B969D7">
      <w:pPr>
        <w:rPr>
          <w:ins w:id="36" w:author="MAH_Review_JV" w:date="2025-08-06T17:14:00Z" w16du:dateUtc="2025-08-06T16:14:00Z"/>
          <w:szCs w:val="22"/>
        </w:rPr>
      </w:pPr>
      <w:ins w:id="37" w:author="MAH_Review_JV" w:date="2025-08-06T17:14:00Z" w16du:dateUtc="2025-08-06T16:14:00Z">
        <w:r w:rsidRPr="00F62DEF">
          <w:rPr>
            <w:szCs w:val="22"/>
          </w:rPr>
          <w:t>Lamia, Schimatari, 32009, Gr</w:t>
        </w:r>
        <w:r>
          <w:rPr>
            <w:szCs w:val="22"/>
          </w:rPr>
          <w:t>écia</w:t>
        </w:r>
      </w:ins>
    </w:p>
    <w:p w14:paraId="6251326C" w14:textId="77777777" w:rsidR="00B969D7" w:rsidRPr="0063119B" w:rsidRDefault="00B969D7" w:rsidP="00490175">
      <w:pPr>
        <w:rPr>
          <w:noProof/>
          <w:szCs w:val="22"/>
        </w:rPr>
      </w:pPr>
    </w:p>
    <w:p w14:paraId="340AB146" w14:textId="77777777" w:rsidR="00FB7835" w:rsidRPr="001B6FEC" w:rsidRDefault="00FB7835" w:rsidP="00084D33">
      <w:pPr>
        <w:suppressAutoHyphens/>
        <w:ind w:right="14"/>
        <w:rPr>
          <w:b/>
          <w:noProof/>
          <w:szCs w:val="22"/>
        </w:rPr>
      </w:pPr>
    </w:p>
    <w:p w14:paraId="193FA911" w14:textId="77777777" w:rsidR="00084D33" w:rsidRPr="0063119B" w:rsidRDefault="00084D33" w:rsidP="00084D33">
      <w:pPr>
        <w:suppressAutoHyphens/>
        <w:ind w:right="14"/>
        <w:rPr>
          <w:noProof/>
          <w:szCs w:val="22"/>
        </w:rPr>
      </w:pPr>
      <w:r w:rsidRPr="0063119B">
        <w:rPr>
          <w:b/>
          <w:noProof/>
          <w:szCs w:val="22"/>
        </w:rPr>
        <w:t xml:space="preserve">Este folheto foi revisto pela última vez em </w:t>
      </w:r>
    </w:p>
    <w:p w14:paraId="3A45B476" w14:textId="77777777" w:rsidR="00084D33" w:rsidRPr="0063119B" w:rsidRDefault="00084D33" w:rsidP="00084D33">
      <w:pPr>
        <w:suppressAutoHyphens/>
        <w:ind w:right="14"/>
        <w:rPr>
          <w:noProof/>
          <w:szCs w:val="22"/>
        </w:rPr>
      </w:pPr>
    </w:p>
    <w:p w14:paraId="1F28F10E" w14:textId="77777777" w:rsidR="00084D33" w:rsidRPr="0063119B" w:rsidRDefault="00084D33" w:rsidP="00084D33">
      <w:pPr>
        <w:suppressAutoHyphens/>
        <w:ind w:right="14"/>
        <w:rPr>
          <w:noProof/>
          <w:szCs w:val="22"/>
        </w:rPr>
      </w:pPr>
      <w:r w:rsidRPr="0063119B">
        <w:rPr>
          <w:noProof/>
          <w:szCs w:val="22"/>
        </w:rPr>
        <w:t xml:space="preserve">Está disponível informação pormenorizada sobre este medicamento no sítio da internet da Agência Europeia de Medicamentos: </w:t>
      </w:r>
      <w:hyperlink r:id="rId26" w:history="1">
        <w:r w:rsidR="00767D16" w:rsidRPr="0063119B">
          <w:rPr>
            <w:rStyle w:val="Hyperlink"/>
            <w:noProof/>
            <w:szCs w:val="22"/>
          </w:rPr>
          <w:t>http://www.ema.europa.eu</w:t>
        </w:r>
      </w:hyperlink>
      <w:r w:rsidRPr="0063119B">
        <w:rPr>
          <w:noProof/>
          <w:szCs w:val="22"/>
        </w:rPr>
        <w:t>.</w:t>
      </w:r>
    </w:p>
    <w:p w14:paraId="00B465EE" w14:textId="77777777" w:rsidR="00084D33" w:rsidRPr="0063119B" w:rsidRDefault="00935F62" w:rsidP="00065CD2">
      <w:pPr>
        <w:suppressAutoHyphens/>
        <w:ind w:right="14"/>
        <w:jc w:val="center"/>
        <w:rPr>
          <w:b/>
          <w:noProof/>
          <w:szCs w:val="22"/>
        </w:rPr>
      </w:pPr>
      <w:r w:rsidRPr="0063119B">
        <w:rPr>
          <w:noProof/>
          <w:szCs w:val="22"/>
        </w:rPr>
        <w:br w:type="page"/>
      </w:r>
      <w:r w:rsidR="00084D33" w:rsidRPr="0063119B">
        <w:rPr>
          <w:b/>
          <w:noProof/>
          <w:szCs w:val="22"/>
        </w:rPr>
        <w:lastRenderedPageBreak/>
        <w:t>Folheto informativo: Informação para o utilizador</w:t>
      </w:r>
    </w:p>
    <w:p w14:paraId="23B705A6" w14:textId="77777777" w:rsidR="00084D33" w:rsidRPr="0063119B" w:rsidRDefault="00084D33" w:rsidP="00084D33">
      <w:pPr>
        <w:suppressAutoHyphens/>
        <w:jc w:val="center"/>
        <w:rPr>
          <w:b/>
          <w:noProof/>
          <w:szCs w:val="22"/>
        </w:rPr>
      </w:pPr>
    </w:p>
    <w:p w14:paraId="3F606EE6" w14:textId="77777777" w:rsidR="00084D33" w:rsidRPr="001B6FEC" w:rsidRDefault="00607DE4" w:rsidP="005500AB">
      <w:pPr>
        <w:suppressAutoHyphens/>
        <w:jc w:val="center"/>
        <w:outlineLvl w:val="2"/>
        <w:rPr>
          <w:b/>
          <w:bCs/>
          <w:noProof/>
          <w:szCs w:val="22"/>
        </w:rPr>
      </w:pPr>
      <w:r w:rsidRPr="001B6FEC">
        <w:rPr>
          <w:b/>
          <w:bCs/>
          <w:noProof/>
          <w:szCs w:val="22"/>
        </w:rPr>
        <w:t>Rivaroxabano</w:t>
      </w:r>
      <w:r w:rsidR="001F7D02" w:rsidRPr="001B6FEC">
        <w:rPr>
          <w:b/>
          <w:bCs/>
          <w:noProof/>
          <w:szCs w:val="22"/>
        </w:rPr>
        <w:t xml:space="preserve"> Accord</w:t>
      </w:r>
      <w:r w:rsidR="00084D33" w:rsidRPr="001B6FEC">
        <w:rPr>
          <w:b/>
          <w:bCs/>
          <w:noProof/>
          <w:szCs w:val="22"/>
        </w:rPr>
        <w:t xml:space="preserve"> 15 mg comprimidos revestidos por película</w:t>
      </w:r>
    </w:p>
    <w:p w14:paraId="718B385E" w14:textId="77777777" w:rsidR="00084D33" w:rsidRPr="001B6FEC" w:rsidRDefault="00607DE4" w:rsidP="00084D33">
      <w:pPr>
        <w:suppressAutoHyphens/>
        <w:jc w:val="center"/>
        <w:rPr>
          <w:b/>
          <w:bCs/>
          <w:noProof/>
          <w:szCs w:val="22"/>
        </w:rPr>
      </w:pPr>
      <w:r w:rsidRPr="001B6FEC">
        <w:rPr>
          <w:b/>
          <w:bCs/>
          <w:noProof/>
          <w:szCs w:val="22"/>
        </w:rPr>
        <w:t>Rivaroxabano</w:t>
      </w:r>
      <w:r w:rsidR="001F7D02" w:rsidRPr="001B6FEC">
        <w:rPr>
          <w:b/>
          <w:bCs/>
          <w:noProof/>
          <w:szCs w:val="22"/>
        </w:rPr>
        <w:t xml:space="preserve"> Accord</w:t>
      </w:r>
      <w:r w:rsidR="00084D33" w:rsidRPr="001B6FEC">
        <w:rPr>
          <w:b/>
          <w:bCs/>
          <w:noProof/>
          <w:szCs w:val="22"/>
        </w:rPr>
        <w:t xml:space="preserve"> 20 mg comprimidos revestidos por película</w:t>
      </w:r>
    </w:p>
    <w:p w14:paraId="04FE6956" w14:textId="77777777" w:rsidR="00084D33" w:rsidRPr="0063119B" w:rsidRDefault="007425F3" w:rsidP="00084D33">
      <w:pPr>
        <w:suppressAutoHyphens/>
        <w:jc w:val="center"/>
        <w:rPr>
          <w:noProof/>
          <w:szCs w:val="22"/>
        </w:rPr>
      </w:pPr>
      <w:r w:rsidRPr="0063119B">
        <w:rPr>
          <w:noProof/>
          <w:szCs w:val="22"/>
        </w:rPr>
        <w:t>r</w:t>
      </w:r>
      <w:r w:rsidR="00084D33" w:rsidRPr="0063119B">
        <w:rPr>
          <w:noProof/>
          <w:szCs w:val="22"/>
        </w:rPr>
        <w:t>ivaroxabano</w:t>
      </w:r>
    </w:p>
    <w:p w14:paraId="2F1BAD09" w14:textId="77777777" w:rsidR="00F874D9" w:rsidRPr="0063119B" w:rsidRDefault="00F874D9" w:rsidP="00084D33">
      <w:pPr>
        <w:suppressAutoHyphens/>
        <w:ind w:left="567" w:hanging="567"/>
        <w:rPr>
          <w:noProof/>
          <w:szCs w:val="22"/>
        </w:rPr>
      </w:pPr>
    </w:p>
    <w:p w14:paraId="53C9ECDD" w14:textId="77777777" w:rsidR="00084D33" w:rsidRPr="0063119B" w:rsidRDefault="00084D33" w:rsidP="00084D33">
      <w:pPr>
        <w:ind w:right="-2"/>
        <w:rPr>
          <w:noProof/>
          <w:szCs w:val="22"/>
        </w:rPr>
      </w:pPr>
      <w:r w:rsidRPr="0063119B">
        <w:rPr>
          <w:b/>
          <w:noProof/>
          <w:szCs w:val="22"/>
        </w:rPr>
        <w:t>Leia com atenção todo este folheto antes de começar a tomar este medicamento, pois contém informação importante para si.</w:t>
      </w:r>
    </w:p>
    <w:p w14:paraId="0490B5C7" w14:textId="77777777" w:rsidR="00084D33" w:rsidRPr="0063119B" w:rsidRDefault="00084D33" w:rsidP="00084D33">
      <w:pPr>
        <w:numPr>
          <w:ilvl w:val="0"/>
          <w:numId w:val="1"/>
        </w:numPr>
        <w:ind w:left="567" w:right="-2" w:hanging="567"/>
        <w:rPr>
          <w:noProof/>
          <w:szCs w:val="22"/>
        </w:rPr>
      </w:pPr>
      <w:r w:rsidRPr="0063119B">
        <w:rPr>
          <w:noProof/>
          <w:szCs w:val="22"/>
        </w:rPr>
        <w:t>Conserve este folheto. Pode ter necessidade de o ler novamente.</w:t>
      </w:r>
    </w:p>
    <w:p w14:paraId="3E9A3E74" w14:textId="77777777" w:rsidR="00084D33" w:rsidRPr="0063119B" w:rsidRDefault="00084D33" w:rsidP="00084D33">
      <w:pPr>
        <w:numPr>
          <w:ilvl w:val="0"/>
          <w:numId w:val="1"/>
        </w:numPr>
        <w:ind w:left="567" w:right="-2" w:hanging="567"/>
        <w:rPr>
          <w:noProof/>
          <w:szCs w:val="22"/>
        </w:rPr>
      </w:pPr>
      <w:r w:rsidRPr="0063119B">
        <w:rPr>
          <w:noProof/>
          <w:szCs w:val="22"/>
        </w:rPr>
        <w:t>Caso ainda tenha dúvidas, fale com o seu médico ou farmacêutico.</w:t>
      </w:r>
    </w:p>
    <w:p w14:paraId="3E5AB398" w14:textId="77777777" w:rsidR="00084D33" w:rsidRPr="0063119B" w:rsidRDefault="00084D33" w:rsidP="00084D33">
      <w:pPr>
        <w:numPr>
          <w:ilvl w:val="0"/>
          <w:numId w:val="1"/>
        </w:numPr>
        <w:ind w:left="567" w:right="-2" w:hanging="567"/>
        <w:rPr>
          <w:noProof/>
          <w:szCs w:val="22"/>
        </w:rPr>
      </w:pPr>
      <w:r w:rsidRPr="0063119B">
        <w:rPr>
          <w:noProof/>
          <w:szCs w:val="22"/>
        </w:rPr>
        <w:t>Este medicamento foi receitado apenas para si. Não deve dá</w:t>
      </w:r>
      <w:r w:rsidRPr="0063119B">
        <w:rPr>
          <w:noProof/>
          <w:szCs w:val="22"/>
        </w:rPr>
        <w:noBreakHyphen/>
        <w:t>lo a outros. O medicamento pode ser</w:t>
      </w:r>
      <w:r w:rsidRPr="0063119B">
        <w:rPr>
          <w:noProof/>
          <w:szCs w:val="22"/>
        </w:rPr>
        <w:noBreakHyphen/>
        <w:t>lhes prejudicial mesmo que apresentem os mesmos sinais de doença.</w:t>
      </w:r>
    </w:p>
    <w:p w14:paraId="38A8A4B0" w14:textId="77777777" w:rsidR="00084D33" w:rsidRPr="0063119B" w:rsidRDefault="00084D33" w:rsidP="00084D33">
      <w:pPr>
        <w:numPr>
          <w:ilvl w:val="0"/>
          <w:numId w:val="1"/>
        </w:numPr>
        <w:ind w:left="567" w:right="-2" w:hanging="567"/>
        <w:rPr>
          <w:noProof/>
          <w:szCs w:val="22"/>
        </w:rPr>
      </w:pPr>
      <w:r w:rsidRPr="0063119B">
        <w:rPr>
          <w:noProof/>
          <w:szCs w:val="22"/>
        </w:rPr>
        <w:t xml:space="preserve">Se tiver quaisquer efeitos </w:t>
      </w:r>
      <w:r w:rsidR="00CC1A3A" w:rsidRPr="0063119B">
        <w:rPr>
          <w:noProof/>
          <w:szCs w:val="22"/>
        </w:rPr>
        <w:t>indesejáveis</w:t>
      </w:r>
      <w:r w:rsidRPr="0063119B">
        <w:rPr>
          <w:noProof/>
          <w:szCs w:val="22"/>
        </w:rPr>
        <w:t xml:space="preserve">, incluindo possíveis efeitos </w:t>
      </w:r>
      <w:r w:rsidR="00CC1A3A" w:rsidRPr="0063119B">
        <w:rPr>
          <w:noProof/>
          <w:szCs w:val="22"/>
        </w:rPr>
        <w:t>indesejáveis</w:t>
      </w:r>
      <w:r w:rsidRPr="0063119B">
        <w:rPr>
          <w:noProof/>
          <w:szCs w:val="22"/>
        </w:rPr>
        <w:t xml:space="preserve"> não indicados neste folheto, fale com o seu médico ou farmacêutico.</w:t>
      </w:r>
      <w:r w:rsidR="00F874D9" w:rsidRPr="0063119B">
        <w:rPr>
          <w:noProof/>
          <w:szCs w:val="22"/>
        </w:rPr>
        <w:t xml:space="preserve"> Ver secção 4.</w:t>
      </w:r>
    </w:p>
    <w:p w14:paraId="38C2BEF1" w14:textId="77777777" w:rsidR="00084D33" w:rsidRPr="0063119B" w:rsidRDefault="00084D33" w:rsidP="00084D33">
      <w:pPr>
        <w:ind w:right="-2"/>
        <w:rPr>
          <w:noProof/>
          <w:szCs w:val="22"/>
        </w:rPr>
      </w:pPr>
    </w:p>
    <w:p w14:paraId="2223F693" w14:textId="77777777" w:rsidR="00084D33" w:rsidRPr="0063119B" w:rsidRDefault="00084D33" w:rsidP="00084D33">
      <w:pPr>
        <w:ind w:right="-2"/>
        <w:rPr>
          <w:noProof/>
          <w:szCs w:val="22"/>
        </w:rPr>
      </w:pPr>
    </w:p>
    <w:p w14:paraId="58B722C4" w14:textId="77777777" w:rsidR="00084D33" w:rsidRPr="0063119B" w:rsidRDefault="00084D33" w:rsidP="00084D33">
      <w:pPr>
        <w:numPr>
          <w:ilvl w:val="12"/>
          <w:numId w:val="0"/>
        </w:numPr>
        <w:suppressAutoHyphens/>
        <w:rPr>
          <w:noProof/>
          <w:szCs w:val="22"/>
        </w:rPr>
      </w:pPr>
      <w:r w:rsidRPr="0063119B">
        <w:rPr>
          <w:b/>
          <w:noProof/>
          <w:szCs w:val="22"/>
        </w:rPr>
        <w:t>O que contém este folheto</w:t>
      </w:r>
    </w:p>
    <w:p w14:paraId="04BDB058" w14:textId="77777777" w:rsidR="00084D33" w:rsidRPr="0063119B" w:rsidRDefault="00084D33" w:rsidP="00084D33">
      <w:pPr>
        <w:suppressAutoHyphens/>
        <w:ind w:left="567" w:hanging="567"/>
        <w:rPr>
          <w:noProof/>
          <w:szCs w:val="22"/>
        </w:rPr>
      </w:pPr>
      <w:r w:rsidRPr="0063119B">
        <w:rPr>
          <w:noProof/>
          <w:szCs w:val="22"/>
        </w:rPr>
        <w:t>1.</w:t>
      </w:r>
      <w:r w:rsidRPr="0063119B">
        <w:rPr>
          <w:noProof/>
          <w:szCs w:val="22"/>
        </w:rPr>
        <w:tab/>
        <w:t xml:space="preserve">O que é </w:t>
      </w:r>
      <w:r w:rsidR="00607DE4">
        <w:rPr>
          <w:noProof/>
          <w:szCs w:val="22"/>
        </w:rPr>
        <w:t>Rivaroxabano</w:t>
      </w:r>
      <w:r w:rsidR="001F7D02" w:rsidRPr="0063119B">
        <w:rPr>
          <w:noProof/>
          <w:szCs w:val="22"/>
        </w:rPr>
        <w:t xml:space="preserve"> Accord</w:t>
      </w:r>
      <w:r w:rsidRPr="0063119B">
        <w:rPr>
          <w:noProof/>
          <w:szCs w:val="22"/>
        </w:rPr>
        <w:t xml:space="preserve"> e para que é utilizado</w:t>
      </w:r>
    </w:p>
    <w:p w14:paraId="7C22CC19" w14:textId="77777777" w:rsidR="00084D33" w:rsidRPr="0063119B" w:rsidRDefault="00084D33" w:rsidP="00084D33">
      <w:pPr>
        <w:suppressAutoHyphens/>
        <w:ind w:left="567" w:hanging="567"/>
        <w:rPr>
          <w:noProof/>
          <w:szCs w:val="22"/>
        </w:rPr>
      </w:pPr>
      <w:r w:rsidRPr="0063119B">
        <w:rPr>
          <w:noProof/>
          <w:szCs w:val="22"/>
        </w:rPr>
        <w:t>2.</w:t>
      </w:r>
      <w:r w:rsidRPr="0063119B">
        <w:rPr>
          <w:noProof/>
          <w:szCs w:val="22"/>
        </w:rPr>
        <w:tab/>
        <w:t xml:space="preserve">O que precisa de saber antes de tomar </w:t>
      </w:r>
      <w:r w:rsidR="00607DE4">
        <w:rPr>
          <w:noProof/>
          <w:szCs w:val="22"/>
        </w:rPr>
        <w:t>Rivaroxabano</w:t>
      </w:r>
      <w:r w:rsidR="001F7D02" w:rsidRPr="0063119B">
        <w:rPr>
          <w:noProof/>
          <w:szCs w:val="22"/>
        </w:rPr>
        <w:t xml:space="preserve"> Accord</w:t>
      </w:r>
    </w:p>
    <w:p w14:paraId="5DFCDAC2" w14:textId="77777777" w:rsidR="00084D33" w:rsidRPr="0063119B" w:rsidRDefault="00084D33" w:rsidP="00084D33">
      <w:pPr>
        <w:suppressAutoHyphens/>
        <w:ind w:left="567" w:hanging="567"/>
        <w:rPr>
          <w:noProof/>
          <w:szCs w:val="22"/>
        </w:rPr>
      </w:pPr>
      <w:r w:rsidRPr="0063119B">
        <w:rPr>
          <w:noProof/>
          <w:szCs w:val="22"/>
        </w:rPr>
        <w:t>3.</w:t>
      </w:r>
      <w:r w:rsidRPr="0063119B">
        <w:rPr>
          <w:noProof/>
          <w:szCs w:val="22"/>
        </w:rPr>
        <w:tab/>
        <w:t xml:space="preserve">Como tomar </w:t>
      </w:r>
      <w:r w:rsidR="00607DE4">
        <w:rPr>
          <w:noProof/>
          <w:szCs w:val="22"/>
        </w:rPr>
        <w:t>Rivaroxabano</w:t>
      </w:r>
      <w:r w:rsidR="001F7D02" w:rsidRPr="0063119B">
        <w:rPr>
          <w:noProof/>
          <w:szCs w:val="22"/>
        </w:rPr>
        <w:t xml:space="preserve"> Accord</w:t>
      </w:r>
    </w:p>
    <w:p w14:paraId="48613219" w14:textId="77777777" w:rsidR="00084D33" w:rsidRPr="0063119B" w:rsidRDefault="00084D33" w:rsidP="00084D33">
      <w:pPr>
        <w:suppressAutoHyphens/>
        <w:ind w:left="567" w:hanging="567"/>
        <w:rPr>
          <w:noProof/>
          <w:szCs w:val="22"/>
        </w:rPr>
      </w:pPr>
      <w:r w:rsidRPr="0063119B">
        <w:rPr>
          <w:noProof/>
          <w:szCs w:val="22"/>
        </w:rPr>
        <w:t>4.</w:t>
      </w:r>
      <w:r w:rsidRPr="0063119B">
        <w:rPr>
          <w:noProof/>
          <w:szCs w:val="22"/>
        </w:rPr>
        <w:tab/>
        <w:t xml:space="preserve">Efeitos </w:t>
      </w:r>
      <w:r w:rsidR="00CC1A3A" w:rsidRPr="0063119B">
        <w:rPr>
          <w:noProof/>
          <w:szCs w:val="22"/>
        </w:rPr>
        <w:t>indesejáveis</w:t>
      </w:r>
      <w:r w:rsidRPr="0063119B">
        <w:rPr>
          <w:noProof/>
          <w:szCs w:val="22"/>
        </w:rPr>
        <w:t xml:space="preserve"> possíveis</w:t>
      </w:r>
    </w:p>
    <w:p w14:paraId="53CBB8F4" w14:textId="77777777" w:rsidR="00084D33" w:rsidRPr="0063119B" w:rsidRDefault="00084D33" w:rsidP="00084D33">
      <w:pPr>
        <w:suppressAutoHyphens/>
        <w:ind w:left="567" w:hanging="567"/>
        <w:rPr>
          <w:noProof/>
          <w:szCs w:val="22"/>
        </w:rPr>
      </w:pPr>
      <w:r w:rsidRPr="0063119B">
        <w:rPr>
          <w:noProof/>
          <w:szCs w:val="22"/>
        </w:rPr>
        <w:t>5.</w:t>
      </w:r>
      <w:r w:rsidRPr="0063119B">
        <w:rPr>
          <w:noProof/>
          <w:szCs w:val="22"/>
        </w:rPr>
        <w:tab/>
        <w:t xml:space="preserve">Como conservar </w:t>
      </w:r>
      <w:r w:rsidR="00607DE4">
        <w:rPr>
          <w:noProof/>
          <w:szCs w:val="22"/>
        </w:rPr>
        <w:t>Rivaroxabano</w:t>
      </w:r>
      <w:r w:rsidR="001F7D02" w:rsidRPr="0063119B">
        <w:rPr>
          <w:noProof/>
          <w:szCs w:val="22"/>
        </w:rPr>
        <w:t xml:space="preserve"> Accord</w:t>
      </w:r>
    </w:p>
    <w:p w14:paraId="49835A9B" w14:textId="77777777" w:rsidR="00084D33" w:rsidRPr="0063119B" w:rsidRDefault="00084D33" w:rsidP="00084D33">
      <w:pPr>
        <w:suppressAutoHyphens/>
        <w:ind w:left="567" w:hanging="567"/>
        <w:rPr>
          <w:noProof/>
          <w:szCs w:val="22"/>
        </w:rPr>
      </w:pPr>
      <w:r w:rsidRPr="0063119B">
        <w:rPr>
          <w:noProof/>
          <w:szCs w:val="22"/>
        </w:rPr>
        <w:t>6.</w:t>
      </w:r>
      <w:r w:rsidRPr="0063119B">
        <w:rPr>
          <w:noProof/>
          <w:szCs w:val="22"/>
        </w:rPr>
        <w:tab/>
        <w:t>Conteúdo da embalagem e outras informações</w:t>
      </w:r>
    </w:p>
    <w:p w14:paraId="4F37D0B6" w14:textId="77777777" w:rsidR="00084D33" w:rsidRPr="0063119B" w:rsidRDefault="00084D33" w:rsidP="00084D33">
      <w:pPr>
        <w:suppressAutoHyphens/>
        <w:rPr>
          <w:noProof/>
          <w:szCs w:val="22"/>
        </w:rPr>
      </w:pPr>
    </w:p>
    <w:p w14:paraId="2B4EBF3E" w14:textId="77777777" w:rsidR="00084D33" w:rsidRPr="0063119B" w:rsidRDefault="00084D33" w:rsidP="00084D33">
      <w:pPr>
        <w:suppressAutoHyphens/>
        <w:rPr>
          <w:noProof/>
          <w:szCs w:val="22"/>
        </w:rPr>
      </w:pPr>
    </w:p>
    <w:p w14:paraId="070B814C" w14:textId="77777777" w:rsidR="00084D33" w:rsidRPr="0063119B" w:rsidRDefault="00084D33" w:rsidP="00084D33">
      <w:pPr>
        <w:numPr>
          <w:ilvl w:val="12"/>
          <w:numId w:val="0"/>
        </w:numPr>
        <w:suppressAutoHyphens/>
        <w:ind w:left="567" w:hanging="567"/>
        <w:rPr>
          <w:noProof/>
          <w:szCs w:val="22"/>
        </w:rPr>
      </w:pPr>
      <w:r w:rsidRPr="0063119B">
        <w:rPr>
          <w:b/>
          <w:noProof/>
          <w:szCs w:val="22"/>
        </w:rPr>
        <w:t>1.</w:t>
      </w:r>
      <w:r w:rsidRPr="0063119B">
        <w:rPr>
          <w:b/>
          <w:noProof/>
          <w:szCs w:val="22"/>
        </w:rPr>
        <w:tab/>
        <w:t xml:space="preserve">O que é </w:t>
      </w:r>
      <w:r w:rsidR="00607DE4">
        <w:rPr>
          <w:b/>
          <w:noProof/>
          <w:szCs w:val="22"/>
        </w:rPr>
        <w:t>Rivaroxabano</w:t>
      </w:r>
      <w:r w:rsidR="001F7D02" w:rsidRPr="0063119B">
        <w:rPr>
          <w:b/>
          <w:noProof/>
          <w:szCs w:val="22"/>
        </w:rPr>
        <w:t xml:space="preserve"> Accord</w:t>
      </w:r>
      <w:r w:rsidRPr="0063119B">
        <w:rPr>
          <w:b/>
          <w:noProof/>
          <w:szCs w:val="22"/>
        </w:rPr>
        <w:t xml:space="preserve"> e para que é utilizado</w:t>
      </w:r>
    </w:p>
    <w:p w14:paraId="5F6BF6EE" w14:textId="77777777" w:rsidR="00084D33" w:rsidRPr="0063119B" w:rsidRDefault="00084D33" w:rsidP="00084D33">
      <w:pPr>
        <w:numPr>
          <w:ilvl w:val="12"/>
          <w:numId w:val="0"/>
        </w:numPr>
        <w:suppressAutoHyphens/>
        <w:rPr>
          <w:noProof/>
          <w:szCs w:val="22"/>
        </w:rPr>
      </w:pPr>
    </w:p>
    <w:p w14:paraId="4BECFCC0" w14:textId="77777777" w:rsidR="00084D33" w:rsidRPr="0063119B" w:rsidRDefault="00607DE4" w:rsidP="00084D33">
      <w:pPr>
        <w:numPr>
          <w:ilvl w:val="12"/>
          <w:numId w:val="0"/>
        </w:numPr>
        <w:suppressAutoHyphens/>
        <w:rPr>
          <w:noProof/>
          <w:szCs w:val="22"/>
        </w:rPr>
      </w:pPr>
      <w:r>
        <w:rPr>
          <w:noProof/>
          <w:szCs w:val="22"/>
        </w:rPr>
        <w:t>Rivaroxabano</w:t>
      </w:r>
      <w:r w:rsidR="001F7D02" w:rsidRPr="0063119B">
        <w:rPr>
          <w:noProof/>
          <w:szCs w:val="22"/>
        </w:rPr>
        <w:t xml:space="preserve"> Accord</w:t>
      </w:r>
      <w:r w:rsidR="007425F3" w:rsidRPr="0063119B">
        <w:rPr>
          <w:noProof/>
          <w:szCs w:val="22"/>
        </w:rPr>
        <w:t xml:space="preserve"> contém a substância ativa rivaroxabano e</w:t>
      </w:r>
      <w:r w:rsidR="00084D33" w:rsidRPr="0063119B">
        <w:rPr>
          <w:noProof/>
          <w:szCs w:val="22"/>
        </w:rPr>
        <w:t xml:space="preserve"> é usado em adultos para:</w:t>
      </w:r>
    </w:p>
    <w:p w14:paraId="5DA927FE" w14:textId="77777777" w:rsidR="00084D33" w:rsidRPr="0063119B" w:rsidRDefault="00084D33" w:rsidP="00FF261B">
      <w:pPr>
        <w:numPr>
          <w:ilvl w:val="0"/>
          <w:numId w:val="8"/>
        </w:numPr>
        <w:suppressAutoHyphens/>
        <w:ind w:left="567" w:hanging="567"/>
        <w:rPr>
          <w:noProof/>
          <w:szCs w:val="22"/>
        </w:rPr>
      </w:pPr>
      <w:r w:rsidRPr="0063119B">
        <w:rPr>
          <w:noProof/>
          <w:szCs w:val="22"/>
        </w:rPr>
        <w:t>prevenir a formação de coágulos de sangue no cérebro (acidente vascular cerebral) e noutros vasos sanguíneos do seu corpo se tiver uma forma de ritmo cardíaco irregular chamado fibrilhação auricular não-valvular.</w:t>
      </w:r>
    </w:p>
    <w:p w14:paraId="3D7017BC" w14:textId="77777777" w:rsidR="00084D33" w:rsidRPr="0063119B" w:rsidRDefault="00084D33" w:rsidP="00FF261B">
      <w:pPr>
        <w:numPr>
          <w:ilvl w:val="0"/>
          <w:numId w:val="8"/>
        </w:numPr>
        <w:suppressAutoHyphens/>
        <w:ind w:left="567" w:hanging="567"/>
        <w:rPr>
          <w:noProof/>
          <w:szCs w:val="22"/>
        </w:rPr>
      </w:pPr>
      <w:r w:rsidRPr="0063119B">
        <w:rPr>
          <w:noProof/>
          <w:szCs w:val="22"/>
        </w:rPr>
        <w:t>tratar coágulos de sangue nas veias das suas pernas (trombose venosa profunda) e nos vasos sanguíneos dos seus pulmões (embolismo pulmonar) e para prevenir</w:t>
      </w:r>
      <w:r w:rsidRPr="0063119B">
        <w:rPr>
          <w:b/>
          <w:noProof/>
          <w:szCs w:val="22"/>
        </w:rPr>
        <w:t xml:space="preserve"> </w:t>
      </w:r>
      <w:r w:rsidRPr="0063119B">
        <w:rPr>
          <w:noProof/>
          <w:szCs w:val="22"/>
        </w:rPr>
        <w:t>o reaparecimento</w:t>
      </w:r>
      <w:r w:rsidRPr="0063119B">
        <w:rPr>
          <w:b/>
          <w:noProof/>
          <w:szCs w:val="22"/>
        </w:rPr>
        <w:t xml:space="preserve"> </w:t>
      </w:r>
      <w:r w:rsidRPr="0063119B">
        <w:rPr>
          <w:noProof/>
          <w:szCs w:val="22"/>
        </w:rPr>
        <w:t>de coágulos de sangue nos vasos sanguíneos das suas pernas e/ou pulmões.</w:t>
      </w:r>
    </w:p>
    <w:p w14:paraId="104B66AF" w14:textId="77777777" w:rsidR="00DA13B6" w:rsidRDefault="00DA13B6" w:rsidP="00084D33">
      <w:pPr>
        <w:rPr>
          <w:noProof/>
          <w:szCs w:val="22"/>
        </w:rPr>
      </w:pPr>
    </w:p>
    <w:p w14:paraId="37AF03D1" w14:textId="77777777" w:rsidR="00DA13B6" w:rsidRPr="00DA13B6" w:rsidRDefault="00DA13B6" w:rsidP="00DA13B6">
      <w:pPr>
        <w:autoSpaceDE w:val="0"/>
        <w:autoSpaceDN w:val="0"/>
        <w:adjustRightInd w:val="0"/>
        <w:rPr>
          <w:color w:val="000000"/>
          <w:szCs w:val="22"/>
          <w:lang w:eastAsia="pt-PT"/>
        </w:rPr>
      </w:pPr>
      <w:r>
        <w:rPr>
          <w:noProof/>
          <w:szCs w:val="22"/>
        </w:rPr>
        <w:t>Rivaroxabano</w:t>
      </w:r>
      <w:r w:rsidRPr="0063119B">
        <w:rPr>
          <w:noProof/>
          <w:szCs w:val="22"/>
        </w:rPr>
        <w:t xml:space="preserve"> Accord </w:t>
      </w:r>
      <w:r w:rsidRPr="00DA13B6">
        <w:rPr>
          <w:color w:val="000000"/>
          <w:szCs w:val="22"/>
          <w:lang w:eastAsia="pt-PT"/>
        </w:rPr>
        <w:t xml:space="preserve">é utilizado em crianças e adolescentes com menos de 18 anos de idade e com peso corporal igual ou superior a 30 kg para: </w:t>
      </w:r>
    </w:p>
    <w:p w14:paraId="50324443" w14:textId="77777777" w:rsidR="00DA13B6" w:rsidRPr="00DA13B6" w:rsidRDefault="00DA13B6" w:rsidP="00EF3721">
      <w:pPr>
        <w:numPr>
          <w:ilvl w:val="0"/>
          <w:numId w:val="31"/>
        </w:numPr>
        <w:autoSpaceDE w:val="0"/>
        <w:autoSpaceDN w:val="0"/>
        <w:adjustRightInd w:val="0"/>
        <w:ind w:left="567" w:hanging="567"/>
        <w:rPr>
          <w:color w:val="000000"/>
          <w:szCs w:val="22"/>
          <w:lang w:eastAsia="pt-PT"/>
        </w:rPr>
      </w:pPr>
      <w:r w:rsidRPr="00DA13B6">
        <w:rPr>
          <w:color w:val="000000"/>
          <w:szCs w:val="22"/>
          <w:lang w:eastAsia="pt-PT"/>
        </w:rPr>
        <w:t xml:space="preserve">tratar coágulos de sangue e prevenir a reocorrência de coágulos de sangue nas veias ou nos vasos sanguíneos dos pulmões, após o tratamento inicial durante, pelo menos, 5 dias com medicamentos injetáveis utilizados para tratar coágulos de sangue. </w:t>
      </w:r>
    </w:p>
    <w:p w14:paraId="3371A84A" w14:textId="77777777" w:rsidR="00084D33" w:rsidRPr="0063119B" w:rsidRDefault="00084D33" w:rsidP="00084D33">
      <w:pPr>
        <w:rPr>
          <w:noProof/>
          <w:szCs w:val="22"/>
        </w:rPr>
      </w:pPr>
      <w:r w:rsidRPr="0063119B">
        <w:rPr>
          <w:noProof/>
          <w:szCs w:val="22"/>
        </w:rPr>
        <w:br/>
      </w:r>
      <w:r w:rsidR="00607DE4">
        <w:rPr>
          <w:noProof/>
          <w:szCs w:val="22"/>
        </w:rPr>
        <w:t>Rivaroxabano</w:t>
      </w:r>
      <w:r w:rsidR="001F7D02" w:rsidRPr="0063119B">
        <w:rPr>
          <w:noProof/>
          <w:szCs w:val="22"/>
        </w:rPr>
        <w:t xml:space="preserve"> Accord</w:t>
      </w:r>
      <w:r w:rsidRPr="0063119B">
        <w:rPr>
          <w:noProof/>
          <w:szCs w:val="22"/>
        </w:rPr>
        <w:t xml:space="preserve"> pertence a um grupo de medicamentos chamados agentes antitrombóticos. Atua através do bloqueio </w:t>
      </w:r>
      <w:r w:rsidR="002E4B52" w:rsidRPr="0063119B">
        <w:rPr>
          <w:noProof/>
          <w:szCs w:val="22"/>
        </w:rPr>
        <w:t xml:space="preserve">de </w:t>
      </w:r>
      <w:r w:rsidRPr="0063119B">
        <w:rPr>
          <w:noProof/>
          <w:szCs w:val="22"/>
        </w:rPr>
        <w:t>um fator de coagulação sanguínea (fator Xa) reduzindo assim a tendência do sangue para formar coágulos.</w:t>
      </w:r>
    </w:p>
    <w:p w14:paraId="2A51F294" w14:textId="77777777" w:rsidR="00084D33" w:rsidRPr="0063119B" w:rsidRDefault="00084D33" w:rsidP="00084D33">
      <w:pPr>
        <w:numPr>
          <w:ilvl w:val="12"/>
          <w:numId w:val="0"/>
        </w:numPr>
        <w:suppressAutoHyphens/>
        <w:rPr>
          <w:noProof/>
          <w:szCs w:val="22"/>
        </w:rPr>
      </w:pPr>
    </w:p>
    <w:p w14:paraId="24D3ED7C" w14:textId="77777777" w:rsidR="00084D33" w:rsidRPr="0063119B" w:rsidRDefault="00084D33" w:rsidP="00084D33">
      <w:pPr>
        <w:numPr>
          <w:ilvl w:val="12"/>
          <w:numId w:val="0"/>
        </w:numPr>
        <w:tabs>
          <w:tab w:val="left" w:pos="1418"/>
        </w:tabs>
        <w:suppressAutoHyphens/>
        <w:rPr>
          <w:noProof/>
          <w:szCs w:val="22"/>
        </w:rPr>
      </w:pPr>
    </w:p>
    <w:p w14:paraId="714A8017" w14:textId="77777777" w:rsidR="00084D33" w:rsidRPr="0063119B" w:rsidRDefault="00084D33" w:rsidP="00084D33">
      <w:pPr>
        <w:numPr>
          <w:ilvl w:val="12"/>
          <w:numId w:val="0"/>
        </w:numPr>
        <w:suppressAutoHyphens/>
        <w:ind w:left="567" w:hanging="567"/>
        <w:rPr>
          <w:b/>
          <w:noProof/>
          <w:szCs w:val="22"/>
        </w:rPr>
      </w:pPr>
      <w:r w:rsidRPr="0063119B">
        <w:rPr>
          <w:b/>
          <w:noProof/>
          <w:szCs w:val="22"/>
        </w:rPr>
        <w:t>2.</w:t>
      </w:r>
      <w:r w:rsidRPr="0063119B">
        <w:rPr>
          <w:b/>
          <w:noProof/>
          <w:szCs w:val="22"/>
        </w:rPr>
        <w:tab/>
      </w:r>
      <w:r w:rsidRPr="0063119B">
        <w:rPr>
          <w:b/>
          <w:szCs w:val="22"/>
        </w:rPr>
        <w:t>O que precisa de saber a</w:t>
      </w:r>
      <w:r w:rsidRPr="0063119B">
        <w:rPr>
          <w:b/>
          <w:noProof/>
          <w:szCs w:val="22"/>
        </w:rPr>
        <w:t xml:space="preserve">ntes de tomar </w:t>
      </w:r>
      <w:r w:rsidR="00607DE4">
        <w:rPr>
          <w:b/>
          <w:noProof/>
          <w:szCs w:val="22"/>
        </w:rPr>
        <w:t>Rivaroxabano</w:t>
      </w:r>
      <w:r w:rsidR="001F7D02" w:rsidRPr="0063119B">
        <w:rPr>
          <w:b/>
          <w:noProof/>
          <w:szCs w:val="22"/>
        </w:rPr>
        <w:t xml:space="preserve"> Accord</w:t>
      </w:r>
    </w:p>
    <w:p w14:paraId="5220EE96" w14:textId="77777777" w:rsidR="00084D33" w:rsidRPr="0063119B" w:rsidRDefault="00084D33" w:rsidP="00084D33">
      <w:pPr>
        <w:numPr>
          <w:ilvl w:val="12"/>
          <w:numId w:val="0"/>
        </w:numPr>
        <w:suppressAutoHyphens/>
        <w:ind w:left="567" w:hanging="567"/>
        <w:rPr>
          <w:noProof/>
          <w:szCs w:val="22"/>
        </w:rPr>
      </w:pPr>
    </w:p>
    <w:p w14:paraId="546DD0A0" w14:textId="77777777" w:rsidR="00084D33" w:rsidRPr="0063119B" w:rsidRDefault="00084D33" w:rsidP="00084D33">
      <w:pPr>
        <w:numPr>
          <w:ilvl w:val="12"/>
          <w:numId w:val="0"/>
        </w:numPr>
        <w:suppressAutoHyphens/>
        <w:rPr>
          <w:noProof/>
          <w:szCs w:val="22"/>
        </w:rPr>
      </w:pPr>
      <w:r w:rsidRPr="0063119B">
        <w:rPr>
          <w:b/>
          <w:noProof/>
          <w:szCs w:val="22"/>
        </w:rPr>
        <w:t xml:space="preserve">Não tome </w:t>
      </w:r>
      <w:r w:rsidR="00607DE4">
        <w:rPr>
          <w:b/>
          <w:noProof/>
          <w:szCs w:val="22"/>
        </w:rPr>
        <w:t>Rivaroxabano</w:t>
      </w:r>
      <w:r w:rsidR="001F7D02" w:rsidRPr="0063119B">
        <w:rPr>
          <w:b/>
          <w:noProof/>
          <w:szCs w:val="22"/>
        </w:rPr>
        <w:t xml:space="preserve"> Accord</w:t>
      </w:r>
    </w:p>
    <w:p w14:paraId="13E965B1" w14:textId="77777777" w:rsidR="00084D33" w:rsidRPr="0063119B" w:rsidRDefault="00084D33" w:rsidP="00084D33">
      <w:pPr>
        <w:ind w:left="567" w:hanging="567"/>
        <w:rPr>
          <w:noProof/>
          <w:szCs w:val="22"/>
        </w:rPr>
      </w:pPr>
      <w:r w:rsidRPr="0063119B">
        <w:rPr>
          <w:noProof/>
          <w:szCs w:val="22"/>
        </w:rPr>
        <w:noBreakHyphen/>
      </w:r>
      <w:r w:rsidRPr="0063119B">
        <w:rPr>
          <w:noProof/>
          <w:szCs w:val="22"/>
        </w:rPr>
        <w:tab/>
        <w:t>se tem alergia ao rivaroxabano ou a qualquer outro componente deste medicamento (indicados na secção 6)</w:t>
      </w:r>
    </w:p>
    <w:p w14:paraId="7BEEE96D" w14:textId="77777777" w:rsidR="00084D33" w:rsidRPr="0063119B" w:rsidRDefault="00084D33" w:rsidP="00084D33">
      <w:pPr>
        <w:ind w:left="567" w:hanging="567"/>
        <w:rPr>
          <w:b/>
          <w:noProof/>
          <w:szCs w:val="22"/>
        </w:rPr>
      </w:pPr>
      <w:r w:rsidRPr="0063119B">
        <w:rPr>
          <w:noProof/>
          <w:szCs w:val="22"/>
        </w:rPr>
        <w:noBreakHyphen/>
      </w:r>
      <w:r w:rsidRPr="0063119B">
        <w:rPr>
          <w:noProof/>
          <w:szCs w:val="22"/>
        </w:rPr>
        <w:tab/>
        <w:t>se está a sangrar excessivamente</w:t>
      </w:r>
    </w:p>
    <w:p w14:paraId="177DE84C" w14:textId="77777777" w:rsidR="00084D33" w:rsidRPr="0063119B" w:rsidRDefault="00084D33" w:rsidP="00084D33">
      <w:pPr>
        <w:ind w:left="567" w:hanging="567"/>
        <w:rPr>
          <w:b/>
          <w:szCs w:val="22"/>
          <w:lang w:eastAsia="pt-PT"/>
        </w:rPr>
      </w:pPr>
      <w:r w:rsidRPr="0063119B">
        <w:rPr>
          <w:b/>
          <w:noProof/>
          <w:szCs w:val="22"/>
        </w:rPr>
        <w:t>-</w:t>
      </w:r>
      <w:r w:rsidRPr="0063119B">
        <w:rPr>
          <w:b/>
          <w:noProof/>
          <w:szCs w:val="22"/>
        </w:rPr>
        <w:tab/>
      </w:r>
      <w:r w:rsidRPr="0063119B">
        <w:rPr>
          <w:noProof/>
          <w:szCs w:val="22"/>
        </w:rPr>
        <w:t xml:space="preserve">se tem uma doença </w:t>
      </w:r>
      <w:r w:rsidR="00F96F1B" w:rsidRPr="0063119B">
        <w:rPr>
          <w:noProof/>
          <w:szCs w:val="22"/>
        </w:rPr>
        <w:t xml:space="preserve">ou situação </w:t>
      </w:r>
      <w:r w:rsidRPr="0063119B">
        <w:rPr>
          <w:noProof/>
          <w:szCs w:val="22"/>
        </w:rPr>
        <w:t>num órgão do corpo</w:t>
      </w:r>
      <w:r w:rsidRPr="0063119B">
        <w:rPr>
          <w:szCs w:val="22"/>
          <w:lang w:eastAsia="pt-PT"/>
        </w:rPr>
        <w:t xml:space="preserve"> que aumente o risco de hemorragia grave</w:t>
      </w:r>
      <w:r w:rsidR="008872ED" w:rsidRPr="0063119B">
        <w:rPr>
          <w:szCs w:val="22"/>
          <w:lang w:eastAsia="pt-PT"/>
        </w:rPr>
        <w:t xml:space="preserve"> (ex.: úlcera no estômago, lesão ou hemorragia no cérebro, cirurgia recente do cérebro ou dos olhos)</w:t>
      </w:r>
    </w:p>
    <w:p w14:paraId="54455C16" w14:textId="77777777" w:rsidR="00084D33" w:rsidRPr="0063119B" w:rsidRDefault="00084D33" w:rsidP="00084D33">
      <w:pPr>
        <w:autoSpaceDE w:val="0"/>
        <w:autoSpaceDN w:val="0"/>
        <w:adjustRightInd w:val="0"/>
        <w:ind w:left="567" w:hanging="567"/>
        <w:rPr>
          <w:b/>
          <w:noProof/>
          <w:szCs w:val="22"/>
        </w:rPr>
      </w:pPr>
      <w:r w:rsidRPr="0063119B">
        <w:rPr>
          <w:b/>
          <w:noProof/>
          <w:szCs w:val="22"/>
        </w:rPr>
        <w:lastRenderedPageBreak/>
        <w:t xml:space="preserve">-         </w:t>
      </w:r>
      <w:r w:rsidRPr="0063119B">
        <w:rPr>
          <w:szCs w:val="22"/>
          <w:lang w:eastAsia="pt-PT"/>
        </w:rPr>
        <w:t xml:space="preserve">se está a tomar medicamentos para prevenir a coagulação sanguínea (ex.: varfarina, dabigatrano, apixabano ou heparina), exceto quando estiver a mudar de tratamento anticoagulante ou enquanto </w:t>
      </w:r>
      <w:r w:rsidR="003A3307" w:rsidRPr="0063119B">
        <w:rPr>
          <w:szCs w:val="22"/>
          <w:lang w:eastAsia="pt-PT"/>
        </w:rPr>
        <w:t>receber heparina através</w:t>
      </w:r>
      <w:r w:rsidR="008872ED" w:rsidRPr="0063119B">
        <w:rPr>
          <w:szCs w:val="22"/>
          <w:lang w:eastAsia="pt-PT"/>
        </w:rPr>
        <w:t xml:space="preserve"> de</w:t>
      </w:r>
      <w:r w:rsidRPr="0063119B">
        <w:rPr>
          <w:szCs w:val="22"/>
          <w:lang w:eastAsia="pt-PT"/>
        </w:rPr>
        <w:t xml:space="preserve"> uma linha venosa ou arterial para a manter aberta</w:t>
      </w:r>
    </w:p>
    <w:p w14:paraId="03EAA5D7" w14:textId="77777777" w:rsidR="00084D33" w:rsidRPr="0063119B" w:rsidRDefault="00084D33" w:rsidP="00084D33">
      <w:pPr>
        <w:ind w:left="567" w:hanging="567"/>
        <w:rPr>
          <w:noProof/>
          <w:szCs w:val="22"/>
        </w:rPr>
      </w:pPr>
      <w:r w:rsidRPr="0063119B">
        <w:rPr>
          <w:noProof/>
          <w:szCs w:val="22"/>
        </w:rPr>
        <w:noBreakHyphen/>
      </w:r>
      <w:r w:rsidRPr="0063119B">
        <w:rPr>
          <w:noProof/>
          <w:szCs w:val="22"/>
        </w:rPr>
        <w:tab/>
        <w:t>se tem uma doença no fígado, que leva a um aumento do risco de hemorragias</w:t>
      </w:r>
    </w:p>
    <w:p w14:paraId="5BE8E785" w14:textId="77777777" w:rsidR="00084D33" w:rsidRPr="0063119B" w:rsidRDefault="00084D33" w:rsidP="00084D33">
      <w:pPr>
        <w:ind w:left="567" w:hanging="567"/>
        <w:rPr>
          <w:noProof/>
          <w:szCs w:val="22"/>
        </w:rPr>
      </w:pPr>
      <w:r w:rsidRPr="0063119B">
        <w:rPr>
          <w:noProof/>
          <w:szCs w:val="22"/>
        </w:rPr>
        <w:noBreakHyphen/>
      </w:r>
      <w:r w:rsidRPr="0063119B">
        <w:rPr>
          <w:noProof/>
          <w:szCs w:val="22"/>
        </w:rPr>
        <w:tab/>
        <w:t>se está grávida ou a amamentar</w:t>
      </w:r>
    </w:p>
    <w:p w14:paraId="1106BEEC" w14:textId="77777777" w:rsidR="00084D33" w:rsidRPr="0063119B" w:rsidRDefault="00084D33" w:rsidP="00084D33">
      <w:pPr>
        <w:numPr>
          <w:ilvl w:val="12"/>
          <w:numId w:val="0"/>
        </w:numPr>
        <w:suppressAutoHyphens/>
        <w:rPr>
          <w:noProof/>
          <w:szCs w:val="22"/>
        </w:rPr>
      </w:pPr>
      <w:r w:rsidRPr="0063119B">
        <w:rPr>
          <w:b/>
          <w:noProof/>
          <w:szCs w:val="22"/>
        </w:rPr>
        <w:t xml:space="preserve">Não tome </w:t>
      </w:r>
      <w:r w:rsidR="00607DE4">
        <w:rPr>
          <w:b/>
          <w:noProof/>
          <w:szCs w:val="22"/>
        </w:rPr>
        <w:t>Rivaroxabano</w:t>
      </w:r>
      <w:r w:rsidR="001F7D02" w:rsidRPr="0063119B">
        <w:rPr>
          <w:b/>
          <w:noProof/>
          <w:szCs w:val="22"/>
        </w:rPr>
        <w:t xml:space="preserve"> Accord</w:t>
      </w:r>
      <w:r w:rsidRPr="0063119B">
        <w:rPr>
          <w:b/>
          <w:noProof/>
          <w:szCs w:val="22"/>
        </w:rPr>
        <w:t xml:space="preserve"> e informe o seu médico</w:t>
      </w:r>
      <w:r w:rsidRPr="0063119B">
        <w:rPr>
          <w:noProof/>
          <w:szCs w:val="22"/>
        </w:rPr>
        <w:t xml:space="preserve"> se alguma destas situações se aplica a si.</w:t>
      </w:r>
    </w:p>
    <w:p w14:paraId="4AD722E6" w14:textId="77777777" w:rsidR="00084D33" w:rsidRPr="0063119B" w:rsidRDefault="00084D33" w:rsidP="00084D33">
      <w:pPr>
        <w:numPr>
          <w:ilvl w:val="12"/>
          <w:numId w:val="0"/>
        </w:numPr>
        <w:suppressAutoHyphens/>
        <w:rPr>
          <w:noProof/>
          <w:szCs w:val="22"/>
        </w:rPr>
      </w:pPr>
    </w:p>
    <w:p w14:paraId="3A62B01D" w14:textId="77777777" w:rsidR="00084D33" w:rsidRPr="0063119B" w:rsidRDefault="00084D33" w:rsidP="00084D33">
      <w:pPr>
        <w:suppressAutoHyphens/>
        <w:rPr>
          <w:noProof/>
          <w:szCs w:val="22"/>
        </w:rPr>
      </w:pPr>
      <w:r w:rsidRPr="0063119B">
        <w:rPr>
          <w:b/>
          <w:noProof/>
          <w:szCs w:val="22"/>
        </w:rPr>
        <w:t>Advertências e precauções</w:t>
      </w:r>
    </w:p>
    <w:p w14:paraId="770B2B36" w14:textId="77777777" w:rsidR="00084D33" w:rsidRPr="0063119B" w:rsidRDefault="00084D33" w:rsidP="00084D33">
      <w:pPr>
        <w:suppressAutoHyphens/>
        <w:rPr>
          <w:noProof/>
          <w:szCs w:val="22"/>
        </w:rPr>
      </w:pPr>
      <w:r w:rsidRPr="0063119B">
        <w:rPr>
          <w:noProof/>
          <w:szCs w:val="22"/>
        </w:rPr>
        <w:t xml:space="preserve">Fale com o seu médico ou farmacêutico antes de tomar </w:t>
      </w:r>
      <w:r w:rsidR="00607DE4">
        <w:rPr>
          <w:noProof/>
          <w:szCs w:val="22"/>
        </w:rPr>
        <w:t>Rivaroxabano</w:t>
      </w:r>
      <w:r w:rsidR="001F7D02" w:rsidRPr="0063119B">
        <w:rPr>
          <w:noProof/>
          <w:szCs w:val="22"/>
        </w:rPr>
        <w:t xml:space="preserve"> Accord</w:t>
      </w:r>
      <w:r w:rsidRPr="0063119B">
        <w:rPr>
          <w:noProof/>
          <w:szCs w:val="22"/>
        </w:rPr>
        <w:t>.</w:t>
      </w:r>
    </w:p>
    <w:p w14:paraId="0285BF4A" w14:textId="77777777" w:rsidR="00084D33" w:rsidRPr="0063119B" w:rsidRDefault="00084D33" w:rsidP="00084D33">
      <w:pPr>
        <w:numPr>
          <w:ilvl w:val="12"/>
          <w:numId w:val="0"/>
        </w:numPr>
        <w:suppressAutoHyphens/>
        <w:rPr>
          <w:b/>
          <w:noProof/>
          <w:szCs w:val="22"/>
        </w:rPr>
      </w:pPr>
    </w:p>
    <w:p w14:paraId="60083958" w14:textId="77777777" w:rsidR="00084D33" w:rsidRPr="0063119B" w:rsidRDefault="00084D33" w:rsidP="00084D33">
      <w:pPr>
        <w:numPr>
          <w:ilvl w:val="12"/>
          <w:numId w:val="0"/>
        </w:numPr>
        <w:suppressAutoHyphens/>
        <w:rPr>
          <w:b/>
          <w:noProof/>
          <w:szCs w:val="22"/>
        </w:rPr>
      </w:pPr>
      <w:r w:rsidRPr="0063119B">
        <w:rPr>
          <w:b/>
          <w:noProof/>
          <w:szCs w:val="22"/>
        </w:rPr>
        <w:t xml:space="preserve">Tome especial cuidado com </w:t>
      </w:r>
      <w:r w:rsidR="00607DE4">
        <w:rPr>
          <w:b/>
          <w:noProof/>
          <w:szCs w:val="22"/>
        </w:rPr>
        <w:t>Rivaroxabano</w:t>
      </w:r>
      <w:r w:rsidR="001F7D02" w:rsidRPr="0063119B">
        <w:rPr>
          <w:b/>
          <w:noProof/>
          <w:szCs w:val="22"/>
        </w:rPr>
        <w:t xml:space="preserve"> Accord</w:t>
      </w:r>
    </w:p>
    <w:p w14:paraId="368CDF68" w14:textId="77777777" w:rsidR="00084D33" w:rsidRPr="0063119B" w:rsidRDefault="00084D33" w:rsidP="00084D33">
      <w:pPr>
        <w:numPr>
          <w:ilvl w:val="12"/>
          <w:numId w:val="0"/>
        </w:numPr>
        <w:suppressAutoHyphens/>
        <w:rPr>
          <w:noProof/>
          <w:szCs w:val="22"/>
        </w:rPr>
      </w:pPr>
      <w:r w:rsidRPr="0063119B">
        <w:rPr>
          <w:b/>
          <w:noProof/>
          <w:szCs w:val="22"/>
        </w:rPr>
        <w:t xml:space="preserve">-         </w:t>
      </w:r>
      <w:r w:rsidRPr="0063119B">
        <w:rPr>
          <w:noProof/>
          <w:szCs w:val="22"/>
        </w:rPr>
        <w:t>se tem</w:t>
      </w:r>
      <w:r w:rsidRPr="0063119B">
        <w:rPr>
          <w:b/>
          <w:noProof/>
          <w:szCs w:val="22"/>
        </w:rPr>
        <w:t xml:space="preserve"> </w:t>
      </w:r>
      <w:r w:rsidRPr="0063119B">
        <w:rPr>
          <w:noProof/>
          <w:szCs w:val="22"/>
        </w:rPr>
        <w:t>um risco aumentado de hemorragia, uma vez que pode ser o caso de situações como:</w:t>
      </w:r>
    </w:p>
    <w:p w14:paraId="55635B9E" w14:textId="77777777" w:rsidR="00084D33" w:rsidRPr="0063119B" w:rsidRDefault="00084D33" w:rsidP="00084D33">
      <w:pPr>
        <w:tabs>
          <w:tab w:val="left" w:pos="1418"/>
        </w:tabs>
        <w:suppressAutoHyphens/>
        <w:ind w:left="1134" w:hanging="567"/>
        <w:rPr>
          <w:b/>
          <w:noProof/>
          <w:szCs w:val="22"/>
        </w:rPr>
      </w:pPr>
      <w:r w:rsidRPr="0063119B">
        <w:rPr>
          <w:noProof/>
          <w:szCs w:val="22"/>
        </w:rPr>
        <w:t>▪</w:t>
      </w:r>
      <w:r w:rsidRPr="0063119B">
        <w:rPr>
          <w:noProof/>
          <w:szCs w:val="22"/>
        </w:rPr>
        <w:tab/>
        <w:t>doença grave dos rins</w:t>
      </w:r>
      <w:r w:rsidR="00DA13B6">
        <w:rPr>
          <w:noProof/>
          <w:szCs w:val="22"/>
        </w:rPr>
        <w:t xml:space="preserve"> </w:t>
      </w:r>
      <w:r w:rsidR="00DA13B6">
        <w:rPr>
          <w:szCs w:val="22"/>
        </w:rPr>
        <w:t>em adultos e doença renal moderada ou grave em crianças e adolescentes</w:t>
      </w:r>
      <w:r w:rsidR="002A7834" w:rsidRPr="0063119B">
        <w:rPr>
          <w:noProof/>
          <w:szCs w:val="22"/>
        </w:rPr>
        <w:t>, uma vez que a sua função renal pode afetar a quantidade de medicamento que funciona no seu corpo</w:t>
      </w:r>
    </w:p>
    <w:p w14:paraId="5FBE9723" w14:textId="77777777" w:rsidR="00084D33" w:rsidRPr="0063119B" w:rsidRDefault="00084D33" w:rsidP="00084D33">
      <w:pPr>
        <w:tabs>
          <w:tab w:val="left" w:pos="1418"/>
        </w:tabs>
        <w:suppressAutoHyphens/>
        <w:ind w:left="1134" w:hanging="567"/>
        <w:rPr>
          <w:b/>
          <w:noProof/>
          <w:szCs w:val="22"/>
        </w:rPr>
      </w:pPr>
      <w:r w:rsidRPr="0063119B">
        <w:rPr>
          <w:noProof/>
          <w:szCs w:val="22"/>
        </w:rPr>
        <w:t>▪</w:t>
      </w:r>
      <w:r w:rsidRPr="0063119B">
        <w:rPr>
          <w:noProof/>
          <w:szCs w:val="22"/>
        </w:rPr>
        <w:tab/>
        <w:t>se está a tomar outros medicamentos para prevenir coágulos de sangue (ex.: varfarina, dabigatrano, apixabano ou heparina)</w:t>
      </w:r>
      <w:r w:rsidR="00B25D0A" w:rsidRPr="0063119B">
        <w:rPr>
          <w:noProof/>
          <w:szCs w:val="22"/>
        </w:rPr>
        <w:t xml:space="preserve">, </w:t>
      </w:r>
      <w:r w:rsidR="00B25D0A" w:rsidRPr="0063119B">
        <w:rPr>
          <w:rStyle w:val="hps"/>
          <w:szCs w:val="22"/>
        </w:rPr>
        <w:t xml:space="preserve">quando estiver a </w:t>
      </w:r>
      <w:r w:rsidR="00B25D0A" w:rsidRPr="0063119B">
        <w:rPr>
          <w:szCs w:val="22"/>
          <w:lang w:eastAsia="pt-PT"/>
        </w:rPr>
        <w:t>mudar de tratamento</w:t>
      </w:r>
      <w:r w:rsidR="00B25D0A" w:rsidRPr="0063119B">
        <w:rPr>
          <w:b/>
          <w:szCs w:val="22"/>
          <w:lang w:eastAsia="pt-PT"/>
        </w:rPr>
        <w:t xml:space="preserve"> </w:t>
      </w:r>
      <w:r w:rsidR="00B25D0A" w:rsidRPr="0063119B">
        <w:rPr>
          <w:szCs w:val="22"/>
          <w:lang w:eastAsia="pt-PT"/>
        </w:rPr>
        <w:t>anticoagulante ou enquanto receber heparina através de uma linha venosa ou arterial para a manter aberta</w:t>
      </w:r>
      <w:r w:rsidR="00B25D0A" w:rsidRPr="0063119B">
        <w:rPr>
          <w:rStyle w:val="hps"/>
          <w:szCs w:val="22"/>
        </w:rPr>
        <w:t xml:space="preserve"> (</w:t>
      </w:r>
      <w:r w:rsidR="00B25D0A" w:rsidRPr="0063119B">
        <w:rPr>
          <w:rStyle w:val="atn"/>
          <w:szCs w:val="22"/>
        </w:rPr>
        <w:t>ver secção "</w:t>
      </w:r>
      <w:r w:rsidR="00B25D0A" w:rsidRPr="0063119B">
        <w:rPr>
          <w:szCs w:val="22"/>
        </w:rPr>
        <w:t xml:space="preserve">Outros medicamentos </w:t>
      </w:r>
      <w:r w:rsidR="00B25D0A" w:rsidRPr="0063119B">
        <w:rPr>
          <w:rStyle w:val="hps"/>
          <w:szCs w:val="22"/>
        </w:rPr>
        <w:t>e</w:t>
      </w:r>
      <w:r w:rsidR="00B25D0A" w:rsidRPr="0063119B">
        <w:rPr>
          <w:szCs w:val="22"/>
        </w:rPr>
        <w:t xml:space="preserve"> </w:t>
      </w:r>
      <w:r w:rsidR="00607DE4">
        <w:rPr>
          <w:rStyle w:val="hps"/>
          <w:szCs w:val="22"/>
        </w:rPr>
        <w:t>Rivaroxabano</w:t>
      </w:r>
      <w:r w:rsidR="001F7D02" w:rsidRPr="0063119B">
        <w:rPr>
          <w:rStyle w:val="hps"/>
          <w:szCs w:val="22"/>
        </w:rPr>
        <w:t xml:space="preserve"> Accord</w:t>
      </w:r>
      <w:r w:rsidR="00B25D0A" w:rsidRPr="0063119B">
        <w:rPr>
          <w:szCs w:val="22"/>
        </w:rPr>
        <w:t>")</w:t>
      </w:r>
    </w:p>
    <w:p w14:paraId="2DB8F248" w14:textId="77777777" w:rsidR="00084D33" w:rsidRPr="0063119B" w:rsidRDefault="00084D33" w:rsidP="00084D33">
      <w:pPr>
        <w:tabs>
          <w:tab w:val="left" w:pos="1418"/>
        </w:tabs>
        <w:suppressAutoHyphens/>
        <w:ind w:left="1134" w:hanging="567"/>
        <w:rPr>
          <w:b/>
          <w:noProof/>
          <w:szCs w:val="22"/>
        </w:rPr>
      </w:pPr>
      <w:r w:rsidRPr="0063119B">
        <w:rPr>
          <w:noProof/>
          <w:szCs w:val="22"/>
        </w:rPr>
        <w:t>▪</w:t>
      </w:r>
      <w:r w:rsidRPr="0063119B">
        <w:rPr>
          <w:noProof/>
          <w:szCs w:val="22"/>
        </w:rPr>
        <w:tab/>
        <w:t>doenças hemorrágicas</w:t>
      </w:r>
    </w:p>
    <w:p w14:paraId="2B338275" w14:textId="77777777" w:rsidR="00084D33" w:rsidRPr="0063119B" w:rsidRDefault="00084D33" w:rsidP="00084D33">
      <w:pPr>
        <w:suppressAutoHyphens/>
        <w:ind w:left="1134" w:hanging="567"/>
        <w:rPr>
          <w:noProof/>
          <w:szCs w:val="22"/>
        </w:rPr>
      </w:pPr>
      <w:r w:rsidRPr="0063119B">
        <w:rPr>
          <w:noProof/>
          <w:szCs w:val="22"/>
        </w:rPr>
        <w:t>▪</w:t>
      </w:r>
      <w:r w:rsidRPr="0063119B">
        <w:rPr>
          <w:noProof/>
          <w:szCs w:val="22"/>
        </w:rPr>
        <w:tab/>
        <w:t>tensão arterial muito alta, não controlada por tratamento médico</w:t>
      </w:r>
    </w:p>
    <w:p w14:paraId="72209539" w14:textId="77777777" w:rsidR="003462AA" w:rsidRPr="0063119B" w:rsidRDefault="00E7420D" w:rsidP="00084D33">
      <w:pPr>
        <w:suppressAutoHyphens/>
        <w:ind w:left="1134" w:hanging="567"/>
        <w:rPr>
          <w:noProof/>
          <w:szCs w:val="22"/>
        </w:rPr>
      </w:pPr>
      <w:r w:rsidRPr="0063119B">
        <w:rPr>
          <w:noProof/>
          <w:szCs w:val="22"/>
        </w:rPr>
        <w:t>▪</w:t>
      </w:r>
      <w:r w:rsidRPr="0063119B">
        <w:rPr>
          <w:noProof/>
          <w:szCs w:val="22"/>
        </w:rPr>
        <w:tab/>
        <w:t>doenças do seu estômago ou intestinos que podem resultar em hemorragia, ex.: inflamação dos intestinos ou estômago, ou inflamação do esófago</w:t>
      </w:r>
      <w:r w:rsidR="00737E2B" w:rsidRPr="0063119B">
        <w:rPr>
          <w:noProof/>
          <w:szCs w:val="22"/>
        </w:rPr>
        <w:t xml:space="preserve"> </w:t>
      </w:r>
      <w:r w:rsidRPr="0063119B">
        <w:rPr>
          <w:noProof/>
          <w:szCs w:val="22"/>
        </w:rPr>
        <w:t>ex.: devido à doença de refluxo gastroesofágico (doença em que o ácido do estômago sobe para o esófago)</w:t>
      </w:r>
      <w:r w:rsidR="009F7B2E" w:rsidRPr="009F7B2E">
        <w:t xml:space="preserve"> </w:t>
      </w:r>
      <w:r w:rsidR="009F7B2E">
        <w:t>ou tumores localizados no estômago ou intestinos ou trato genital ou trato urinário</w:t>
      </w:r>
    </w:p>
    <w:p w14:paraId="670999ED" w14:textId="77777777" w:rsidR="00084D33" w:rsidRPr="0063119B" w:rsidRDefault="00084D33" w:rsidP="00084D33">
      <w:pPr>
        <w:suppressAutoHyphens/>
        <w:ind w:left="1134" w:hanging="567"/>
        <w:rPr>
          <w:noProof/>
          <w:szCs w:val="22"/>
        </w:rPr>
      </w:pPr>
      <w:r w:rsidRPr="0063119B">
        <w:rPr>
          <w:noProof/>
          <w:szCs w:val="22"/>
        </w:rPr>
        <w:t>▪</w:t>
      </w:r>
      <w:r w:rsidRPr="0063119B">
        <w:rPr>
          <w:noProof/>
          <w:szCs w:val="22"/>
        </w:rPr>
        <w:tab/>
        <w:t>um problema com os vasos sanguíneos do fundo do olho (retinopatia)</w:t>
      </w:r>
    </w:p>
    <w:p w14:paraId="7662FA6D" w14:textId="77777777" w:rsidR="00084D33" w:rsidRPr="0063119B" w:rsidRDefault="00084D33" w:rsidP="00084D33">
      <w:pPr>
        <w:suppressAutoHyphens/>
        <w:ind w:left="1134" w:hanging="567"/>
        <w:rPr>
          <w:b/>
          <w:noProof/>
          <w:szCs w:val="22"/>
        </w:rPr>
      </w:pPr>
      <w:r w:rsidRPr="0063119B">
        <w:rPr>
          <w:noProof/>
          <w:szCs w:val="22"/>
        </w:rPr>
        <w:t>▪</w:t>
      </w:r>
      <w:r w:rsidRPr="0063119B">
        <w:rPr>
          <w:noProof/>
          <w:szCs w:val="22"/>
        </w:rPr>
        <w:tab/>
        <w:t>uma doença dos pulmões em que os seus brônquios estão alargados e cheios de pús</w:t>
      </w:r>
      <w:r w:rsidRPr="0063119B">
        <w:rPr>
          <w:b/>
          <w:noProof/>
          <w:szCs w:val="22"/>
        </w:rPr>
        <w:t xml:space="preserve"> </w:t>
      </w:r>
      <w:r w:rsidRPr="0063119B">
        <w:rPr>
          <w:i/>
          <w:noProof/>
          <w:szCs w:val="22"/>
        </w:rPr>
        <w:t>(</w:t>
      </w:r>
      <w:r w:rsidRPr="0063119B">
        <w:rPr>
          <w:noProof/>
          <w:szCs w:val="22"/>
        </w:rPr>
        <w:t>bronquiectasias</w:t>
      </w:r>
      <w:r w:rsidRPr="0063119B">
        <w:rPr>
          <w:i/>
          <w:noProof/>
          <w:szCs w:val="22"/>
        </w:rPr>
        <w:t xml:space="preserve">) </w:t>
      </w:r>
      <w:r w:rsidRPr="0063119B">
        <w:rPr>
          <w:noProof/>
          <w:szCs w:val="22"/>
        </w:rPr>
        <w:t>ou anterior hemorragia dos pulmões</w:t>
      </w:r>
    </w:p>
    <w:p w14:paraId="4E2E25ED" w14:textId="77777777" w:rsidR="00084D33" w:rsidRPr="0063119B" w:rsidRDefault="00084D33" w:rsidP="00084D33">
      <w:pPr>
        <w:suppressAutoHyphens/>
        <w:rPr>
          <w:noProof/>
          <w:szCs w:val="22"/>
        </w:rPr>
      </w:pPr>
      <w:r w:rsidRPr="0063119B">
        <w:rPr>
          <w:noProof/>
          <w:szCs w:val="22"/>
        </w:rPr>
        <w:t>-         se tem uma válvula cardíaca protésica</w:t>
      </w:r>
    </w:p>
    <w:p w14:paraId="5B71D887" w14:textId="77777777" w:rsidR="00D64F59" w:rsidRPr="0063119B" w:rsidRDefault="00D64F59" w:rsidP="00D64F59">
      <w:pPr>
        <w:numPr>
          <w:ilvl w:val="0"/>
          <w:numId w:val="33"/>
        </w:numPr>
        <w:suppressAutoHyphens/>
        <w:ind w:left="567" w:hanging="567"/>
        <w:rPr>
          <w:b/>
          <w:noProof/>
          <w:szCs w:val="22"/>
        </w:rPr>
      </w:pPr>
      <w:r w:rsidRPr="0063119B">
        <w:rPr>
          <w:noProof/>
          <w:szCs w:val="22"/>
        </w:rPr>
        <w:t>se o seu médico determinar</w:t>
      </w:r>
      <w:r w:rsidRPr="0063119B">
        <w:rPr>
          <w:b/>
          <w:noProof/>
          <w:szCs w:val="22"/>
        </w:rPr>
        <w:t xml:space="preserve"> </w:t>
      </w:r>
      <w:r w:rsidRPr="0063119B">
        <w:rPr>
          <w:noProof/>
          <w:szCs w:val="22"/>
        </w:rPr>
        <w:t>que a sua</w:t>
      </w:r>
      <w:r w:rsidRPr="0063119B">
        <w:rPr>
          <w:b/>
          <w:noProof/>
          <w:szCs w:val="22"/>
        </w:rPr>
        <w:t xml:space="preserve"> </w:t>
      </w:r>
      <w:r w:rsidRPr="0063119B">
        <w:rPr>
          <w:noProof/>
          <w:szCs w:val="22"/>
        </w:rPr>
        <w:t>tensão arterial é instável ou está planeado outro tratamento</w:t>
      </w:r>
      <w:r w:rsidRPr="0063119B">
        <w:rPr>
          <w:b/>
          <w:noProof/>
          <w:szCs w:val="22"/>
        </w:rPr>
        <w:t xml:space="preserve"> </w:t>
      </w:r>
      <w:r w:rsidRPr="0063119B">
        <w:rPr>
          <w:noProof/>
          <w:szCs w:val="22"/>
        </w:rPr>
        <w:t>ou procedimento cirúrgico para remover o cóagulo de sangue dos seus pulmões</w:t>
      </w:r>
      <w:r w:rsidRPr="0063119B">
        <w:rPr>
          <w:b/>
          <w:noProof/>
          <w:szCs w:val="22"/>
        </w:rPr>
        <w:t xml:space="preserve"> </w:t>
      </w:r>
    </w:p>
    <w:p w14:paraId="398C8E4E" w14:textId="77777777" w:rsidR="00C909B6" w:rsidRPr="0063119B" w:rsidRDefault="00C909B6" w:rsidP="00A82ECE">
      <w:pPr>
        <w:numPr>
          <w:ilvl w:val="0"/>
          <w:numId w:val="33"/>
        </w:numPr>
        <w:suppressAutoHyphens/>
        <w:ind w:left="567" w:hanging="567"/>
        <w:rPr>
          <w:noProof/>
          <w:szCs w:val="22"/>
        </w:rPr>
      </w:pPr>
      <w:r w:rsidRPr="0063119B">
        <w:rPr>
          <w:noProof/>
          <w:szCs w:val="22"/>
        </w:rPr>
        <w:t>se tem uma doença chamada síndrome antifosfolipídica (uma doença do sistema imunitário que provoca um aumento do risco de coágulos sanguíneos), informe o seu médico, que decidirá se o tratamento necessita de ser alterado</w:t>
      </w:r>
    </w:p>
    <w:p w14:paraId="603C2951" w14:textId="77777777" w:rsidR="00084D33" w:rsidRPr="0063119B" w:rsidRDefault="00084D33" w:rsidP="00084D33">
      <w:pPr>
        <w:suppressAutoHyphens/>
        <w:rPr>
          <w:noProof/>
          <w:szCs w:val="22"/>
        </w:rPr>
      </w:pPr>
    </w:p>
    <w:p w14:paraId="7F09E03D" w14:textId="77777777" w:rsidR="00084D33" w:rsidRPr="0063119B" w:rsidRDefault="00084D33" w:rsidP="00084D33">
      <w:pPr>
        <w:suppressAutoHyphens/>
        <w:rPr>
          <w:noProof/>
          <w:szCs w:val="22"/>
        </w:rPr>
      </w:pPr>
      <w:r w:rsidRPr="0063119B">
        <w:rPr>
          <w:b/>
          <w:noProof/>
          <w:szCs w:val="22"/>
        </w:rPr>
        <w:t>Se algumas d</w:t>
      </w:r>
      <w:r w:rsidR="00A9623F" w:rsidRPr="0063119B">
        <w:rPr>
          <w:b/>
          <w:noProof/>
          <w:szCs w:val="22"/>
        </w:rPr>
        <w:t>as</w:t>
      </w:r>
      <w:r w:rsidRPr="0063119B">
        <w:rPr>
          <w:b/>
          <w:noProof/>
          <w:szCs w:val="22"/>
        </w:rPr>
        <w:t xml:space="preserve"> situações </w:t>
      </w:r>
      <w:r w:rsidR="00A9623F" w:rsidRPr="0063119B">
        <w:rPr>
          <w:b/>
          <w:noProof/>
          <w:szCs w:val="22"/>
        </w:rPr>
        <w:t xml:space="preserve">acima </w:t>
      </w:r>
      <w:r w:rsidRPr="0063119B">
        <w:rPr>
          <w:b/>
          <w:noProof/>
          <w:szCs w:val="22"/>
        </w:rPr>
        <w:t>se aplica</w:t>
      </w:r>
      <w:r w:rsidR="00A9623F" w:rsidRPr="0063119B">
        <w:rPr>
          <w:b/>
          <w:noProof/>
          <w:szCs w:val="22"/>
        </w:rPr>
        <w:t>r</w:t>
      </w:r>
      <w:r w:rsidRPr="0063119B">
        <w:rPr>
          <w:b/>
          <w:noProof/>
          <w:szCs w:val="22"/>
        </w:rPr>
        <w:t xml:space="preserve"> a si, informe o seu médico</w:t>
      </w:r>
      <w:r w:rsidRPr="0063119B">
        <w:rPr>
          <w:noProof/>
          <w:szCs w:val="22"/>
        </w:rPr>
        <w:t xml:space="preserve"> antes de tomar </w:t>
      </w:r>
      <w:r w:rsidR="00607DE4">
        <w:rPr>
          <w:noProof/>
          <w:szCs w:val="22"/>
        </w:rPr>
        <w:t>Rivaroxabano</w:t>
      </w:r>
      <w:r w:rsidR="001F7D02" w:rsidRPr="0063119B">
        <w:rPr>
          <w:noProof/>
          <w:szCs w:val="22"/>
        </w:rPr>
        <w:t xml:space="preserve"> Accord</w:t>
      </w:r>
      <w:r w:rsidRPr="0063119B">
        <w:rPr>
          <w:noProof/>
          <w:szCs w:val="22"/>
        </w:rPr>
        <w:t xml:space="preserve">. O seu médico decidirá se deve ser tratado com </w:t>
      </w:r>
      <w:r w:rsidR="007425F3" w:rsidRPr="0063119B">
        <w:rPr>
          <w:noProof/>
          <w:szCs w:val="22"/>
        </w:rPr>
        <w:t xml:space="preserve">este medicamento </w:t>
      </w:r>
      <w:r w:rsidRPr="0063119B">
        <w:rPr>
          <w:noProof/>
          <w:szCs w:val="22"/>
        </w:rPr>
        <w:t>e se deve ser mantido sob uma observação mais atenta.</w:t>
      </w:r>
    </w:p>
    <w:p w14:paraId="38EC7FDE" w14:textId="77777777" w:rsidR="00084D33" w:rsidRPr="0063119B" w:rsidRDefault="00084D33" w:rsidP="00084D33">
      <w:pPr>
        <w:tabs>
          <w:tab w:val="left" w:pos="709"/>
        </w:tabs>
        <w:suppressAutoHyphens/>
        <w:ind w:left="709" w:hanging="709"/>
        <w:rPr>
          <w:noProof/>
          <w:szCs w:val="22"/>
        </w:rPr>
      </w:pPr>
    </w:p>
    <w:p w14:paraId="63F23D4A" w14:textId="77777777" w:rsidR="00084D33" w:rsidRPr="0063119B" w:rsidDel="008A376F" w:rsidRDefault="00084D33" w:rsidP="00084D33">
      <w:pPr>
        <w:tabs>
          <w:tab w:val="left" w:pos="709"/>
        </w:tabs>
        <w:suppressAutoHyphens/>
        <w:ind w:left="709" w:hanging="709"/>
        <w:rPr>
          <w:b/>
          <w:noProof/>
          <w:szCs w:val="22"/>
        </w:rPr>
      </w:pPr>
      <w:r w:rsidRPr="0063119B">
        <w:rPr>
          <w:b/>
          <w:noProof/>
          <w:szCs w:val="22"/>
        </w:rPr>
        <w:t>Se necessitar de ser operado</w:t>
      </w:r>
    </w:p>
    <w:p w14:paraId="5F263153" w14:textId="77777777" w:rsidR="00084D33" w:rsidRPr="0063119B" w:rsidRDefault="00084D33" w:rsidP="00084D33">
      <w:pPr>
        <w:tabs>
          <w:tab w:val="left" w:pos="567"/>
        </w:tabs>
        <w:suppressAutoHyphens/>
        <w:ind w:left="567" w:hanging="567"/>
        <w:rPr>
          <w:noProof/>
          <w:szCs w:val="22"/>
        </w:rPr>
      </w:pPr>
      <w:r w:rsidRPr="0063119B">
        <w:rPr>
          <w:noProof/>
          <w:szCs w:val="22"/>
        </w:rPr>
        <w:noBreakHyphen/>
      </w:r>
      <w:r w:rsidRPr="0063119B">
        <w:rPr>
          <w:noProof/>
          <w:szCs w:val="22"/>
        </w:rPr>
        <w:tab/>
        <w:t xml:space="preserve">é muito importante tomar </w:t>
      </w:r>
      <w:r w:rsidR="00607DE4">
        <w:rPr>
          <w:noProof/>
          <w:szCs w:val="22"/>
        </w:rPr>
        <w:t>Rivaroxabano</w:t>
      </w:r>
      <w:r w:rsidR="001F7D02" w:rsidRPr="0063119B">
        <w:rPr>
          <w:noProof/>
          <w:szCs w:val="22"/>
        </w:rPr>
        <w:t xml:space="preserve"> Accord</w:t>
      </w:r>
      <w:r w:rsidRPr="0063119B">
        <w:rPr>
          <w:noProof/>
          <w:szCs w:val="22"/>
        </w:rPr>
        <w:t xml:space="preserve"> antes e após a cirurgia, exatamente às horas que o seu médico lhe indicou.</w:t>
      </w:r>
    </w:p>
    <w:p w14:paraId="573F1724" w14:textId="77777777" w:rsidR="00E04B33" w:rsidRPr="0063119B" w:rsidRDefault="00E04B33" w:rsidP="00E04B33">
      <w:pPr>
        <w:suppressAutoHyphens/>
        <w:ind w:left="567" w:hanging="567"/>
        <w:rPr>
          <w:noProof/>
          <w:szCs w:val="22"/>
        </w:rPr>
      </w:pPr>
      <w:r w:rsidRPr="0063119B">
        <w:rPr>
          <w:noProof/>
          <w:szCs w:val="22"/>
        </w:rPr>
        <w:t>-         se a cirurgia envolve a colocação de um cateter ou injeção na coluna vertebral (ex.: anestesia epidural ou espinal ou redução da dor):</w:t>
      </w:r>
    </w:p>
    <w:p w14:paraId="2A679FB0" w14:textId="77777777" w:rsidR="00E04B33" w:rsidRPr="0063119B" w:rsidRDefault="00E04B33" w:rsidP="00E04B33">
      <w:pPr>
        <w:tabs>
          <w:tab w:val="left" w:pos="1418"/>
        </w:tabs>
        <w:suppressAutoHyphens/>
        <w:ind w:left="1418" w:hanging="709"/>
        <w:rPr>
          <w:noProof/>
          <w:szCs w:val="22"/>
        </w:rPr>
      </w:pPr>
      <w:r w:rsidRPr="0063119B">
        <w:rPr>
          <w:noProof/>
          <w:szCs w:val="22"/>
        </w:rPr>
        <w:t>▪</w:t>
      </w:r>
      <w:r w:rsidRPr="0063119B">
        <w:rPr>
          <w:noProof/>
          <w:szCs w:val="22"/>
        </w:rPr>
        <w:tab/>
        <w:t xml:space="preserve">é muito importante tomar </w:t>
      </w:r>
      <w:r w:rsidR="00607DE4">
        <w:rPr>
          <w:noProof/>
          <w:szCs w:val="22"/>
        </w:rPr>
        <w:t>Rivaroxabano</w:t>
      </w:r>
      <w:r w:rsidR="001F7D02" w:rsidRPr="0063119B">
        <w:rPr>
          <w:noProof/>
          <w:szCs w:val="22"/>
        </w:rPr>
        <w:t xml:space="preserve"> Accord</w:t>
      </w:r>
      <w:r w:rsidRPr="0063119B">
        <w:rPr>
          <w:noProof/>
          <w:szCs w:val="22"/>
        </w:rPr>
        <w:t xml:space="preserve">  exatamente às horas que o seu médico lhe indicou, antes e após injeção ou remoção do catéter</w:t>
      </w:r>
    </w:p>
    <w:p w14:paraId="6465F415" w14:textId="77777777" w:rsidR="00E04B33" w:rsidRPr="0063119B" w:rsidRDefault="00E04B33" w:rsidP="00E04B33">
      <w:pPr>
        <w:tabs>
          <w:tab w:val="left" w:pos="1418"/>
        </w:tabs>
        <w:suppressAutoHyphens/>
        <w:ind w:left="1418" w:hanging="709"/>
        <w:rPr>
          <w:noProof/>
          <w:szCs w:val="22"/>
        </w:rPr>
      </w:pPr>
      <w:r w:rsidRPr="0063119B">
        <w:rPr>
          <w:noProof/>
          <w:szCs w:val="22"/>
        </w:rPr>
        <w:t>▪</w:t>
      </w:r>
      <w:r w:rsidRPr="0063119B">
        <w:rPr>
          <w:noProof/>
          <w:szCs w:val="22"/>
        </w:rPr>
        <w:tab/>
        <w:t>informe imediatamente o seu médico se apresentar adormecimento ou fraqueza das pernas ou problemas com o seu intestino ou bexiga após terminar a anestesia, porque é necessário um cuidado urgente.</w:t>
      </w:r>
    </w:p>
    <w:p w14:paraId="3651BEF8" w14:textId="77777777" w:rsidR="00084D33" w:rsidRPr="0063119B" w:rsidRDefault="00084D33" w:rsidP="00084D33">
      <w:pPr>
        <w:suppressAutoHyphens/>
        <w:rPr>
          <w:noProof/>
          <w:szCs w:val="22"/>
        </w:rPr>
      </w:pPr>
    </w:p>
    <w:p w14:paraId="7917F4CD" w14:textId="77777777" w:rsidR="00084D33" w:rsidRPr="0063119B" w:rsidRDefault="00084D33" w:rsidP="00084D33">
      <w:pPr>
        <w:suppressAutoHyphens/>
        <w:rPr>
          <w:b/>
          <w:noProof/>
          <w:szCs w:val="22"/>
        </w:rPr>
      </w:pPr>
      <w:r w:rsidRPr="0063119B">
        <w:rPr>
          <w:b/>
          <w:noProof/>
          <w:szCs w:val="22"/>
        </w:rPr>
        <w:t>Crianças e adolescentes</w:t>
      </w:r>
    </w:p>
    <w:p w14:paraId="27174BF8" w14:textId="77777777" w:rsidR="00084D33" w:rsidRPr="0063119B" w:rsidRDefault="00607DE4" w:rsidP="00084D33">
      <w:pPr>
        <w:suppressAutoHyphens/>
        <w:rPr>
          <w:noProof/>
          <w:szCs w:val="22"/>
        </w:rPr>
      </w:pPr>
      <w:r>
        <w:rPr>
          <w:noProof/>
          <w:szCs w:val="22"/>
        </w:rPr>
        <w:t>Rivaroxabano</w:t>
      </w:r>
      <w:r w:rsidR="001F7D02" w:rsidRPr="0063119B">
        <w:rPr>
          <w:noProof/>
          <w:szCs w:val="22"/>
        </w:rPr>
        <w:t xml:space="preserve"> Accord</w:t>
      </w:r>
      <w:r w:rsidR="00084D33" w:rsidRPr="0063119B">
        <w:rPr>
          <w:noProof/>
          <w:szCs w:val="22"/>
        </w:rPr>
        <w:t xml:space="preserve"> </w:t>
      </w:r>
      <w:r w:rsidR="00084D33" w:rsidRPr="0063119B">
        <w:rPr>
          <w:b/>
          <w:noProof/>
          <w:szCs w:val="22"/>
        </w:rPr>
        <w:t xml:space="preserve">não é recomendado para </w:t>
      </w:r>
      <w:r w:rsidR="00DA13B6">
        <w:rPr>
          <w:b/>
          <w:bCs/>
          <w:szCs w:val="22"/>
        </w:rPr>
        <w:t>crianças com peso corporal inferior a 30 kg</w:t>
      </w:r>
      <w:r w:rsidR="00084D33" w:rsidRPr="0063119B">
        <w:rPr>
          <w:noProof/>
          <w:szCs w:val="22"/>
        </w:rPr>
        <w:t xml:space="preserve">. Não existe informação suficiente sobre a sua utilização </w:t>
      </w:r>
      <w:r w:rsidR="00DA13B6">
        <w:rPr>
          <w:noProof/>
          <w:szCs w:val="22"/>
        </w:rPr>
        <w:t xml:space="preserve">de </w:t>
      </w:r>
      <w:r w:rsidR="00DA13B6">
        <w:rPr>
          <w:szCs w:val="22"/>
        </w:rPr>
        <w:t xml:space="preserve">Rivaroxabano Accord </w:t>
      </w:r>
      <w:r w:rsidR="00084D33" w:rsidRPr="0063119B">
        <w:rPr>
          <w:noProof/>
          <w:szCs w:val="22"/>
        </w:rPr>
        <w:t>em crianças e adolescentes</w:t>
      </w:r>
      <w:r w:rsidR="00DA13B6">
        <w:rPr>
          <w:noProof/>
          <w:szCs w:val="22"/>
        </w:rPr>
        <w:t xml:space="preserve"> </w:t>
      </w:r>
      <w:r w:rsidR="00DA13B6">
        <w:rPr>
          <w:szCs w:val="22"/>
        </w:rPr>
        <w:t>nas indicações para adultos</w:t>
      </w:r>
      <w:r w:rsidR="00084D33" w:rsidRPr="0063119B">
        <w:rPr>
          <w:noProof/>
          <w:szCs w:val="22"/>
        </w:rPr>
        <w:t>.</w:t>
      </w:r>
    </w:p>
    <w:p w14:paraId="43CA275C" w14:textId="77777777" w:rsidR="00084D33" w:rsidRPr="0063119B" w:rsidRDefault="00084D33" w:rsidP="00084D33">
      <w:pPr>
        <w:suppressAutoHyphens/>
        <w:rPr>
          <w:noProof/>
          <w:szCs w:val="22"/>
        </w:rPr>
      </w:pPr>
    </w:p>
    <w:p w14:paraId="3D54CC17" w14:textId="77777777" w:rsidR="00084D33" w:rsidRPr="0063119B" w:rsidRDefault="00084D33" w:rsidP="00084D33">
      <w:pPr>
        <w:suppressAutoHyphens/>
        <w:rPr>
          <w:noProof/>
          <w:szCs w:val="22"/>
        </w:rPr>
      </w:pPr>
      <w:r w:rsidRPr="0063119B">
        <w:rPr>
          <w:b/>
          <w:noProof/>
          <w:szCs w:val="22"/>
        </w:rPr>
        <w:t xml:space="preserve">Outros medicamentos e </w:t>
      </w:r>
      <w:r w:rsidR="00607DE4">
        <w:rPr>
          <w:b/>
          <w:noProof/>
          <w:szCs w:val="22"/>
        </w:rPr>
        <w:t>Rivaroxabano</w:t>
      </w:r>
      <w:r w:rsidR="001F7D02" w:rsidRPr="0063119B">
        <w:rPr>
          <w:b/>
          <w:noProof/>
          <w:szCs w:val="22"/>
        </w:rPr>
        <w:t xml:space="preserve"> Accord</w:t>
      </w:r>
    </w:p>
    <w:p w14:paraId="792655C2" w14:textId="77777777" w:rsidR="00084D33" w:rsidRPr="0063119B" w:rsidRDefault="00084D33" w:rsidP="00084D33">
      <w:pPr>
        <w:rPr>
          <w:noProof/>
          <w:szCs w:val="22"/>
        </w:rPr>
      </w:pPr>
      <w:r w:rsidRPr="0063119B">
        <w:rPr>
          <w:noProof/>
          <w:szCs w:val="22"/>
        </w:rPr>
        <w:lastRenderedPageBreak/>
        <w:t>Informe o seu médico ou farmacêutico se estiver a tomar, tiver tomado recentemente ou se vier a tomar outros medicamentos, incluindo medicamentos não sujeitos a receita médica.</w:t>
      </w:r>
    </w:p>
    <w:p w14:paraId="4EB4F7A6" w14:textId="77777777" w:rsidR="00084D33" w:rsidRPr="0063119B" w:rsidRDefault="00084D33" w:rsidP="00084D33">
      <w:pPr>
        <w:tabs>
          <w:tab w:val="left" w:pos="567"/>
        </w:tabs>
        <w:suppressAutoHyphens/>
        <w:rPr>
          <w:b/>
          <w:noProof/>
          <w:szCs w:val="22"/>
        </w:rPr>
      </w:pPr>
      <w:r w:rsidRPr="0063119B">
        <w:rPr>
          <w:b/>
          <w:noProof/>
          <w:szCs w:val="22"/>
        </w:rPr>
        <w:noBreakHyphen/>
      </w:r>
      <w:r w:rsidRPr="0063119B">
        <w:rPr>
          <w:b/>
          <w:noProof/>
          <w:szCs w:val="22"/>
        </w:rPr>
        <w:tab/>
        <w:t>Se está a tomar</w:t>
      </w:r>
    </w:p>
    <w:p w14:paraId="0F8D8508" w14:textId="77777777" w:rsidR="00084D33" w:rsidRPr="0063119B" w:rsidRDefault="00084D33" w:rsidP="00084D33">
      <w:pPr>
        <w:suppressAutoHyphens/>
        <w:ind w:left="1134" w:hanging="567"/>
        <w:rPr>
          <w:noProof/>
          <w:szCs w:val="22"/>
        </w:rPr>
      </w:pPr>
      <w:r w:rsidRPr="0063119B">
        <w:rPr>
          <w:noProof/>
          <w:szCs w:val="22"/>
        </w:rPr>
        <w:t>▪</w:t>
      </w:r>
      <w:r w:rsidRPr="0063119B">
        <w:rPr>
          <w:noProof/>
          <w:szCs w:val="22"/>
        </w:rPr>
        <w:tab/>
        <w:t xml:space="preserve">alguns medicamentos para as infeções fúngicas (ex.: </w:t>
      </w:r>
      <w:r w:rsidR="003809E6" w:rsidRPr="0063119B">
        <w:rPr>
          <w:noProof/>
          <w:szCs w:val="22"/>
        </w:rPr>
        <w:t xml:space="preserve">fluconazol, </w:t>
      </w:r>
      <w:r w:rsidRPr="0063119B">
        <w:rPr>
          <w:noProof/>
          <w:szCs w:val="22"/>
        </w:rPr>
        <w:t>itraconazol, voriconazol, posaconazol), a menos que seja apenas aplicado na pele</w:t>
      </w:r>
    </w:p>
    <w:p w14:paraId="433542B2" w14:textId="77777777" w:rsidR="0086001C" w:rsidRPr="0063119B" w:rsidRDefault="0086001C" w:rsidP="00084D33">
      <w:pPr>
        <w:suppressAutoHyphens/>
        <w:ind w:left="1134" w:hanging="567"/>
        <w:rPr>
          <w:noProof/>
          <w:szCs w:val="22"/>
        </w:rPr>
      </w:pPr>
      <w:r w:rsidRPr="0063119B">
        <w:rPr>
          <w:noProof/>
          <w:szCs w:val="22"/>
        </w:rPr>
        <w:t>▪</w:t>
      </w:r>
      <w:r w:rsidRPr="0063119B">
        <w:rPr>
          <w:noProof/>
          <w:szCs w:val="22"/>
        </w:rPr>
        <w:tab/>
        <w:t xml:space="preserve">comprimidos de cetoconazol (utilizados para tratar a síndrome de Cushing </w:t>
      </w:r>
      <w:r w:rsidR="00076A00" w:rsidRPr="0063119B">
        <w:rPr>
          <w:noProof/>
          <w:szCs w:val="22"/>
        </w:rPr>
        <w:t>–</w:t>
      </w:r>
      <w:r w:rsidRPr="0063119B">
        <w:rPr>
          <w:noProof/>
          <w:szCs w:val="22"/>
        </w:rPr>
        <w:t xml:space="preserve"> quando o organismo produz um excesso de cortisol)</w:t>
      </w:r>
    </w:p>
    <w:p w14:paraId="6D4C88BE" w14:textId="77777777" w:rsidR="003809E6" w:rsidRPr="0063119B" w:rsidRDefault="003809E6" w:rsidP="00084D33">
      <w:pPr>
        <w:suppressAutoHyphens/>
        <w:ind w:left="1134" w:hanging="567"/>
        <w:rPr>
          <w:noProof/>
          <w:szCs w:val="22"/>
        </w:rPr>
      </w:pPr>
      <w:r w:rsidRPr="0063119B">
        <w:rPr>
          <w:noProof/>
          <w:szCs w:val="22"/>
        </w:rPr>
        <w:t>▪</w:t>
      </w:r>
      <w:r w:rsidRPr="0063119B">
        <w:rPr>
          <w:noProof/>
          <w:szCs w:val="22"/>
        </w:rPr>
        <w:tab/>
        <w:t>alguns medicamentos para infeções bacteriana</w:t>
      </w:r>
      <w:r w:rsidR="00BC3CDB" w:rsidRPr="0063119B">
        <w:rPr>
          <w:noProof/>
          <w:szCs w:val="22"/>
        </w:rPr>
        <w:t>s (ex.: claritromicina, eritromi</w:t>
      </w:r>
      <w:r w:rsidRPr="0063119B">
        <w:rPr>
          <w:noProof/>
          <w:szCs w:val="22"/>
        </w:rPr>
        <w:t>cina)</w:t>
      </w:r>
    </w:p>
    <w:p w14:paraId="2C26D850" w14:textId="77777777" w:rsidR="00084D33" w:rsidRPr="0063119B" w:rsidRDefault="00084D33" w:rsidP="00084D33">
      <w:pPr>
        <w:suppressAutoHyphens/>
        <w:ind w:left="1134" w:hanging="567"/>
        <w:rPr>
          <w:noProof/>
          <w:szCs w:val="22"/>
        </w:rPr>
      </w:pPr>
      <w:r w:rsidRPr="0063119B">
        <w:rPr>
          <w:noProof/>
          <w:szCs w:val="22"/>
        </w:rPr>
        <w:t>▪</w:t>
      </w:r>
      <w:r w:rsidRPr="0063119B">
        <w:rPr>
          <w:noProof/>
          <w:szCs w:val="22"/>
        </w:rPr>
        <w:tab/>
        <w:t>alguns medicamentos anti</w:t>
      </w:r>
      <w:r w:rsidRPr="0063119B">
        <w:rPr>
          <w:noProof/>
          <w:szCs w:val="22"/>
        </w:rPr>
        <w:noBreakHyphen/>
        <w:t>virais para VIH / SIDA (ex.: ritonavir)</w:t>
      </w:r>
    </w:p>
    <w:p w14:paraId="69452F21" w14:textId="77777777" w:rsidR="00084D33" w:rsidRPr="0063119B" w:rsidRDefault="00084D33" w:rsidP="00084D33">
      <w:pPr>
        <w:suppressAutoHyphens/>
        <w:ind w:left="1134" w:hanging="567"/>
        <w:rPr>
          <w:noProof/>
          <w:szCs w:val="22"/>
        </w:rPr>
      </w:pPr>
      <w:r w:rsidRPr="0063119B">
        <w:rPr>
          <w:noProof/>
          <w:szCs w:val="22"/>
        </w:rPr>
        <w:t>▪</w:t>
      </w:r>
      <w:r w:rsidRPr="0063119B">
        <w:rPr>
          <w:noProof/>
          <w:szCs w:val="22"/>
        </w:rPr>
        <w:tab/>
        <w:t>outros medicamentos para diminuir a coagulação sanguínea (ex.: enoxaparina, clopidogrel ou antagonistas da vitamina K tais como a varfarina e o acenocumarol)</w:t>
      </w:r>
    </w:p>
    <w:p w14:paraId="1E2DFC6D" w14:textId="77777777" w:rsidR="00084D33" w:rsidRPr="0063119B" w:rsidRDefault="00084D33" w:rsidP="00084D33">
      <w:pPr>
        <w:suppressAutoHyphens/>
        <w:ind w:left="1134" w:hanging="567"/>
        <w:rPr>
          <w:noProof/>
          <w:szCs w:val="22"/>
        </w:rPr>
      </w:pPr>
      <w:r w:rsidRPr="0063119B">
        <w:rPr>
          <w:noProof/>
          <w:szCs w:val="22"/>
        </w:rPr>
        <w:t>▪</w:t>
      </w:r>
      <w:r w:rsidRPr="0063119B">
        <w:rPr>
          <w:noProof/>
          <w:szCs w:val="22"/>
        </w:rPr>
        <w:tab/>
        <w:t>anti</w:t>
      </w:r>
      <w:r w:rsidRPr="0063119B">
        <w:rPr>
          <w:noProof/>
          <w:szCs w:val="22"/>
        </w:rPr>
        <w:noBreakHyphen/>
        <w:t>inflamatórios e medicamentos para aliviar a dor (ex.: naproxeno ou ácido acetilsalicílico)</w:t>
      </w:r>
    </w:p>
    <w:p w14:paraId="6539A99A" w14:textId="77777777" w:rsidR="00084D33" w:rsidRPr="0063119B" w:rsidRDefault="00084D33" w:rsidP="001F10F8">
      <w:pPr>
        <w:keepNext/>
        <w:keepLines/>
        <w:suppressAutoHyphens/>
        <w:ind w:firstLine="567"/>
        <w:rPr>
          <w:noProof/>
          <w:szCs w:val="22"/>
        </w:rPr>
      </w:pPr>
      <w:r w:rsidRPr="0063119B">
        <w:rPr>
          <w:noProof/>
          <w:szCs w:val="22"/>
        </w:rPr>
        <w:t>▪</w:t>
      </w:r>
      <w:r w:rsidRPr="0063119B">
        <w:rPr>
          <w:noProof/>
          <w:szCs w:val="22"/>
        </w:rPr>
        <w:tab/>
        <w:t xml:space="preserve">       dronedarona, um medicamento para tratar o batimento cardíaco anormal</w:t>
      </w:r>
    </w:p>
    <w:p w14:paraId="702C6823" w14:textId="77777777" w:rsidR="001914A3" w:rsidRPr="0063119B" w:rsidRDefault="001914A3" w:rsidP="001F0C63">
      <w:pPr>
        <w:keepNext/>
        <w:keepLines/>
        <w:tabs>
          <w:tab w:val="left" w:pos="1134"/>
        </w:tabs>
        <w:suppressAutoHyphens/>
        <w:ind w:left="1134" w:hanging="567"/>
        <w:rPr>
          <w:b/>
          <w:noProof/>
          <w:szCs w:val="22"/>
        </w:rPr>
      </w:pPr>
      <w:r w:rsidRPr="0063119B">
        <w:rPr>
          <w:noProof/>
          <w:szCs w:val="22"/>
        </w:rPr>
        <w:t>▪</w:t>
      </w:r>
      <w:r w:rsidRPr="0063119B">
        <w:rPr>
          <w:noProof/>
          <w:szCs w:val="22"/>
        </w:rPr>
        <w:tab/>
        <w:t>alguns medicamentos para tratar a depressão (inibidores seletivos da recaptação da serotonina (ISRS) ou inibidores da recaptação da serotonina e norepinefrina (IRSN))</w:t>
      </w:r>
    </w:p>
    <w:p w14:paraId="72A3F5D5" w14:textId="77777777" w:rsidR="007425F3" w:rsidRPr="0063119B" w:rsidRDefault="007425F3" w:rsidP="00084D33">
      <w:pPr>
        <w:suppressAutoHyphens/>
        <w:ind w:left="567"/>
        <w:rPr>
          <w:b/>
          <w:noProof/>
          <w:szCs w:val="22"/>
        </w:rPr>
      </w:pPr>
    </w:p>
    <w:p w14:paraId="171AD49B" w14:textId="77777777" w:rsidR="00084D33" w:rsidRPr="0063119B" w:rsidRDefault="006200B4" w:rsidP="00084D33">
      <w:pPr>
        <w:suppressAutoHyphens/>
        <w:ind w:left="567"/>
        <w:rPr>
          <w:noProof/>
          <w:szCs w:val="22"/>
        </w:rPr>
      </w:pPr>
      <w:r w:rsidRPr="0063119B">
        <w:rPr>
          <w:b/>
          <w:noProof/>
          <w:szCs w:val="22"/>
        </w:rPr>
        <w:t>Se algumas d</w:t>
      </w:r>
      <w:r w:rsidR="00A9623F" w:rsidRPr="0063119B">
        <w:rPr>
          <w:b/>
          <w:noProof/>
          <w:szCs w:val="22"/>
        </w:rPr>
        <w:t>as</w:t>
      </w:r>
      <w:r w:rsidRPr="0063119B">
        <w:rPr>
          <w:b/>
          <w:noProof/>
          <w:szCs w:val="22"/>
        </w:rPr>
        <w:t xml:space="preserve"> situações </w:t>
      </w:r>
      <w:r w:rsidR="00A9623F" w:rsidRPr="0063119B">
        <w:rPr>
          <w:b/>
          <w:noProof/>
          <w:szCs w:val="22"/>
        </w:rPr>
        <w:t xml:space="preserve">acima </w:t>
      </w:r>
      <w:r w:rsidRPr="0063119B">
        <w:rPr>
          <w:b/>
          <w:noProof/>
          <w:szCs w:val="22"/>
        </w:rPr>
        <w:t>se aplica</w:t>
      </w:r>
      <w:r w:rsidR="00A9623F" w:rsidRPr="0063119B">
        <w:rPr>
          <w:b/>
          <w:noProof/>
          <w:szCs w:val="22"/>
        </w:rPr>
        <w:t>r</w:t>
      </w:r>
      <w:r w:rsidRPr="0063119B">
        <w:rPr>
          <w:b/>
          <w:noProof/>
          <w:szCs w:val="22"/>
        </w:rPr>
        <w:t xml:space="preserve"> a si, i</w:t>
      </w:r>
      <w:r w:rsidR="00084D33" w:rsidRPr="0063119B">
        <w:rPr>
          <w:b/>
          <w:noProof/>
          <w:szCs w:val="22"/>
        </w:rPr>
        <w:t xml:space="preserve">nforme o seu médico </w:t>
      </w:r>
      <w:r w:rsidR="00084D33" w:rsidRPr="0063119B">
        <w:rPr>
          <w:noProof/>
          <w:szCs w:val="22"/>
        </w:rPr>
        <w:t xml:space="preserve">antes de tomar </w:t>
      </w:r>
      <w:r w:rsidR="00607DE4">
        <w:rPr>
          <w:noProof/>
          <w:szCs w:val="22"/>
        </w:rPr>
        <w:t>Rivaroxabano</w:t>
      </w:r>
      <w:r w:rsidR="001F7D02" w:rsidRPr="0063119B">
        <w:rPr>
          <w:noProof/>
          <w:szCs w:val="22"/>
        </w:rPr>
        <w:t xml:space="preserve"> Accord</w:t>
      </w:r>
      <w:r w:rsidR="00084D33" w:rsidRPr="0063119B">
        <w:rPr>
          <w:noProof/>
          <w:szCs w:val="22"/>
        </w:rPr>
        <w:t xml:space="preserve">, porque o efeito de </w:t>
      </w:r>
      <w:r w:rsidR="00607DE4">
        <w:rPr>
          <w:noProof/>
          <w:szCs w:val="22"/>
        </w:rPr>
        <w:t>Rivaroxabano</w:t>
      </w:r>
      <w:r w:rsidR="001F7D02" w:rsidRPr="0063119B">
        <w:rPr>
          <w:noProof/>
          <w:szCs w:val="22"/>
        </w:rPr>
        <w:t xml:space="preserve"> Accord</w:t>
      </w:r>
      <w:r w:rsidR="00084D33" w:rsidRPr="0063119B">
        <w:rPr>
          <w:noProof/>
          <w:szCs w:val="22"/>
        </w:rPr>
        <w:t xml:space="preserve"> pode estar aumentado. O seu médico decidirá se deve ser tratado com </w:t>
      </w:r>
      <w:r w:rsidR="00687BD2" w:rsidRPr="0063119B">
        <w:rPr>
          <w:noProof/>
          <w:szCs w:val="22"/>
        </w:rPr>
        <w:t xml:space="preserve">este medicamento </w:t>
      </w:r>
      <w:r w:rsidR="00084D33" w:rsidRPr="0063119B">
        <w:rPr>
          <w:noProof/>
          <w:szCs w:val="22"/>
        </w:rPr>
        <w:t>e se deve ser mantido sob uma observação mais atenta.</w:t>
      </w:r>
    </w:p>
    <w:p w14:paraId="7B5B0B42" w14:textId="77777777" w:rsidR="00084D33" w:rsidRPr="0063119B" w:rsidRDefault="00084D33" w:rsidP="00084D33">
      <w:pPr>
        <w:suppressAutoHyphens/>
        <w:ind w:left="567"/>
        <w:rPr>
          <w:b/>
          <w:noProof/>
          <w:szCs w:val="22"/>
        </w:rPr>
      </w:pPr>
      <w:r w:rsidRPr="0063119B">
        <w:rPr>
          <w:noProof/>
          <w:szCs w:val="22"/>
        </w:rPr>
        <w:t>Se o seu médico considerar que corre risco de desenvolver úlceras do estômago ou intestino, poderá prescrever</w:t>
      </w:r>
      <w:r w:rsidRPr="0063119B">
        <w:rPr>
          <w:noProof/>
          <w:szCs w:val="22"/>
        </w:rPr>
        <w:noBreakHyphen/>
        <w:t>lhe também um tratamento preventivo de úlcera.</w:t>
      </w:r>
    </w:p>
    <w:p w14:paraId="6ECBD1B8" w14:textId="77777777" w:rsidR="00084D33" w:rsidRPr="0063119B" w:rsidRDefault="00084D33" w:rsidP="00084D33">
      <w:pPr>
        <w:suppressAutoHyphens/>
        <w:rPr>
          <w:noProof/>
          <w:szCs w:val="22"/>
        </w:rPr>
      </w:pPr>
    </w:p>
    <w:p w14:paraId="1C396BAB" w14:textId="77777777" w:rsidR="00084D33" w:rsidRPr="0063119B" w:rsidRDefault="00084D33" w:rsidP="00084D33">
      <w:pPr>
        <w:tabs>
          <w:tab w:val="left" w:pos="567"/>
        </w:tabs>
        <w:suppressAutoHyphens/>
        <w:rPr>
          <w:b/>
          <w:noProof/>
          <w:szCs w:val="22"/>
        </w:rPr>
      </w:pPr>
      <w:r w:rsidRPr="0063119B">
        <w:rPr>
          <w:b/>
          <w:noProof/>
          <w:szCs w:val="22"/>
        </w:rPr>
        <w:noBreakHyphen/>
      </w:r>
      <w:r w:rsidRPr="0063119B">
        <w:rPr>
          <w:b/>
          <w:noProof/>
          <w:szCs w:val="22"/>
        </w:rPr>
        <w:tab/>
        <w:t>Se está a tomar</w:t>
      </w:r>
    </w:p>
    <w:p w14:paraId="61E44148" w14:textId="77777777" w:rsidR="00084D33" w:rsidRPr="0063119B" w:rsidRDefault="00084D33" w:rsidP="00084D33">
      <w:pPr>
        <w:suppressAutoHyphens/>
        <w:ind w:left="1134" w:hanging="567"/>
        <w:rPr>
          <w:b/>
          <w:noProof/>
          <w:szCs w:val="22"/>
        </w:rPr>
      </w:pPr>
      <w:r w:rsidRPr="0063119B">
        <w:rPr>
          <w:noProof/>
          <w:szCs w:val="22"/>
        </w:rPr>
        <w:t>▪</w:t>
      </w:r>
      <w:r w:rsidRPr="0063119B">
        <w:rPr>
          <w:noProof/>
          <w:szCs w:val="22"/>
        </w:rPr>
        <w:tab/>
        <w:t>alguns medicamentos para o tratamento da epilepsia</w:t>
      </w:r>
      <w:r w:rsidRPr="0063119B">
        <w:rPr>
          <w:b/>
          <w:noProof/>
          <w:szCs w:val="22"/>
        </w:rPr>
        <w:t xml:space="preserve"> </w:t>
      </w:r>
      <w:r w:rsidRPr="0063119B">
        <w:rPr>
          <w:noProof/>
          <w:szCs w:val="22"/>
        </w:rPr>
        <w:t>(fenitoína, carbamazepina, fenobarbital)</w:t>
      </w:r>
    </w:p>
    <w:p w14:paraId="0CA94FE9" w14:textId="77777777" w:rsidR="00084D33" w:rsidRPr="0063119B" w:rsidRDefault="00084D33" w:rsidP="00084D33">
      <w:pPr>
        <w:suppressAutoHyphens/>
        <w:ind w:left="1134" w:hanging="567"/>
        <w:rPr>
          <w:b/>
          <w:noProof/>
          <w:szCs w:val="22"/>
        </w:rPr>
      </w:pPr>
      <w:r w:rsidRPr="0063119B">
        <w:rPr>
          <w:noProof/>
          <w:szCs w:val="22"/>
        </w:rPr>
        <w:t>▪</w:t>
      </w:r>
      <w:r w:rsidRPr="0063119B">
        <w:rPr>
          <w:noProof/>
          <w:szCs w:val="22"/>
        </w:rPr>
        <w:tab/>
        <w:t>hipericão</w:t>
      </w:r>
      <w:r w:rsidR="00687BD2" w:rsidRPr="0063119B">
        <w:rPr>
          <w:noProof/>
          <w:szCs w:val="22"/>
        </w:rPr>
        <w:t xml:space="preserve"> </w:t>
      </w:r>
      <w:r w:rsidR="00687BD2" w:rsidRPr="0063119B">
        <w:rPr>
          <w:rStyle w:val="BoldtextinprintedPIonly"/>
          <w:b w:val="0"/>
          <w:noProof/>
          <w:szCs w:val="22"/>
        </w:rPr>
        <w:t>(</w:t>
      </w:r>
      <w:r w:rsidR="00687BD2" w:rsidRPr="0063119B">
        <w:rPr>
          <w:rStyle w:val="BoldtextinprintedPIonly"/>
          <w:b w:val="0"/>
          <w:i/>
          <w:noProof/>
          <w:szCs w:val="22"/>
        </w:rPr>
        <w:t>Hypericum perforatum</w:t>
      </w:r>
      <w:r w:rsidR="00687BD2" w:rsidRPr="0063119B">
        <w:rPr>
          <w:rStyle w:val="BoldtextinprintedPIonly"/>
          <w:b w:val="0"/>
          <w:noProof/>
          <w:szCs w:val="22"/>
        </w:rPr>
        <w:t>)</w:t>
      </w:r>
      <w:r w:rsidRPr="0063119B">
        <w:rPr>
          <w:noProof/>
          <w:szCs w:val="22"/>
        </w:rPr>
        <w:t>,</w:t>
      </w:r>
      <w:r w:rsidRPr="0063119B">
        <w:rPr>
          <w:b/>
          <w:noProof/>
          <w:szCs w:val="22"/>
        </w:rPr>
        <w:t xml:space="preserve"> </w:t>
      </w:r>
      <w:r w:rsidRPr="0063119B">
        <w:rPr>
          <w:noProof/>
          <w:szCs w:val="22"/>
        </w:rPr>
        <w:t>um produto à base de plantas utilizado para a depressão</w:t>
      </w:r>
    </w:p>
    <w:p w14:paraId="566B4E92" w14:textId="77777777" w:rsidR="00084D33" w:rsidRPr="0063119B" w:rsidRDefault="00084D33" w:rsidP="00084D33">
      <w:pPr>
        <w:suppressAutoHyphens/>
        <w:ind w:left="1134" w:hanging="567"/>
        <w:rPr>
          <w:noProof/>
          <w:szCs w:val="22"/>
        </w:rPr>
      </w:pPr>
      <w:r w:rsidRPr="0063119B">
        <w:rPr>
          <w:noProof/>
          <w:szCs w:val="22"/>
        </w:rPr>
        <w:t>▪</w:t>
      </w:r>
      <w:r w:rsidRPr="0063119B">
        <w:rPr>
          <w:noProof/>
          <w:szCs w:val="22"/>
        </w:rPr>
        <w:tab/>
        <w:t>rifampicina,</w:t>
      </w:r>
      <w:r w:rsidRPr="0063119B">
        <w:rPr>
          <w:b/>
          <w:noProof/>
          <w:szCs w:val="22"/>
        </w:rPr>
        <w:t xml:space="preserve"> </w:t>
      </w:r>
      <w:r w:rsidRPr="0063119B">
        <w:rPr>
          <w:noProof/>
          <w:szCs w:val="22"/>
        </w:rPr>
        <w:t>um antibiótico</w:t>
      </w:r>
    </w:p>
    <w:p w14:paraId="6DB22854" w14:textId="77777777" w:rsidR="00374EAA" w:rsidRPr="0063119B" w:rsidRDefault="00374EAA" w:rsidP="00084D33">
      <w:pPr>
        <w:suppressAutoHyphens/>
        <w:ind w:left="1134" w:hanging="567"/>
        <w:rPr>
          <w:noProof/>
          <w:szCs w:val="22"/>
        </w:rPr>
      </w:pPr>
    </w:p>
    <w:p w14:paraId="66C210EE" w14:textId="77777777" w:rsidR="00084D33" w:rsidRPr="0063119B" w:rsidRDefault="00CD0587" w:rsidP="00084D33">
      <w:pPr>
        <w:suppressAutoHyphens/>
        <w:ind w:left="567"/>
        <w:rPr>
          <w:b/>
          <w:noProof/>
          <w:szCs w:val="22"/>
        </w:rPr>
      </w:pPr>
      <w:r w:rsidRPr="0063119B">
        <w:rPr>
          <w:b/>
          <w:noProof/>
          <w:szCs w:val="22"/>
        </w:rPr>
        <w:t>Se algumas d</w:t>
      </w:r>
      <w:r w:rsidR="00E1447B" w:rsidRPr="0063119B">
        <w:rPr>
          <w:b/>
          <w:noProof/>
          <w:szCs w:val="22"/>
        </w:rPr>
        <w:t>as</w:t>
      </w:r>
      <w:r w:rsidRPr="0063119B">
        <w:rPr>
          <w:b/>
          <w:noProof/>
          <w:szCs w:val="22"/>
        </w:rPr>
        <w:t xml:space="preserve"> situações </w:t>
      </w:r>
      <w:r w:rsidR="001D0D9A" w:rsidRPr="0063119B">
        <w:rPr>
          <w:b/>
          <w:noProof/>
          <w:szCs w:val="22"/>
        </w:rPr>
        <w:t xml:space="preserve">acima </w:t>
      </w:r>
      <w:r w:rsidRPr="0063119B">
        <w:rPr>
          <w:b/>
          <w:noProof/>
          <w:szCs w:val="22"/>
        </w:rPr>
        <w:t>se aplica</w:t>
      </w:r>
      <w:r w:rsidR="001D0D9A" w:rsidRPr="0063119B">
        <w:rPr>
          <w:b/>
          <w:noProof/>
          <w:szCs w:val="22"/>
        </w:rPr>
        <w:t>r</w:t>
      </w:r>
      <w:r w:rsidRPr="0063119B">
        <w:rPr>
          <w:b/>
          <w:noProof/>
          <w:szCs w:val="22"/>
        </w:rPr>
        <w:t xml:space="preserve"> a si, i</w:t>
      </w:r>
      <w:r w:rsidR="00084D33" w:rsidRPr="0063119B">
        <w:rPr>
          <w:b/>
          <w:noProof/>
          <w:szCs w:val="22"/>
        </w:rPr>
        <w:t xml:space="preserve">nforme o seu médico </w:t>
      </w:r>
      <w:r w:rsidR="00084D33" w:rsidRPr="0063119B">
        <w:rPr>
          <w:noProof/>
          <w:szCs w:val="22"/>
        </w:rPr>
        <w:t xml:space="preserve">antes de tomar </w:t>
      </w:r>
      <w:r w:rsidR="00607DE4">
        <w:rPr>
          <w:noProof/>
          <w:szCs w:val="22"/>
        </w:rPr>
        <w:t>Rivaroxabano</w:t>
      </w:r>
      <w:r w:rsidR="001F7D02" w:rsidRPr="0063119B">
        <w:rPr>
          <w:noProof/>
          <w:szCs w:val="22"/>
        </w:rPr>
        <w:t xml:space="preserve"> Accord</w:t>
      </w:r>
      <w:r w:rsidR="00084D33" w:rsidRPr="0063119B">
        <w:rPr>
          <w:noProof/>
          <w:szCs w:val="22"/>
        </w:rPr>
        <w:t xml:space="preserve">, porque o efeito de </w:t>
      </w:r>
      <w:r w:rsidR="00607DE4">
        <w:rPr>
          <w:noProof/>
          <w:szCs w:val="22"/>
        </w:rPr>
        <w:t>Rivaroxabano</w:t>
      </w:r>
      <w:r w:rsidR="001F7D02" w:rsidRPr="0063119B">
        <w:rPr>
          <w:noProof/>
          <w:szCs w:val="22"/>
        </w:rPr>
        <w:t xml:space="preserve"> Accord</w:t>
      </w:r>
      <w:r w:rsidR="00084D33" w:rsidRPr="0063119B">
        <w:rPr>
          <w:noProof/>
          <w:szCs w:val="22"/>
        </w:rPr>
        <w:t xml:space="preserve"> pode estar diminuído. O seu médico decidirá se deve ser tratado com </w:t>
      </w:r>
      <w:r w:rsidR="00607DE4">
        <w:rPr>
          <w:noProof/>
          <w:szCs w:val="22"/>
        </w:rPr>
        <w:t>Rivaroxabano</w:t>
      </w:r>
      <w:r w:rsidR="001F7D02" w:rsidRPr="0063119B">
        <w:rPr>
          <w:noProof/>
          <w:szCs w:val="22"/>
        </w:rPr>
        <w:t xml:space="preserve"> Accord</w:t>
      </w:r>
      <w:r w:rsidR="00084D33" w:rsidRPr="0063119B">
        <w:rPr>
          <w:noProof/>
          <w:szCs w:val="22"/>
        </w:rPr>
        <w:t xml:space="preserve"> e se deve ser mantido sob uma observação mais atenta.</w:t>
      </w:r>
    </w:p>
    <w:p w14:paraId="3E106263" w14:textId="77777777" w:rsidR="00084D33" w:rsidRPr="0063119B" w:rsidRDefault="00084D33" w:rsidP="00084D33">
      <w:pPr>
        <w:suppressAutoHyphens/>
        <w:rPr>
          <w:b/>
          <w:noProof/>
          <w:szCs w:val="22"/>
        </w:rPr>
      </w:pPr>
    </w:p>
    <w:p w14:paraId="159B4756" w14:textId="77777777" w:rsidR="00084D33" w:rsidRPr="0063119B" w:rsidRDefault="00084D33" w:rsidP="00084D33">
      <w:pPr>
        <w:suppressAutoHyphens/>
        <w:rPr>
          <w:noProof/>
          <w:szCs w:val="22"/>
        </w:rPr>
      </w:pPr>
      <w:r w:rsidRPr="0063119B">
        <w:rPr>
          <w:b/>
          <w:noProof/>
          <w:szCs w:val="22"/>
        </w:rPr>
        <w:t>Gravidez e amamentação</w:t>
      </w:r>
    </w:p>
    <w:p w14:paraId="010C59C8" w14:textId="77777777" w:rsidR="00084D33" w:rsidRPr="0063119B" w:rsidRDefault="00687BD2" w:rsidP="00084D33">
      <w:pPr>
        <w:suppressAutoHyphens/>
        <w:rPr>
          <w:noProof/>
          <w:szCs w:val="22"/>
        </w:rPr>
      </w:pPr>
      <w:r w:rsidRPr="0063119B">
        <w:rPr>
          <w:noProof/>
          <w:szCs w:val="22"/>
        </w:rPr>
        <w:t xml:space="preserve">Não tome </w:t>
      </w:r>
      <w:r w:rsidR="00607DE4">
        <w:rPr>
          <w:noProof/>
          <w:szCs w:val="22"/>
        </w:rPr>
        <w:t>Rivaroxabano</w:t>
      </w:r>
      <w:r w:rsidR="001F7D02" w:rsidRPr="0063119B">
        <w:rPr>
          <w:noProof/>
          <w:szCs w:val="22"/>
        </w:rPr>
        <w:t xml:space="preserve"> Accord</w:t>
      </w:r>
      <w:r w:rsidRPr="0063119B">
        <w:rPr>
          <w:noProof/>
          <w:szCs w:val="22"/>
        </w:rPr>
        <w:t xml:space="preserve"> s</w:t>
      </w:r>
      <w:r w:rsidR="00084D33" w:rsidRPr="0063119B">
        <w:rPr>
          <w:noProof/>
          <w:szCs w:val="22"/>
        </w:rPr>
        <w:t xml:space="preserve">e está grávida ou a amamentar. Se existe a possibilidade de poder ficar grávida, utilize um contracetivo fiável, enquanto toma </w:t>
      </w:r>
      <w:r w:rsidR="00607DE4">
        <w:rPr>
          <w:noProof/>
          <w:szCs w:val="22"/>
        </w:rPr>
        <w:t>Rivaroxabano</w:t>
      </w:r>
      <w:r w:rsidR="001F7D02" w:rsidRPr="0063119B">
        <w:rPr>
          <w:noProof/>
          <w:szCs w:val="22"/>
        </w:rPr>
        <w:t xml:space="preserve"> Accord</w:t>
      </w:r>
      <w:r w:rsidR="00084D33" w:rsidRPr="0063119B">
        <w:rPr>
          <w:noProof/>
          <w:szCs w:val="22"/>
        </w:rPr>
        <w:t xml:space="preserve">. Se engravidar, enquanto está a tomar </w:t>
      </w:r>
      <w:r w:rsidRPr="0063119B">
        <w:rPr>
          <w:noProof/>
          <w:szCs w:val="22"/>
        </w:rPr>
        <w:t>este medicamento</w:t>
      </w:r>
      <w:r w:rsidR="00084D33" w:rsidRPr="0063119B">
        <w:rPr>
          <w:noProof/>
          <w:szCs w:val="22"/>
        </w:rPr>
        <w:t>, informe o seu médico</w:t>
      </w:r>
      <w:r w:rsidR="00AB789D" w:rsidRPr="0063119B">
        <w:rPr>
          <w:noProof/>
          <w:szCs w:val="22"/>
        </w:rPr>
        <w:t xml:space="preserve"> imediatamente</w:t>
      </w:r>
      <w:r w:rsidR="00084D33" w:rsidRPr="0063119B">
        <w:rPr>
          <w:noProof/>
          <w:szCs w:val="22"/>
        </w:rPr>
        <w:t>, que decidirá como deverá ser tratada.</w:t>
      </w:r>
    </w:p>
    <w:p w14:paraId="51DCEF39" w14:textId="77777777" w:rsidR="00084D33" w:rsidRPr="0063119B" w:rsidRDefault="00084D33" w:rsidP="00084D33">
      <w:pPr>
        <w:suppressAutoHyphens/>
        <w:rPr>
          <w:noProof/>
          <w:szCs w:val="22"/>
        </w:rPr>
      </w:pPr>
    </w:p>
    <w:p w14:paraId="23D245EF" w14:textId="77777777" w:rsidR="00084D33" w:rsidRPr="0063119B" w:rsidRDefault="00084D33" w:rsidP="00084D33">
      <w:pPr>
        <w:keepNext/>
        <w:suppressAutoHyphens/>
        <w:rPr>
          <w:noProof/>
          <w:szCs w:val="22"/>
        </w:rPr>
      </w:pPr>
      <w:r w:rsidRPr="0063119B">
        <w:rPr>
          <w:b/>
          <w:noProof/>
          <w:szCs w:val="22"/>
        </w:rPr>
        <w:t>Condução de veículos e utilização de máquinas</w:t>
      </w:r>
    </w:p>
    <w:p w14:paraId="54D1BA2A" w14:textId="77777777" w:rsidR="00084D33" w:rsidRPr="0063119B" w:rsidRDefault="00607DE4" w:rsidP="00084D33">
      <w:pPr>
        <w:keepNext/>
        <w:suppressAutoHyphens/>
        <w:rPr>
          <w:noProof/>
          <w:szCs w:val="22"/>
        </w:rPr>
      </w:pPr>
      <w:r>
        <w:rPr>
          <w:noProof/>
          <w:szCs w:val="22"/>
        </w:rPr>
        <w:t>Rivaroxabano</w:t>
      </w:r>
      <w:r w:rsidR="001F7D02" w:rsidRPr="0063119B">
        <w:rPr>
          <w:noProof/>
          <w:szCs w:val="22"/>
        </w:rPr>
        <w:t xml:space="preserve"> Accord</w:t>
      </w:r>
      <w:r w:rsidR="00084D33" w:rsidRPr="0063119B">
        <w:rPr>
          <w:noProof/>
          <w:szCs w:val="22"/>
        </w:rPr>
        <w:t xml:space="preserve"> pode causar tonturas (</w:t>
      </w:r>
      <w:r w:rsidR="00AB789D" w:rsidRPr="0063119B">
        <w:rPr>
          <w:noProof/>
          <w:szCs w:val="22"/>
        </w:rPr>
        <w:t xml:space="preserve">efeito </w:t>
      </w:r>
      <w:r w:rsidR="00654D4F" w:rsidRPr="0063119B">
        <w:rPr>
          <w:noProof/>
          <w:szCs w:val="22"/>
        </w:rPr>
        <w:t>indesejável</w:t>
      </w:r>
      <w:r w:rsidR="00084D33" w:rsidRPr="0063119B">
        <w:rPr>
          <w:noProof/>
          <w:szCs w:val="22"/>
        </w:rPr>
        <w:t xml:space="preserve"> frequente) ou desmaio (</w:t>
      </w:r>
      <w:r w:rsidR="00AB789D" w:rsidRPr="0063119B">
        <w:rPr>
          <w:noProof/>
          <w:szCs w:val="22"/>
        </w:rPr>
        <w:t xml:space="preserve">efeito </w:t>
      </w:r>
      <w:r w:rsidR="00654D4F" w:rsidRPr="0063119B">
        <w:rPr>
          <w:noProof/>
          <w:szCs w:val="22"/>
        </w:rPr>
        <w:t>indesejável</w:t>
      </w:r>
      <w:r w:rsidR="00084D33" w:rsidRPr="0063119B">
        <w:rPr>
          <w:noProof/>
          <w:szCs w:val="22"/>
        </w:rPr>
        <w:t xml:space="preserve"> pouco frequente) (ver secção 4</w:t>
      </w:r>
      <w:r w:rsidR="006220E6" w:rsidRPr="0063119B">
        <w:rPr>
          <w:noProof/>
          <w:szCs w:val="22"/>
        </w:rPr>
        <w:t>,</w:t>
      </w:r>
      <w:r w:rsidR="00084D33" w:rsidRPr="0063119B">
        <w:rPr>
          <w:noProof/>
          <w:szCs w:val="22"/>
        </w:rPr>
        <w:t xml:space="preserve"> “Efeitos </w:t>
      </w:r>
      <w:r w:rsidR="00CC1A3A" w:rsidRPr="0063119B">
        <w:rPr>
          <w:noProof/>
          <w:szCs w:val="22"/>
        </w:rPr>
        <w:t>indesejáveis</w:t>
      </w:r>
      <w:r w:rsidR="00084D33" w:rsidRPr="0063119B">
        <w:rPr>
          <w:noProof/>
          <w:szCs w:val="22"/>
        </w:rPr>
        <w:t xml:space="preserve"> possíveis”). Não deve conduzir</w:t>
      </w:r>
      <w:r w:rsidR="00DA13B6">
        <w:rPr>
          <w:noProof/>
          <w:szCs w:val="22"/>
        </w:rPr>
        <w:t xml:space="preserve">, </w:t>
      </w:r>
      <w:r w:rsidR="00DA13B6">
        <w:rPr>
          <w:szCs w:val="22"/>
        </w:rPr>
        <w:t>andar de bicicleta</w:t>
      </w:r>
      <w:r w:rsidR="00084D33" w:rsidRPr="0063119B">
        <w:rPr>
          <w:noProof/>
          <w:szCs w:val="22"/>
        </w:rPr>
        <w:t xml:space="preserve"> ou utilizar</w:t>
      </w:r>
      <w:r w:rsidR="00DA13B6">
        <w:rPr>
          <w:noProof/>
          <w:szCs w:val="22"/>
        </w:rPr>
        <w:t xml:space="preserve"> </w:t>
      </w:r>
      <w:r w:rsidR="00DA13B6">
        <w:rPr>
          <w:szCs w:val="22"/>
        </w:rPr>
        <w:t>quaisquer ferramentas ou</w:t>
      </w:r>
      <w:r w:rsidR="00084D33" w:rsidRPr="0063119B">
        <w:rPr>
          <w:noProof/>
          <w:szCs w:val="22"/>
        </w:rPr>
        <w:t xml:space="preserve"> máquinas se for afetado por estes sintomas.</w:t>
      </w:r>
    </w:p>
    <w:p w14:paraId="0CDFBD05" w14:textId="77777777" w:rsidR="00084D33" w:rsidRPr="0063119B" w:rsidRDefault="00084D33" w:rsidP="00084D33">
      <w:pPr>
        <w:suppressAutoHyphens/>
        <w:rPr>
          <w:noProof/>
          <w:szCs w:val="22"/>
        </w:rPr>
      </w:pPr>
    </w:p>
    <w:p w14:paraId="7E632189" w14:textId="77777777" w:rsidR="00084D33" w:rsidRPr="0063119B" w:rsidRDefault="00607DE4" w:rsidP="00084D33">
      <w:pPr>
        <w:keepNext/>
        <w:suppressAutoHyphens/>
        <w:rPr>
          <w:b/>
          <w:noProof/>
          <w:szCs w:val="22"/>
        </w:rPr>
      </w:pPr>
      <w:r>
        <w:rPr>
          <w:b/>
          <w:noProof/>
          <w:szCs w:val="22"/>
        </w:rPr>
        <w:t>Rivaroxabano</w:t>
      </w:r>
      <w:r w:rsidR="001F7D02" w:rsidRPr="0063119B">
        <w:rPr>
          <w:b/>
          <w:noProof/>
          <w:szCs w:val="22"/>
        </w:rPr>
        <w:t xml:space="preserve"> Accord</w:t>
      </w:r>
      <w:r w:rsidR="00084D33" w:rsidRPr="0063119B">
        <w:rPr>
          <w:b/>
          <w:noProof/>
          <w:szCs w:val="22"/>
        </w:rPr>
        <w:t xml:space="preserve"> contém lactose</w:t>
      </w:r>
      <w:r w:rsidR="0058751A" w:rsidRPr="0063119B">
        <w:rPr>
          <w:b/>
          <w:noProof/>
          <w:szCs w:val="22"/>
        </w:rPr>
        <w:t xml:space="preserve"> e sódio</w:t>
      </w:r>
    </w:p>
    <w:p w14:paraId="3C0A71DE" w14:textId="77777777" w:rsidR="00084D33" w:rsidRPr="0063119B" w:rsidRDefault="00084D33" w:rsidP="00084D33">
      <w:pPr>
        <w:keepNext/>
        <w:suppressAutoHyphens/>
        <w:rPr>
          <w:noProof/>
          <w:szCs w:val="22"/>
        </w:rPr>
      </w:pPr>
      <w:r w:rsidRPr="0063119B">
        <w:rPr>
          <w:noProof/>
          <w:szCs w:val="22"/>
        </w:rPr>
        <w:t>Se foi informado pelo seu médico que tem intolerância a alguns açúcares, contacte</w:t>
      </w:r>
      <w:r w:rsidRPr="0063119B">
        <w:rPr>
          <w:noProof/>
          <w:szCs w:val="22"/>
        </w:rPr>
        <w:noBreakHyphen/>
        <w:t xml:space="preserve">o antes de tomar </w:t>
      </w:r>
      <w:r w:rsidR="00687BD2" w:rsidRPr="0063119B">
        <w:rPr>
          <w:noProof/>
          <w:szCs w:val="22"/>
        </w:rPr>
        <w:t>este medicamento</w:t>
      </w:r>
      <w:r w:rsidRPr="0063119B">
        <w:rPr>
          <w:noProof/>
          <w:szCs w:val="22"/>
        </w:rPr>
        <w:t>.</w:t>
      </w:r>
    </w:p>
    <w:p w14:paraId="77BF171B" w14:textId="77777777" w:rsidR="0058751A" w:rsidRPr="0063119B" w:rsidRDefault="0058751A" w:rsidP="0058751A">
      <w:pPr>
        <w:keepNext/>
        <w:suppressAutoHyphens/>
        <w:rPr>
          <w:noProof/>
          <w:szCs w:val="22"/>
        </w:rPr>
      </w:pPr>
      <w:r w:rsidRPr="0063119B">
        <w:rPr>
          <w:noProof/>
          <w:szCs w:val="22"/>
        </w:rPr>
        <w:t xml:space="preserve">Este medicamento contém menos de 1 mmol de sódio (23 mg) por comprimido, </w:t>
      </w:r>
      <w:r w:rsidR="00B06231" w:rsidRPr="0063119B">
        <w:rPr>
          <w:noProof/>
          <w:szCs w:val="22"/>
        </w:rPr>
        <w:t xml:space="preserve">ou </w:t>
      </w:r>
      <w:r w:rsidRPr="0063119B">
        <w:rPr>
          <w:noProof/>
          <w:szCs w:val="22"/>
        </w:rPr>
        <w:t>seja é praticamente “isento de sódio”.</w:t>
      </w:r>
    </w:p>
    <w:p w14:paraId="78E64F41" w14:textId="77777777" w:rsidR="00084D33" w:rsidRPr="0063119B" w:rsidRDefault="00084D33" w:rsidP="00084D33">
      <w:pPr>
        <w:suppressAutoHyphens/>
        <w:rPr>
          <w:noProof/>
          <w:szCs w:val="22"/>
        </w:rPr>
      </w:pPr>
    </w:p>
    <w:p w14:paraId="367B78E9" w14:textId="77777777" w:rsidR="00084D33" w:rsidRPr="0063119B" w:rsidRDefault="00084D33" w:rsidP="00084D33">
      <w:pPr>
        <w:suppressAutoHyphens/>
        <w:rPr>
          <w:noProof/>
          <w:szCs w:val="22"/>
        </w:rPr>
      </w:pPr>
    </w:p>
    <w:p w14:paraId="39DA45B5" w14:textId="77777777" w:rsidR="00084D33" w:rsidRPr="0063119B" w:rsidRDefault="00084D33" w:rsidP="00084D33">
      <w:pPr>
        <w:suppressAutoHyphens/>
        <w:ind w:left="567" w:hanging="567"/>
        <w:rPr>
          <w:noProof/>
          <w:szCs w:val="22"/>
        </w:rPr>
      </w:pPr>
      <w:r w:rsidRPr="0063119B">
        <w:rPr>
          <w:b/>
          <w:noProof/>
          <w:szCs w:val="22"/>
        </w:rPr>
        <w:t>3.</w:t>
      </w:r>
      <w:r w:rsidRPr="0063119B">
        <w:rPr>
          <w:b/>
          <w:noProof/>
          <w:szCs w:val="22"/>
        </w:rPr>
        <w:tab/>
        <w:t xml:space="preserve">Como tomar </w:t>
      </w:r>
      <w:r w:rsidR="00607DE4">
        <w:rPr>
          <w:b/>
          <w:noProof/>
          <w:szCs w:val="22"/>
        </w:rPr>
        <w:t>Rivaroxabano</w:t>
      </w:r>
      <w:r w:rsidR="001F7D02" w:rsidRPr="0063119B">
        <w:rPr>
          <w:b/>
          <w:noProof/>
          <w:szCs w:val="22"/>
        </w:rPr>
        <w:t xml:space="preserve"> Accord</w:t>
      </w:r>
    </w:p>
    <w:p w14:paraId="05B0FA0A" w14:textId="77777777" w:rsidR="00084D33" w:rsidRPr="0063119B" w:rsidRDefault="00084D33" w:rsidP="00084D33">
      <w:pPr>
        <w:suppressAutoHyphens/>
        <w:rPr>
          <w:noProof/>
          <w:szCs w:val="22"/>
        </w:rPr>
      </w:pPr>
    </w:p>
    <w:p w14:paraId="7174F778" w14:textId="77777777" w:rsidR="00084D33" w:rsidRPr="0063119B" w:rsidRDefault="00084D33" w:rsidP="00084D33">
      <w:pPr>
        <w:suppressAutoHyphens/>
        <w:rPr>
          <w:noProof/>
          <w:szCs w:val="22"/>
        </w:rPr>
      </w:pPr>
      <w:r w:rsidRPr="0063119B">
        <w:rPr>
          <w:noProof/>
          <w:szCs w:val="22"/>
        </w:rPr>
        <w:lastRenderedPageBreak/>
        <w:t>Tome este medicamento exatamente como indicado pelo seu médico. Fale com o seu médico ou farmacêutico se tiver dúvidas.</w:t>
      </w:r>
    </w:p>
    <w:p w14:paraId="2F46AC62" w14:textId="77777777" w:rsidR="00A905C1" w:rsidRPr="0063119B" w:rsidRDefault="00A905C1" w:rsidP="00084D33">
      <w:pPr>
        <w:suppressAutoHyphens/>
        <w:rPr>
          <w:noProof/>
          <w:szCs w:val="22"/>
        </w:rPr>
      </w:pPr>
    </w:p>
    <w:p w14:paraId="454FF3C2" w14:textId="77777777" w:rsidR="00A905C1" w:rsidRPr="0063119B" w:rsidRDefault="00A905C1" w:rsidP="00A905C1">
      <w:pPr>
        <w:suppressAutoHyphens/>
        <w:rPr>
          <w:noProof/>
          <w:szCs w:val="22"/>
        </w:rPr>
      </w:pPr>
      <w:r w:rsidRPr="0063119B">
        <w:rPr>
          <w:noProof/>
          <w:szCs w:val="22"/>
        </w:rPr>
        <w:t>T</w:t>
      </w:r>
      <w:r w:rsidR="005268D0" w:rsidRPr="0063119B">
        <w:rPr>
          <w:noProof/>
          <w:szCs w:val="22"/>
        </w:rPr>
        <w:t>em de t</w:t>
      </w:r>
      <w:r w:rsidRPr="0063119B">
        <w:rPr>
          <w:noProof/>
          <w:szCs w:val="22"/>
        </w:rPr>
        <w:t xml:space="preserve">omar </w:t>
      </w:r>
      <w:r w:rsidR="00607DE4">
        <w:rPr>
          <w:noProof/>
          <w:szCs w:val="22"/>
        </w:rPr>
        <w:t>Rivaroxabano</w:t>
      </w:r>
      <w:r w:rsidR="001F7D02" w:rsidRPr="0063119B">
        <w:rPr>
          <w:noProof/>
          <w:szCs w:val="22"/>
        </w:rPr>
        <w:t xml:space="preserve"> Accord</w:t>
      </w:r>
      <w:r w:rsidRPr="0063119B">
        <w:rPr>
          <w:noProof/>
          <w:szCs w:val="22"/>
        </w:rPr>
        <w:t xml:space="preserve"> juntamente com uma refeição.</w:t>
      </w:r>
    </w:p>
    <w:p w14:paraId="2747303F" w14:textId="77777777" w:rsidR="00A905C1" w:rsidRPr="0063119B" w:rsidRDefault="00A905C1" w:rsidP="00A905C1">
      <w:pPr>
        <w:suppressAutoHyphens/>
        <w:rPr>
          <w:noProof/>
          <w:szCs w:val="22"/>
        </w:rPr>
      </w:pPr>
      <w:r w:rsidRPr="0063119B">
        <w:rPr>
          <w:noProof/>
          <w:szCs w:val="22"/>
        </w:rPr>
        <w:t>Engolir o(s) comprimido(s) de preferência com água.</w:t>
      </w:r>
    </w:p>
    <w:p w14:paraId="7112A166" w14:textId="77777777" w:rsidR="00A905C1" w:rsidRPr="0063119B" w:rsidRDefault="00A905C1" w:rsidP="00A905C1">
      <w:pPr>
        <w:suppressAutoHyphens/>
        <w:rPr>
          <w:noProof/>
          <w:szCs w:val="22"/>
        </w:rPr>
      </w:pPr>
    </w:p>
    <w:p w14:paraId="72C6AEF4" w14:textId="77777777" w:rsidR="00A905C1" w:rsidRPr="0063119B" w:rsidRDefault="00A905C1" w:rsidP="00A905C1">
      <w:pPr>
        <w:suppressAutoHyphens/>
        <w:rPr>
          <w:noProof/>
          <w:szCs w:val="22"/>
        </w:rPr>
      </w:pPr>
      <w:r w:rsidRPr="0063119B">
        <w:rPr>
          <w:noProof/>
          <w:szCs w:val="22"/>
        </w:rPr>
        <w:t xml:space="preserve">Se tiver dificuldade em engolir o comprimido inteiro, fale com o seu médico sobre outras formas de tomar </w:t>
      </w:r>
      <w:r w:rsidR="00607DE4">
        <w:rPr>
          <w:noProof/>
          <w:szCs w:val="22"/>
        </w:rPr>
        <w:t>Rivaroxabano</w:t>
      </w:r>
      <w:r w:rsidR="001F7D02" w:rsidRPr="0063119B">
        <w:rPr>
          <w:noProof/>
          <w:szCs w:val="22"/>
        </w:rPr>
        <w:t xml:space="preserve"> Accord</w:t>
      </w:r>
      <w:r w:rsidRPr="0063119B">
        <w:rPr>
          <w:noProof/>
          <w:szCs w:val="22"/>
        </w:rPr>
        <w:t>. O comprimido pode ser esmagado e misturado com água ou  puré de maçã imediatamente antes de o tomar. Esta mistura deve ser imediatamente seguida por alimentos.</w:t>
      </w:r>
    </w:p>
    <w:p w14:paraId="4B32ABDE" w14:textId="77777777" w:rsidR="00A905C1" w:rsidRPr="0063119B" w:rsidRDefault="00A905C1" w:rsidP="00A905C1">
      <w:pPr>
        <w:suppressAutoHyphens/>
        <w:rPr>
          <w:noProof/>
          <w:szCs w:val="22"/>
        </w:rPr>
      </w:pPr>
      <w:r w:rsidRPr="0063119B">
        <w:rPr>
          <w:noProof/>
          <w:szCs w:val="22"/>
        </w:rPr>
        <w:t xml:space="preserve">Se necessário, o seu médico pode administrar-lhe também o comprimido </w:t>
      </w:r>
      <w:r w:rsidR="00607DE4">
        <w:rPr>
          <w:noProof/>
          <w:szCs w:val="22"/>
        </w:rPr>
        <w:t>Rivaroxabano</w:t>
      </w:r>
      <w:r w:rsidR="001F7D02" w:rsidRPr="0063119B">
        <w:rPr>
          <w:noProof/>
          <w:szCs w:val="22"/>
        </w:rPr>
        <w:t xml:space="preserve"> Accord</w:t>
      </w:r>
      <w:r w:rsidRPr="0063119B">
        <w:rPr>
          <w:noProof/>
          <w:szCs w:val="22"/>
        </w:rPr>
        <w:t xml:space="preserve"> esmagado através de uma sonda gástrica.</w:t>
      </w:r>
    </w:p>
    <w:p w14:paraId="71F84CC5" w14:textId="77777777" w:rsidR="00084D33" w:rsidRPr="0063119B" w:rsidRDefault="00084D33" w:rsidP="00084D33">
      <w:pPr>
        <w:suppressAutoHyphens/>
        <w:rPr>
          <w:noProof/>
          <w:szCs w:val="22"/>
        </w:rPr>
      </w:pPr>
    </w:p>
    <w:p w14:paraId="5DA61BB3" w14:textId="77777777" w:rsidR="00084D33" w:rsidRDefault="00084D33" w:rsidP="00084D33">
      <w:pPr>
        <w:suppressAutoHyphens/>
        <w:rPr>
          <w:b/>
          <w:noProof/>
          <w:szCs w:val="22"/>
        </w:rPr>
      </w:pPr>
      <w:r w:rsidRPr="0063119B">
        <w:rPr>
          <w:b/>
          <w:noProof/>
          <w:szCs w:val="22"/>
        </w:rPr>
        <w:t>Que quantidade tomar</w:t>
      </w:r>
    </w:p>
    <w:p w14:paraId="48817EDD" w14:textId="77777777" w:rsidR="00DA13B6" w:rsidRDefault="00DA13B6" w:rsidP="00084D33">
      <w:pPr>
        <w:suppressAutoHyphens/>
        <w:rPr>
          <w:b/>
          <w:noProof/>
          <w:szCs w:val="22"/>
        </w:rPr>
      </w:pPr>
    </w:p>
    <w:p w14:paraId="2AECC026" w14:textId="77777777" w:rsidR="00DA13B6" w:rsidRPr="0063119B" w:rsidRDefault="00DA13B6" w:rsidP="00084D33">
      <w:pPr>
        <w:suppressAutoHyphens/>
        <w:rPr>
          <w:b/>
          <w:noProof/>
          <w:szCs w:val="22"/>
        </w:rPr>
      </w:pPr>
      <w:r>
        <w:rPr>
          <w:b/>
          <w:noProof/>
          <w:szCs w:val="22"/>
        </w:rPr>
        <w:t>Adultos</w:t>
      </w:r>
    </w:p>
    <w:p w14:paraId="57943FCE" w14:textId="77777777" w:rsidR="00084D33" w:rsidRPr="0063119B" w:rsidRDefault="00084D33" w:rsidP="00B239A6">
      <w:pPr>
        <w:numPr>
          <w:ilvl w:val="0"/>
          <w:numId w:val="28"/>
        </w:numPr>
        <w:suppressAutoHyphens/>
        <w:rPr>
          <w:b/>
          <w:noProof/>
          <w:szCs w:val="22"/>
        </w:rPr>
      </w:pPr>
      <w:r w:rsidRPr="0063119B">
        <w:rPr>
          <w:noProof/>
          <w:szCs w:val="22"/>
        </w:rPr>
        <w:t>Para prevenir a formação de coágulos de sangue no cérebro (acidente vascular cerebral) e noutros vasos sanguíneos do seu corpo</w:t>
      </w:r>
    </w:p>
    <w:p w14:paraId="6D609F0B" w14:textId="77777777" w:rsidR="00084D33" w:rsidRPr="0063119B" w:rsidRDefault="00084D33" w:rsidP="00B239A6">
      <w:pPr>
        <w:suppressAutoHyphens/>
        <w:ind w:left="720"/>
        <w:rPr>
          <w:noProof/>
          <w:szCs w:val="22"/>
        </w:rPr>
      </w:pPr>
      <w:r w:rsidRPr="0063119B">
        <w:rPr>
          <w:noProof/>
          <w:szCs w:val="22"/>
        </w:rPr>
        <w:t xml:space="preserve">A dose recomendada é de um comprimido de </w:t>
      </w:r>
      <w:r w:rsidR="00607DE4">
        <w:rPr>
          <w:noProof/>
          <w:szCs w:val="22"/>
        </w:rPr>
        <w:t>Rivaroxabano</w:t>
      </w:r>
      <w:r w:rsidR="001F7D02" w:rsidRPr="0063119B">
        <w:rPr>
          <w:noProof/>
          <w:szCs w:val="22"/>
        </w:rPr>
        <w:t xml:space="preserve"> Accord</w:t>
      </w:r>
      <w:r w:rsidR="00902E2B" w:rsidRPr="0063119B">
        <w:rPr>
          <w:noProof/>
          <w:szCs w:val="22"/>
        </w:rPr>
        <w:t xml:space="preserve"> </w:t>
      </w:r>
      <w:r w:rsidRPr="0063119B">
        <w:rPr>
          <w:noProof/>
          <w:szCs w:val="22"/>
        </w:rPr>
        <w:t>20 mg uma vez ao dia.</w:t>
      </w:r>
    </w:p>
    <w:p w14:paraId="2EC267B4" w14:textId="77777777" w:rsidR="00084D33" w:rsidRPr="0063119B" w:rsidRDefault="00084D33" w:rsidP="00B239A6">
      <w:pPr>
        <w:suppressAutoHyphens/>
        <w:ind w:left="720"/>
        <w:rPr>
          <w:noProof/>
          <w:szCs w:val="22"/>
        </w:rPr>
      </w:pPr>
      <w:r w:rsidRPr="0063119B">
        <w:rPr>
          <w:noProof/>
          <w:szCs w:val="22"/>
        </w:rPr>
        <w:t xml:space="preserve">Se tiver problemas nos rins, a dose pode ser reduzida para um comprimido de </w:t>
      </w:r>
      <w:r w:rsidR="00607DE4">
        <w:rPr>
          <w:noProof/>
          <w:szCs w:val="22"/>
        </w:rPr>
        <w:t>Rivaroxabano</w:t>
      </w:r>
      <w:r w:rsidR="001F7D02" w:rsidRPr="0063119B">
        <w:rPr>
          <w:noProof/>
          <w:szCs w:val="22"/>
        </w:rPr>
        <w:t xml:space="preserve"> Accord</w:t>
      </w:r>
      <w:r w:rsidR="00902E2B" w:rsidRPr="0063119B">
        <w:rPr>
          <w:noProof/>
          <w:szCs w:val="22"/>
        </w:rPr>
        <w:t xml:space="preserve"> </w:t>
      </w:r>
      <w:r w:rsidRPr="0063119B">
        <w:rPr>
          <w:noProof/>
          <w:szCs w:val="22"/>
        </w:rPr>
        <w:t>15 mg uma vez ao dia.</w:t>
      </w:r>
    </w:p>
    <w:p w14:paraId="73111DDC" w14:textId="77777777" w:rsidR="002A4766" w:rsidRPr="0063119B" w:rsidRDefault="002A4766" w:rsidP="00B239A6">
      <w:pPr>
        <w:suppressAutoHyphens/>
        <w:ind w:left="720"/>
        <w:rPr>
          <w:noProof/>
          <w:szCs w:val="22"/>
        </w:rPr>
      </w:pPr>
    </w:p>
    <w:p w14:paraId="72B366F9" w14:textId="77777777" w:rsidR="002A4766" w:rsidRPr="0063119B" w:rsidRDefault="002A4766" w:rsidP="00B239A6">
      <w:pPr>
        <w:autoSpaceDE w:val="0"/>
        <w:autoSpaceDN w:val="0"/>
        <w:adjustRightInd w:val="0"/>
        <w:ind w:left="709"/>
        <w:jc w:val="both"/>
        <w:rPr>
          <w:szCs w:val="22"/>
        </w:rPr>
      </w:pPr>
      <w:r w:rsidRPr="0063119B">
        <w:rPr>
          <w:szCs w:val="22"/>
        </w:rPr>
        <w:t xml:space="preserve">Se precisa de um procedimento para tratar vasos sanguíneos bloqueados no seu coração (chamado intervenção coronária percutânea </w:t>
      </w:r>
      <w:r w:rsidR="00377739" w:rsidRPr="0063119B">
        <w:rPr>
          <w:szCs w:val="22"/>
        </w:rPr>
        <w:t>-</w:t>
      </w:r>
      <w:r w:rsidRPr="0063119B">
        <w:rPr>
          <w:szCs w:val="22"/>
        </w:rPr>
        <w:t xml:space="preserve"> ICP com colocação de </w:t>
      </w:r>
      <w:r w:rsidRPr="0063119B">
        <w:rPr>
          <w:i/>
          <w:szCs w:val="22"/>
        </w:rPr>
        <w:t>stent</w:t>
      </w:r>
      <w:r w:rsidRPr="0063119B">
        <w:rPr>
          <w:szCs w:val="22"/>
        </w:rPr>
        <w:t xml:space="preserve">), existe uma evidência limitada  para reduzir a dose para um comprimido de </w:t>
      </w:r>
      <w:r w:rsidR="00607DE4">
        <w:rPr>
          <w:szCs w:val="22"/>
        </w:rPr>
        <w:t>Rivaroxabano</w:t>
      </w:r>
      <w:r w:rsidR="001F7D02" w:rsidRPr="0063119B">
        <w:rPr>
          <w:szCs w:val="22"/>
        </w:rPr>
        <w:t xml:space="preserve"> Accord</w:t>
      </w:r>
      <w:r w:rsidRPr="0063119B">
        <w:rPr>
          <w:szCs w:val="22"/>
        </w:rPr>
        <w:t xml:space="preserve"> 15 mg uma vez ao dia (ou um comprimido de </w:t>
      </w:r>
      <w:r w:rsidR="00607DE4">
        <w:rPr>
          <w:szCs w:val="22"/>
        </w:rPr>
        <w:t>Rivaroxabano</w:t>
      </w:r>
      <w:r w:rsidR="001F7D02" w:rsidRPr="0063119B">
        <w:rPr>
          <w:szCs w:val="22"/>
        </w:rPr>
        <w:t xml:space="preserve"> Accord</w:t>
      </w:r>
      <w:r w:rsidRPr="0063119B">
        <w:rPr>
          <w:szCs w:val="22"/>
        </w:rPr>
        <w:t xml:space="preserve"> </w:t>
      </w:r>
      <w:r w:rsidR="00C74559" w:rsidRPr="0063119B">
        <w:rPr>
          <w:szCs w:val="22"/>
        </w:rPr>
        <w:t>10 mg uma vez ao dia no caso d</w:t>
      </w:r>
      <w:r w:rsidRPr="0063119B">
        <w:rPr>
          <w:szCs w:val="22"/>
        </w:rPr>
        <w:t>os seus rins não estarem a funcionar corretamente) juntamente com um medicamento antiplaquetário como o clopidogrel.</w:t>
      </w:r>
    </w:p>
    <w:p w14:paraId="67824794" w14:textId="77777777" w:rsidR="002A4766" w:rsidRPr="0063119B" w:rsidRDefault="002A4766" w:rsidP="00B239A6">
      <w:pPr>
        <w:suppressAutoHyphens/>
        <w:ind w:left="720"/>
        <w:rPr>
          <w:noProof/>
          <w:szCs w:val="22"/>
        </w:rPr>
      </w:pPr>
    </w:p>
    <w:p w14:paraId="0C00F2FA" w14:textId="77777777" w:rsidR="00084D33" w:rsidRPr="0063119B" w:rsidRDefault="00084D33" w:rsidP="00B239A6">
      <w:pPr>
        <w:numPr>
          <w:ilvl w:val="0"/>
          <w:numId w:val="29"/>
        </w:numPr>
        <w:suppressAutoHyphens/>
        <w:rPr>
          <w:b/>
          <w:noProof/>
          <w:szCs w:val="22"/>
        </w:rPr>
      </w:pPr>
      <w:r w:rsidRPr="0063119B">
        <w:rPr>
          <w:noProof/>
          <w:szCs w:val="22"/>
        </w:rPr>
        <w:t>Para tratar coágulos de sangue nas veias das suas pernas e coágulos de sangue nos vasos sanguíneos dos seus pulmões e para prevenir o reaparecimento de coágulos de sangue</w:t>
      </w:r>
    </w:p>
    <w:p w14:paraId="1B761E1D" w14:textId="77777777" w:rsidR="00084D33" w:rsidRPr="0063119B" w:rsidRDefault="00084D33" w:rsidP="00B239A6">
      <w:pPr>
        <w:suppressAutoHyphens/>
        <w:ind w:left="720"/>
        <w:rPr>
          <w:noProof/>
          <w:szCs w:val="22"/>
        </w:rPr>
      </w:pPr>
      <w:r w:rsidRPr="0063119B">
        <w:rPr>
          <w:noProof/>
          <w:szCs w:val="22"/>
        </w:rPr>
        <w:t xml:space="preserve">A dose recomendada é de um comprimido de </w:t>
      </w:r>
      <w:r w:rsidR="00607DE4">
        <w:rPr>
          <w:noProof/>
          <w:szCs w:val="22"/>
        </w:rPr>
        <w:t>Rivaroxabano</w:t>
      </w:r>
      <w:r w:rsidR="001F7D02" w:rsidRPr="0063119B">
        <w:rPr>
          <w:noProof/>
          <w:szCs w:val="22"/>
        </w:rPr>
        <w:t xml:space="preserve"> Accord</w:t>
      </w:r>
      <w:r w:rsidR="00902E2B" w:rsidRPr="0063119B">
        <w:rPr>
          <w:noProof/>
          <w:szCs w:val="22"/>
        </w:rPr>
        <w:t xml:space="preserve"> </w:t>
      </w:r>
      <w:r w:rsidRPr="0063119B">
        <w:rPr>
          <w:noProof/>
          <w:szCs w:val="22"/>
        </w:rPr>
        <w:t xml:space="preserve">15 mg duas vezes ao dia durante as primeiras 3 semanas. Para o tratamento após as 3 semanas, a dose recomendada é de um comprimido de </w:t>
      </w:r>
      <w:r w:rsidR="00607DE4">
        <w:rPr>
          <w:noProof/>
          <w:szCs w:val="22"/>
        </w:rPr>
        <w:t>Rivaroxabano</w:t>
      </w:r>
      <w:r w:rsidR="001F7D02" w:rsidRPr="0063119B">
        <w:rPr>
          <w:noProof/>
          <w:szCs w:val="22"/>
        </w:rPr>
        <w:t xml:space="preserve"> Accord</w:t>
      </w:r>
      <w:r w:rsidR="00902E2B" w:rsidRPr="0063119B">
        <w:rPr>
          <w:noProof/>
          <w:szCs w:val="22"/>
        </w:rPr>
        <w:t xml:space="preserve"> </w:t>
      </w:r>
      <w:r w:rsidRPr="0063119B">
        <w:rPr>
          <w:noProof/>
          <w:szCs w:val="22"/>
        </w:rPr>
        <w:t>20 mg uma vez ao dia.</w:t>
      </w:r>
    </w:p>
    <w:p w14:paraId="1D6E0858" w14:textId="77777777" w:rsidR="00902E2B" w:rsidRPr="0063119B" w:rsidRDefault="00902E2B" w:rsidP="00B239A6">
      <w:pPr>
        <w:suppressAutoHyphens/>
        <w:ind w:left="720"/>
        <w:rPr>
          <w:noProof/>
          <w:szCs w:val="22"/>
        </w:rPr>
      </w:pPr>
      <w:r w:rsidRPr="0063119B">
        <w:rPr>
          <w:noProof/>
          <w:szCs w:val="22"/>
        </w:rPr>
        <w:t>Após pelo menos 6 meses de tratamento para os coágulos de sangue, o seu médico poderá decidir c</w:t>
      </w:r>
      <w:r w:rsidR="00CA329A" w:rsidRPr="0063119B">
        <w:rPr>
          <w:noProof/>
          <w:szCs w:val="22"/>
        </w:rPr>
        <w:t xml:space="preserve">ontinuar com o tratamento com um </w:t>
      </w:r>
      <w:r w:rsidRPr="0063119B">
        <w:rPr>
          <w:noProof/>
          <w:szCs w:val="22"/>
        </w:rPr>
        <w:t>comprimido de 10 mg uma vez ao dia ou um comprimido de 20 mg uma vez ao dia.</w:t>
      </w:r>
    </w:p>
    <w:p w14:paraId="2142C83A" w14:textId="77777777" w:rsidR="00422A37" w:rsidRDefault="00084D33" w:rsidP="00EF3721">
      <w:pPr>
        <w:suppressAutoHyphens/>
        <w:ind w:left="720"/>
        <w:rPr>
          <w:b/>
          <w:noProof/>
          <w:szCs w:val="22"/>
        </w:rPr>
      </w:pPr>
      <w:r w:rsidRPr="0063119B">
        <w:rPr>
          <w:noProof/>
          <w:szCs w:val="22"/>
        </w:rPr>
        <w:t>Se tiver problemas nos rins</w:t>
      </w:r>
      <w:r w:rsidR="00104B9D" w:rsidRPr="0063119B">
        <w:rPr>
          <w:noProof/>
          <w:szCs w:val="22"/>
        </w:rPr>
        <w:t xml:space="preserve"> e estiver a tomar um comprimido de </w:t>
      </w:r>
      <w:r w:rsidR="00607DE4">
        <w:rPr>
          <w:noProof/>
          <w:szCs w:val="22"/>
        </w:rPr>
        <w:t>Rivaroxabano</w:t>
      </w:r>
      <w:r w:rsidR="001F7D02" w:rsidRPr="0063119B">
        <w:rPr>
          <w:noProof/>
          <w:szCs w:val="22"/>
        </w:rPr>
        <w:t xml:space="preserve"> Accord</w:t>
      </w:r>
      <w:r w:rsidR="00104B9D" w:rsidRPr="0063119B">
        <w:rPr>
          <w:noProof/>
          <w:szCs w:val="22"/>
        </w:rPr>
        <w:t xml:space="preserve"> 20 mg uma vez ao dia</w:t>
      </w:r>
      <w:r w:rsidRPr="0063119B">
        <w:rPr>
          <w:noProof/>
          <w:szCs w:val="22"/>
        </w:rPr>
        <w:t xml:space="preserve">, o seu médico pode decidir reduzir a dose para um comprimido de </w:t>
      </w:r>
      <w:r w:rsidR="00607DE4">
        <w:rPr>
          <w:noProof/>
          <w:szCs w:val="22"/>
        </w:rPr>
        <w:t>Rivaroxabano</w:t>
      </w:r>
      <w:r w:rsidR="001F7D02" w:rsidRPr="0063119B">
        <w:rPr>
          <w:noProof/>
          <w:szCs w:val="22"/>
        </w:rPr>
        <w:t xml:space="preserve"> Accord</w:t>
      </w:r>
      <w:r w:rsidR="00104B9D" w:rsidRPr="0063119B">
        <w:rPr>
          <w:noProof/>
          <w:szCs w:val="22"/>
        </w:rPr>
        <w:t xml:space="preserve"> </w:t>
      </w:r>
      <w:r w:rsidRPr="0063119B">
        <w:rPr>
          <w:noProof/>
          <w:szCs w:val="22"/>
        </w:rPr>
        <w:t>15 mg uma vez ao dia, após 3 semanas de tratamento, se o risco de hemorragia for superior ao risco de ter outro coágulo no sangue.</w:t>
      </w:r>
    </w:p>
    <w:p w14:paraId="1A080BA6" w14:textId="77777777" w:rsidR="00DA13B6" w:rsidRPr="00DA13B6" w:rsidRDefault="00DA13B6" w:rsidP="00DA13B6">
      <w:pPr>
        <w:autoSpaceDE w:val="0"/>
        <w:autoSpaceDN w:val="0"/>
        <w:adjustRightInd w:val="0"/>
        <w:rPr>
          <w:color w:val="000000"/>
          <w:sz w:val="24"/>
          <w:szCs w:val="24"/>
          <w:lang w:eastAsia="pt-PT"/>
        </w:rPr>
      </w:pPr>
    </w:p>
    <w:p w14:paraId="41B3AA15" w14:textId="77777777" w:rsidR="00DA13B6" w:rsidRPr="00DA13B6" w:rsidRDefault="00DA13B6" w:rsidP="00DA13B6">
      <w:pPr>
        <w:autoSpaceDE w:val="0"/>
        <w:autoSpaceDN w:val="0"/>
        <w:adjustRightInd w:val="0"/>
        <w:rPr>
          <w:color w:val="000000"/>
          <w:szCs w:val="22"/>
          <w:lang w:eastAsia="pt-PT"/>
        </w:rPr>
      </w:pPr>
      <w:r w:rsidRPr="00DA13B6">
        <w:rPr>
          <w:b/>
          <w:bCs/>
          <w:color w:val="000000"/>
          <w:szCs w:val="22"/>
          <w:lang w:eastAsia="pt-PT"/>
        </w:rPr>
        <w:t xml:space="preserve">Crianças e adolescentes </w:t>
      </w:r>
    </w:p>
    <w:p w14:paraId="2490CC1C" w14:textId="77777777" w:rsidR="00DA13B6" w:rsidRPr="00DA13B6" w:rsidRDefault="00DA13B6" w:rsidP="00DA13B6">
      <w:pPr>
        <w:autoSpaceDE w:val="0"/>
        <w:autoSpaceDN w:val="0"/>
        <w:adjustRightInd w:val="0"/>
        <w:rPr>
          <w:color w:val="000000"/>
          <w:szCs w:val="22"/>
          <w:lang w:eastAsia="pt-PT"/>
        </w:rPr>
      </w:pPr>
      <w:r w:rsidRPr="00DA13B6">
        <w:rPr>
          <w:color w:val="000000"/>
          <w:szCs w:val="22"/>
          <w:lang w:eastAsia="pt-PT"/>
        </w:rPr>
        <w:t xml:space="preserve">A dose de </w:t>
      </w:r>
      <w:r>
        <w:rPr>
          <w:noProof/>
          <w:szCs w:val="22"/>
        </w:rPr>
        <w:t>Rivaroxabano</w:t>
      </w:r>
      <w:r w:rsidRPr="0063119B">
        <w:rPr>
          <w:noProof/>
          <w:szCs w:val="22"/>
        </w:rPr>
        <w:t xml:space="preserve"> Accord </w:t>
      </w:r>
      <w:r w:rsidRPr="00DA13B6">
        <w:rPr>
          <w:color w:val="000000"/>
          <w:szCs w:val="22"/>
          <w:lang w:eastAsia="pt-PT"/>
        </w:rPr>
        <w:t xml:space="preserve">depende do peso corporal e será calculada pelo médico. </w:t>
      </w:r>
    </w:p>
    <w:p w14:paraId="61F317E6" w14:textId="77777777" w:rsidR="00DA13B6" w:rsidRDefault="00DA13B6" w:rsidP="00DA13B6">
      <w:pPr>
        <w:numPr>
          <w:ilvl w:val="0"/>
          <w:numId w:val="53"/>
        </w:numPr>
        <w:autoSpaceDE w:val="0"/>
        <w:autoSpaceDN w:val="0"/>
        <w:adjustRightInd w:val="0"/>
        <w:rPr>
          <w:color w:val="000000"/>
          <w:szCs w:val="22"/>
          <w:lang w:eastAsia="pt-PT"/>
        </w:rPr>
      </w:pPr>
      <w:r w:rsidRPr="00DA13B6">
        <w:rPr>
          <w:color w:val="000000"/>
          <w:szCs w:val="22"/>
          <w:lang w:eastAsia="pt-PT"/>
        </w:rPr>
        <w:t xml:space="preserve">A dose recomendada em crianças e adolescentes com </w:t>
      </w:r>
      <w:r w:rsidRPr="00DA13B6">
        <w:rPr>
          <w:b/>
          <w:bCs/>
          <w:color w:val="000000"/>
          <w:szCs w:val="22"/>
          <w:lang w:eastAsia="pt-PT"/>
        </w:rPr>
        <w:t xml:space="preserve">peso corporal entre 30 kg e menos de 50 kg </w:t>
      </w:r>
      <w:r w:rsidRPr="00DA13B6">
        <w:rPr>
          <w:color w:val="000000"/>
          <w:szCs w:val="22"/>
          <w:lang w:eastAsia="pt-PT"/>
        </w:rPr>
        <w:t xml:space="preserve">é de um comprimido de </w:t>
      </w:r>
      <w:r w:rsidRPr="00DA13B6">
        <w:rPr>
          <w:b/>
          <w:bCs/>
          <w:color w:val="000000"/>
          <w:szCs w:val="22"/>
          <w:lang w:eastAsia="pt-PT"/>
        </w:rPr>
        <w:t xml:space="preserve">15 mg de Rivaroxabano Accord </w:t>
      </w:r>
      <w:r w:rsidRPr="00DA13B6">
        <w:rPr>
          <w:color w:val="000000"/>
          <w:szCs w:val="22"/>
          <w:lang w:eastAsia="pt-PT"/>
        </w:rPr>
        <w:t>uma vez por dia.</w:t>
      </w:r>
    </w:p>
    <w:p w14:paraId="45E8C891" w14:textId="77777777" w:rsidR="00DA13B6" w:rsidRPr="00B35784" w:rsidRDefault="00DA13B6" w:rsidP="00EF3721">
      <w:pPr>
        <w:numPr>
          <w:ilvl w:val="0"/>
          <w:numId w:val="53"/>
        </w:numPr>
        <w:autoSpaceDE w:val="0"/>
        <w:autoSpaceDN w:val="0"/>
        <w:adjustRightInd w:val="0"/>
        <w:rPr>
          <w:color w:val="000000"/>
          <w:szCs w:val="22"/>
          <w:lang w:eastAsia="pt-PT"/>
        </w:rPr>
      </w:pPr>
      <w:r w:rsidRPr="00B35784">
        <w:rPr>
          <w:color w:val="000000"/>
          <w:szCs w:val="22"/>
          <w:lang w:eastAsia="pt-PT"/>
        </w:rPr>
        <w:t xml:space="preserve">A dose recomendada em crianças e adolescentes com </w:t>
      </w:r>
      <w:r w:rsidRPr="00B35784">
        <w:rPr>
          <w:b/>
          <w:bCs/>
          <w:color w:val="000000"/>
          <w:szCs w:val="22"/>
          <w:lang w:eastAsia="pt-PT"/>
        </w:rPr>
        <w:t xml:space="preserve">peso corporal de 50 kg ou mais </w:t>
      </w:r>
      <w:r w:rsidRPr="00F542FD">
        <w:rPr>
          <w:color w:val="000000"/>
          <w:szCs w:val="22"/>
          <w:lang w:eastAsia="pt-PT"/>
        </w:rPr>
        <w:t>é de um</w:t>
      </w:r>
      <w:r w:rsidRPr="00717495">
        <w:rPr>
          <w:color w:val="000000"/>
          <w:szCs w:val="22"/>
          <w:lang w:eastAsia="pt-PT"/>
        </w:rPr>
        <w:t xml:space="preserve"> comprimido de </w:t>
      </w:r>
      <w:r w:rsidRPr="00EF1183">
        <w:rPr>
          <w:b/>
          <w:bCs/>
          <w:color w:val="000000"/>
          <w:szCs w:val="22"/>
          <w:lang w:eastAsia="pt-PT"/>
        </w:rPr>
        <w:t xml:space="preserve">20 mg de </w:t>
      </w:r>
      <w:r w:rsidRPr="00DA13B6">
        <w:rPr>
          <w:b/>
          <w:bCs/>
          <w:color w:val="000000"/>
          <w:szCs w:val="22"/>
          <w:lang w:eastAsia="pt-PT"/>
        </w:rPr>
        <w:t xml:space="preserve">Rivaroxabano Accord </w:t>
      </w:r>
      <w:r w:rsidRPr="00B35784">
        <w:rPr>
          <w:color w:val="000000"/>
          <w:szCs w:val="22"/>
          <w:lang w:eastAsia="pt-PT"/>
        </w:rPr>
        <w:t xml:space="preserve">uma vez por dia. </w:t>
      </w:r>
    </w:p>
    <w:p w14:paraId="0E633FBD" w14:textId="77777777" w:rsidR="00DA13B6" w:rsidRPr="00DA13B6" w:rsidRDefault="00DA13B6" w:rsidP="00DA13B6">
      <w:pPr>
        <w:autoSpaceDE w:val="0"/>
        <w:autoSpaceDN w:val="0"/>
        <w:adjustRightInd w:val="0"/>
        <w:rPr>
          <w:color w:val="000000"/>
          <w:szCs w:val="22"/>
          <w:lang w:eastAsia="pt-PT"/>
        </w:rPr>
      </w:pPr>
    </w:p>
    <w:p w14:paraId="10910011" w14:textId="77777777" w:rsidR="00DA13B6" w:rsidRDefault="00DA13B6" w:rsidP="00DA13B6">
      <w:pPr>
        <w:suppressAutoHyphens/>
        <w:rPr>
          <w:color w:val="000000"/>
          <w:szCs w:val="22"/>
          <w:lang w:eastAsia="pt-PT"/>
        </w:rPr>
      </w:pPr>
      <w:r w:rsidRPr="00DA13B6">
        <w:rPr>
          <w:color w:val="000000"/>
          <w:szCs w:val="22"/>
          <w:lang w:eastAsia="pt-PT"/>
        </w:rPr>
        <w:t xml:space="preserve">Tome cada dose de </w:t>
      </w:r>
      <w:r>
        <w:rPr>
          <w:noProof/>
          <w:szCs w:val="22"/>
        </w:rPr>
        <w:t>Rivaroxabano</w:t>
      </w:r>
      <w:r w:rsidRPr="0063119B">
        <w:rPr>
          <w:noProof/>
          <w:szCs w:val="22"/>
        </w:rPr>
        <w:t xml:space="preserve"> Accord </w:t>
      </w:r>
      <w:r w:rsidRPr="00DA13B6">
        <w:rPr>
          <w:color w:val="000000"/>
          <w:szCs w:val="22"/>
          <w:lang w:eastAsia="pt-PT"/>
        </w:rPr>
        <w:t>com uma bebida (ex.: água ou sumo) durante uma refeição. Tome os comprimidos todos os dias, aproximadamente, à mesma hora. Considere pôr um alarme para se lembrar.</w:t>
      </w:r>
    </w:p>
    <w:p w14:paraId="25BC4DD1" w14:textId="77777777" w:rsidR="00DA13B6" w:rsidRDefault="00DA13B6" w:rsidP="00DA13B6">
      <w:pPr>
        <w:suppressAutoHyphens/>
        <w:rPr>
          <w:szCs w:val="22"/>
        </w:rPr>
      </w:pPr>
      <w:r>
        <w:rPr>
          <w:szCs w:val="22"/>
        </w:rPr>
        <w:t>Para os familiares ou cuidadores: observe, por favor, a criança de forma a assegurar que a dose completa é tomada.</w:t>
      </w:r>
    </w:p>
    <w:p w14:paraId="440202E6" w14:textId="77777777" w:rsidR="00DA13B6" w:rsidRDefault="00DA13B6" w:rsidP="00DA13B6">
      <w:pPr>
        <w:suppressAutoHyphens/>
        <w:rPr>
          <w:szCs w:val="22"/>
        </w:rPr>
      </w:pPr>
    </w:p>
    <w:p w14:paraId="1C35FF55" w14:textId="77777777" w:rsidR="00DA13B6" w:rsidRPr="00DA13B6" w:rsidRDefault="00DA13B6" w:rsidP="00DA13B6">
      <w:pPr>
        <w:autoSpaceDE w:val="0"/>
        <w:autoSpaceDN w:val="0"/>
        <w:adjustRightInd w:val="0"/>
        <w:rPr>
          <w:color w:val="000000"/>
          <w:szCs w:val="22"/>
          <w:lang w:eastAsia="pt-PT"/>
        </w:rPr>
      </w:pPr>
      <w:r w:rsidRPr="00DA13B6">
        <w:rPr>
          <w:color w:val="000000"/>
          <w:szCs w:val="22"/>
          <w:lang w:eastAsia="pt-PT"/>
        </w:rPr>
        <w:t xml:space="preserve">Como a dose de </w:t>
      </w:r>
      <w:r>
        <w:rPr>
          <w:noProof/>
          <w:szCs w:val="22"/>
        </w:rPr>
        <w:t>Rivaroxabano</w:t>
      </w:r>
      <w:r w:rsidRPr="0063119B">
        <w:rPr>
          <w:noProof/>
          <w:szCs w:val="22"/>
        </w:rPr>
        <w:t xml:space="preserve"> Accord </w:t>
      </w:r>
      <w:r w:rsidRPr="00DA13B6">
        <w:rPr>
          <w:color w:val="000000"/>
          <w:szCs w:val="22"/>
          <w:lang w:eastAsia="pt-PT"/>
        </w:rPr>
        <w:t xml:space="preserve">se baseia no peso corporal, é importante manter as consultas agendadas com o médico, uma vez que a dose poderá ter de ser ajustada à medida que o peso vai mudando. </w:t>
      </w:r>
    </w:p>
    <w:p w14:paraId="5E91282F" w14:textId="77777777" w:rsidR="00DA13B6" w:rsidRPr="00DA13B6" w:rsidRDefault="00DA13B6" w:rsidP="00DA13B6">
      <w:pPr>
        <w:autoSpaceDE w:val="0"/>
        <w:autoSpaceDN w:val="0"/>
        <w:adjustRightInd w:val="0"/>
        <w:rPr>
          <w:color w:val="000000"/>
          <w:szCs w:val="22"/>
          <w:lang w:eastAsia="pt-PT"/>
        </w:rPr>
      </w:pPr>
      <w:r w:rsidRPr="00DA13B6">
        <w:rPr>
          <w:b/>
          <w:bCs/>
          <w:color w:val="000000"/>
          <w:szCs w:val="22"/>
          <w:lang w:eastAsia="pt-PT"/>
        </w:rPr>
        <w:lastRenderedPageBreak/>
        <w:t xml:space="preserve">Nunca ajuste a dose de Rivaroxabano Accord sozinho. </w:t>
      </w:r>
      <w:r w:rsidRPr="00DA13B6">
        <w:rPr>
          <w:color w:val="000000"/>
          <w:szCs w:val="22"/>
          <w:lang w:eastAsia="pt-PT"/>
        </w:rPr>
        <w:t xml:space="preserve">O médico ajustará a dose, se necessário. </w:t>
      </w:r>
    </w:p>
    <w:p w14:paraId="01BF77C8" w14:textId="77777777" w:rsidR="00DA13B6" w:rsidRDefault="00DA13B6" w:rsidP="00DA13B6">
      <w:pPr>
        <w:autoSpaceDE w:val="0"/>
        <w:autoSpaceDN w:val="0"/>
        <w:adjustRightInd w:val="0"/>
        <w:rPr>
          <w:color w:val="000000"/>
          <w:szCs w:val="22"/>
          <w:lang w:eastAsia="pt-PT"/>
        </w:rPr>
      </w:pPr>
    </w:p>
    <w:p w14:paraId="2962EBEE" w14:textId="77777777" w:rsidR="00F03D43" w:rsidRDefault="00F03D43" w:rsidP="00DA13B6">
      <w:pPr>
        <w:autoSpaceDE w:val="0"/>
        <w:autoSpaceDN w:val="0"/>
        <w:adjustRightInd w:val="0"/>
        <w:rPr>
          <w:color w:val="000000"/>
          <w:szCs w:val="22"/>
          <w:lang w:eastAsia="pt-PT"/>
        </w:rPr>
      </w:pPr>
    </w:p>
    <w:p w14:paraId="5301CCC0" w14:textId="77777777" w:rsidR="00F03D43" w:rsidRDefault="00F03D43" w:rsidP="00DA13B6">
      <w:pPr>
        <w:autoSpaceDE w:val="0"/>
        <w:autoSpaceDN w:val="0"/>
        <w:adjustRightInd w:val="0"/>
        <w:rPr>
          <w:color w:val="000000"/>
          <w:szCs w:val="22"/>
          <w:lang w:eastAsia="pt-PT"/>
        </w:rPr>
      </w:pPr>
      <w:r>
        <w:t>Não divida o comprimido numa tentativa de obter uma fração de uma dose do comprimido. Se for necessária uma dose mais baixa, queira utilizar a apresentação alternativa de rivaroxabano granulado para suspensão oral</w:t>
      </w:r>
      <w:r w:rsidR="0049396C">
        <w:t xml:space="preserve"> disponível no mercado</w:t>
      </w:r>
      <w:r>
        <w:t xml:space="preserve">. Utilize, por favor, </w:t>
      </w:r>
      <w:r w:rsidR="0049396C">
        <w:t>rivaroxabano</w:t>
      </w:r>
      <w:r>
        <w:t xml:space="preserve"> granulado para suspensão oral em crianças e adolescentes que não são capazes de engolir os comprimidos inteiros.</w:t>
      </w:r>
    </w:p>
    <w:p w14:paraId="0718B094" w14:textId="77777777" w:rsidR="00F03D43" w:rsidRDefault="00F03D43" w:rsidP="00DA13B6">
      <w:pPr>
        <w:autoSpaceDE w:val="0"/>
        <w:autoSpaceDN w:val="0"/>
        <w:adjustRightInd w:val="0"/>
        <w:rPr>
          <w:color w:val="000000"/>
          <w:szCs w:val="22"/>
          <w:lang w:eastAsia="pt-PT"/>
        </w:rPr>
      </w:pPr>
    </w:p>
    <w:p w14:paraId="593AD489" w14:textId="77777777" w:rsidR="00DA13B6" w:rsidRPr="00DA13B6" w:rsidRDefault="00DA13B6" w:rsidP="00DA13B6">
      <w:pPr>
        <w:autoSpaceDE w:val="0"/>
        <w:autoSpaceDN w:val="0"/>
        <w:adjustRightInd w:val="0"/>
        <w:rPr>
          <w:color w:val="000000"/>
          <w:szCs w:val="22"/>
          <w:lang w:eastAsia="pt-PT"/>
        </w:rPr>
      </w:pPr>
      <w:r w:rsidRPr="00DA13B6">
        <w:rPr>
          <w:color w:val="000000"/>
          <w:szCs w:val="22"/>
          <w:lang w:eastAsia="pt-PT"/>
        </w:rPr>
        <w:t xml:space="preserve">Se a suspensão oral não estiver disponível, pode esmagar-se o comprimido de </w:t>
      </w:r>
      <w:r>
        <w:rPr>
          <w:noProof/>
          <w:szCs w:val="22"/>
        </w:rPr>
        <w:t>Rivaroxabano</w:t>
      </w:r>
      <w:r w:rsidRPr="0063119B">
        <w:rPr>
          <w:noProof/>
          <w:szCs w:val="22"/>
        </w:rPr>
        <w:t xml:space="preserve"> Accord </w:t>
      </w:r>
      <w:r w:rsidRPr="00DA13B6">
        <w:rPr>
          <w:color w:val="000000"/>
          <w:szCs w:val="22"/>
          <w:lang w:eastAsia="pt-PT"/>
        </w:rPr>
        <w:t xml:space="preserve">e misturá-lo com água ou puré de maçã imediatamente antes de ser tomado. Esta mistura deve ser imediatamente seguida de comida. Se necessário, o seu médico poderá também administrar-lhe o comprimido de </w:t>
      </w:r>
      <w:r>
        <w:rPr>
          <w:noProof/>
          <w:szCs w:val="22"/>
        </w:rPr>
        <w:t>Rivaroxabano</w:t>
      </w:r>
      <w:r w:rsidRPr="0063119B">
        <w:rPr>
          <w:noProof/>
          <w:szCs w:val="22"/>
        </w:rPr>
        <w:t xml:space="preserve"> Accord </w:t>
      </w:r>
      <w:r w:rsidRPr="00DA13B6">
        <w:rPr>
          <w:color w:val="000000"/>
          <w:szCs w:val="22"/>
          <w:lang w:eastAsia="pt-PT"/>
        </w:rPr>
        <w:t xml:space="preserve">esmagado através de um tubo até ao estômago (sonda gástrica). </w:t>
      </w:r>
    </w:p>
    <w:p w14:paraId="40F88381" w14:textId="77777777" w:rsidR="00DA13B6" w:rsidRDefault="00DA13B6" w:rsidP="00DA13B6">
      <w:pPr>
        <w:autoSpaceDE w:val="0"/>
        <w:autoSpaceDN w:val="0"/>
        <w:adjustRightInd w:val="0"/>
        <w:rPr>
          <w:b/>
          <w:bCs/>
          <w:color w:val="000000"/>
          <w:szCs w:val="22"/>
          <w:lang w:eastAsia="pt-PT"/>
        </w:rPr>
      </w:pPr>
    </w:p>
    <w:p w14:paraId="18D9CFBF" w14:textId="77777777" w:rsidR="00DA13B6" w:rsidRPr="00DA13B6" w:rsidRDefault="00DA13B6" w:rsidP="00DA13B6">
      <w:pPr>
        <w:autoSpaceDE w:val="0"/>
        <w:autoSpaceDN w:val="0"/>
        <w:adjustRightInd w:val="0"/>
        <w:rPr>
          <w:color w:val="000000"/>
          <w:szCs w:val="22"/>
          <w:lang w:eastAsia="pt-PT"/>
        </w:rPr>
      </w:pPr>
      <w:r w:rsidRPr="00DA13B6">
        <w:rPr>
          <w:b/>
          <w:bCs/>
          <w:color w:val="000000"/>
          <w:szCs w:val="22"/>
          <w:lang w:eastAsia="pt-PT"/>
        </w:rPr>
        <w:t xml:space="preserve">Se cuspir a dose ou se vomitar </w:t>
      </w:r>
    </w:p>
    <w:p w14:paraId="77038ABB" w14:textId="77777777" w:rsidR="00DA13B6" w:rsidRDefault="00DA13B6" w:rsidP="00DA13B6">
      <w:pPr>
        <w:numPr>
          <w:ilvl w:val="0"/>
          <w:numId w:val="55"/>
        </w:numPr>
        <w:autoSpaceDE w:val="0"/>
        <w:autoSpaceDN w:val="0"/>
        <w:adjustRightInd w:val="0"/>
        <w:rPr>
          <w:color w:val="000000"/>
          <w:szCs w:val="22"/>
          <w:lang w:eastAsia="pt-PT"/>
        </w:rPr>
      </w:pPr>
      <w:r w:rsidRPr="00DA13B6">
        <w:rPr>
          <w:color w:val="000000"/>
          <w:szCs w:val="22"/>
          <w:lang w:eastAsia="pt-PT"/>
        </w:rPr>
        <w:t xml:space="preserve">menos de 30 minutos depois de ter tomado </w:t>
      </w:r>
      <w:r>
        <w:rPr>
          <w:noProof/>
          <w:szCs w:val="22"/>
        </w:rPr>
        <w:t>Rivaroxabano</w:t>
      </w:r>
      <w:r w:rsidRPr="0063119B">
        <w:rPr>
          <w:noProof/>
          <w:szCs w:val="22"/>
        </w:rPr>
        <w:t xml:space="preserve"> Accord</w:t>
      </w:r>
      <w:r w:rsidRPr="00DA13B6">
        <w:rPr>
          <w:color w:val="000000"/>
          <w:szCs w:val="22"/>
          <w:lang w:eastAsia="pt-PT"/>
        </w:rPr>
        <w:t xml:space="preserve">, tome uma nova dose. </w:t>
      </w:r>
    </w:p>
    <w:p w14:paraId="5DEE188D" w14:textId="77777777" w:rsidR="00DA13B6" w:rsidRPr="001E2E99" w:rsidRDefault="00DA13B6" w:rsidP="00EF3721">
      <w:pPr>
        <w:numPr>
          <w:ilvl w:val="0"/>
          <w:numId w:val="55"/>
        </w:numPr>
        <w:autoSpaceDE w:val="0"/>
        <w:autoSpaceDN w:val="0"/>
        <w:adjustRightInd w:val="0"/>
        <w:rPr>
          <w:color w:val="000000"/>
          <w:szCs w:val="22"/>
          <w:lang w:eastAsia="pt-PT"/>
        </w:rPr>
      </w:pPr>
      <w:r w:rsidRPr="00B35784">
        <w:rPr>
          <w:color w:val="000000"/>
          <w:szCs w:val="22"/>
          <w:lang w:eastAsia="pt-PT"/>
        </w:rPr>
        <w:t xml:space="preserve">mais de 30 minutos depois de ter tomado </w:t>
      </w:r>
      <w:r w:rsidRPr="00B35784">
        <w:rPr>
          <w:noProof/>
          <w:szCs w:val="22"/>
        </w:rPr>
        <w:t>Rivaroxabano Accord</w:t>
      </w:r>
      <w:r w:rsidRPr="00F542FD">
        <w:rPr>
          <w:color w:val="000000"/>
          <w:szCs w:val="22"/>
          <w:lang w:eastAsia="pt-PT"/>
        </w:rPr>
        <w:t xml:space="preserve">, </w:t>
      </w:r>
      <w:r w:rsidRPr="00EF3721">
        <w:rPr>
          <w:color w:val="000000"/>
          <w:szCs w:val="22"/>
          <w:lang w:eastAsia="pt-PT"/>
        </w:rPr>
        <w:t>não</w:t>
      </w:r>
      <w:r w:rsidRPr="00B35784">
        <w:rPr>
          <w:b/>
          <w:bCs/>
          <w:color w:val="000000"/>
          <w:szCs w:val="22"/>
          <w:lang w:eastAsia="pt-PT"/>
        </w:rPr>
        <w:t xml:space="preserve"> </w:t>
      </w:r>
      <w:r w:rsidRPr="00B35784">
        <w:rPr>
          <w:color w:val="000000"/>
          <w:szCs w:val="22"/>
          <w:lang w:eastAsia="pt-PT"/>
        </w:rPr>
        <w:t xml:space="preserve">tome uma nova dose. Neste caso, tome a dose seguinte de </w:t>
      </w:r>
      <w:r w:rsidRPr="00717495">
        <w:rPr>
          <w:noProof/>
          <w:szCs w:val="22"/>
        </w:rPr>
        <w:t>Rivaroxabano</w:t>
      </w:r>
      <w:r w:rsidRPr="00EF1183">
        <w:rPr>
          <w:noProof/>
          <w:szCs w:val="22"/>
        </w:rPr>
        <w:t xml:space="preserve"> Accord</w:t>
      </w:r>
      <w:r w:rsidRPr="001E2E99">
        <w:rPr>
          <w:noProof/>
          <w:szCs w:val="22"/>
        </w:rPr>
        <w:t xml:space="preserve"> </w:t>
      </w:r>
      <w:r w:rsidRPr="001E2E99">
        <w:rPr>
          <w:color w:val="000000"/>
          <w:szCs w:val="22"/>
          <w:lang w:eastAsia="pt-PT"/>
        </w:rPr>
        <w:t xml:space="preserve">à hora habitual. </w:t>
      </w:r>
    </w:p>
    <w:p w14:paraId="1230B35D" w14:textId="77777777" w:rsidR="00DA13B6" w:rsidRPr="00DA13B6" w:rsidRDefault="00DA13B6" w:rsidP="00DA13B6">
      <w:pPr>
        <w:autoSpaceDE w:val="0"/>
        <w:autoSpaceDN w:val="0"/>
        <w:adjustRightInd w:val="0"/>
        <w:rPr>
          <w:color w:val="000000"/>
          <w:szCs w:val="22"/>
          <w:lang w:eastAsia="pt-PT"/>
        </w:rPr>
      </w:pPr>
    </w:p>
    <w:p w14:paraId="715DBDF7" w14:textId="77777777" w:rsidR="00DA13B6" w:rsidRPr="00DA13B6" w:rsidRDefault="00DA13B6" w:rsidP="00DA13B6">
      <w:pPr>
        <w:autoSpaceDE w:val="0"/>
        <w:autoSpaceDN w:val="0"/>
        <w:adjustRightInd w:val="0"/>
        <w:rPr>
          <w:color w:val="000000"/>
          <w:szCs w:val="22"/>
          <w:lang w:eastAsia="pt-PT"/>
        </w:rPr>
      </w:pPr>
      <w:r w:rsidRPr="00DA13B6">
        <w:rPr>
          <w:color w:val="000000"/>
          <w:szCs w:val="22"/>
          <w:lang w:eastAsia="pt-PT"/>
        </w:rPr>
        <w:t xml:space="preserve">Contacte o médico se cuspir a dose ou se vomitar repetidamente depois de tomar </w:t>
      </w:r>
      <w:r>
        <w:rPr>
          <w:noProof/>
          <w:szCs w:val="22"/>
        </w:rPr>
        <w:t>Rivaroxabano</w:t>
      </w:r>
      <w:r w:rsidRPr="0063119B">
        <w:rPr>
          <w:noProof/>
          <w:szCs w:val="22"/>
        </w:rPr>
        <w:t xml:space="preserve"> Accord</w:t>
      </w:r>
      <w:r w:rsidRPr="00DA13B6">
        <w:rPr>
          <w:color w:val="000000"/>
          <w:szCs w:val="22"/>
          <w:lang w:eastAsia="pt-PT"/>
        </w:rPr>
        <w:t xml:space="preserve">. </w:t>
      </w:r>
    </w:p>
    <w:p w14:paraId="344D9C00" w14:textId="77777777" w:rsidR="00DA13B6" w:rsidRPr="0063119B" w:rsidRDefault="00DA13B6" w:rsidP="00DA13B6">
      <w:pPr>
        <w:suppressAutoHyphens/>
        <w:rPr>
          <w:b/>
          <w:noProof/>
          <w:szCs w:val="22"/>
        </w:rPr>
      </w:pPr>
    </w:p>
    <w:p w14:paraId="20667BCD" w14:textId="77777777" w:rsidR="00084D33" w:rsidRPr="0063119B" w:rsidRDefault="00084D33" w:rsidP="00084D33">
      <w:pPr>
        <w:suppressAutoHyphens/>
        <w:rPr>
          <w:b/>
          <w:noProof/>
          <w:szCs w:val="22"/>
        </w:rPr>
      </w:pPr>
      <w:r w:rsidRPr="0063119B">
        <w:rPr>
          <w:b/>
          <w:noProof/>
          <w:szCs w:val="22"/>
        </w:rPr>
        <w:t xml:space="preserve">Quando tomar </w:t>
      </w:r>
      <w:r w:rsidR="00607DE4">
        <w:rPr>
          <w:b/>
          <w:noProof/>
          <w:szCs w:val="22"/>
        </w:rPr>
        <w:t>Rivaroxabano</w:t>
      </w:r>
      <w:r w:rsidR="001F7D02" w:rsidRPr="0063119B">
        <w:rPr>
          <w:b/>
          <w:noProof/>
          <w:szCs w:val="22"/>
        </w:rPr>
        <w:t xml:space="preserve"> Accord</w:t>
      </w:r>
    </w:p>
    <w:p w14:paraId="16A82C1C" w14:textId="77777777" w:rsidR="00084D33" w:rsidRPr="0063119B" w:rsidRDefault="00084D33" w:rsidP="00084D33">
      <w:pPr>
        <w:suppressAutoHyphens/>
        <w:rPr>
          <w:noProof/>
          <w:szCs w:val="22"/>
        </w:rPr>
      </w:pPr>
      <w:r w:rsidRPr="0063119B">
        <w:rPr>
          <w:noProof/>
          <w:szCs w:val="22"/>
        </w:rPr>
        <w:t>Tome o(s) comprimido(s) todos os dias, até que o seu médico lhe diga para parar.</w:t>
      </w:r>
    </w:p>
    <w:p w14:paraId="4CB0F055" w14:textId="77777777" w:rsidR="00084D33" w:rsidRPr="0063119B" w:rsidRDefault="00084D33" w:rsidP="00084D33">
      <w:pPr>
        <w:suppressAutoHyphens/>
        <w:rPr>
          <w:noProof/>
          <w:szCs w:val="22"/>
        </w:rPr>
      </w:pPr>
      <w:r w:rsidRPr="0063119B">
        <w:rPr>
          <w:noProof/>
          <w:szCs w:val="22"/>
        </w:rPr>
        <w:t>Tente tomar o(s) comprimido(s) sempre à mesma hora, todos os dias, para ajudá</w:t>
      </w:r>
      <w:r w:rsidRPr="0063119B">
        <w:rPr>
          <w:noProof/>
          <w:szCs w:val="22"/>
        </w:rPr>
        <w:noBreakHyphen/>
        <w:t>lo a lembrar</w:t>
      </w:r>
      <w:r w:rsidRPr="0063119B">
        <w:rPr>
          <w:noProof/>
          <w:szCs w:val="22"/>
        </w:rPr>
        <w:noBreakHyphen/>
        <w:t>se da sua toma.</w:t>
      </w:r>
    </w:p>
    <w:p w14:paraId="3B00D5A1" w14:textId="77777777" w:rsidR="006B0611" w:rsidRPr="0063119B" w:rsidRDefault="00084D33" w:rsidP="00084D33">
      <w:pPr>
        <w:suppressAutoHyphens/>
        <w:rPr>
          <w:noProof/>
          <w:szCs w:val="22"/>
        </w:rPr>
      </w:pPr>
      <w:r w:rsidRPr="0063119B">
        <w:rPr>
          <w:noProof/>
          <w:szCs w:val="22"/>
        </w:rPr>
        <w:t>O seu médico decidirá durante quanto tempo deverá continuar o tratamento.</w:t>
      </w:r>
    </w:p>
    <w:p w14:paraId="2A1058C8" w14:textId="77777777" w:rsidR="004D7EFC" w:rsidRPr="0063119B" w:rsidRDefault="004D7EFC" w:rsidP="00084D33">
      <w:pPr>
        <w:suppressAutoHyphens/>
        <w:rPr>
          <w:noProof/>
          <w:szCs w:val="22"/>
        </w:rPr>
      </w:pPr>
    </w:p>
    <w:p w14:paraId="502ABB95" w14:textId="77777777" w:rsidR="00942871" w:rsidRPr="0063119B" w:rsidRDefault="00942871" w:rsidP="00084D33">
      <w:pPr>
        <w:suppressAutoHyphens/>
        <w:rPr>
          <w:noProof/>
          <w:szCs w:val="22"/>
        </w:rPr>
      </w:pPr>
      <w:r w:rsidRPr="0063119B">
        <w:rPr>
          <w:noProof/>
          <w:szCs w:val="22"/>
        </w:rPr>
        <w:t>Para prevenir a formação de coágulos de sangue no cérebro (acidente vascular cerebral) e noutros vasos sangu</w:t>
      </w:r>
      <w:r w:rsidR="004D7EFC" w:rsidRPr="0063119B">
        <w:rPr>
          <w:noProof/>
          <w:szCs w:val="22"/>
        </w:rPr>
        <w:t>íneos do seu corpo:</w:t>
      </w:r>
    </w:p>
    <w:p w14:paraId="126B358C" w14:textId="77777777" w:rsidR="00084D33" w:rsidRPr="0063119B" w:rsidRDefault="001B38D6" w:rsidP="00084D33">
      <w:pPr>
        <w:suppressAutoHyphens/>
        <w:rPr>
          <w:b/>
          <w:noProof/>
          <w:szCs w:val="22"/>
        </w:rPr>
      </w:pPr>
      <w:r w:rsidRPr="0063119B">
        <w:rPr>
          <w:noProof/>
          <w:szCs w:val="22"/>
        </w:rPr>
        <w:t>Se for necessário restabelecer  o seu batimento cardíaco</w:t>
      </w:r>
      <w:r w:rsidR="004E3E0D" w:rsidRPr="0063119B">
        <w:rPr>
          <w:noProof/>
          <w:szCs w:val="22"/>
        </w:rPr>
        <w:t xml:space="preserve"> para o normal</w:t>
      </w:r>
      <w:r w:rsidR="004D7EFC" w:rsidRPr="0063119B">
        <w:rPr>
          <w:noProof/>
          <w:szCs w:val="22"/>
        </w:rPr>
        <w:t>,</w:t>
      </w:r>
      <w:r w:rsidRPr="0063119B">
        <w:rPr>
          <w:noProof/>
          <w:szCs w:val="22"/>
        </w:rPr>
        <w:t xml:space="preserve">  por um procedimento chamado cardioversão, tome </w:t>
      </w:r>
      <w:r w:rsidR="00607DE4">
        <w:rPr>
          <w:noProof/>
          <w:szCs w:val="22"/>
        </w:rPr>
        <w:t>Rivaroxabano</w:t>
      </w:r>
      <w:r w:rsidR="001F7D02" w:rsidRPr="0063119B">
        <w:rPr>
          <w:noProof/>
          <w:szCs w:val="22"/>
        </w:rPr>
        <w:t xml:space="preserve"> Accord</w:t>
      </w:r>
      <w:r w:rsidRPr="0063119B">
        <w:rPr>
          <w:noProof/>
          <w:szCs w:val="22"/>
        </w:rPr>
        <w:t xml:space="preserve"> às horas que o seu médico lhe indicou.</w:t>
      </w:r>
      <w:r w:rsidR="00084D33" w:rsidRPr="0063119B">
        <w:rPr>
          <w:noProof/>
          <w:szCs w:val="22"/>
        </w:rPr>
        <w:br/>
      </w:r>
    </w:p>
    <w:p w14:paraId="35F1FD59" w14:textId="77777777" w:rsidR="00084D33" w:rsidRPr="0063119B" w:rsidRDefault="00084D33" w:rsidP="00084D33">
      <w:pPr>
        <w:suppressAutoHyphens/>
        <w:rPr>
          <w:b/>
          <w:noProof/>
          <w:szCs w:val="22"/>
        </w:rPr>
      </w:pPr>
      <w:r w:rsidRPr="0063119B">
        <w:rPr>
          <w:b/>
          <w:noProof/>
          <w:szCs w:val="22"/>
        </w:rPr>
        <w:t xml:space="preserve">Se tomar mais </w:t>
      </w:r>
      <w:r w:rsidR="00607DE4">
        <w:rPr>
          <w:b/>
          <w:noProof/>
          <w:szCs w:val="22"/>
        </w:rPr>
        <w:t>Rivaroxabano</w:t>
      </w:r>
      <w:r w:rsidR="001F7D02" w:rsidRPr="0063119B">
        <w:rPr>
          <w:b/>
          <w:noProof/>
          <w:szCs w:val="22"/>
        </w:rPr>
        <w:t xml:space="preserve"> Accord</w:t>
      </w:r>
      <w:r w:rsidRPr="0063119B">
        <w:rPr>
          <w:b/>
          <w:noProof/>
          <w:szCs w:val="22"/>
        </w:rPr>
        <w:t xml:space="preserve"> do que deveria</w:t>
      </w:r>
    </w:p>
    <w:p w14:paraId="1F910FBB" w14:textId="77777777" w:rsidR="00084D33" w:rsidRPr="0063119B" w:rsidRDefault="00084D33" w:rsidP="00084D33">
      <w:pPr>
        <w:suppressAutoHyphens/>
        <w:rPr>
          <w:noProof/>
          <w:szCs w:val="22"/>
        </w:rPr>
      </w:pPr>
      <w:r w:rsidRPr="0063119B">
        <w:rPr>
          <w:noProof/>
          <w:szCs w:val="22"/>
        </w:rPr>
        <w:t xml:space="preserve">Contacte imediatamente o seu médico se tiver tomado demasiados comprimidos de </w:t>
      </w:r>
      <w:r w:rsidR="00607DE4">
        <w:rPr>
          <w:noProof/>
          <w:szCs w:val="22"/>
        </w:rPr>
        <w:t>Rivaroxabano</w:t>
      </w:r>
      <w:r w:rsidR="001F7D02" w:rsidRPr="0063119B">
        <w:rPr>
          <w:noProof/>
          <w:szCs w:val="22"/>
        </w:rPr>
        <w:t xml:space="preserve"> Accord</w:t>
      </w:r>
      <w:r w:rsidRPr="0063119B">
        <w:rPr>
          <w:noProof/>
          <w:szCs w:val="22"/>
        </w:rPr>
        <w:t xml:space="preserve">. Tomar </w:t>
      </w:r>
      <w:r w:rsidR="00607DE4">
        <w:rPr>
          <w:noProof/>
          <w:szCs w:val="22"/>
        </w:rPr>
        <w:t>Rivaroxabano</w:t>
      </w:r>
      <w:r w:rsidR="001F7D02" w:rsidRPr="0063119B">
        <w:rPr>
          <w:noProof/>
          <w:szCs w:val="22"/>
        </w:rPr>
        <w:t xml:space="preserve"> Accord</w:t>
      </w:r>
      <w:r w:rsidRPr="0063119B">
        <w:rPr>
          <w:noProof/>
          <w:szCs w:val="22"/>
        </w:rPr>
        <w:t xml:space="preserve"> em excesso aumenta o risco de hemorragia.</w:t>
      </w:r>
    </w:p>
    <w:p w14:paraId="1B154EF4" w14:textId="77777777" w:rsidR="00084D33" w:rsidRPr="0063119B" w:rsidRDefault="00084D33" w:rsidP="00084D33">
      <w:pPr>
        <w:suppressAutoHyphens/>
        <w:rPr>
          <w:b/>
          <w:noProof/>
          <w:szCs w:val="22"/>
        </w:rPr>
      </w:pPr>
    </w:p>
    <w:p w14:paraId="1B82AE33" w14:textId="77777777" w:rsidR="00084D33" w:rsidRPr="0063119B" w:rsidRDefault="00084D33" w:rsidP="00084D33">
      <w:pPr>
        <w:suppressAutoHyphens/>
        <w:rPr>
          <w:b/>
          <w:noProof/>
          <w:szCs w:val="22"/>
        </w:rPr>
      </w:pPr>
      <w:r w:rsidRPr="0063119B">
        <w:rPr>
          <w:b/>
          <w:noProof/>
          <w:szCs w:val="22"/>
        </w:rPr>
        <w:t xml:space="preserve">Caso se tenha esquecido de tomar </w:t>
      </w:r>
      <w:r w:rsidR="00607DE4">
        <w:rPr>
          <w:b/>
          <w:noProof/>
          <w:szCs w:val="22"/>
        </w:rPr>
        <w:t>Rivaroxabano</w:t>
      </w:r>
      <w:r w:rsidR="001F7D02" w:rsidRPr="0063119B">
        <w:rPr>
          <w:b/>
          <w:noProof/>
          <w:szCs w:val="22"/>
        </w:rPr>
        <w:t xml:space="preserve"> Accord</w:t>
      </w:r>
    </w:p>
    <w:p w14:paraId="7F619FE8" w14:textId="77777777" w:rsidR="00DA13B6" w:rsidRDefault="00084D33" w:rsidP="00084D33">
      <w:pPr>
        <w:suppressAutoHyphens/>
        <w:ind w:left="567" w:hanging="567"/>
        <w:rPr>
          <w:szCs w:val="22"/>
        </w:rPr>
      </w:pPr>
      <w:r w:rsidRPr="0063119B">
        <w:rPr>
          <w:noProof/>
          <w:szCs w:val="22"/>
        </w:rPr>
        <w:noBreakHyphen/>
      </w:r>
      <w:r w:rsidRPr="0063119B">
        <w:rPr>
          <w:noProof/>
          <w:szCs w:val="22"/>
        </w:rPr>
        <w:tab/>
      </w:r>
      <w:r w:rsidR="00DA13B6">
        <w:rPr>
          <w:szCs w:val="22"/>
        </w:rPr>
        <w:t xml:space="preserve">Adultos, crianças e adolescentes: </w:t>
      </w:r>
    </w:p>
    <w:p w14:paraId="5F408F20" w14:textId="77777777" w:rsidR="00084D33" w:rsidRPr="0063119B" w:rsidRDefault="00084D33" w:rsidP="00EF3721">
      <w:pPr>
        <w:suppressAutoHyphens/>
        <w:ind w:left="567"/>
        <w:rPr>
          <w:noProof/>
          <w:szCs w:val="22"/>
        </w:rPr>
      </w:pPr>
      <w:r w:rsidRPr="0063119B">
        <w:rPr>
          <w:noProof/>
          <w:szCs w:val="22"/>
        </w:rPr>
        <w:t xml:space="preserve">Se estiver a tomar um comprimido de 20 mg ou um comprimido de 15 mg </w:t>
      </w:r>
      <w:r w:rsidRPr="0063119B">
        <w:rPr>
          <w:noProof/>
          <w:szCs w:val="22"/>
          <w:u w:val="single"/>
        </w:rPr>
        <w:t>uma vez</w:t>
      </w:r>
      <w:r w:rsidRPr="0063119B">
        <w:rPr>
          <w:noProof/>
          <w:szCs w:val="22"/>
        </w:rPr>
        <w:t xml:space="preserve"> ao dia</w:t>
      </w:r>
      <w:r w:rsidRPr="0063119B">
        <w:rPr>
          <w:b/>
          <w:noProof/>
          <w:szCs w:val="22"/>
        </w:rPr>
        <w:t xml:space="preserve"> </w:t>
      </w:r>
      <w:r w:rsidRPr="0063119B">
        <w:rPr>
          <w:noProof/>
          <w:szCs w:val="22"/>
        </w:rPr>
        <w:t>e se tiver esquecido de uma dose, tome</w:t>
      </w:r>
      <w:r w:rsidRPr="0063119B">
        <w:rPr>
          <w:noProof/>
          <w:szCs w:val="22"/>
        </w:rPr>
        <w:noBreakHyphen/>
        <w:t>a assim que se lembrar. Não tome mais do que um comprimido no mesmo dia para compensar uma dose que se esqueceu de tomar.Tome o próximo comprimido no dia seguinte e, em seguida, continue a tomar um comprimido uma vez ao dia.</w:t>
      </w:r>
    </w:p>
    <w:p w14:paraId="4ABFA49A" w14:textId="77777777" w:rsidR="00084D33" w:rsidRPr="0063119B" w:rsidRDefault="00084D33" w:rsidP="00084D33">
      <w:pPr>
        <w:suppressAutoHyphens/>
        <w:ind w:left="567" w:hanging="567"/>
        <w:rPr>
          <w:noProof/>
          <w:szCs w:val="22"/>
        </w:rPr>
      </w:pPr>
    </w:p>
    <w:p w14:paraId="351A89F4" w14:textId="77777777" w:rsidR="00DA13B6" w:rsidRDefault="00084D33" w:rsidP="00084D33">
      <w:pPr>
        <w:suppressAutoHyphens/>
        <w:ind w:left="567" w:hanging="567"/>
        <w:rPr>
          <w:noProof/>
          <w:szCs w:val="22"/>
        </w:rPr>
      </w:pPr>
      <w:r w:rsidRPr="0063119B">
        <w:rPr>
          <w:noProof/>
          <w:szCs w:val="22"/>
        </w:rPr>
        <w:noBreakHyphen/>
      </w:r>
      <w:r w:rsidRPr="0063119B">
        <w:rPr>
          <w:noProof/>
          <w:szCs w:val="22"/>
        </w:rPr>
        <w:tab/>
      </w:r>
      <w:r w:rsidR="00DA13B6">
        <w:rPr>
          <w:noProof/>
          <w:szCs w:val="22"/>
        </w:rPr>
        <w:t>Adultos:</w:t>
      </w:r>
    </w:p>
    <w:p w14:paraId="562B1F98" w14:textId="77777777" w:rsidR="00084D33" w:rsidRPr="0063119B" w:rsidRDefault="00084D33" w:rsidP="00EF3721">
      <w:pPr>
        <w:suppressAutoHyphens/>
        <w:ind w:left="567"/>
        <w:rPr>
          <w:b/>
          <w:noProof/>
          <w:szCs w:val="22"/>
        </w:rPr>
      </w:pPr>
      <w:r w:rsidRPr="0063119B">
        <w:rPr>
          <w:noProof/>
          <w:szCs w:val="22"/>
        </w:rPr>
        <w:t xml:space="preserve">Se estiver a tomar um comprimido de 15 mg </w:t>
      </w:r>
      <w:r w:rsidRPr="0063119B">
        <w:rPr>
          <w:noProof/>
          <w:szCs w:val="22"/>
          <w:u w:val="single"/>
        </w:rPr>
        <w:t>duas vezes</w:t>
      </w:r>
      <w:r w:rsidRPr="0063119B">
        <w:rPr>
          <w:noProof/>
          <w:szCs w:val="22"/>
        </w:rPr>
        <w:t xml:space="preserve"> ao dia</w:t>
      </w:r>
      <w:r w:rsidRPr="0063119B">
        <w:rPr>
          <w:b/>
          <w:noProof/>
          <w:szCs w:val="22"/>
        </w:rPr>
        <w:t xml:space="preserve"> </w:t>
      </w:r>
      <w:r w:rsidRPr="0063119B">
        <w:rPr>
          <w:noProof/>
          <w:szCs w:val="22"/>
        </w:rPr>
        <w:t>e se tiver esquecido de uma dose, tome</w:t>
      </w:r>
      <w:r w:rsidRPr="0063119B">
        <w:rPr>
          <w:noProof/>
          <w:szCs w:val="22"/>
        </w:rPr>
        <w:noBreakHyphen/>
        <w:t>a assim que se lembrar. Não tome mais do que dois comprimidos de 15 mg no mesmo dia. Caso se tenha esquecido de tomar uma dose, pode tomar dois comprimidos de 15 mg ao mesmo tempo para perfazer o total de dois comprimidos (30 mg) num dia. No dia seguinte deve continuar a tomar um comprimido de 15 mg duas vezes ao dia.</w:t>
      </w:r>
      <w:r w:rsidRPr="0063119B">
        <w:rPr>
          <w:noProof/>
          <w:szCs w:val="22"/>
        </w:rPr>
        <w:br/>
      </w:r>
    </w:p>
    <w:p w14:paraId="4F67EEC6" w14:textId="77777777" w:rsidR="00084D33" w:rsidRPr="001B6FEC" w:rsidRDefault="00084D33" w:rsidP="00084D33">
      <w:pPr>
        <w:suppressAutoHyphens/>
        <w:rPr>
          <w:noProof/>
          <w:szCs w:val="22"/>
        </w:rPr>
      </w:pPr>
      <w:r w:rsidRPr="001B6FEC">
        <w:rPr>
          <w:b/>
          <w:noProof/>
          <w:szCs w:val="22"/>
        </w:rPr>
        <w:t xml:space="preserve">Se parar de tomar </w:t>
      </w:r>
      <w:r w:rsidR="00607DE4" w:rsidRPr="001B6FEC">
        <w:rPr>
          <w:b/>
          <w:noProof/>
          <w:szCs w:val="22"/>
        </w:rPr>
        <w:t>Rivaroxabano</w:t>
      </w:r>
      <w:r w:rsidR="001F7D02" w:rsidRPr="001B6FEC">
        <w:rPr>
          <w:b/>
          <w:noProof/>
          <w:szCs w:val="22"/>
        </w:rPr>
        <w:t xml:space="preserve"> Accord</w:t>
      </w:r>
    </w:p>
    <w:p w14:paraId="613FF2A0" w14:textId="77777777" w:rsidR="00084D33" w:rsidRPr="0063119B" w:rsidRDefault="00084D33" w:rsidP="00084D33">
      <w:pPr>
        <w:suppressAutoHyphens/>
        <w:rPr>
          <w:noProof/>
          <w:szCs w:val="22"/>
        </w:rPr>
      </w:pPr>
      <w:r w:rsidRPr="0063119B">
        <w:rPr>
          <w:noProof/>
          <w:szCs w:val="22"/>
        </w:rPr>
        <w:t xml:space="preserve">Não pare de tomar </w:t>
      </w:r>
      <w:r w:rsidR="00607DE4">
        <w:rPr>
          <w:noProof/>
          <w:szCs w:val="22"/>
        </w:rPr>
        <w:t>Rivaroxabano</w:t>
      </w:r>
      <w:r w:rsidR="001F7D02" w:rsidRPr="0063119B">
        <w:rPr>
          <w:noProof/>
          <w:szCs w:val="22"/>
        </w:rPr>
        <w:t xml:space="preserve"> Accord</w:t>
      </w:r>
      <w:r w:rsidRPr="0063119B">
        <w:rPr>
          <w:noProof/>
          <w:szCs w:val="22"/>
        </w:rPr>
        <w:t xml:space="preserve"> sem falar primeiro com o seu médico, porque </w:t>
      </w:r>
      <w:r w:rsidR="00607DE4">
        <w:rPr>
          <w:noProof/>
          <w:szCs w:val="22"/>
        </w:rPr>
        <w:t>Rivaroxabano</w:t>
      </w:r>
      <w:r w:rsidR="001F7D02" w:rsidRPr="0063119B">
        <w:rPr>
          <w:noProof/>
          <w:szCs w:val="22"/>
        </w:rPr>
        <w:t xml:space="preserve"> Accord</w:t>
      </w:r>
      <w:r w:rsidRPr="0063119B">
        <w:rPr>
          <w:noProof/>
          <w:szCs w:val="22"/>
        </w:rPr>
        <w:t xml:space="preserve"> trata e previne situações graves.</w:t>
      </w:r>
    </w:p>
    <w:p w14:paraId="6D4BD603" w14:textId="77777777" w:rsidR="00084D33" w:rsidRPr="0063119B" w:rsidRDefault="00084D33" w:rsidP="00084D33">
      <w:pPr>
        <w:suppressAutoHyphens/>
        <w:rPr>
          <w:noProof/>
          <w:szCs w:val="22"/>
        </w:rPr>
      </w:pPr>
    </w:p>
    <w:p w14:paraId="115E34E4" w14:textId="77777777" w:rsidR="00084D33" w:rsidRPr="0063119B" w:rsidRDefault="00084D33" w:rsidP="00084D33">
      <w:pPr>
        <w:suppressAutoHyphens/>
        <w:rPr>
          <w:noProof/>
          <w:szCs w:val="22"/>
        </w:rPr>
      </w:pPr>
      <w:r w:rsidRPr="0063119B">
        <w:rPr>
          <w:noProof/>
          <w:szCs w:val="22"/>
        </w:rPr>
        <w:t>Caso ainda tenha dúvidas sobre a utilização deste medicamento, fale com o seu médico ou farmacêutico.</w:t>
      </w:r>
    </w:p>
    <w:p w14:paraId="661FD5C9" w14:textId="77777777" w:rsidR="00084D33" w:rsidRPr="0063119B" w:rsidRDefault="00084D33" w:rsidP="00084D33">
      <w:pPr>
        <w:suppressAutoHyphens/>
        <w:rPr>
          <w:noProof/>
          <w:szCs w:val="22"/>
        </w:rPr>
      </w:pPr>
    </w:p>
    <w:p w14:paraId="6E595A61" w14:textId="77777777" w:rsidR="00084D33" w:rsidRPr="0063119B" w:rsidRDefault="00084D33" w:rsidP="00084D33">
      <w:pPr>
        <w:suppressAutoHyphens/>
        <w:rPr>
          <w:noProof/>
          <w:szCs w:val="22"/>
        </w:rPr>
      </w:pPr>
    </w:p>
    <w:p w14:paraId="74ED3DAF" w14:textId="77777777" w:rsidR="00084D33" w:rsidRPr="0063119B" w:rsidRDefault="00084D33" w:rsidP="00084D33">
      <w:pPr>
        <w:suppressAutoHyphens/>
        <w:ind w:left="567" w:hanging="567"/>
        <w:rPr>
          <w:b/>
          <w:noProof/>
          <w:szCs w:val="22"/>
        </w:rPr>
      </w:pPr>
      <w:r w:rsidRPr="0063119B">
        <w:rPr>
          <w:b/>
          <w:noProof/>
          <w:szCs w:val="22"/>
        </w:rPr>
        <w:t>4.</w:t>
      </w:r>
      <w:r w:rsidRPr="0063119B">
        <w:rPr>
          <w:b/>
          <w:noProof/>
          <w:szCs w:val="22"/>
        </w:rPr>
        <w:tab/>
        <w:t xml:space="preserve">Efeitos </w:t>
      </w:r>
      <w:r w:rsidR="00CC1A3A" w:rsidRPr="0063119B">
        <w:rPr>
          <w:b/>
          <w:noProof/>
          <w:szCs w:val="22"/>
        </w:rPr>
        <w:t>indesejáveis</w:t>
      </w:r>
      <w:r w:rsidRPr="0063119B">
        <w:rPr>
          <w:b/>
          <w:noProof/>
          <w:szCs w:val="22"/>
        </w:rPr>
        <w:t xml:space="preserve"> possíveis</w:t>
      </w:r>
    </w:p>
    <w:p w14:paraId="4C646BEB" w14:textId="77777777" w:rsidR="00084D33" w:rsidRPr="0063119B" w:rsidRDefault="00084D33" w:rsidP="00084D33">
      <w:pPr>
        <w:suppressAutoHyphens/>
        <w:rPr>
          <w:noProof/>
          <w:szCs w:val="22"/>
        </w:rPr>
      </w:pPr>
    </w:p>
    <w:p w14:paraId="438CEE43" w14:textId="77777777" w:rsidR="00084D33" w:rsidRPr="0063119B" w:rsidRDefault="00084D33" w:rsidP="00084D33">
      <w:pPr>
        <w:suppressAutoHyphens/>
        <w:rPr>
          <w:noProof/>
          <w:szCs w:val="22"/>
        </w:rPr>
      </w:pPr>
      <w:r w:rsidRPr="0063119B">
        <w:rPr>
          <w:noProof/>
          <w:szCs w:val="22"/>
        </w:rPr>
        <w:t xml:space="preserve">Como todos os medicamentos, </w:t>
      </w:r>
      <w:r w:rsidR="00D64F59" w:rsidRPr="0063119B">
        <w:rPr>
          <w:noProof/>
          <w:szCs w:val="22"/>
        </w:rPr>
        <w:t>este medicamento</w:t>
      </w:r>
      <w:r w:rsidRPr="0063119B">
        <w:rPr>
          <w:noProof/>
          <w:szCs w:val="22"/>
        </w:rPr>
        <w:t xml:space="preserve"> pode causar efeitos </w:t>
      </w:r>
      <w:r w:rsidR="00CC1A3A" w:rsidRPr="0063119B">
        <w:rPr>
          <w:noProof/>
          <w:szCs w:val="22"/>
        </w:rPr>
        <w:t>indesejáveis</w:t>
      </w:r>
      <w:r w:rsidRPr="0063119B">
        <w:rPr>
          <w:noProof/>
          <w:szCs w:val="22"/>
        </w:rPr>
        <w:t>, embora estes não se manifestem em todas as pessoas.</w:t>
      </w:r>
    </w:p>
    <w:p w14:paraId="109D5CA8" w14:textId="77777777" w:rsidR="00084D33" w:rsidRPr="0063119B" w:rsidRDefault="00084D33" w:rsidP="00084D33">
      <w:pPr>
        <w:suppressAutoHyphens/>
        <w:rPr>
          <w:noProof/>
          <w:szCs w:val="22"/>
        </w:rPr>
      </w:pPr>
    </w:p>
    <w:p w14:paraId="7FF8441D" w14:textId="77777777" w:rsidR="00084D33" w:rsidRPr="0063119B" w:rsidRDefault="00084D33" w:rsidP="00084D33">
      <w:pPr>
        <w:suppressAutoHyphens/>
        <w:rPr>
          <w:noProof/>
          <w:szCs w:val="22"/>
        </w:rPr>
      </w:pPr>
      <w:r w:rsidRPr="0063119B">
        <w:rPr>
          <w:noProof/>
          <w:szCs w:val="22"/>
        </w:rPr>
        <w:t xml:space="preserve">Como outros medicamentos similares </w:t>
      </w:r>
      <w:r w:rsidR="007852CF">
        <w:rPr>
          <w:szCs w:val="22"/>
        </w:rPr>
        <w:t>para reduzir a formação de coágulos sanguíneos</w:t>
      </w:r>
      <w:r w:rsidRPr="0063119B">
        <w:rPr>
          <w:noProof/>
          <w:szCs w:val="22"/>
        </w:rPr>
        <w:t xml:space="preserve">, </w:t>
      </w:r>
      <w:r w:rsidR="00607DE4">
        <w:rPr>
          <w:noProof/>
          <w:szCs w:val="22"/>
        </w:rPr>
        <w:t>Rivaroxabano</w:t>
      </w:r>
      <w:r w:rsidR="001F7D02" w:rsidRPr="0063119B">
        <w:rPr>
          <w:noProof/>
          <w:szCs w:val="22"/>
        </w:rPr>
        <w:t xml:space="preserve"> Accord</w:t>
      </w:r>
      <w:r w:rsidRPr="0063119B">
        <w:rPr>
          <w:noProof/>
          <w:szCs w:val="22"/>
        </w:rPr>
        <w:t xml:space="preserve"> pode causar uma hemorragia que pode potencialmente causar risco de vida. Uma hemorragia excessiva pode levar a uma queda súbita da tensão arterial (choque). Em alguns casos, a hemorragia pode não ser óbvia.</w:t>
      </w:r>
    </w:p>
    <w:p w14:paraId="7259F761" w14:textId="77777777" w:rsidR="00084D33" w:rsidRPr="0063119B" w:rsidRDefault="00084D33" w:rsidP="00084D33">
      <w:pPr>
        <w:suppressAutoHyphens/>
        <w:rPr>
          <w:noProof/>
          <w:szCs w:val="22"/>
        </w:rPr>
      </w:pPr>
    </w:p>
    <w:p w14:paraId="00744558" w14:textId="77777777" w:rsidR="007852CF" w:rsidRDefault="007852CF" w:rsidP="00084D33">
      <w:pPr>
        <w:suppressAutoHyphens/>
        <w:rPr>
          <w:b/>
          <w:bCs/>
          <w:szCs w:val="22"/>
        </w:rPr>
      </w:pPr>
      <w:r>
        <w:rPr>
          <w:b/>
          <w:bCs/>
          <w:szCs w:val="22"/>
        </w:rPr>
        <w:t>Informe imediatamente o seu médico, se sentir ou a sua criança sentir, algum dos seguintes efeitos indesejáveis</w:t>
      </w:r>
    </w:p>
    <w:p w14:paraId="0794F340" w14:textId="77777777" w:rsidR="00084D33" w:rsidRDefault="007852CF" w:rsidP="00084D33">
      <w:pPr>
        <w:suppressAutoHyphens/>
        <w:rPr>
          <w:b/>
          <w:noProof/>
          <w:szCs w:val="22"/>
        </w:rPr>
      </w:pPr>
      <w:r>
        <w:rPr>
          <w:b/>
          <w:noProof/>
          <w:szCs w:val="22"/>
        </w:rPr>
        <w:t>S</w:t>
      </w:r>
      <w:r w:rsidR="00084D33" w:rsidRPr="0063119B">
        <w:rPr>
          <w:b/>
          <w:noProof/>
          <w:szCs w:val="22"/>
        </w:rPr>
        <w:t>ina</w:t>
      </w:r>
      <w:r>
        <w:rPr>
          <w:b/>
          <w:noProof/>
          <w:szCs w:val="22"/>
        </w:rPr>
        <w:t>is</w:t>
      </w:r>
      <w:r w:rsidR="00084D33" w:rsidRPr="0063119B">
        <w:rPr>
          <w:b/>
          <w:noProof/>
          <w:szCs w:val="22"/>
        </w:rPr>
        <w:t xml:space="preserve"> de hemorragia</w:t>
      </w:r>
    </w:p>
    <w:p w14:paraId="78448D27" w14:textId="77777777" w:rsidR="007852CF" w:rsidRPr="00EF3721" w:rsidRDefault="007852CF" w:rsidP="00EF3721">
      <w:pPr>
        <w:numPr>
          <w:ilvl w:val="0"/>
          <w:numId w:val="56"/>
        </w:numPr>
        <w:autoSpaceDE w:val="0"/>
        <w:autoSpaceDN w:val="0"/>
        <w:adjustRightInd w:val="0"/>
        <w:ind w:left="284" w:hanging="284"/>
        <w:rPr>
          <w:color w:val="000000"/>
          <w:sz w:val="24"/>
          <w:szCs w:val="24"/>
          <w:lang w:eastAsia="pt-PT"/>
        </w:rPr>
      </w:pPr>
      <w:r w:rsidRPr="00B35784">
        <w:rPr>
          <w:color w:val="000000"/>
          <w:szCs w:val="22"/>
          <w:lang w:eastAsia="pt-PT"/>
        </w:rPr>
        <w:t xml:space="preserve">hemorragia no cérebro ou interior do crânio (sintomas podem incluir dor de cabeça, fraqueza de um dos lados, vómitos, tonturas, diminuição do nível de consciência e rigidez do pescoço. Uma urgência médica grave. Procure ajuda médica imediatamente!) </w:t>
      </w:r>
    </w:p>
    <w:p w14:paraId="78E811A1" w14:textId="77777777" w:rsidR="00084D33" w:rsidRPr="0063119B" w:rsidRDefault="00084D33" w:rsidP="00FF261B">
      <w:pPr>
        <w:numPr>
          <w:ilvl w:val="0"/>
          <w:numId w:val="5"/>
        </w:numPr>
        <w:suppressAutoHyphens/>
        <w:rPr>
          <w:noProof/>
          <w:szCs w:val="22"/>
        </w:rPr>
      </w:pPr>
      <w:r w:rsidRPr="0063119B">
        <w:rPr>
          <w:noProof/>
          <w:szCs w:val="22"/>
        </w:rPr>
        <w:t>perda de sangue prolongada ou excessiva</w:t>
      </w:r>
    </w:p>
    <w:p w14:paraId="79F94AD7" w14:textId="77777777" w:rsidR="00084D33" w:rsidRPr="0063119B" w:rsidRDefault="00CE26CE" w:rsidP="00FF261B">
      <w:pPr>
        <w:numPr>
          <w:ilvl w:val="0"/>
          <w:numId w:val="5"/>
        </w:numPr>
        <w:suppressAutoHyphens/>
        <w:rPr>
          <w:noProof/>
          <w:szCs w:val="22"/>
        </w:rPr>
      </w:pPr>
      <w:r w:rsidRPr="0063119B">
        <w:rPr>
          <w:noProof/>
          <w:szCs w:val="22"/>
        </w:rPr>
        <w:t xml:space="preserve">sensação anormal de </w:t>
      </w:r>
      <w:r w:rsidR="00084D33" w:rsidRPr="0063119B">
        <w:rPr>
          <w:noProof/>
          <w:szCs w:val="22"/>
        </w:rPr>
        <w:t>fraqueza, cansaço, palidez, tonturas, dores de cabeça, inchaço inexplicável, falta de ar, dor no peito ou angina de peito</w:t>
      </w:r>
    </w:p>
    <w:p w14:paraId="6BB915F6" w14:textId="77777777" w:rsidR="00084D33" w:rsidRPr="0063119B" w:rsidRDefault="00084D33" w:rsidP="00084D33">
      <w:pPr>
        <w:suppressAutoHyphens/>
        <w:rPr>
          <w:noProof/>
          <w:szCs w:val="22"/>
        </w:rPr>
      </w:pPr>
      <w:r w:rsidRPr="0063119B">
        <w:rPr>
          <w:noProof/>
          <w:szCs w:val="22"/>
        </w:rPr>
        <w:t>O seu médico pode decidir mantê</w:t>
      </w:r>
      <w:r w:rsidRPr="0063119B">
        <w:rPr>
          <w:noProof/>
          <w:szCs w:val="22"/>
        </w:rPr>
        <w:noBreakHyphen/>
        <w:t xml:space="preserve">lo sob uma observação mais atenta ou alterar </w:t>
      </w:r>
      <w:r w:rsidR="007852CF">
        <w:rPr>
          <w:noProof/>
          <w:szCs w:val="22"/>
        </w:rPr>
        <w:t>o tratamento</w:t>
      </w:r>
      <w:r w:rsidRPr="0063119B">
        <w:rPr>
          <w:noProof/>
          <w:szCs w:val="22"/>
        </w:rPr>
        <w:t>.</w:t>
      </w:r>
    </w:p>
    <w:p w14:paraId="368C61F3" w14:textId="77777777" w:rsidR="00084D33" w:rsidRPr="0063119B" w:rsidRDefault="00084D33" w:rsidP="00084D33">
      <w:pPr>
        <w:suppressAutoHyphens/>
        <w:rPr>
          <w:noProof/>
          <w:szCs w:val="22"/>
        </w:rPr>
      </w:pPr>
    </w:p>
    <w:p w14:paraId="42966A30" w14:textId="77777777" w:rsidR="00CA3CD7" w:rsidRPr="0063119B" w:rsidRDefault="007852CF" w:rsidP="00CA3CD7">
      <w:pPr>
        <w:suppressAutoHyphens/>
        <w:rPr>
          <w:b/>
          <w:noProof/>
          <w:szCs w:val="22"/>
        </w:rPr>
      </w:pPr>
      <w:r>
        <w:rPr>
          <w:b/>
          <w:noProof/>
          <w:szCs w:val="22"/>
        </w:rPr>
        <w:t>S</w:t>
      </w:r>
      <w:r w:rsidR="00CA3CD7" w:rsidRPr="0063119B">
        <w:rPr>
          <w:b/>
          <w:noProof/>
          <w:szCs w:val="22"/>
        </w:rPr>
        <w:t>ina</w:t>
      </w:r>
      <w:r>
        <w:rPr>
          <w:b/>
          <w:noProof/>
          <w:szCs w:val="22"/>
        </w:rPr>
        <w:t>is</w:t>
      </w:r>
      <w:r w:rsidR="00CA3CD7" w:rsidRPr="0063119B">
        <w:rPr>
          <w:b/>
          <w:noProof/>
          <w:szCs w:val="22"/>
        </w:rPr>
        <w:t xml:space="preserve"> de reaç</w:t>
      </w:r>
      <w:r>
        <w:rPr>
          <w:b/>
          <w:noProof/>
          <w:szCs w:val="22"/>
        </w:rPr>
        <w:t>ões</w:t>
      </w:r>
      <w:r w:rsidR="00CA3CD7" w:rsidRPr="0063119B">
        <w:rPr>
          <w:b/>
          <w:noProof/>
          <w:szCs w:val="22"/>
        </w:rPr>
        <w:t xml:space="preserve"> cutânea</w:t>
      </w:r>
      <w:r>
        <w:rPr>
          <w:b/>
          <w:noProof/>
          <w:szCs w:val="22"/>
        </w:rPr>
        <w:t>s</w:t>
      </w:r>
      <w:r w:rsidR="00CA3CD7" w:rsidRPr="0063119B">
        <w:rPr>
          <w:b/>
          <w:noProof/>
          <w:szCs w:val="22"/>
        </w:rPr>
        <w:t xml:space="preserve"> grave</w:t>
      </w:r>
      <w:r>
        <w:rPr>
          <w:b/>
          <w:noProof/>
          <w:szCs w:val="22"/>
        </w:rPr>
        <w:t>s</w:t>
      </w:r>
    </w:p>
    <w:p w14:paraId="1F749525" w14:textId="77777777" w:rsidR="003809E6" w:rsidRPr="0063119B" w:rsidRDefault="00CA3CD7" w:rsidP="00D733A1">
      <w:pPr>
        <w:numPr>
          <w:ilvl w:val="0"/>
          <w:numId w:val="5"/>
        </w:numPr>
        <w:suppressAutoHyphens/>
        <w:rPr>
          <w:noProof/>
          <w:szCs w:val="22"/>
        </w:rPr>
      </w:pPr>
      <w:r w:rsidRPr="0063119B">
        <w:rPr>
          <w:noProof/>
          <w:szCs w:val="22"/>
        </w:rPr>
        <w:t>disseminação intensa da erupção cutânea, bolhas ou lesões das mucosas, ex.: na boca ou olhos (síndrome Stevens-Johnson/</w:t>
      </w:r>
      <w:r w:rsidR="00B37008" w:rsidRPr="0063119B">
        <w:rPr>
          <w:noProof/>
          <w:szCs w:val="22"/>
        </w:rPr>
        <w:t>n</w:t>
      </w:r>
      <w:r w:rsidRPr="0063119B">
        <w:rPr>
          <w:noProof/>
          <w:szCs w:val="22"/>
        </w:rPr>
        <w:t xml:space="preserve">ecrólise </w:t>
      </w:r>
      <w:r w:rsidR="00B37008" w:rsidRPr="0063119B">
        <w:rPr>
          <w:noProof/>
          <w:szCs w:val="22"/>
        </w:rPr>
        <w:t>e</w:t>
      </w:r>
      <w:r w:rsidRPr="0063119B">
        <w:rPr>
          <w:noProof/>
          <w:szCs w:val="22"/>
        </w:rPr>
        <w:t xml:space="preserve">pidérmica </w:t>
      </w:r>
      <w:r w:rsidR="00B37008" w:rsidRPr="0063119B">
        <w:rPr>
          <w:noProof/>
          <w:szCs w:val="22"/>
        </w:rPr>
        <w:t>t</w:t>
      </w:r>
      <w:r w:rsidRPr="0063119B">
        <w:rPr>
          <w:noProof/>
          <w:szCs w:val="22"/>
        </w:rPr>
        <w:t xml:space="preserve">óxica). </w:t>
      </w:r>
    </w:p>
    <w:p w14:paraId="568A80E2" w14:textId="77777777" w:rsidR="007852CF" w:rsidRDefault="003809E6" w:rsidP="003809E6">
      <w:pPr>
        <w:numPr>
          <w:ilvl w:val="0"/>
          <w:numId w:val="5"/>
        </w:numPr>
        <w:suppressAutoHyphens/>
        <w:rPr>
          <w:noProof/>
          <w:szCs w:val="22"/>
        </w:rPr>
      </w:pPr>
      <w:r w:rsidRPr="0063119B">
        <w:rPr>
          <w:szCs w:val="22"/>
        </w:rPr>
        <w:t xml:space="preserve">uma reação medicamentosa que causa erupção cutânea, febre, inflamação dos órgãos internos, anormalidades hematológicas e doença sistémica (síndrome de DRESS). </w:t>
      </w:r>
    </w:p>
    <w:p w14:paraId="1A7F5324" w14:textId="77777777" w:rsidR="003809E6" w:rsidRPr="0063119B" w:rsidRDefault="003809E6" w:rsidP="00EF3721">
      <w:pPr>
        <w:suppressAutoHyphens/>
        <w:rPr>
          <w:noProof/>
          <w:szCs w:val="22"/>
        </w:rPr>
      </w:pPr>
      <w:r w:rsidRPr="0063119B">
        <w:rPr>
          <w:szCs w:val="22"/>
        </w:rPr>
        <w:t>A frequência deste</w:t>
      </w:r>
      <w:r w:rsidR="007852CF">
        <w:rPr>
          <w:szCs w:val="22"/>
        </w:rPr>
        <w:t>s</w:t>
      </w:r>
      <w:r w:rsidRPr="0063119B">
        <w:rPr>
          <w:szCs w:val="22"/>
        </w:rPr>
        <w:t xml:space="preserve"> efeito</w:t>
      </w:r>
      <w:r w:rsidR="007852CF">
        <w:rPr>
          <w:szCs w:val="22"/>
        </w:rPr>
        <w:t>s</w:t>
      </w:r>
      <w:r w:rsidRPr="0063119B">
        <w:rPr>
          <w:szCs w:val="22"/>
        </w:rPr>
        <w:t xml:space="preserve"> </w:t>
      </w:r>
      <w:r w:rsidR="00654D4F" w:rsidRPr="0063119B">
        <w:rPr>
          <w:noProof/>
          <w:szCs w:val="22"/>
        </w:rPr>
        <w:t>indesejáve</w:t>
      </w:r>
      <w:r w:rsidR="007852CF">
        <w:rPr>
          <w:noProof/>
          <w:szCs w:val="22"/>
        </w:rPr>
        <w:t>is</w:t>
      </w:r>
      <w:r w:rsidRPr="0063119B">
        <w:rPr>
          <w:szCs w:val="22"/>
        </w:rPr>
        <w:t xml:space="preserve"> é muito rara (</w:t>
      </w:r>
      <w:r w:rsidR="0086001C" w:rsidRPr="0063119B">
        <w:rPr>
          <w:szCs w:val="22"/>
        </w:rPr>
        <w:t>até</w:t>
      </w:r>
      <w:r w:rsidRPr="0063119B">
        <w:rPr>
          <w:szCs w:val="22"/>
        </w:rPr>
        <w:t xml:space="preserve"> 1 em 10.000</w:t>
      </w:r>
      <w:r w:rsidR="007852CF">
        <w:rPr>
          <w:szCs w:val="22"/>
        </w:rPr>
        <w:t xml:space="preserve"> pessoas</w:t>
      </w:r>
      <w:r w:rsidRPr="0063119B">
        <w:rPr>
          <w:szCs w:val="22"/>
        </w:rPr>
        <w:t>).</w:t>
      </w:r>
    </w:p>
    <w:p w14:paraId="21A55B48" w14:textId="77777777" w:rsidR="003809E6" w:rsidRPr="0063119B" w:rsidRDefault="003809E6" w:rsidP="003809E6">
      <w:pPr>
        <w:suppressAutoHyphens/>
        <w:rPr>
          <w:b/>
          <w:noProof/>
          <w:szCs w:val="22"/>
        </w:rPr>
      </w:pPr>
    </w:p>
    <w:p w14:paraId="5FAB8C68" w14:textId="77777777" w:rsidR="003809E6" w:rsidRPr="0063119B" w:rsidRDefault="007852CF" w:rsidP="003809E6">
      <w:pPr>
        <w:suppressAutoHyphens/>
        <w:rPr>
          <w:b/>
          <w:noProof/>
          <w:szCs w:val="22"/>
        </w:rPr>
      </w:pPr>
      <w:r>
        <w:rPr>
          <w:b/>
          <w:noProof/>
          <w:szCs w:val="22"/>
        </w:rPr>
        <w:t>S</w:t>
      </w:r>
      <w:r w:rsidR="003809E6" w:rsidRPr="0063119B">
        <w:rPr>
          <w:b/>
          <w:noProof/>
          <w:szCs w:val="22"/>
        </w:rPr>
        <w:t>ina</w:t>
      </w:r>
      <w:r>
        <w:rPr>
          <w:b/>
          <w:noProof/>
          <w:szCs w:val="22"/>
        </w:rPr>
        <w:t>is</w:t>
      </w:r>
      <w:r w:rsidR="003809E6" w:rsidRPr="0063119B">
        <w:rPr>
          <w:b/>
          <w:noProof/>
          <w:szCs w:val="22"/>
        </w:rPr>
        <w:t xml:space="preserve"> de </w:t>
      </w:r>
      <w:r w:rsidR="00DF1193" w:rsidRPr="0063119B">
        <w:rPr>
          <w:b/>
          <w:noProof/>
          <w:szCs w:val="22"/>
        </w:rPr>
        <w:t>reações alérgicas graves</w:t>
      </w:r>
    </w:p>
    <w:p w14:paraId="533654E9" w14:textId="77777777" w:rsidR="007852CF" w:rsidRDefault="003809E6" w:rsidP="003809E6">
      <w:pPr>
        <w:numPr>
          <w:ilvl w:val="0"/>
          <w:numId w:val="5"/>
        </w:numPr>
        <w:suppressAutoHyphens/>
        <w:rPr>
          <w:noProof/>
          <w:szCs w:val="22"/>
        </w:rPr>
      </w:pPr>
      <w:r w:rsidRPr="0063119B">
        <w:rPr>
          <w:szCs w:val="22"/>
        </w:rPr>
        <w:t xml:space="preserve">inchaço da </w:t>
      </w:r>
      <w:r w:rsidR="00454F54" w:rsidRPr="0063119B">
        <w:rPr>
          <w:szCs w:val="22"/>
        </w:rPr>
        <w:t>face,</w:t>
      </w:r>
      <w:r w:rsidRPr="0063119B">
        <w:rPr>
          <w:szCs w:val="22"/>
        </w:rPr>
        <w:t xml:space="preserve"> lábios, boca, língua ou garganta; dificuldade em engolir; urticária e dificuldades respiratórias; </w:t>
      </w:r>
      <w:r w:rsidR="00CA2F64" w:rsidRPr="0063119B">
        <w:rPr>
          <w:szCs w:val="22"/>
        </w:rPr>
        <w:t xml:space="preserve">queda </w:t>
      </w:r>
      <w:r w:rsidRPr="0063119B">
        <w:rPr>
          <w:szCs w:val="22"/>
        </w:rPr>
        <w:t xml:space="preserve">súbita da pressão arterial. </w:t>
      </w:r>
    </w:p>
    <w:p w14:paraId="66645465" w14:textId="77777777" w:rsidR="003809E6" w:rsidRPr="0063119B" w:rsidRDefault="003809E6" w:rsidP="00EF3721">
      <w:pPr>
        <w:suppressAutoHyphens/>
        <w:rPr>
          <w:noProof/>
          <w:szCs w:val="22"/>
        </w:rPr>
      </w:pPr>
      <w:r w:rsidRPr="0063119B">
        <w:rPr>
          <w:szCs w:val="22"/>
        </w:rPr>
        <w:t xml:space="preserve">A frequência de </w:t>
      </w:r>
      <w:r w:rsidR="007852CF">
        <w:rPr>
          <w:szCs w:val="22"/>
        </w:rPr>
        <w:t xml:space="preserve">reações alérgicas graves </w:t>
      </w:r>
      <w:r w:rsidRPr="0063119B">
        <w:rPr>
          <w:szCs w:val="22"/>
        </w:rPr>
        <w:t xml:space="preserve">é muito rara (reações anafiláticas, incluindo choque anafilático; podem afetar </w:t>
      </w:r>
      <w:r w:rsidR="0086001C" w:rsidRPr="0063119B">
        <w:rPr>
          <w:szCs w:val="22"/>
        </w:rPr>
        <w:t>até</w:t>
      </w:r>
      <w:r w:rsidRPr="0063119B">
        <w:rPr>
          <w:szCs w:val="22"/>
        </w:rPr>
        <w:t xml:space="preserve"> 1 em 10.000 pessoas) e pouco frequentes (angioedema e edema alérgico; podem afetar até 1 em cada 100 pessoas).</w:t>
      </w:r>
    </w:p>
    <w:p w14:paraId="32069A28" w14:textId="77777777" w:rsidR="00CA3CD7" w:rsidRPr="0063119B" w:rsidRDefault="00CA3CD7" w:rsidP="00084D33">
      <w:pPr>
        <w:suppressAutoHyphens/>
        <w:rPr>
          <w:b/>
          <w:noProof/>
          <w:szCs w:val="22"/>
        </w:rPr>
      </w:pPr>
    </w:p>
    <w:p w14:paraId="4254C6D9" w14:textId="77777777" w:rsidR="00084D33" w:rsidRPr="0063119B" w:rsidRDefault="00084D33" w:rsidP="00084D33">
      <w:pPr>
        <w:suppressAutoHyphens/>
        <w:rPr>
          <w:b/>
          <w:noProof/>
          <w:szCs w:val="22"/>
        </w:rPr>
      </w:pPr>
      <w:r w:rsidRPr="0063119B">
        <w:rPr>
          <w:b/>
          <w:noProof/>
          <w:szCs w:val="22"/>
        </w:rPr>
        <w:t xml:space="preserve">Lista global dos efeitos </w:t>
      </w:r>
      <w:r w:rsidR="00CC1A3A" w:rsidRPr="0063119B">
        <w:rPr>
          <w:b/>
          <w:noProof/>
          <w:szCs w:val="22"/>
        </w:rPr>
        <w:t>indesejáveis</w:t>
      </w:r>
      <w:r w:rsidRPr="0063119B">
        <w:rPr>
          <w:b/>
          <w:noProof/>
          <w:szCs w:val="22"/>
        </w:rPr>
        <w:t xml:space="preserve"> possíveis</w:t>
      </w:r>
      <w:r w:rsidR="007852CF">
        <w:rPr>
          <w:b/>
          <w:noProof/>
          <w:szCs w:val="22"/>
        </w:rPr>
        <w:t xml:space="preserve"> </w:t>
      </w:r>
      <w:r w:rsidR="007852CF">
        <w:rPr>
          <w:b/>
          <w:bCs/>
          <w:szCs w:val="22"/>
        </w:rPr>
        <w:t>observados em adultos, crianças e adolescentes</w:t>
      </w:r>
    </w:p>
    <w:p w14:paraId="495D5643" w14:textId="77777777" w:rsidR="00084D33" w:rsidRPr="0063119B" w:rsidRDefault="00084D33" w:rsidP="00084D33">
      <w:pPr>
        <w:suppressAutoHyphens/>
        <w:rPr>
          <w:b/>
          <w:noProof/>
          <w:szCs w:val="22"/>
        </w:rPr>
      </w:pPr>
    </w:p>
    <w:p w14:paraId="1CC3239B" w14:textId="77777777" w:rsidR="00084D33" w:rsidRPr="0063119B" w:rsidRDefault="00084D33" w:rsidP="00084D33">
      <w:pPr>
        <w:suppressAutoHyphens/>
        <w:rPr>
          <w:b/>
          <w:i/>
          <w:noProof/>
          <w:szCs w:val="22"/>
        </w:rPr>
      </w:pPr>
      <w:r w:rsidRPr="0063119B">
        <w:rPr>
          <w:b/>
          <w:noProof/>
          <w:szCs w:val="22"/>
        </w:rPr>
        <w:t xml:space="preserve">Frequentes </w:t>
      </w:r>
      <w:r w:rsidRPr="0063119B">
        <w:rPr>
          <w:noProof/>
          <w:szCs w:val="22"/>
        </w:rPr>
        <w:t>(podem afetar até 1 em 10 pessoas)</w:t>
      </w:r>
    </w:p>
    <w:p w14:paraId="0539ADEE" w14:textId="77777777" w:rsidR="006D3081" w:rsidRPr="0063119B" w:rsidRDefault="006D3081" w:rsidP="006D3081">
      <w:pPr>
        <w:suppressAutoHyphens/>
        <w:ind w:left="142" w:hanging="142"/>
        <w:rPr>
          <w:noProof/>
          <w:szCs w:val="22"/>
        </w:rPr>
      </w:pPr>
      <w:r w:rsidRPr="0063119B">
        <w:rPr>
          <w:noProof/>
          <w:szCs w:val="22"/>
        </w:rPr>
        <w:noBreakHyphen/>
        <w:t xml:space="preserve"> diminuição dos glóbulos vermelhos, o que pode provocar palidez da pele e causar fraqueza ou falta de ar</w:t>
      </w:r>
    </w:p>
    <w:p w14:paraId="10D234EB" w14:textId="77777777" w:rsidR="00084D33" w:rsidRPr="0063119B" w:rsidRDefault="00084D33" w:rsidP="00084D33">
      <w:pPr>
        <w:suppressAutoHyphens/>
        <w:ind w:left="142" w:hanging="142"/>
        <w:rPr>
          <w:noProof/>
          <w:szCs w:val="22"/>
        </w:rPr>
      </w:pPr>
      <w:r w:rsidRPr="0063119B">
        <w:rPr>
          <w:noProof/>
          <w:szCs w:val="22"/>
        </w:rPr>
        <w:noBreakHyphen/>
        <w:t xml:space="preserve"> hemorragia no estômago ou intestino, hemorragia urogenital (incluindo sangue na urina e período menstrual intenso), hemorragia pelo nariz, hemorragia das gengivas</w:t>
      </w:r>
    </w:p>
    <w:p w14:paraId="6B44CA59" w14:textId="77777777" w:rsidR="00084D33" w:rsidRPr="0063119B" w:rsidRDefault="00084D33" w:rsidP="00084D33">
      <w:pPr>
        <w:suppressAutoHyphens/>
        <w:rPr>
          <w:noProof/>
          <w:szCs w:val="22"/>
        </w:rPr>
      </w:pPr>
      <w:r w:rsidRPr="0063119B">
        <w:rPr>
          <w:noProof/>
          <w:szCs w:val="22"/>
        </w:rPr>
        <w:noBreakHyphen/>
        <w:t xml:space="preserve"> hemorragia nos olhos (incluindo hemorragia da parte branca dos olhos)</w:t>
      </w:r>
    </w:p>
    <w:p w14:paraId="4913B443" w14:textId="77777777" w:rsidR="00084D33" w:rsidRPr="0063119B" w:rsidRDefault="00084D33" w:rsidP="00084D33">
      <w:pPr>
        <w:suppressAutoHyphens/>
        <w:rPr>
          <w:noProof/>
          <w:szCs w:val="22"/>
        </w:rPr>
      </w:pPr>
      <w:r w:rsidRPr="0063119B">
        <w:rPr>
          <w:noProof/>
          <w:szCs w:val="22"/>
        </w:rPr>
        <w:noBreakHyphen/>
        <w:t xml:space="preserve"> hemorragia num tecido ou uma cavidade do corpo (hematoma, nódoas negras)</w:t>
      </w:r>
    </w:p>
    <w:p w14:paraId="13F758F7" w14:textId="77777777" w:rsidR="00084D33" w:rsidRPr="0063119B" w:rsidRDefault="00084D33" w:rsidP="00084D33">
      <w:pPr>
        <w:suppressAutoHyphens/>
        <w:rPr>
          <w:noProof/>
          <w:szCs w:val="22"/>
        </w:rPr>
      </w:pPr>
      <w:r w:rsidRPr="0063119B">
        <w:rPr>
          <w:noProof/>
          <w:szCs w:val="22"/>
        </w:rPr>
        <w:t>- tossir sangue</w:t>
      </w:r>
    </w:p>
    <w:p w14:paraId="131CC16B" w14:textId="77777777" w:rsidR="00084D33" w:rsidRPr="0063119B" w:rsidRDefault="00084D33" w:rsidP="00084D33">
      <w:pPr>
        <w:suppressAutoHyphens/>
        <w:rPr>
          <w:noProof/>
          <w:szCs w:val="22"/>
        </w:rPr>
      </w:pPr>
      <w:r w:rsidRPr="0063119B">
        <w:rPr>
          <w:noProof/>
          <w:szCs w:val="22"/>
        </w:rPr>
        <w:t>- hemorragia da pele ou sob a pele</w:t>
      </w:r>
    </w:p>
    <w:p w14:paraId="5134D680" w14:textId="77777777" w:rsidR="00084D33" w:rsidRPr="0063119B" w:rsidRDefault="00084D33" w:rsidP="00084D33">
      <w:pPr>
        <w:suppressAutoHyphens/>
        <w:rPr>
          <w:noProof/>
          <w:szCs w:val="22"/>
        </w:rPr>
      </w:pPr>
      <w:r w:rsidRPr="0063119B">
        <w:rPr>
          <w:noProof/>
          <w:szCs w:val="22"/>
        </w:rPr>
        <w:noBreakHyphen/>
        <w:t xml:space="preserve"> hemorragia após uma cirurgia</w:t>
      </w:r>
    </w:p>
    <w:p w14:paraId="7315C1EA" w14:textId="77777777" w:rsidR="00084D33" w:rsidRPr="0063119B" w:rsidRDefault="00084D33" w:rsidP="00084D33">
      <w:pPr>
        <w:suppressAutoHyphens/>
        <w:rPr>
          <w:noProof/>
          <w:szCs w:val="22"/>
        </w:rPr>
      </w:pPr>
      <w:r w:rsidRPr="0063119B">
        <w:rPr>
          <w:noProof/>
          <w:szCs w:val="22"/>
        </w:rPr>
        <w:t>- secreção de sangue ou fluído de uma ferida cirúrgica</w:t>
      </w:r>
    </w:p>
    <w:p w14:paraId="24BD30E9" w14:textId="77777777" w:rsidR="00084D33" w:rsidRPr="0063119B" w:rsidRDefault="00084D33" w:rsidP="00084D33">
      <w:pPr>
        <w:suppressAutoHyphens/>
        <w:rPr>
          <w:noProof/>
          <w:szCs w:val="22"/>
        </w:rPr>
      </w:pPr>
      <w:r w:rsidRPr="0063119B">
        <w:rPr>
          <w:noProof/>
          <w:szCs w:val="22"/>
        </w:rPr>
        <w:noBreakHyphen/>
        <w:t xml:space="preserve"> inchaço dos membros</w:t>
      </w:r>
    </w:p>
    <w:p w14:paraId="090A1AB6" w14:textId="77777777" w:rsidR="00084D33" w:rsidRPr="0063119B" w:rsidRDefault="00084D33" w:rsidP="00084D33">
      <w:pPr>
        <w:suppressAutoHyphens/>
        <w:rPr>
          <w:noProof/>
          <w:szCs w:val="22"/>
        </w:rPr>
      </w:pPr>
      <w:r w:rsidRPr="0063119B">
        <w:rPr>
          <w:noProof/>
          <w:szCs w:val="22"/>
        </w:rPr>
        <w:noBreakHyphen/>
        <w:t xml:space="preserve"> dor nos membros</w:t>
      </w:r>
    </w:p>
    <w:p w14:paraId="63AF7734" w14:textId="77777777" w:rsidR="00B34EAD" w:rsidRPr="0063119B" w:rsidRDefault="00B34EAD" w:rsidP="00B34EAD">
      <w:pPr>
        <w:suppressAutoHyphens/>
        <w:rPr>
          <w:noProof/>
          <w:szCs w:val="22"/>
        </w:rPr>
      </w:pPr>
      <w:r w:rsidRPr="0063119B">
        <w:rPr>
          <w:noProof/>
          <w:szCs w:val="22"/>
        </w:rPr>
        <w:t>- função dos rins diminuída (pode ser observada em testes realizados pelo seu médico)</w:t>
      </w:r>
    </w:p>
    <w:p w14:paraId="5D7D03D8" w14:textId="77777777" w:rsidR="00084D33" w:rsidRPr="0063119B" w:rsidRDefault="00084D33" w:rsidP="00084D33">
      <w:pPr>
        <w:suppressAutoHyphens/>
        <w:rPr>
          <w:noProof/>
          <w:szCs w:val="22"/>
        </w:rPr>
      </w:pPr>
      <w:r w:rsidRPr="0063119B">
        <w:rPr>
          <w:noProof/>
          <w:szCs w:val="22"/>
        </w:rPr>
        <w:noBreakHyphen/>
        <w:t xml:space="preserve"> febre</w:t>
      </w:r>
    </w:p>
    <w:p w14:paraId="20095C46" w14:textId="77777777" w:rsidR="00084D33" w:rsidRPr="0063119B" w:rsidRDefault="00084D33" w:rsidP="00084D33">
      <w:pPr>
        <w:suppressAutoHyphens/>
        <w:rPr>
          <w:noProof/>
          <w:szCs w:val="22"/>
        </w:rPr>
      </w:pPr>
      <w:r w:rsidRPr="0063119B">
        <w:rPr>
          <w:noProof/>
          <w:szCs w:val="22"/>
        </w:rPr>
        <w:noBreakHyphen/>
        <w:t xml:space="preserve"> dor de estômago, indigestão, má disposição, prisão de ventre, diarreia </w:t>
      </w:r>
    </w:p>
    <w:p w14:paraId="2225A500" w14:textId="77777777" w:rsidR="00084D33" w:rsidRPr="0063119B" w:rsidRDefault="00084D33" w:rsidP="00084D33">
      <w:pPr>
        <w:suppressAutoHyphens/>
        <w:rPr>
          <w:noProof/>
          <w:szCs w:val="22"/>
        </w:rPr>
      </w:pPr>
      <w:r w:rsidRPr="0063119B">
        <w:rPr>
          <w:noProof/>
          <w:szCs w:val="22"/>
        </w:rPr>
        <w:noBreakHyphen/>
        <w:t xml:space="preserve"> tensão arterial baixa (os sintomas podem ser sensação de tonturas ou desmaio ao levantar</w:t>
      </w:r>
      <w:r w:rsidRPr="0063119B">
        <w:rPr>
          <w:noProof/>
          <w:szCs w:val="22"/>
        </w:rPr>
        <w:noBreakHyphen/>
        <w:t>se)</w:t>
      </w:r>
    </w:p>
    <w:p w14:paraId="1937B3FD" w14:textId="77777777" w:rsidR="00084D33" w:rsidRPr="0063119B" w:rsidRDefault="00084D33" w:rsidP="00084D33">
      <w:pPr>
        <w:suppressAutoHyphens/>
        <w:ind w:left="142" w:hanging="142"/>
        <w:rPr>
          <w:noProof/>
          <w:szCs w:val="22"/>
        </w:rPr>
      </w:pPr>
      <w:r w:rsidRPr="0063119B">
        <w:rPr>
          <w:noProof/>
          <w:szCs w:val="22"/>
        </w:rPr>
        <w:noBreakHyphen/>
        <w:t xml:space="preserve"> diminuição da força e energia de um modo geral (fraqueza, cansaço), dores de cabeça, tonturas</w:t>
      </w:r>
    </w:p>
    <w:p w14:paraId="0900B33A" w14:textId="77777777" w:rsidR="00084D33" w:rsidRPr="0063119B" w:rsidRDefault="00084D33" w:rsidP="00084D33">
      <w:pPr>
        <w:suppressAutoHyphens/>
        <w:rPr>
          <w:noProof/>
          <w:szCs w:val="22"/>
        </w:rPr>
      </w:pPr>
      <w:r w:rsidRPr="0063119B">
        <w:rPr>
          <w:noProof/>
          <w:szCs w:val="22"/>
        </w:rPr>
        <w:lastRenderedPageBreak/>
        <w:noBreakHyphen/>
        <w:t xml:space="preserve"> erupção </w:t>
      </w:r>
      <w:r w:rsidR="00BC2618" w:rsidRPr="0063119B">
        <w:rPr>
          <w:noProof/>
          <w:szCs w:val="22"/>
        </w:rPr>
        <w:t>na pele</w:t>
      </w:r>
      <w:r w:rsidRPr="0063119B">
        <w:rPr>
          <w:noProof/>
          <w:szCs w:val="22"/>
        </w:rPr>
        <w:t>, comichão na pele</w:t>
      </w:r>
    </w:p>
    <w:p w14:paraId="7AE86207" w14:textId="77777777" w:rsidR="00084D33" w:rsidRPr="0063119B" w:rsidRDefault="00084D33" w:rsidP="00084D33">
      <w:pPr>
        <w:suppressAutoHyphens/>
        <w:rPr>
          <w:noProof/>
          <w:szCs w:val="22"/>
        </w:rPr>
      </w:pPr>
      <w:r w:rsidRPr="0063119B">
        <w:rPr>
          <w:noProof/>
          <w:szCs w:val="22"/>
        </w:rPr>
        <w:noBreakHyphen/>
        <w:t xml:space="preserve"> testes sanguíneos poderão demonstrar um aumento de algumas enzimas hepáticas</w:t>
      </w:r>
    </w:p>
    <w:p w14:paraId="40059BF5" w14:textId="77777777" w:rsidR="00084D33" w:rsidRPr="0063119B" w:rsidRDefault="00084D33" w:rsidP="00084D33">
      <w:pPr>
        <w:suppressAutoHyphens/>
        <w:rPr>
          <w:noProof/>
          <w:szCs w:val="22"/>
        </w:rPr>
      </w:pPr>
    </w:p>
    <w:p w14:paraId="323CD1C2" w14:textId="77777777" w:rsidR="00084D33" w:rsidRPr="0063119B" w:rsidRDefault="00084D33" w:rsidP="00084D33">
      <w:pPr>
        <w:suppressAutoHyphens/>
        <w:rPr>
          <w:b/>
          <w:noProof/>
          <w:szCs w:val="22"/>
        </w:rPr>
      </w:pPr>
      <w:r w:rsidRPr="0063119B">
        <w:rPr>
          <w:b/>
          <w:noProof/>
          <w:szCs w:val="22"/>
        </w:rPr>
        <w:t xml:space="preserve">Pouco frequentes </w:t>
      </w:r>
      <w:r w:rsidRPr="0063119B">
        <w:rPr>
          <w:noProof/>
          <w:szCs w:val="22"/>
        </w:rPr>
        <w:t>(podem afetar até 1 em 100 pessoas)</w:t>
      </w:r>
    </w:p>
    <w:p w14:paraId="6247CB74" w14:textId="77777777" w:rsidR="00084D33" w:rsidRPr="0063119B" w:rsidRDefault="00084D33" w:rsidP="00084D33">
      <w:pPr>
        <w:suppressAutoHyphens/>
        <w:rPr>
          <w:noProof/>
          <w:szCs w:val="22"/>
        </w:rPr>
      </w:pPr>
      <w:r w:rsidRPr="0063119B">
        <w:rPr>
          <w:noProof/>
          <w:szCs w:val="22"/>
        </w:rPr>
        <w:noBreakHyphen/>
        <w:t xml:space="preserve"> hemorragia no cérebro ou no interior do crânio</w:t>
      </w:r>
      <w:r w:rsidR="007852CF">
        <w:rPr>
          <w:noProof/>
          <w:szCs w:val="22"/>
        </w:rPr>
        <w:t xml:space="preserve"> </w:t>
      </w:r>
      <w:r w:rsidR="007852CF">
        <w:rPr>
          <w:szCs w:val="22"/>
        </w:rPr>
        <w:t>(ver acima, sinais de hemorragia)</w:t>
      </w:r>
    </w:p>
    <w:p w14:paraId="77550205" w14:textId="77777777" w:rsidR="00084D33" w:rsidRPr="0063119B" w:rsidRDefault="00084D33" w:rsidP="00084D33">
      <w:pPr>
        <w:suppressAutoHyphens/>
        <w:rPr>
          <w:noProof/>
          <w:szCs w:val="22"/>
        </w:rPr>
      </w:pPr>
      <w:r w:rsidRPr="0063119B">
        <w:rPr>
          <w:noProof/>
          <w:szCs w:val="22"/>
        </w:rPr>
        <w:noBreakHyphen/>
        <w:t xml:space="preserve"> hemorragia numa articulação causando dor e inchaço</w:t>
      </w:r>
    </w:p>
    <w:p w14:paraId="133B74B4" w14:textId="77777777" w:rsidR="001F403F" w:rsidRPr="0063119B" w:rsidRDefault="001F403F" w:rsidP="00084D33">
      <w:pPr>
        <w:suppressAutoHyphens/>
        <w:rPr>
          <w:noProof/>
          <w:szCs w:val="22"/>
        </w:rPr>
      </w:pPr>
      <w:r w:rsidRPr="0063119B">
        <w:rPr>
          <w:noProof/>
          <w:szCs w:val="22"/>
        </w:rPr>
        <w:t xml:space="preserve">- </w:t>
      </w:r>
      <w:r w:rsidRPr="0063119B">
        <w:rPr>
          <w:szCs w:val="22"/>
        </w:rPr>
        <w:t xml:space="preserve">trombocitopenia (baixo número de plaquetas, </w:t>
      </w:r>
      <w:r w:rsidR="00454F54" w:rsidRPr="0063119B">
        <w:rPr>
          <w:szCs w:val="22"/>
        </w:rPr>
        <w:t>que são</w:t>
      </w:r>
      <w:r w:rsidRPr="0063119B">
        <w:rPr>
          <w:szCs w:val="22"/>
        </w:rPr>
        <w:t xml:space="preserve"> células que ajudam o sangue a coagular)</w:t>
      </w:r>
    </w:p>
    <w:p w14:paraId="6AF8CCAB" w14:textId="77777777" w:rsidR="00B34EAD" w:rsidRPr="0063119B" w:rsidRDefault="00B34EAD" w:rsidP="00B34EAD">
      <w:pPr>
        <w:suppressAutoHyphens/>
        <w:rPr>
          <w:noProof/>
          <w:szCs w:val="22"/>
        </w:rPr>
      </w:pPr>
      <w:r w:rsidRPr="0063119B">
        <w:rPr>
          <w:noProof/>
          <w:szCs w:val="22"/>
        </w:rPr>
        <w:noBreakHyphen/>
        <w:t xml:space="preserve"> reações alérgicas, incluindo reações alérgicas da pele</w:t>
      </w:r>
    </w:p>
    <w:p w14:paraId="65D0AD90" w14:textId="77777777" w:rsidR="00B34EAD" w:rsidRPr="0063119B" w:rsidRDefault="00B34EAD" w:rsidP="00B34EAD">
      <w:pPr>
        <w:suppressAutoHyphens/>
        <w:rPr>
          <w:noProof/>
          <w:szCs w:val="22"/>
        </w:rPr>
      </w:pPr>
      <w:r w:rsidRPr="0063119B">
        <w:rPr>
          <w:noProof/>
          <w:szCs w:val="22"/>
        </w:rPr>
        <w:noBreakHyphen/>
        <w:t xml:space="preserve"> função do fígado diminuída (pode ser observada em testes efetuados pelo seu médico)</w:t>
      </w:r>
    </w:p>
    <w:p w14:paraId="119F4774" w14:textId="77777777" w:rsidR="00B34EAD" w:rsidRPr="0063119B" w:rsidRDefault="00B34EAD" w:rsidP="00B34EAD">
      <w:pPr>
        <w:suppressAutoHyphens/>
        <w:ind w:left="142" w:hanging="142"/>
        <w:rPr>
          <w:noProof/>
          <w:szCs w:val="22"/>
        </w:rPr>
      </w:pPr>
      <w:r w:rsidRPr="0063119B">
        <w:rPr>
          <w:noProof/>
          <w:szCs w:val="22"/>
        </w:rPr>
        <w:noBreakHyphen/>
        <w:t xml:space="preserve"> testes sanguíneos poderão demonstrar um aumento da bilirrubina, de algumas enzimas pancreáticas ou do número de plaquetas</w:t>
      </w:r>
    </w:p>
    <w:p w14:paraId="2684F453" w14:textId="77777777" w:rsidR="00084D33" w:rsidRPr="0063119B" w:rsidRDefault="00084D33" w:rsidP="00084D33">
      <w:pPr>
        <w:suppressAutoHyphens/>
        <w:rPr>
          <w:noProof/>
          <w:szCs w:val="22"/>
        </w:rPr>
      </w:pPr>
      <w:r w:rsidRPr="0063119B">
        <w:rPr>
          <w:noProof/>
          <w:szCs w:val="22"/>
        </w:rPr>
        <w:t>- desmaio</w:t>
      </w:r>
    </w:p>
    <w:p w14:paraId="559DDD0E" w14:textId="77777777" w:rsidR="00084D33" w:rsidRPr="0063119B" w:rsidRDefault="00084D33" w:rsidP="00084D33">
      <w:pPr>
        <w:suppressAutoHyphens/>
        <w:rPr>
          <w:noProof/>
          <w:szCs w:val="22"/>
        </w:rPr>
      </w:pPr>
      <w:r w:rsidRPr="0063119B">
        <w:rPr>
          <w:noProof/>
          <w:szCs w:val="22"/>
        </w:rPr>
        <w:noBreakHyphen/>
        <w:t xml:space="preserve"> sensação de mal</w:t>
      </w:r>
      <w:r w:rsidRPr="0063119B">
        <w:rPr>
          <w:noProof/>
          <w:szCs w:val="22"/>
        </w:rPr>
        <w:noBreakHyphen/>
        <w:t>estar</w:t>
      </w:r>
    </w:p>
    <w:p w14:paraId="2436582D" w14:textId="77777777" w:rsidR="00780217" w:rsidRPr="0063119B" w:rsidRDefault="00780217" w:rsidP="00780217">
      <w:pPr>
        <w:suppressAutoHyphens/>
        <w:rPr>
          <w:noProof/>
          <w:szCs w:val="22"/>
        </w:rPr>
      </w:pPr>
      <w:r w:rsidRPr="0063119B">
        <w:rPr>
          <w:noProof/>
          <w:szCs w:val="22"/>
        </w:rPr>
        <w:t>- batimento cardíaco mais rápido</w:t>
      </w:r>
    </w:p>
    <w:p w14:paraId="53E17403" w14:textId="77777777" w:rsidR="00084D33" w:rsidRPr="0063119B" w:rsidRDefault="00084D33" w:rsidP="00084D33">
      <w:pPr>
        <w:suppressAutoHyphens/>
        <w:rPr>
          <w:noProof/>
          <w:szCs w:val="22"/>
        </w:rPr>
      </w:pPr>
      <w:r w:rsidRPr="0063119B">
        <w:rPr>
          <w:noProof/>
          <w:szCs w:val="22"/>
        </w:rPr>
        <w:noBreakHyphen/>
        <w:t xml:space="preserve"> boca seca</w:t>
      </w:r>
    </w:p>
    <w:p w14:paraId="0B2C83BD" w14:textId="77777777" w:rsidR="00084D33" w:rsidRPr="0063119B" w:rsidRDefault="00084D33" w:rsidP="00084D33">
      <w:pPr>
        <w:suppressAutoHyphens/>
        <w:rPr>
          <w:noProof/>
          <w:szCs w:val="22"/>
        </w:rPr>
      </w:pPr>
      <w:r w:rsidRPr="0063119B">
        <w:rPr>
          <w:noProof/>
          <w:szCs w:val="22"/>
        </w:rPr>
        <w:noBreakHyphen/>
        <w:t xml:space="preserve"> urticária (erupção da pele com comichão)</w:t>
      </w:r>
    </w:p>
    <w:p w14:paraId="45C6ABAC" w14:textId="77777777" w:rsidR="00084D33" w:rsidRPr="0063119B" w:rsidRDefault="00084D33" w:rsidP="00084D33">
      <w:pPr>
        <w:suppressAutoHyphens/>
        <w:rPr>
          <w:b/>
          <w:noProof/>
          <w:szCs w:val="22"/>
        </w:rPr>
      </w:pPr>
    </w:p>
    <w:p w14:paraId="71B4C04B" w14:textId="77777777" w:rsidR="00084D33" w:rsidRPr="0063119B" w:rsidRDefault="00084D33" w:rsidP="00084D33">
      <w:pPr>
        <w:suppressAutoHyphens/>
        <w:rPr>
          <w:b/>
          <w:noProof/>
          <w:szCs w:val="22"/>
        </w:rPr>
      </w:pPr>
      <w:r w:rsidRPr="0063119B">
        <w:rPr>
          <w:b/>
          <w:noProof/>
          <w:szCs w:val="22"/>
        </w:rPr>
        <w:t xml:space="preserve">Raros </w:t>
      </w:r>
      <w:r w:rsidRPr="0063119B">
        <w:rPr>
          <w:noProof/>
          <w:szCs w:val="22"/>
        </w:rPr>
        <w:t>(podem afetar até 1 em 1.000 pessoas)</w:t>
      </w:r>
    </w:p>
    <w:p w14:paraId="3E420325" w14:textId="77777777" w:rsidR="00084D33" w:rsidRPr="0063119B" w:rsidRDefault="00084D33" w:rsidP="00084D33">
      <w:pPr>
        <w:suppressAutoHyphens/>
        <w:rPr>
          <w:noProof/>
          <w:szCs w:val="22"/>
        </w:rPr>
      </w:pPr>
      <w:r w:rsidRPr="0063119B">
        <w:rPr>
          <w:noProof/>
          <w:szCs w:val="22"/>
        </w:rPr>
        <w:noBreakHyphen/>
        <w:t xml:space="preserve"> hemorragia num músculo</w:t>
      </w:r>
    </w:p>
    <w:p w14:paraId="057F6CB3" w14:textId="77777777" w:rsidR="00475EF4" w:rsidRPr="0063119B" w:rsidRDefault="00475EF4" w:rsidP="00475EF4">
      <w:pPr>
        <w:suppressAutoHyphens/>
        <w:rPr>
          <w:noProof/>
          <w:szCs w:val="22"/>
        </w:rPr>
      </w:pPr>
      <w:r w:rsidRPr="0063119B">
        <w:rPr>
          <w:noProof/>
          <w:szCs w:val="22"/>
        </w:rPr>
        <w:t xml:space="preserve">- </w:t>
      </w:r>
      <w:r w:rsidRPr="0063119B">
        <w:rPr>
          <w:szCs w:val="22"/>
        </w:rPr>
        <w:t>colestase (diminuição do f</w:t>
      </w:r>
      <w:r w:rsidR="00244954" w:rsidRPr="0063119B">
        <w:rPr>
          <w:szCs w:val="22"/>
        </w:rPr>
        <w:t>luxo biliar), hepatite incl.</w:t>
      </w:r>
      <w:r w:rsidRPr="0063119B">
        <w:rPr>
          <w:szCs w:val="22"/>
        </w:rPr>
        <w:t xml:space="preserve"> lesão hepatocelular (</w:t>
      </w:r>
      <w:r w:rsidR="00244954" w:rsidRPr="0063119B">
        <w:rPr>
          <w:szCs w:val="22"/>
        </w:rPr>
        <w:t>inflamação do fígado</w:t>
      </w:r>
      <w:r w:rsidRPr="0063119B">
        <w:rPr>
          <w:szCs w:val="22"/>
        </w:rPr>
        <w:t xml:space="preserve"> </w:t>
      </w:r>
      <w:r w:rsidR="00244954" w:rsidRPr="0063119B">
        <w:rPr>
          <w:szCs w:val="22"/>
        </w:rPr>
        <w:t>incl. lesão do fígado</w:t>
      </w:r>
      <w:r w:rsidRPr="0063119B">
        <w:rPr>
          <w:szCs w:val="22"/>
        </w:rPr>
        <w:t>)</w:t>
      </w:r>
    </w:p>
    <w:p w14:paraId="0479C2BB" w14:textId="77777777" w:rsidR="00B34EAD" w:rsidRPr="0063119B" w:rsidRDefault="00B34EAD" w:rsidP="00B34EAD">
      <w:pPr>
        <w:suppressAutoHyphens/>
        <w:rPr>
          <w:noProof/>
          <w:szCs w:val="22"/>
        </w:rPr>
      </w:pPr>
      <w:r w:rsidRPr="0063119B">
        <w:rPr>
          <w:noProof/>
          <w:szCs w:val="22"/>
        </w:rPr>
        <w:noBreakHyphen/>
        <w:t xml:space="preserve"> amarelecimento da pele e dos olhos (icterícia)</w:t>
      </w:r>
    </w:p>
    <w:p w14:paraId="4E304026" w14:textId="77777777" w:rsidR="00084D33" w:rsidRPr="0063119B" w:rsidRDefault="00084D33" w:rsidP="00084D33">
      <w:pPr>
        <w:suppressAutoHyphens/>
        <w:rPr>
          <w:noProof/>
          <w:szCs w:val="22"/>
        </w:rPr>
      </w:pPr>
      <w:r w:rsidRPr="0063119B">
        <w:rPr>
          <w:noProof/>
          <w:szCs w:val="22"/>
        </w:rPr>
        <w:noBreakHyphen/>
        <w:t xml:space="preserve"> inchaço localizado</w:t>
      </w:r>
    </w:p>
    <w:p w14:paraId="2C19BED5" w14:textId="77777777" w:rsidR="00084D33" w:rsidRPr="0063119B" w:rsidRDefault="00084D33" w:rsidP="00084D33">
      <w:pPr>
        <w:suppressAutoHyphens/>
        <w:rPr>
          <w:noProof/>
          <w:szCs w:val="22"/>
        </w:rPr>
      </w:pPr>
      <w:r w:rsidRPr="0063119B">
        <w:rPr>
          <w:noProof/>
          <w:szCs w:val="22"/>
        </w:rPr>
        <w:noBreakHyphen/>
        <w:t xml:space="preserve"> acumulação de sangue (hematoma) na sua virilha como uma complicação de um procedimento cardíaco no qual um cateter é inserido no interior de uma artéria da sua perna (pseudoaneurisma)</w:t>
      </w:r>
    </w:p>
    <w:p w14:paraId="72BAC0BA" w14:textId="5FA8AC21" w:rsidR="00084D33" w:rsidRDefault="00084D33" w:rsidP="00084D33">
      <w:pPr>
        <w:suppressAutoHyphens/>
        <w:rPr>
          <w:noProof/>
          <w:szCs w:val="22"/>
        </w:rPr>
      </w:pPr>
    </w:p>
    <w:p w14:paraId="72D4B18D" w14:textId="77777777" w:rsidR="002B5FBC" w:rsidRDefault="002B5FBC" w:rsidP="00084D33">
      <w:pPr>
        <w:suppressAutoHyphens/>
      </w:pPr>
      <w:r w:rsidRPr="006A13A4">
        <w:rPr>
          <w:b/>
          <w:bCs/>
        </w:rPr>
        <w:t>Muito raros</w:t>
      </w:r>
      <w:r>
        <w:t xml:space="preserve"> (podem afetar até 1 em 10 000 pessoas) </w:t>
      </w:r>
    </w:p>
    <w:p w14:paraId="64E05A1C" w14:textId="77362274" w:rsidR="002B5FBC" w:rsidRDefault="002B5FBC" w:rsidP="00084D33">
      <w:pPr>
        <w:suppressAutoHyphens/>
        <w:rPr>
          <w:noProof/>
          <w:szCs w:val="22"/>
        </w:rPr>
      </w:pPr>
      <w:r>
        <w:t>- acumulação de eosinófilos, um tipo de glóbulos brancos, granulócitos, no sangue que causam inflamação no pulmão (pneumonia eosinofílica)</w:t>
      </w:r>
    </w:p>
    <w:p w14:paraId="1F46849A" w14:textId="77777777" w:rsidR="002B5FBC" w:rsidRPr="0063119B" w:rsidRDefault="002B5FBC" w:rsidP="00084D33">
      <w:pPr>
        <w:suppressAutoHyphens/>
        <w:rPr>
          <w:noProof/>
          <w:szCs w:val="22"/>
        </w:rPr>
      </w:pPr>
    </w:p>
    <w:p w14:paraId="01808720" w14:textId="77777777" w:rsidR="00084D33" w:rsidRPr="0063119B" w:rsidRDefault="00084D33" w:rsidP="00084D33">
      <w:pPr>
        <w:suppressAutoHyphens/>
        <w:rPr>
          <w:b/>
          <w:noProof/>
          <w:szCs w:val="22"/>
        </w:rPr>
      </w:pPr>
      <w:r w:rsidRPr="0063119B">
        <w:rPr>
          <w:b/>
          <w:noProof/>
          <w:szCs w:val="22"/>
        </w:rPr>
        <w:t xml:space="preserve">Desconhecido </w:t>
      </w:r>
      <w:r w:rsidRPr="0063119B">
        <w:rPr>
          <w:noProof/>
          <w:szCs w:val="22"/>
        </w:rPr>
        <w:t>(frequência não pode ser calculada a partir dos dados disponíveis)</w:t>
      </w:r>
    </w:p>
    <w:p w14:paraId="3ACC8B4D" w14:textId="77777777" w:rsidR="00B34EAD" w:rsidRDefault="00B34EAD" w:rsidP="00B34EAD">
      <w:pPr>
        <w:suppressAutoHyphens/>
        <w:rPr>
          <w:noProof/>
          <w:szCs w:val="22"/>
        </w:rPr>
      </w:pPr>
      <w:r w:rsidRPr="0063119B">
        <w:rPr>
          <w:noProof/>
          <w:szCs w:val="22"/>
        </w:rPr>
        <w:noBreakHyphen/>
        <w:t xml:space="preserve"> insuficiência renal após uma hemorragia grave</w:t>
      </w:r>
    </w:p>
    <w:p w14:paraId="5A5D90D2" w14:textId="0543FDE0" w:rsidR="007830B5" w:rsidRPr="0063119B" w:rsidRDefault="007830B5" w:rsidP="00C64655">
      <w:pPr>
        <w:suppressAutoHyphens/>
        <w:ind w:left="142" w:hanging="142"/>
        <w:rPr>
          <w:noProof/>
          <w:szCs w:val="22"/>
        </w:rPr>
      </w:pPr>
      <w:r>
        <w:t>- hemorragia no rim, por vezes com presença de sangue na urina, levando à incapacidade dos rins funcionarem adequadamente (nefropatia relacionada com anticoagulante)</w:t>
      </w:r>
    </w:p>
    <w:p w14:paraId="5408D70C" w14:textId="77777777" w:rsidR="00084D33" w:rsidRPr="0063119B" w:rsidRDefault="00084D33" w:rsidP="00084D33">
      <w:pPr>
        <w:suppressAutoHyphens/>
        <w:ind w:left="142" w:hanging="142"/>
        <w:rPr>
          <w:noProof/>
          <w:szCs w:val="22"/>
        </w:rPr>
      </w:pPr>
      <w:r w:rsidRPr="0063119B">
        <w:rPr>
          <w:noProof/>
          <w:szCs w:val="22"/>
        </w:rPr>
        <w:noBreakHyphen/>
        <w:t xml:space="preserve"> aumento da pressão nos músculos das suas pernas ou braços após uma hemorragia, que pode causar dor, inchaço, sensação alterada, adormecimento ou paralisia (síndrome compartimental após uma hemorragia)</w:t>
      </w:r>
    </w:p>
    <w:p w14:paraId="722ED700" w14:textId="77777777" w:rsidR="00E6468D" w:rsidRDefault="00E6468D" w:rsidP="00E6468D">
      <w:pPr>
        <w:suppressAutoHyphens/>
        <w:rPr>
          <w:noProof/>
          <w:szCs w:val="22"/>
        </w:rPr>
      </w:pPr>
    </w:p>
    <w:p w14:paraId="09FB0D92" w14:textId="77777777" w:rsidR="007852CF" w:rsidRPr="007852CF" w:rsidRDefault="007852CF" w:rsidP="007852CF">
      <w:pPr>
        <w:autoSpaceDE w:val="0"/>
        <w:autoSpaceDN w:val="0"/>
        <w:adjustRightInd w:val="0"/>
        <w:rPr>
          <w:color w:val="000000"/>
          <w:szCs w:val="22"/>
          <w:lang w:eastAsia="pt-PT"/>
        </w:rPr>
      </w:pPr>
      <w:r w:rsidRPr="007852CF">
        <w:rPr>
          <w:b/>
          <w:bCs/>
          <w:color w:val="000000"/>
          <w:szCs w:val="22"/>
          <w:lang w:eastAsia="pt-PT"/>
        </w:rPr>
        <w:t xml:space="preserve">Efeitos indesejáveis em crianças e adolescentes </w:t>
      </w:r>
    </w:p>
    <w:p w14:paraId="7F44432C" w14:textId="77777777" w:rsidR="007852CF" w:rsidRPr="007852CF" w:rsidRDefault="007852CF" w:rsidP="007852CF">
      <w:pPr>
        <w:autoSpaceDE w:val="0"/>
        <w:autoSpaceDN w:val="0"/>
        <w:adjustRightInd w:val="0"/>
        <w:rPr>
          <w:color w:val="000000"/>
          <w:szCs w:val="22"/>
          <w:lang w:eastAsia="pt-PT"/>
        </w:rPr>
      </w:pPr>
      <w:r w:rsidRPr="007852CF">
        <w:rPr>
          <w:color w:val="000000"/>
          <w:szCs w:val="22"/>
          <w:lang w:eastAsia="pt-PT"/>
        </w:rPr>
        <w:t xml:space="preserve">Em geral, os efeitos indesejáveis observados em crianças e adolescentes tratados com Rivaroxabano Accord foram semelhantes, em tipo, aos observados em adultos, e foram principalmente de intensidade ligeira a moderada. </w:t>
      </w:r>
    </w:p>
    <w:p w14:paraId="78D1E478" w14:textId="77777777" w:rsidR="007852CF" w:rsidRDefault="007852CF" w:rsidP="007852CF">
      <w:pPr>
        <w:autoSpaceDE w:val="0"/>
        <w:autoSpaceDN w:val="0"/>
        <w:adjustRightInd w:val="0"/>
        <w:rPr>
          <w:color w:val="000000"/>
          <w:szCs w:val="22"/>
          <w:lang w:eastAsia="pt-PT"/>
        </w:rPr>
      </w:pPr>
    </w:p>
    <w:p w14:paraId="2736C89B" w14:textId="77777777" w:rsidR="007852CF" w:rsidRPr="007852CF" w:rsidRDefault="007852CF" w:rsidP="007852CF">
      <w:pPr>
        <w:autoSpaceDE w:val="0"/>
        <w:autoSpaceDN w:val="0"/>
        <w:adjustRightInd w:val="0"/>
        <w:rPr>
          <w:color w:val="000000"/>
          <w:szCs w:val="22"/>
          <w:lang w:eastAsia="pt-PT"/>
        </w:rPr>
      </w:pPr>
      <w:r w:rsidRPr="007852CF">
        <w:rPr>
          <w:color w:val="000000"/>
          <w:szCs w:val="22"/>
          <w:lang w:eastAsia="pt-PT"/>
        </w:rPr>
        <w:t xml:space="preserve">Efeitos indesejáveis que foram mais frequentemente observados em crianças e adolescentes: </w:t>
      </w:r>
    </w:p>
    <w:p w14:paraId="7BBAA345" w14:textId="77777777" w:rsidR="007852CF" w:rsidRDefault="007852CF" w:rsidP="007852CF">
      <w:pPr>
        <w:autoSpaceDE w:val="0"/>
        <w:autoSpaceDN w:val="0"/>
        <w:adjustRightInd w:val="0"/>
        <w:rPr>
          <w:b/>
          <w:bCs/>
          <w:color w:val="000000"/>
          <w:szCs w:val="22"/>
          <w:lang w:eastAsia="pt-PT"/>
        </w:rPr>
      </w:pPr>
    </w:p>
    <w:p w14:paraId="42167A6A" w14:textId="77777777" w:rsidR="007852CF" w:rsidRPr="007852CF" w:rsidRDefault="007852CF" w:rsidP="007852CF">
      <w:pPr>
        <w:autoSpaceDE w:val="0"/>
        <w:autoSpaceDN w:val="0"/>
        <w:adjustRightInd w:val="0"/>
        <w:rPr>
          <w:color w:val="000000"/>
          <w:szCs w:val="22"/>
          <w:lang w:eastAsia="pt-PT"/>
        </w:rPr>
      </w:pPr>
      <w:r w:rsidRPr="007852CF">
        <w:rPr>
          <w:b/>
          <w:bCs/>
          <w:color w:val="000000"/>
          <w:szCs w:val="22"/>
          <w:lang w:eastAsia="pt-PT"/>
        </w:rPr>
        <w:t xml:space="preserve">Muito frequentes </w:t>
      </w:r>
      <w:r w:rsidRPr="007852CF">
        <w:rPr>
          <w:color w:val="000000"/>
          <w:szCs w:val="22"/>
          <w:lang w:eastAsia="pt-PT"/>
        </w:rPr>
        <w:t xml:space="preserve">(podem afetar mais de 1 em 10 pessoas) </w:t>
      </w:r>
    </w:p>
    <w:p w14:paraId="73630128" w14:textId="77777777" w:rsidR="007852CF" w:rsidRPr="007852CF" w:rsidRDefault="007852CF" w:rsidP="007852CF">
      <w:pPr>
        <w:autoSpaceDE w:val="0"/>
        <w:autoSpaceDN w:val="0"/>
        <w:adjustRightInd w:val="0"/>
        <w:rPr>
          <w:color w:val="000000"/>
          <w:szCs w:val="22"/>
          <w:lang w:eastAsia="pt-PT"/>
        </w:rPr>
      </w:pPr>
      <w:r w:rsidRPr="007852CF">
        <w:rPr>
          <w:rFonts w:ascii="Arial" w:hAnsi="Arial" w:cs="Arial"/>
          <w:color w:val="000000"/>
          <w:szCs w:val="22"/>
          <w:lang w:eastAsia="pt-PT"/>
        </w:rPr>
        <w:t xml:space="preserve">- </w:t>
      </w:r>
      <w:r w:rsidRPr="007852CF">
        <w:rPr>
          <w:color w:val="000000"/>
          <w:szCs w:val="22"/>
          <w:lang w:eastAsia="pt-PT"/>
        </w:rPr>
        <w:t xml:space="preserve">dores de cabeça, </w:t>
      </w:r>
    </w:p>
    <w:p w14:paraId="383054C4" w14:textId="77777777" w:rsidR="007852CF" w:rsidRPr="007852CF" w:rsidRDefault="007852CF" w:rsidP="007852CF">
      <w:pPr>
        <w:autoSpaceDE w:val="0"/>
        <w:autoSpaceDN w:val="0"/>
        <w:adjustRightInd w:val="0"/>
        <w:rPr>
          <w:color w:val="000000"/>
          <w:szCs w:val="22"/>
          <w:lang w:eastAsia="pt-PT"/>
        </w:rPr>
      </w:pPr>
      <w:r w:rsidRPr="007852CF">
        <w:rPr>
          <w:rFonts w:ascii="Arial" w:hAnsi="Arial" w:cs="Arial"/>
          <w:color w:val="000000"/>
          <w:szCs w:val="22"/>
          <w:lang w:eastAsia="pt-PT"/>
        </w:rPr>
        <w:t xml:space="preserve">- </w:t>
      </w:r>
      <w:r w:rsidRPr="007852CF">
        <w:rPr>
          <w:color w:val="000000"/>
          <w:szCs w:val="22"/>
          <w:lang w:eastAsia="pt-PT"/>
        </w:rPr>
        <w:t xml:space="preserve">febre, </w:t>
      </w:r>
    </w:p>
    <w:p w14:paraId="3130B926" w14:textId="77777777" w:rsidR="007852CF" w:rsidRPr="007852CF" w:rsidRDefault="007852CF" w:rsidP="007852CF">
      <w:pPr>
        <w:autoSpaceDE w:val="0"/>
        <w:autoSpaceDN w:val="0"/>
        <w:adjustRightInd w:val="0"/>
        <w:rPr>
          <w:color w:val="000000"/>
          <w:szCs w:val="22"/>
          <w:lang w:eastAsia="pt-PT"/>
        </w:rPr>
      </w:pPr>
      <w:r w:rsidRPr="007852CF">
        <w:rPr>
          <w:rFonts w:ascii="Arial" w:hAnsi="Arial" w:cs="Arial"/>
          <w:color w:val="000000"/>
          <w:szCs w:val="22"/>
          <w:lang w:eastAsia="pt-PT"/>
        </w:rPr>
        <w:t xml:space="preserve">- </w:t>
      </w:r>
      <w:r w:rsidRPr="007852CF">
        <w:rPr>
          <w:color w:val="000000"/>
          <w:szCs w:val="22"/>
          <w:lang w:eastAsia="pt-PT"/>
        </w:rPr>
        <w:t xml:space="preserve">hemorragia pelo nariz, </w:t>
      </w:r>
    </w:p>
    <w:p w14:paraId="353BA765" w14:textId="77777777" w:rsidR="007852CF" w:rsidRPr="007852CF" w:rsidRDefault="007852CF" w:rsidP="007852CF">
      <w:pPr>
        <w:autoSpaceDE w:val="0"/>
        <w:autoSpaceDN w:val="0"/>
        <w:adjustRightInd w:val="0"/>
        <w:rPr>
          <w:color w:val="000000"/>
          <w:szCs w:val="22"/>
          <w:lang w:eastAsia="pt-PT"/>
        </w:rPr>
      </w:pPr>
      <w:r w:rsidRPr="007852CF">
        <w:rPr>
          <w:rFonts w:ascii="Arial" w:hAnsi="Arial" w:cs="Arial"/>
          <w:color w:val="000000"/>
          <w:szCs w:val="22"/>
          <w:lang w:eastAsia="pt-PT"/>
        </w:rPr>
        <w:t xml:space="preserve">- </w:t>
      </w:r>
      <w:r w:rsidRPr="007852CF">
        <w:rPr>
          <w:color w:val="000000"/>
          <w:szCs w:val="22"/>
          <w:lang w:eastAsia="pt-PT"/>
        </w:rPr>
        <w:t xml:space="preserve">vómitos </w:t>
      </w:r>
    </w:p>
    <w:p w14:paraId="4C919732" w14:textId="77777777" w:rsidR="007852CF" w:rsidRPr="007852CF" w:rsidRDefault="007852CF" w:rsidP="007852CF">
      <w:pPr>
        <w:autoSpaceDE w:val="0"/>
        <w:autoSpaceDN w:val="0"/>
        <w:adjustRightInd w:val="0"/>
        <w:rPr>
          <w:color w:val="000000"/>
          <w:szCs w:val="22"/>
          <w:lang w:eastAsia="pt-PT"/>
        </w:rPr>
      </w:pPr>
    </w:p>
    <w:p w14:paraId="08623A46" w14:textId="77777777" w:rsidR="007852CF" w:rsidRPr="007852CF" w:rsidRDefault="007852CF" w:rsidP="007852CF">
      <w:pPr>
        <w:autoSpaceDE w:val="0"/>
        <w:autoSpaceDN w:val="0"/>
        <w:adjustRightInd w:val="0"/>
        <w:rPr>
          <w:color w:val="000000"/>
          <w:szCs w:val="22"/>
          <w:lang w:eastAsia="pt-PT"/>
        </w:rPr>
      </w:pPr>
      <w:r w:rsidRPr="007852CF">
        <w:rPr>
          <w:b/>
          <w:bCs/>
          <w:color w:val="000000"/>
          <w:szCs w:val="22"/>
          <w:lang w:eastAsia="pt-PT"/>
        </w:rPr>
        <w:t xml:space="preserve">Frequentes </w:t>
      </w:r>
      <w:r w:rsidRPr="007852CF">
        <w:rPr>
          <w:color w:val="000000"/>
          <w:szCs w:val="22"/>
          <w:lang w:eastAsia="pt-PT"/>
        </w:rPr>
        <w:t xml:space="preserve">(podem afetar até 1 em 10 pessoas) </w:t>
      </w:r>
    </w:p>
    <w:p w14:paraId="3B62527E" w14:textId="77777777" w:rsidR="007852CF" w:rsidRPr="007852CF" w:rsidRDefault="007852CF" w:rsidP="007852CF">
      <w:pPr>
        <w:autoSpaceDE w:val="0"/>
        <w:autoSpaceDN w:val="0"/>
        <w:adjustRightInd w:val="0"/>
        <w:rPr>
          <w:color w:val="000000"/>
          <w:szCs w:val="22"/>
          <w:lang w:eastAsia="pt-PT"/>
        </w:rPr>
      </w:pPr>
      <w:r w:rsidRPr="007852CF">
        <w:rPr>
          <w:rFonts w:ascii="Arial" w:hAnsi="Arial" w:cs="Arial"/>
          <w:color w:val="000000"/>
          <w:szCs w:val="22"/>
          <w:lang w:eastAsia="pt-PT"/>
        </w:rPr>
        <w:t xml:space="preserve">- </w:t>
      </w:r>
      <w:r w:rsidRPr="007852CF">
        <w:rPr>
          <w:color w:val="000000"/>
          <w:szCs w:val="22"/>
          <w:lang w:eastAsia="pt-PT"/>
        </w:rPr>
        <w:t xml:space="preserve">aumento do batimento cardíaco, </w:t>
      </w:r>
    </w:p>
    <w:p w14:paraId="4603750E" w14:textId="77777777" w:rsidR="007852CF" w:rsidRPr="007852CF" w:rsidRDefault="007852CF" w:rsidP="007852CF">
      <w:pPr>
        <w:autoSpaceDE w:val="0"/>
        <w:autoSpaceDN w:val="0"/>
        <w:adjustRightInd w:val="0"/>
        <w:rPr>
          <w:color w:val="000000"/>
          <w:szCs w:val="22"/>
          <w:lang w:eastAsia="pt-PT"/>
        </w:rPr>
      </w:pPr>
      <w:r w:rsidRPr="007852CF">
        <w:rPr>
          <w:rFonts w:ascii="Arial" w:hAnsi="Arial" w:cs="Arial"/>
          <w:color w:val="000000"/>
          <w:szCs w:val="22"/>
          <w:lang w:eastAsia="pt-PT"/>
        </w:rPr>
        <w:t xml:space="preserve">- </w:t>
      </w:r>
      <w:r w:rsidRPr="007852CF">
        <w:rPr>
          <w:color w:val="000000"/>
          <w:szCs w:val="22"/>
          <w:lang w:eastAsia="pt-PT"/>
        </w:rPr>
        <w:t xml:space="preserve">as análises ao sangue poderão revelar um aumento da bilirrubina (pigmento da bílis) </w:t>
      </w:r>
    </w:p>
    <w:p w14:paraId="0DAE664B" w14:textId="77777777" w:rsidR="007852CF" w:rsidRPr="007852CF" w:rsidRDefault="007852CF" w:rsidP="007852CF">
      <w:pPr>
        <w:autoSpaceDE w:val="0"/>
        <w:autoSpaceDN w:val="0"/>
        <w:adjustRightInd w:val="0"/>
        <w:rPr>
          <w:color w:val="000000"/>
          <w:szCs w:val="22"/>
          <w:lang w:eastAsia="pt-PT"/>
        </w:rPr>
      </w:pPr>
      <w:r w:rsidRPr="007852CF">
        <w:rPr>
          <w:rFonts w:ascii="Arial" w:hAnsi="Arial" w:cs="Arial"/>
          <w:color w:val="000000"/>
          <w:szCs w:val="22"/>
          <w:lang w:eastAsia="pt-PT"/>
        </w:rPr>
        <w:t xml:space="preserve">- </w:t>
      </w:r>
      <w:r w:rsidRPr="007852CF">
        <w:rPr>
          <w:color w:val="000000"/>
          <w:szCs w:val="22"/>
          <w:lang w:eastAsia="pt-PT"/>
        </w:rPr>
        <w:t xml:space="preserve">trombocitopenia (número baixo de plaquetas que são as células que ajudam o sangue a coagular) </w:t>
      </w:r>
    </w:p>
    <w:p w14:paraId="7696F44E" w14:textId="77777777" w:rsidR="007852CF" w:rsidRPr="007852CF" w:rsidRDefault="007852CF" w:rsidP="007852CF">
      <w:pPr>
        <w:autoSpaceDE w:val="0"/>
        <w:autoSpaceDN w:val="0"/>
        <w:adjustRightInd w:val="0"/>
        <w:rPr>
          <w:color w:val="000000"/>
          <w:szCs w:val="22"/>
          <w:lang w:eastAsia="pt-PT"/>
        </w:rPr>
      </w:pPr>
      <w:r w:rsidRPr="007852CF">
        <w:rPr>
          <w:rFonts w:ascii="Arial" w:hAnsi="Arial" w:cs="Arial"/>
          <w:color w:val="000000"/>
          <w:szCs w:val="22"/>
          <w:lang w:eastAsia="pt-PT"/>
        </w:rPr>
        <w:t xml:space="preserve">- </w:t>
      </w:r>
      <w:r w:rsidRPr="007852CF">
        <w:rPr>
          <w:color w:val="000000"/>
          <w:szCs w:val="22"/>
          <w:lang w:eastAsia="pt-PT"/>
        </w:rPr>
        <w:t xml:space="preserve">hemorragia menstrual intensa </w:t>
      </w:r>
    </w:p>
    <w:p w14:paraId="182742DC" w14:textId="77777777" w:rsidR="007852CF" w:rsidRPr="007852CF" w:rsidRDefault="007852CF" w:rsidP="007852CF">
      <w:pPr>
        <w:autoSpaceDE w:val="0"/>
        <w:autoSpaceDN w:val="0"/>
        <w:adjustRightInd w:val="0"/>
        <w:rPr>
          <w:color w:val="000000"/>
          <w:szCs w:val="22"/>
          <w:lang w:eastAsia="pt-PT"/>
        </w:rPr>
      </w:pPr>
    </w:p>
    <w:p w14:paraId="353CA267" w14:textId="77777777" w:rsidR="007852CF" w:rsidRPr="007852CF" w:rsidRDefault="007852CF" w:rsidP="007852CF">
      <w:pPr>
        <w:autoSpaceDE w:val="0"/>
        <w:autoSpaceDN w:val="0"/>
        <w:adjustRightInd w:val="0"/>
        <w:rPr>
          <w:color w:val="000000"/>
          <w:szCs w:val="22"/>
          <w:lang w:eastAsia="pt-PT"/>
        </w:rPr>
      </w:pPr>
      <w:r w:rsidRPr="007852CF">
        <w:rPr>
          <w:b/>
          <w:bCs/>
          <w:color w:val="000000"/>
          <w:szCs w:val="22"/>
          <w:lang w:eastAsia="pt-PT"/>
        </w:rPr>
        <w:lastRenderedPageBreak/>
        <w:t xml:space="preserve">Pouco frequentes </w:t>
      </w:r>
      <w:r w:rsidRPr="007852CF">
        <w:rPr>
          <w:color w:val="000000"/>
          <w:szCs w:val="22"/>
          <w:lang w:eastAsia="pt-PT"/>
        </w:rPr>
        <w:t xml:space="preserve">(podem afetar até 1 em 100 pessoas) </w:t>
      </w:r>
    </w:p>
    <w:p w14:paraId="722F10E6" w14:textId="77777777" w:rsidR="007852CF" w:rsidRPr="007852CF" w:rsidRDefault="007852CF" w:rsidP="007852CF">
      <w:pPr>
        <w:autoSpaceDE w:val="0"/>
        <w:autoSpaceDN w:val="0"/>
        <w:adjustRightInd w:val="0"/>
        <w:rPr>
          <w:color w:val="000000"/>
          <w:szCs w:val="22"/>
          <w:lang w:eastAsia="pt-PT"/>
        </w:rPr>
      </w:pPr>
      <w:r w:rsidRPr="007852CF">
        <w:rPr>
          <w:rFonts w:ascii="Arial" w:hAnsi="Arial" w:cs="Arial"/>
          <w:color w:val="000000"/>
          <w:szCs w:val="22"/>
          <w:lang w:eastAsia="pt-PT"/>
        </w:rPr>
        <w:t xml:space="preserve">- </w:t>
      </w:r>
      <w:r w:rsidRPr="007852CF">
        <w:rPr>
          <w:color w:val="000000"/>
          <w:szCs w:val="22"/>
          <w:lang w:eastAsia="pt-PT"/>
        </w:rPr>
        <w:t xml:space="preserve">as análises ao sangue poderão revelar um aumento numa subcategoria da bilirrubina (bilirrubina direta, pigmento da bílis) </w:t>
      </w:r>
    </w:p>
    <w:p w14:paraId="12A82C56" w14:textId="77777777" w:rsidR="007852CF" w:rsidRPr="0063119B" w:rsidRDefault="007852CF" w:rsidP="00E6468D">
      <w:pPr>
        <w:suppressAutoHyphens/>
        <w:rPr>
          <w:noProof/>
          <w:szCs w:val="22"/>
        </w:rPr>
      </w:pPr>
    </w:p>
    <w:p w14:paraId="58B99E8E" w14:textId="77777777" w:rsidR="00084D33" w:rsidRPr="0063119B" w:rsidRDefault="00E6468D" w:rsidP="00084D33">
      <w:pPr>
        <w:suppressAutoHyphens/>
        <w:rPr>
          <w:b/>
          <w:szCs w:val="22"/>
        </w:rPr>
      </w:pPr>
      <w:r w:rsidRPr="0063119B">
        <w:rPr>
          <w:b/>
          <w:noProof/>
          <w:szCs w:val="22"/>
        </w:rPr>
        <w:t xml:space="preserve">Comunicação de efeitos </w:t>
      </w:r>
      <w:r w:rsidR="00654D4F" w:rsidRPr="0063119B">
        <w:rPr>
          <w:b/>
          <w:noProof/>
          <w:szCs w:val="22"/>
        </w:rPr>
        <w:t>indesejáveis</w:t>
      </w:r>
    </w:p>
    <w:p w14:paraId="64049A15" w14:textId="77777777" w:rsidR="00084D33" w:rsidRPr="0063119B" w:rsidRDefault="00084D33" w:rsidP="00084D33">
      <w:pPr>
        <w:suppressAutoHyphens/>
        <w:rPr>
          <w:noProof/>
          <w:szCs w:val="22"/>
        </w:rPr>
      </w:pPr>
      <w:r w:rsidRPr="0063119B">
        <w:rPr>
          <w:noProof/>
          <w:szCs w:val="22"/>
        </w:rPr>
        <w:t xml:space="preserve">Se tiver quaisquer </w:t>
      </w:r>
      <w:r w:rsidR="001A6F2C" w:rsidRPr="0063119B">
        <w:rPr>
          <w:noProof/>
          <w:szCs w:val="22"/>
        </w:rPr>
        <w:t>e</w:t>
      </w:r>
      <w:r w:rsidRPr="0063119B">
        <w:rPr>
          <w:noProof/>
          <w:szCs w:val="22"/>
        </w:rPr>
        <w:t xml:space="preserve">feitos </w:t>
      </w:r>
      <w:r w:rsidR="00654D4F" w:rsidRPr="0063119B">
        <w:rPr>
          <w:noProof/>
          <w:szCs w:val="22"/>
        </w:rPr>
        <w:t>indesejáveis</w:t>
      </w:r>
      <w:r w:rsidRPr="0063119B">
        <w:rPr>
          <w:noProof/>
          <w:szCs w:val="22"/>
        </w:rPr>
        <w:t xml:space="preserve">, incluindo possíveis efeitos </w:t>
      </w:r>
      <w:r w:rsidR="00654D4F" w:rsidRPr="0063119B">
        <w:rPr>
          <w:noProof/>
          <w:szCs w:val="22"/>
        </w:rPr>
        <w:t>indesejáveis</w:t>
      </w:r>
      <w:r w:rsidRPr="0063119B">
        <w:rPr>
          <w:noProof/>
          <w:szCs w:val="22"/>
        </w:rPr>
        <w:t xml:space="preserve"> não indicados neste folheto, fale com o seu médico ou farmacêutico.</w:t>
      </w:r>
      <w:r w:rsidR="00E6468D" w:rsidRPr="0063119B">
        <w:rPr>
          <w:noProof/>
          <w:szCs w:val="22"/>
        </w:rPr>
        <w:t xml:space="preserve"> </w:t>
      </w:r>
      <w:r w:rsidR="00E6468D" w:rsidRPr="0063119B">
        <w:rPr>
          <w:szCs w:val="22"/>
        </w:rPr>
        <w:t xml:space="preserve">Também poderá comunicar efeitos </w:t>
      </w:r>
      <w:r w:rsidR="00654D4F" w:rsidRPr="0063119B">
        <w:rPr>
          <w:noProof/>
          <w:szCs w:val="22"/>
        </w:rPr>
        <w:t>indesejáveis</w:t>
      </w:r>
      <w:r w:rsidR="00E6468D" w:rsidRPr="0063119B">
        <w:rPr>
          <w:szCs w:val="22"/>
        </w:rPr>
        <w:t xml:space="preserve"> diretamente através </w:t>
      </w:r>
      <w:r w:rsidR="00E6468D" w:rsidRPr="0063119B">
        <w:rPr>
          <w:szCs w:val="22"/>
          <w:highlight w:val="lightGray"/>
        </w:rPr>
        <w:t xml:space="preserve">do sistema nacional de notificação mencionado no </w:t>
      </w:r>
      <w:hyperlink r:id="rId27" w:history="1">
        <w:r w:rsidR="00E6468D" w:rsidRPr="0063119B">
          <w:rPr>
            <w:rStyle w:val="Hyperlink"/>
            <w:szCs w:val="22"/>
            <w:highlight w:val="lightGray"/>
          </w:rPr>
          <w:t>Apêndice V</w:t>
        </w:r>
      </w:hyperlink>
      <w:r w:rsidR="00E6468D" w:rsidRPr="0063119B">
        <w:rPr>
          <w:szCs w:val="22"/>
        </w:rPr>
        <w:t xml:space="preserve">. Ao comunicar efeitos </w:t>
      </w:r>
      <w:r w:rsidR="00654D4F" w:rsidRPr="0063119B">
        <w:rPr>
          <w:noProof/>
          <w:szCs w:val="22"/>
        </w:rPr>
        <w:t>indesejáveis</w:t>
      </w:r>
      <w:r w:rsidR="00E6468D" w:rsidRPr="0063119B">
        <w:rPr>
          <w:szCs w:val="22"/>
        </w:rPr>
        <w:t>, estará a ajudar a fornecer mais informações sobre a segurança deste medicamento.</w:t>
      </w:r>
    </w:p>
    <w:p w14:paraId="1F97F212" w14:textId="77777777" w:rsidR="00084D33" w:rsidRPr="0063119B" w:rsidRDefault="00084D33" w:rsidP="00084D33">
      <w:pPr>
        <w:suppressAutoHyphens/>
        <w:rPr>
          <w:noProof/>
          <w:szCs w:val="22"/>
        </w:rPr>
      </w:pPr>
    </w:p>
    <w:p w14:paraId="232E593C" w14:textId="77777777" w:rsidR="00084D33" w:rsidRPr="0063119B" w:rsidRDefault="00084D33" w:rsidP="00084D33">
      <w:pPr>
        <w:suppressAutoHyphens/>
        <w:rPr>
          <w:b/>
          <w:noProof/>
          <w:szCs w:val="22"/>
        </w:rPr>
      </w:pPr>
    </w:p>
    <w:p w14:paraId="44220B38" w14:textId="77777777" w:rsidR="00084D33" w:rsidRPr="0063119B" w:rsidRDefault="00084D33" w:rsidP="00084D33">
      <w:pPr>
        <w:suppressAutoHyphens/>
        <w:rPr>
          <w:noProof/>
          <w:szCs w:val="22"/>
        </w:rPr>
      </w:pPr>
      <w:r w:rsidRPr="0063119B">
        <w:rPr>
          <w:b/>
          <w:noProof/>
          <w:szCs w:val="22"/>
        </w:rPr>
        <w:t>5.</w:t>
      </w:r>
      <w:r w:rsidRPr="0063119B">
        <w:rPr>
          <w:b/>
          <w:noProof/>
          <w:szCs w:val="22"/>
        </w:rPr>
        <w:tab/>
        <w:t xml:space="preserve">Como conservar </w:t>
      </w:r>
      <w:r w:rsidR="00607DE4">
        <w:rPr>
          <w:b/>
          <w:noProof/>
          <w:szCs w:val="22"/>
        </w:rPr>
        <w:t>Rivaroxabano</w:t>
      </w:r>
      <w:r w:rsidR="001F7D02" w:rsidRPr="0063119B">
        <w:rPr>
          <w:b/>
          <w:noProof/>
          <w:szCs w:val="22"/>
        </w:rPr>
        <w:t xml:space="preserve"> Accord</w:t>
      </w:r>
    </w:p>
    <w:p w14:paraId="69153490" w14:textId="77777777" w:rsidR="00084D33" w:rsidRPr="0063119B" w:rsidRDefault="00084D33" w:rsidP="00084D33">
      <w:pPr>
        <w:suppressAutoHyphens/>
        <w:rPr>
          <w:noProof/>
          <w:szCs w:val="22"/>
        </w:rPr>
      </w:pPr>
    </w:p>
    <w:p w14:paraId="6D8E749E" w14:textId="77777777" w:rsidR="00084D33" w:rsidRPr="0063119B" w:rsidRDefault="00084D33" w:rsidP="00084D33">
      <w:pPr>
        <w:suppressAutoHyphens/>
        <w:rPr>
          <w:noProof/>
          <w:szCs w:val="22"/>
        </w:rPr>
      </w:pPr>
      <w:r w:rsidRPr="0063119B">
        <w:rPr>
          <w:noProof/>
          <w:szCs w:val="22"/>
        </w:rPr>
        <w:t>Manter este medicamento fora da vista e do alcance das crianças.</w:t>
      </w:r>
    </w:p>
    <w:p w14:paraId="0D1CB85A" w14:textId="77777777" w:rsidR="00084D33" w:rsidRPr="0063119B" w:rsidRDefault="00084D33" w:rsidP="00084D33">
      <w:pPr>
        <w:suppressAutoHyphens/>
        <w:rPr>
          <w:noProof/>
          <w:szCs w:val="22"/>
        </w:rPr>
      </w:pPr>
    </w:p>
    <w:p w14:paraId="21D91E5A" w14:textId="77777777" w:rsidR="00084D33" w:rsidRPr="0063119B" w:rsidRDefault="00084D33" w:rsidP="00084D33">
      <w:pPr>
        <w:suppressAutoHyphens/>
        <w:rPr>
          <w:noProof/>
          <w:szCs w:val="22"/>
        </w:rPr>
      </w:pPr>
      <w:r w:rsidRPr="0063119B">
        <w:rPr>
          <w:noProof/>
          <w:szCs w:val="22"/>
        </w:rPr>
        <w:t xml:space="preserve">Não utilize este medicamento após o prazo de validade impresso na embalagem exterior e em cada blister </w:t>
      </w:r>
      <w:r w:rsidR="00B34EAD" w:rsidRPr="0063119B">
        <w:rPr>
          <w:noProof/>
          <w:szCs w:val="22"/>
        </w:rPr>
        <w:t xml:space="preserve">ou frasco </w:t>
      </w:r>
      <w:r w:rsidRPr="0063119B">
        <w:rPr>
          <w:noProof/>
          <w:szCs w:val="22"/>
        </w:rPr>
        <w:t>após EXP. O prazo de validade corresponde ao último dia do mês indicado.</w:t>
      </w:r>
    </w:p>
    <w:p w14:paraId="216E2B61" w14:textId="77777777" w:rsidR="00084D33" w:rsidRPr="0063119B" w:rsidRDefault="00084D33" w:rsidP="00084D33">
      <w:pPr>
        <w:suppressAutoHyphens/>
        <w:rPr>
          <w:noProof/>
          <w:szCs w:val="22"/>
        </w:rPr>
      </w:pPr>
    </w:p>
    <w:p w14:paraId="1A82E30F" w14:textId="77777777" w:rsidR="00084D33" w:rsidRPr="0063119B" w:rsidRDefault="00084D33" w:rsidP="00084D33">
      <w:pPr>
        <w:suppressAutoHyphens/>
        <w:rPr>
          <w:noProof/>
          <w:szCs w:val="22"/>
        </w:rPr>
      </w:pPr>
      <w:r w:rsidRPr="0063119B">
        <w:rPr>
          <w:noProof/>
          <w:szCs w:val="22"/>
        </w:rPr>
        <w:t>Este medicamento não necessita de condições especiais de conservação.</w:t>
      </w:r>
    </w:p>
    <w:p w14:paraId="2A4D807B" w14:textId="77777777" w:rsidR="00084D33" w:rsidRDefault="00084D33" w:rsidP="00084D33">
      <w:pPr>
        <w:suppressAutoHyphens/>
        <w:rPr>
          <w:noProof/>
          <w:szCs w:val="22"/>
        </w:rPr>
      </w:pPr>
    </w:p>
    <w:p w14:paraId="7A46B3D7" w14:textId="77777777" w:rsidR="00DB02C3" w:rsidRPr="00DB02C3" w:rsidRDefault="00DB02C3" w:rsidP="00DB02C3">
      <w:pPr>
        <w:autoSpaceDE w:val="0"/>
        <w:autoSpaceDN w:val="0"/>
        <w:adjustRightInd w:val="0"/>
        <w:rPr>
          <w:color w:val="000000"/>
          <w:szCs w:val="22"/>
          <w:lang w:eastAsia="pt-PT"/>
        </w:rPr>
      </w:pPr>
      <w:r w:rsidRPr="00DB02C3">
        <w:rPr>
          <w:color w:val="000000"/>
          <w:szCs w:val="22"/>
          <w:lang w:eastAsia="pt-PT"/>
        </w:rPr>
        <w:t xml:space="preserve">Trituração dos comprimidos </w:t>
      </w:r>
    </w:p>
    <w:p w14:paraId="056E320D" w14:textId="77777777" w:rsidR="00DB02C3" w:rsidRDefault="00DB02C3" w:rsidP="00DB02C3">
      <w:pPr>
        <w:suppressAutoHyphens/>
        <w:rPr>
          <w:color w:val="000000"/>
          <w:szCs w:val="22"/>
          <w:lang w:eastAsia="pt-PT"/>
        </w:rPr>
      </w:pPr>
      <w:r w:rsidRPr="00DB02C3">
        <w:rPr>
          <w:color w:val="000000"/>
          <w:szCs w:val="22"/>
          <w:lang w:eastAsia="pt-PT"/>
        </w:rPr>
        <w:t>Os comprimidos triturados são estáveis em água ou puré de maçã até 4 horas.</w:t>
      </w:r>
    </w:p>
    <w:p w14:paraId="6F82C269" w14:textId="77777777" w:rsidR="00DB02C3" w:rsidRPr="0063119B" w:rsidRDefault="00DB02C3" w:rsidP="00DB02C3">
      <w:pPr>
        <w:suppressAutoHyphens/>
        <w:rPr>
          <w:noProof/>
          <w:szCs w:val="22"/>
        </w:rPr>
      </w:pPr>
    </w:p>
    <w:p w14:paraId="06691E00" w14:textId="77777777" w:rsidR="00084D33" w:rsidRPr="0063119B" w:rsidRDefault="00084D33" w:rsidP="00084D33">
      <w:pPr>
        <w:suppressAutoHyphens/>
        <w:rPr>
          <w:noProof/>
          <w:szCs w:val="22"/>
        </w:rPr>
      </w:pPr>
      <w:r w:rsidRPr="0063119B">
        <w:rPr>
          <w:noProof/>
          <w:szCs w:val="22"/>
        </w:rPr>
        <w:t>Não deite fora quaisquer medicamentos na canalização ou no lixo doméstico. Pergunte ao seu farmacêutico como deitar fora os medicamentos que já não utiliza. Estas medidas ajudarão a proteger o ambiente.</w:t>
      </w:r>
    </w:p>
    <w:p w14:paraId="09B09030" w14:textId="77777777" w:rsidR="00084D33" w:rsidRPr="0063119B" w:rsidRDefault="00084D33" w:rsidP="00084D33">
      <w:pPr>
        <w:suppressAutoHyphens/>
        <w:ind w:left="567" w:hanging="567"/>
        <w:rPr>
          <w:b/>
          <w:noProof/>
          <w:szCs w:val="22"/>
        </w:rPr>
      </w:pPr>
    </w:p>
    <w:p w14:paraId="55983F07" w14:textId="77777777" w:rsidR="00084D33" w:rsidRPr="0063119B" w:rsidRDefault="00084D33" w:rsidP="00084D33">
      <w:pPr>
        <w:suppressAutoHyphens/>
        <w:ind w:left="567" w:hanging="567"/>
        <w:rPr>
          <w:b/>
          <w:noProof/>
          <w:szCs w:val="22"/>
        </w:rPr>
      </w:pPr>
    </w:p>
    <w:p w14:paraId="4CB6D538" w14:textId="77777777" w:rsidR="00084D33" w:rsidRPr="0063119B" w:rsidRDefault="00084D33" w:rsidP="00DA6697">
      <w:pPr>
        <w:keepNext/>
        <w:suppressAutoHyphens/>
        <w:rPr>
          <w:b/>
          <w:noProof/>
          <w:szCs w:val="22"/>
        </w:rPr>
      </w:pPr>
      <w:r w:rsidRPr="0063119B">
        <w:rPr>
          <w:b/>
          <w:noProof/>
          <w:szCs w:val="22"/>
        </w:rPr>
        <w:t>6.</w:t>
      </w:r>
      <w:r w:rsidRPr="0063119B">
        <w:rPr>
          <w:b/>
          <w:noProof/>
          <w:szCs w:val="22"/>
        </w:rPr>
        <w:tab/>
      </w:r>
      <w:r w:rsidRPr="0063119B">
        <w:rPr>
          <w:b/>
          <w:szCs w:val="22"/>
        </w:rPr>
        <w:t xml:space="preserve">Conteúdo da embalagem e </w:t>
      </w:r>
      <w:r w:rsidRPr="0063119B">
        <w:rPr>
          <w:b/>
          <w:noProof/>
          <w:szCs w:val="22"/>
        </w:rPr>
        <w:t>outras informações</w:t>
      </w:r>
    </w:p>
    <w:p w14:paraId="1D1EB1D8" w14:textId="77777777" w:rsidR="00084D33" w:rsidRPr="0063119B" w:rsidRDefault="00084D33" w:rsidP="00DA6697">
      <w:pPr>
        <w:keepNext/>
        <w:suppressAutoHyphens/>
        <w:rPr>
          <w:noProof/>
          <w:szCs w:val="22"/>
        </w:rPr>
      </w:pPr>
    </w:p>
    <w:p w14:paraId="3D995F8B" w14:textId="77777777" w:rsidR="00084D33" w:rsidRPr="0063119B" w:rsidRDefault="00084D33" w:rsidP="00DA6697">
      <w:pPr>
        <w:keepNext/>
        <w:suppressAutoHyphens/>
        <w:rPr>
          <w:b/>
          <w:bCs/>
          <w:noProof/>
          <w:szCs w:val="22"/>
        </w:rPr>
      </w:pPr>
      <w:r w:rsidRPr="0063119B">
        <w:rPr>
          <w:b/>
          <w:bCs/>
          <w:noProof/>
          <w:szCs w:val="22"/>
        </w:rPr>
        <w:t xml:space="preserve">Qual a composição de </w:t>
      </w:r>
      <w:r w:rsidR="00607DE4">
        <w:rPr>
          <w:b/>
          <w:bCs/>
          <w:noProof/>
          <w:szCs w:val="22"/>
        </w:rPr>
        <w:t>Rivaroxabano</w:t>
      </w:r>
      <w:r w:rsidR="001F7D02" w:rsidRPr="0063119B">
        <w:rPr>
          <w:b/>
          <w:bCs/>
          <w:noProof/>
          <w:szCs w:val="22"/>
        </w:rPr>
        <w:t xml:space="preserve"> Accord</w:t>
      </w:r>
    </w:p>
    <w:p w14:paraId="3FF33A8D" w14:textId="77777777" w:rsidR="00084D33" w:rsidRPr="0063119B" w:rsidRDefault="00084D33" w:rsidP="00084D33">
      <w:pPr>
        <w:numPr>
          <w:ilvl w:val="0"/>
          <w:numId w:val="1"/>
        </w:numPr>
        <w:suppressAutoHyphens/>
        <w:ind w:left="567" w:hanging="567"/>
        <w:rPr>
          <w:noProof/>
          <w:szCs w:val="22"/>
        </w:rPr>
      </w:pPr>
      <w:r w:rsidRPr="0063119B">
        <w:rPr>
          <w:noProof/>
          <w:szCs w:val="22"/>
        </w:rPr>
        <w:t>A substância ativa é o rivaroxabano. Cada comprimido contém 15 ou 20 mg de rivaroxabano.</w:t>
      </w:r>
    </w:p>
    <w:p w14:paraId="711A1201" w14:textId="77777777" w:rsidR="00084D33" w:rsidRPr="0063119B" w:rsidRDefault="00084D33" w:rsidP="00084D33">
      <w:pPr>
        <w:numPr>
          <w:ilvl w:val="0"/>
          <w:numId w:val="1"/>
        </w:numPr>
        <w:suppressAutoHyphens/>
        <w:ind w:left="567" w:hanging="567"/>
        <w:rPr>
          <w:noProof/>
          <w:szCs w:val="22"/>
        </w:rPr>
      </w:pPr>
      <w:r w:rsidRPr="0063119B">
        <w:rPr>
          <w:noProof/>
          <w:szCs w:val="22"/>
        </w:rPr>
        <w:t>Os outros componentes são:</w:t>
      </w:r>
    </w:p>
    <w:p w14:paraId="1031A7F4" w14:textId="77777777" w:rsidR="00D64F59" w:rsidRPr="0063119B" w:rsidRDefault="00D64F59" w:rsidP="00D64F59">
      <w:pPr>
        <w:suppressAutoHyphens/>
        <w:rPr>
          <w:noProof/>
          <w:szCs w:val="22"/>
        </w:rPr>
      </w:pPr>
    </w:p>
    <w:p w14:paraId="5C04EB38" w14:textId="77777777" w:rsidR="00D64F59" w:rsidRPr="0063119B" w:rsidRDefault="00084D33" w:rsidP="00D64F59">
      <w:pPr>
        <w:suppressAutoHyphens/>
        <w:rPr>
          <w:noProof/>
          <w:szCs w:val="22"/>
        </w:rPr>
      </w:pPr>
      <w:r w:rsidRPr="0063119B">
        <w:rPr>
          <w:noProof/>
          <w:szCs w:val="22"/>
          <w:u w:val="single"/>
        </w:rPr>
        <w:t>Núcleo do comprimido</w:t>
      </w:r>
    </w:p>
    <w:p w14:paraId="43C0AA4C" w14:textId="77777777" w:rsidR="00D64F59" w:rsidRPr="0063119B" w:rsidRDefault="00D64F59" w:rsidP="00D64F59">
      <w:pPr>
        <w:suppressAutoHyphens/>
        <w:rPr>
          <w:noProof/>
          <w:szCs w:val="22"/>
        </w:rPr>
      </w:pPr>
    </w:p>
    <w:p w14:paraId="5151EF1D" w14:textId="77777777" w:rsidR="00D64F59" w:rsidRPr="0063119B" w:rsidRDefault="00D64F59" w:rsidP="00D64F59">
      <w:pPr>
        <w:keepNext/>
        <w:suppressAutoHyphens/>
        <w:rPr>
          <w:noProof/>
          <w:szCs w:val="22"/>
        </w:rPr>
      </w:pPr>
      <w:r w:rsidRPr="0063119B">
        <w:rPr>
          <w:noProof/>
          <w:szCs w:val="22"/>
        </w:rPr>
        <w:t>Lactose mono-hidratada</w:t>
      </w:r>
    </w:p>
    <w:p w14:paraId="4F4F0CA4" w14:textId="77777777" w:rsidR="00D64F59" w:rsidRPr="0063119B" w:rsidRDefault="00D64F59" w:rsidP="00D64F59">
      <w:pPr>
        <w:keepNext/>
        <w:suppressAutoHyphens/>
        <w:rPr>
          <w:noProof/>
          <w:szCs w:val="22"/>
        </w:rPr>
      </w:pPr>
      <w:r w:rsidRPr="0063119B">
        <w:rPr>
          <w:noProof/>
          <w:szCs w:val="22"/>
        </w:rPr>
        <w:t>Croscarmelose sódica (E468)</w:t>
      </w:r>
    </w:p>
    <w:p w14:paraId="26A4D901" w14:textId="77777777" w:rsidR="00D64F59" w:rsidRPr="0063119B" w:rsidRDefault="00D64F59" w:rsidP="00D64F59">
      <w:pPr>
        <w:keepNext/>
        <w:suppressAutoHyphens/>
        <w:rPr>
          <w:noProof/>
          <w:szCs w:val="22"/>
        </w:rPr>
      </w:pPr>
      <w:r w:rsidRPr="0063119B">
        <w:rPr>
          <w:noProof/>
          <w:szCs w:val="22"/>
        </w:rPr>
        <w:t>Laurilsulfato de sódio (E487)</w:t>
      </w:r>
    </w:p>
    <w:p w14:paraId="1D25C4A5" w14:textId="77777777" w:rsidR="00D64F59" w:rsidRPr="0063119B" w:rsidRDefault="00D64F59" w:rsidP="00D64F59">
      <w:pPr>
        <w:keepNext/>
        <w:suppressAutoHyphens/>
        <w:rPr>
          <w:noProof/>
          <w:szCs w:val="22"/>
        </w:rPr>
      </w:pPr>
      <w:r w:rsidRPr="0063119B">
        <w:rPr>
          <w:noProof/>
          <w:szCs w:val="22"/>
        </w:rPr>
        <w:t xml:space="preserve">Hipromelose </w:t>
      </w:r>
      <w:r w:rsidR="00F57713" w:rsidRPr="0063119B">
        <w:rPr>
          <w:noProof/>
          <w:szCs w:val="22"/>
        </w:rPr>
        <w:t xml:space="preserve">2910 (viscosidade nominal 5,1 mPa.S) </w:t>
      </w:r>
      <w:r w:rsidRPr="0063119B">
        <w:rPr>
          <w:noProof/>
          <w:szCs w:val="22"/>
        </w:rPr>
        <w:t>(E464)</w:t>
      </w:r>
    </w:p>
    <w:p w14:paraId="4CF5BA25" w14:textId="77777777" w:rsidR="00D64F59" w:rsidRPr="0063119B" w:rsidRDefault="00D64F59" w:rsidP="00D64F59">
      <w:pPr>
        <w:keepNext/>
        <w:suppressAutoHyphens/>
        <w:rPr>
          <w:noProof/>
          <w:szCs w:val="22"/>
        </w:rPr>
      </w:pPr>
      <w:r w:rsidRPr="0063119B">
        <w:rPr>
          <w:noProof/>
          <w:szCs w:val="22"/>
        </w:rPr>
        <w:t>Celulose microcristalina (E460)</w:t>
      </w:r>
    </w:p>
    <w:p w14:paraId="09F2ECDE" w14:textId="77777777" w:rsidR="00D64F59" w:rsidRPr="0063119B" w:rsidRDefault="00D64F59" w:rsidP="00D64F59">
      <w:pPr>
        <w:keepNext/>
        <w:suppressAutoHyphens/>
        <w:rPr>
          <w:noProof/>
          <w:szCs w:val="22"/>
        </w:rPr>
      </w:pPr>
      <w:r w:rsidRPr="0063119B">
        <w:rPr>
          <w:noProof/>
          <w:szCs w:val="22"/>
        </w:rPr>
        <w:t>Sílica coloidal anidra (E551)</w:t>
      </w:r>
    </w:p>
    <w:p w14:paraId="4775C8CE" w14:textId="77777777" w:rsidR="00D64F59" w:rsidRPr="0063119B" w:rsidRDefault="00D64F59" w:rsidP="00D64F59">
      <w:pPr>
        <w:keepNext/>
        <w:suppressAutoHyphens/>
        <w:rPr>
          <w:noProof/>
          <w:szCs w:val="22"/>
        </w:rPr>
      </w:pPr>
      <w:r w:rsidRPr="0063119B">
        <w:rPr>
          <w:noProof/>
          <w:szCs w:val="22"/>
        </w:rPr>
        <w:t>Estearato de magnésio (E572)</w:t>
      </w:r>
    </w:p>
    <w:p w14:paraId="0CA55D9B" w14:textId="77777777" w:rsidR="00C25E99" w:rsidRPr="0063119B" w:rsidRDefault="00C25E99" w:rsidP="000B293C">
      <w:pPr>
        <w:suppressAutoHyphens/>
        <w:rPr>
          <w:noProof/>
          <w:szCs w:val="22"/>
        </w:rPr>
      </w:pPr>
    </w:p>
    <w:p w14:paraId="3F04C3D2" w14:textId="77777777" w:rsidR="00084D33" w:rsidRPr="0063119B" w:rsidRDefault="00084D33" w:rsidP="00D64F59">
      <w:pPr>
        <w:suppressAutoHyphens/>
        <w:rPr>
          <w:noProof/>
          <w:szCs w:val="22"/>
        </w:rPr>
      </w:pPr>
      <w:r w:rsidRPr="0063119B">
        <w:rPr>
          <w:noProof/>
          <w:szCs w:val="22"/>
          <w:u w:val="single"/>
        </w:rPr>
        <w:t xml:space="preserve">Revestimento </w:t>
      </w:r>
      <w:r w:rsidR="00687BD2" w:rsidRPr="0063119B">
        <w:rPr>
          <w:noProof/>
          <w:szCs w:val="22"/>
          <w:u w:val="single"/>
        </w:rPr>
        <w:t>por película</w:t>
      </w:r>
    </w:p>
    <w:p w14:paraId="34D93831" w14:textId="77777777" w:rsidR="00C25E99" w:rsidRPr="0063119B" w:rsidRDefault="00C25E99" w:rsidP="00D64F59">
      <w:pPr>
        <w:suppressAutoHyphens/>
        <w:rPr>
          <w:noProof/>
          <w:szCs w:val="22"/>
        </w:rPr>
      </w:pPr>
    </w:p>
    <w:p w14:paraId="0C4D6EAB" w14:textId="77777777" w:rsidR="00C25E99" w:rsidRPr="0063119B" w:rsidRDefault="00C25E99" w:rsidP="00C25E99">
      <w:pPr>
        <w:suppressAutoHyphens/>
        <w:rPr>
          <w:noProof/>
          <w:szCs w:val="22"/>
        </w:rPr>
      </w:pPr>
      <w:r w:rsidRPr="0063119B">
        <w:rPr>
          <w:noProof/>
          <w:szCs w:val="22"/>
        </w:rPr>
        <w:t>Macrogol 4000 (E1521)</w:t>
      </w:r>
    </w:p>
    <w:p w14:paraId="119B58CF" w14:textId="77777777" w:rsidR="00C25E99" w:rsidRPr="0063119B" w:rsidRDefault="00C25E99" w:rsidP="00C25E99">
      <w:pPr>
        <w:suppressAutoHyphens/>
        <w:rPr>
          <w:noProof/>
          <w:szCs w:val="22"/>
        </w:rPr>
      </w:pPr>
      <w:r w:rsidRPr="0063119B">
        <w:rPr>
          <w:noProof/>
          <w:szCs w:val="22"/>
        </w:rPr>
        <w:t>Hipromelose</w:t>
      </w:r>
      <w:r w:rsidR="00F57713" w:rsidRPr="0063119B">
        <w:rPr>
          <w:noProof/>
          <w:szCs w:val="22"/>
        </w:rPr>
        <w:t xml:space="preserve"> 2910 (viscosidade nominal 5,1 mPa.S)</w:t>
      </w:r>
      <w:r w:rsidRPr="0063119B">
        <w:rPr>
          <w:noProof/>
          <w:szCs w:val="22"/>
        </w:rPr>
        <w:t xml:space="preserve"> (E464)</w:t>
      </w:r>
    </w:p>
    <w:p w14:paraId="0FAACA01" w14:textId="77777777" w:rsidR="00C25E99" w:rsidRPr="0063119B" w:rsidRDefault="00C25E99" w:rsidP="00C25E99">
      <w:pPr>
        <w:suppressAutoHyphens/>
        <w:rPr>
          <w:noProof/>
          <w:szCs w:val="22"/>
        </w:rPr>
      </w:pPr>
      <w:r w:rsidRPr="0063119B">
        <w:rPr>
          <w:noProof/>
          <w:szCs w:val="22"/>
        </w:rPr>
        <w:t>Dióxido de titânio (E171)</w:t>
      </w:r>
    </w:p>
    <w:p w14:paraId="261442CF" w14:textId="77777777" w:rsidR="00C25E99" w:rsidRPr="0063119B" w:rsidRDefault="00C25E99" w:rsidP="000B293C">
      <w:pPr>
        <w:suppressAutoHyphens/>
        <w:rPr>
          <w:noProof/>
          <w:szCs w:val="22"/>
        </w:rPr>
      </w:pPr>
      <w:r w:rsidRPr="0063119B">
        <w:rPr>
          <w:noProof/>
          <w:szCs w:val="22"/>
        </w:rPr>
        <w:t>Óxido de ferro vermelho (E172)</w:t>
      </w:r>
    </w:p>
    <w:p w14:paraId="7253CCBF" w14:textId="77777777" w:rsidR="00084D33" w:rsidRPr="0063119B" w:rsidRDefault="00084D33" w:rsidP="000B293C">
      <w:pPr>
        <w:suppressAutoHyphens/>
        <w:rPr>
          <w:noProof/>
          <w:szCs w:val="22"/>
        </w:rPr>
      </w:pPr>
    </w:p>
    <w:p w14:paraId="13E2BB84" w14:textId="77777777" w:rsidR="00084D33" w:rsidRPr="0063119B" w:rsidRDefault="00084D33" w:rsidP="00084D33">
      <w:pPr>
        <w:suppressAutoHyphens/>
        <w:rPr>
          <w:b/>
          <w:bCs/>
          <w:noProof/>
          <w:szCs w:val="22"/>
        </w:rPr>
      </w:pPr>
      <w:r w:rsidRPr="0063119B">
        <w:rPr>
          <w:b/>
          <w:bCs/>
          <w:noProof/>
          <w:szCs w:val="22"/>
        </w:rPr>
        <w:t xml:space="preserve">Qual o aspeto de </w:t>
      </w:r>
      <w:r w:rsidR="00607DE4">
        <w:rPr>
          <w:b/>
          <w:bCs/>
          <w:noProof/>
          <w:szCs w:val="22"/>
        </w:rPr>
        <w:t>Rivaroxabano</w:t>
      </w:r>
      <w:r w:rsidR="001F7D02" w:rsidRPr="0063119B">
        <w:rPr>
          <w:b/>
          <w:bCs/>
          <w:noProof/>
          <w:szCs w:val="22"/>
        </w:rPr>
        <w:t xml:space="preserve"> Accord</w:t>
      </w:r>
      <w:r w:rsidRPr="0063119B">
        <w:rPr>
          <w:b/>
          <w:bCs/>
          <w:noProof/>
          <w:szCs w:val="22"/>
        </w:rPr>
        <w:t xml:space="preserve"> e conteúdo da embalagem</w:t>
      </w:r>
    </w:p>
    <w:p w14:paraId="7C4081CE" w14:textId="77777777" w:rsidR="00084D33" w:rsidRPr="0063119B" w:rsidRDefault="00607DE4" w:rsidP="00084D33">
      <w:pPr>
        <w:suppressAutoHyphens/>
        <w:rPr>
          <w:noProof/>
          <w:szCs w:val="22"/>
        </w:rPr>
      </w:pPr>
      <w:r>
        <w:rPr>
          <w:noProof/>
          <w:szCs w:val="22"/>
        </w:rPr>
        <w:t>Rivaroxabano</w:t>
      </w:r>
      <w:r w:rsidR="001F7D02" w:rsidRPr="0063119B">
        <w:rPr>
          <w:noProof/>
          <w:szCs w:val="22"/>
        </w:rPr>
        <w:t xml:space="preserve"> Accord</w:t>
      </w:r>
      <w:r w:rsidR="00084D33" w:rsidRPr="0063119B">
        <w:rPr>
          <w:noProof/>
          <w:szCs w:val="22"/>
        </w:rPr>
        <w:t xml:space="preserve"> 15 mg comprimidos revestidos por película são comprimidos </w:t>
      </w:r>
      <w:r w:rsidR="009F175B" w:rsidRPr="0063119B">
        <w:rPr>
          <w:noProof/>
          <w:szCs w:val="22"/>
        </w:rPr>
        <w:t xml:space="preserve">revestidos por película, biconvexos, redondos, com aproximadamente 5,00 mm de diâmetro, </w:t>
      </w:r>
      <w:r w:rsidR="00084D33" w:rsidRPr="0063119B">
        <w:rPr>
          <w:noProof/>
          <w:szCs w:val="22"/>
        </w:rPr>
        <w:t xml:space="preserve">de cor vermelha, </w:t>
      </w:r>
      <w:r w:rsidR="009F175B" w:rsidRPr="0063119B">
        <w:rPr>
          <w:noProof/>
          <w:szCs w:val="22"/>
        </w:rPr>
        <w:t>com a gravação”IL” numa das faces e lisos na outra face.</w:t>
      </w:r>
    </w:p>
    <w:p w14:paraId="51C0A748" w14:textId="77777777" w:rsidR="00B34EAD" w:rsidRPr="0063119B" w:rsidRDefault="00607DE4" w:rsidP="00084D33">
      <w:pPr>
        <w:suppressAutoHyphens/>
        <w:rPr>
          <w:noProof/>
          <w:szCs w:val="22"/>
        </w:rPr>
      </w:pPr>
      <w:r>
        <w:rPr>
          <w:noProof/>
          <w:szCs w:val="22"/>
        </w:rPr>
        <w:t>Rivaroxabano</w:t>
      </w:r>
      <w:r w:rsidR="009F175B" w:rsidRPr="0063119B">
        <w:rPr>
          <w:noProof/>
          <w:szCs w:val="22"/>
        </w:rPr>
        <w:t xml:space="preserve"> Accord comprimidos revestidos por película são acondicionados em blisters de PVC transparente/alumínio disponíveis:</w:t>
      </w:r>
    </w:p>
    <w:p w14:paraId="66DE6147" w14:textId="77777777" w:rsidR="00B34EAD" w:rsidRPr="0063119B" w:rsidRDefault="00B34EAD" w:rsidP="00084D33">
      <w:pPr>
        <w:suppressAutoHyphens/>
        <w:rPr>
          <w:noProof/>
          <w:szCs w:val="22"/>
        </w:rPr>
      </w:pPr>
      <w:r w:rsidRPr="0063119B">
        <w:rPr>
          <w:noProof/>
          <w:szCs w:val="22"/>
        </w:rPr>
        <w:lastRenderedPageBreak/>
        <w:t>-</w:t>
      </w:r>
      <w:r w:rsidRPr="0063119B">
        <w:rPr>
          <w:noProof/>
          <w:szCs w:val="22"/>
        </w:rPr>
        <w:tab/>
      </w:r>
      <w:r w:rsidR="00084D33" w:rsidRPr="0063119B">
        <w:rPr>
          <w:noProof/>
          <w:szCs w:val="22"/>
        </w:rPr>
        <w:t xml:space="preserve">em blisters </w:t>
      </w:r>
      <w:r w:rsidR="00943737" w:rsidRPr="0063119B">
        <w:rPr>
          <w:noProof/>
          <w:szCs w:val="22"/>
        </w:rPr>
        <w:t xml:space="preserve">10, </w:t>
      </w:r>
      <w:r w:rsidR="00084D33" w:rsidRPr="0063119B">
        <w:rPr>
          <w:noProof/>
          <w:szCs w:val="22"/>
        </w:rPr>
        <w:t xml:space="preserve">14, 28, </w:t>
      </w:r>
      <w:r w:rsidR="009F175B" w:rsidRPr="0063119B">
        <w:rPr>
          <w:noProof/>
          <w:szCs w:val="22"/>
        </w:rPr>
        <w:t xml:space="preserve">30, </w:t>
      </w:r>
      <w:r w:rsidR="00084D33" w:rsidRPr="0063119B">
        <w:rPr>
          <w:noProof/>
          <w:szCs w:val="22"/>
        </w:rPr>
        <w:t>42</w:t>
      </w:r>
      <w:r w:rsidR="009F175B" w:rsidRPr="0063119B">
        <w:rPr>
          <w:noProof/>
          <w:szCs w:val="22"/>
        </w:rPr>
        <w:t>, 48, 56, 90, 98</w:t>
      </w:r>
      <w:r w:rsidR="00084D33" w:rsidRPr="0063119B">
        <w:rPr>
          <w:noProof/>
          <w:szCs w:val="22"/>
        </w:rPr>
        <w:t xml:space="preserve"> ou </w:t>
      </w:r>
      <w:r w:rsidR="009F175B" w:rsidRPr="0063119B">
        <w:rPr>
          <w:noProof/>
          <w:szCs w:val="22"/>
        </w:rPr>
        <w:t>100</w:t>
      </w:r>
      <w:r w:rsidR="00084D33" w:rsidRPr="0063119B">
        <w:rPr>
          <w:noProof/>
          <w:szCs w:val="22"/>
        </w:rPr>
        <w:t xml:space="preserve"> comprimidos ou </w:t>
      </w:r>
    </w:p>
    <w:p w14:paraId="7C46BEC0" w14:textId="77777777" w:rsidR="009F175B" w:rsidRPr="0063119B" w:rsidRDefault="00B34EAD" w:rsidP="00084D33">
      <w:pPr>
        <w:suppressAutoHyphens/>
        <w:rPr>
          <w:noProof/>
          <w:szCs w:val="22"/>
        </w:rPr>
      </w:pPr>
      <w:r w:rsidRPr="0063119B">
        <w:rPr>
          <w:noProof/>
          <w:szCs w:val="22"/>
        </w:rPr>
        <w:t>-</w:t>
      </w:r>
      <w:r w:rsidRPr="0063119B">
        <w:rPr>
          <w:noProof/>
          <w:szCs w:val="22"/>
        </w:rPr>
        <w:tab/>
      </w:r>
      <w:r w:rsidR="00084D33" w:rsidRPr="0063119B">
        <w:rPr>
          <w:noProof/>
          <w:szCs w:val="22"/>
        </w:rPr>
        <w:t xml:space="preserve">em blisters </w:t>
      </w:r>
      <w:r w:rsidR="009F175B" w:rsidRPr="0063119B">
        <w:rPr>
          <w:noProof/>
          <w:szCs w:val="22"/>
        </w:rPr>
        <w:t xml:space="preserve">perfurados </w:t>
      </w:r>
      <w:r w:rsidR="00084D33" w:rsidRPr="0063119B">
        <w:rPr>
          <w:noProof/>
          <w:szCs w:val="22"/>
        </w:rPr>
        <w:t>para dose unitária de 10 x 1  ou 100 x 1 </w:t>
      </w:r>
      <w:r w:rsidR="009F175B" w:rsidRPr="0063119B">
        <w:rPr>
          <w:noProof/>
          <w:szCs w:val="22"/>
        </w:rPr>
        <w:t>comprimidos.</w:t>
      </w:r>
    </w:p>
    <w:p w14:paraId="4110C369" w14:textId="77777777" w:rsidR="00084D33" w:rsidRPr="0063119B" w:rsidRDefault="00607DE4" w:rsidP="00084D33">
      <w:pPr>
        <w:suppressAutoHyphens/>
        <w:rPr>
          <w:noProof/>
          <w:szCs w:val="22"/>
        </w:rPr>
      </w:pPr>
      <w:r>
        <w:rPr>
          <w:noProof/>
          <w:szCs w:val="22"/>
        </w:rPr>
        <w:t>Rivaroxabano</w:t>
      </w:r>
      <w:r w:rsidR="009F175B" w:rsidRPr="0063119B">
        <w:rPr>
          <w:noProof/>
          <w:szCs w:val="22"/>
        </w:rPr>
        <w:t xml:space="preserve"> Accord comprimidos revestidos por película também estão disponíveis </w:t>
      </w:r>
      <w:r w:rsidR="00524548" w:rsidRPr="0063119B">
        <w:rPr>
          <w:noProof/>
          <w:szCs w:val="22"/>
        </w:rPr>
        <w:t xml:space="preserve">em frascos </w:t>
      </w:r>
      <w:r w:rsidR="00191206" w:rsidRPr="0063119B">
        <w:rPr>
          <w:noProof/>
          <w:szCs w:val="22"/>
        </w:rPr>
        <w:t>de</w:t>
      </w:r>
      <w:r w:rsidR="00524548" w:rsidRPr="0063119B">
        <w:rPr>
          <w:noProof/>
          <w:szCs w:val="22"/>
        </w:rPr>
        <w:t xml:space="preserve"> </w:t>
      </w:r>
      <w:r w:rsidR="009F175B" w:rsidRPr="0063119B">
        <w:rPr>
          <w:noProof/>
          <w:szCs w:val="22"/>
        </w:rPr>
        <w:t>PEAD contendo 30, 90 ou 500 </w:t>
      </w:r>
      <w:r w:rsidR="00524548" w:rsidRPr="0063119B">
        <w:rPr>
          <w:noProof/>
          <w:szCs w:val="22"/>
        </w:rPr>
        <w:t>comprimidos</w:t>
      </w:r>
      <w:r w:rsidR="00084D33" w:rsidRPr="0063119B">
        <w:rPr>
          <w:noProof/>
          <w:szCs w:val="22"/>
        </w:rPr>
        <w:t>.</w:t>
      </w:r>
    </w:p>
    <w:p w14:paraId="3B257022" w14:textId="77777777" w:rsidR="00084D33" w:rsidRPr="0063119B" w:rsidRDefault="00084D33" w:rsidP="00084D33">
      <w:pPr>
        <w:suppressAutoHyphens/>
        <w:rPr>
          <w:noProof/>
          <w:szCs w:val="22"/>
        </w:rPr>
      </w:pPr>
    </w:p>
    <w:p w14:paraId="264B8BCA" w14:textId="77777777" w:rsidR="00084D33" w:rsidRPr="0063119B" w:rsidRDefault="00607DE4" w:rsidP="009F175B">
      <w:pPr>
        <w:suppressAutoHyphens/>
        <w:rPr>
          <w:noProof/>
          <w:szCs w:val="22"/>
        </w:rPr>
      </w:pPr>
      <w:r>
        <w:rPr>
          <w:noProof/>
          <w:szCs w:val="22"/>
        </w:rPr>
        <w:t>Rivaroxabano</w:t>
      </w:r>
      <w:r w:rsidR="001F7D02" w:rsidRPr="0063119B">
        <w:rPr>
          <w:noProof/>
          <w:szCs w:val="22"/>
        </w:rPr>
        <w:t xml:space="preserve"> Accord</w:t>
      </w:r>
      <w:r w:rsidR="00084D33" w:rsidRPr="0063119B">
        <w:rPr>
          <w:noProof/>
          <w:szCs w:val="22"/>
        </w:rPr>
        <w:t xml:space="preserve"> 20 mg comprimidos revestidos por película são comprimidos </w:t>
      </w:r>
      <w:r w:rsidR="009F175B" w:rsidRPr="0063119B">
        <w:rPr>
          <w:noProof/>
          <w:szCs w:val="22"/>
        </w:rPr>
        <w:t xml:space="preserve">revestidos por película, biconvexos, redondos, com aproximadamente 6,00 mm de diâmetro, </w:t>
      </w:r>
      <w:r w:rsidR="00084D33" w:rsidRPr="0063119B">
        <w:rPr>
          <w:noProof/>
          <w:szCs w:val="22"/>
        </w:rPr>
        <w:t xml:space="preserve">de cor vermelho acastanhado, </w:t>
      </w:r>
      <w:r w:rsidR="009F175B" w:rsidRPr="0063119B">
        <w:rPr>
          <w:noProof/>
          <w:szCs w:val="22"/>
        </w:rPr>
        <w:t>com a gravação”IL3” numa das faces e lisos na outra face.</w:t>
      </w:r>
    </w:p>
    <w:p w14:paraId="3B3E8A24" w14:textId="77777777" w:rsidR="00075965" w:rsidRPr="0063119B" w:rsidRDefault="00607DE4" w:rsidP="009F175B">
      <w:pPr>
        <w:suppressAutoHyphens/>
        <w:rPr>
          <w:noProof/>
          <w:szCs w:val="22"/>
        </w:rPr>
      </w:pPr>
      <w:r>
        <w:rPr>
          <w:noProof/>
          <w:szCs w:val="22"/>
        </w:rPr>
        <w:t>Rivaroxabano</w:t>
      </w:r>
      <w:r w:rsidR="009F175B" w:rsidRPr="0063119B">
        <w:rPr>
          <w:noProof/>
          <w:szCs w:val="22"/>
        </w:rPr>
        <w:t xml:space="preserve"> Accord comprimidos revestidos por película são acondicionados em blisters de PVC transparente/alumínio disponíveis:</w:t>
      </w:r>
    </w:p>
    <w:p w14:paraId="69466509" w14:textId="77777777" w:rsidR="00075965" w:rsidRPr="0063119B" w:rsidRDefault="00075965" w:rsidP="00084D33">
      <w:pPr>
        <w:suppressAutoHyphens/>
        <w:rPr>
          <w:noProof/>
          <w:szCs w:val="22"/>
        </w:rPr>
      </w:pPr>
      <w:r w:rsidRPr="0063119B">
        <w:rPr>
          <w:noProof/>
          <w:szCs w:val="22"/>
        </w:rPr>
        <w:t>-</w:t>
      </w:r>
      <w:r w:rsidRPr="0063119B">
        <w:rPr>
          <w:noProof/>
          <w:szCs w:val="22"/>
        </w:rPr>
        <w:tab/>
      </w:r>
      <w:r w:rsidR="00084D33" w:rsidRPr="0063119B">
        <w:rPr>
          <w:noProof/>
          <w:szCs w:val="22"/>
        </w:rPr>
        <w:t xml:space="preserve">em blisters de </w:t>
      </w:r>
      <w:r w:rsidR="00943737" w:rsidRPr="0063119B">
        <w:rPr>
          <w:noProof/>
          <w:szCs w:val="22"/>
        </w:rPr>
        <w:t xml:space="preserve">10, </w:t>
      </w:r>
      <w:r w:rsidR="00084D33" w:rsidRPr="0063119B">
        <w:rPr>
          <w:noProof/>
          <w:szCs w:val="22"/>
        </w:rPr>
        <w:t>14, 28</w:t>
      </w:r>
      <w:r w:rsidR="009F175B" w:rsidRPr="0063119B">
        <w:rPr>
          <w:noProof/>
          <w:szCs w:val="22"/>
        </w:rPr>
        <w:t>, 30, 42, 48, 56, 90, 98</w:t>
      </w:r>
      <w:r w:rsidR="00084D33" w:rsidRPr="0063119B">
        <w:rPr>
          <w:noProof/>
          <w:szCs w:val="22"/>
        </w:rPr>
        <w:t xml:space="preserve"> ou </w:t>
      </w:r>
      <w:r w:rsidR="009F175B" w:rsidRPr="0063119B">
        <w:rPr>
          <w:noProof/>
          <w:szCs w:val="22"/>
        </w:rPr>
        <w:t>100</w:t>
      </w:r>
      <w:r w:rsidR="00084D33" w:rsidRPr="0063119B">
        <w:rPr>
          <w:noProof/>
          <w:szCs w:val="22"/>
        </w:rPr>
        <w:t xml:space="preserve"> comprimidos ou </w:t>
      </w:r>
    </w:p>
    <w:p w14:paraId="4C9F01EE" w14:textId="77777777" w:rsidR="009F175B" w:rsidRPr="0063119B" w:rsidRDefault="00075965" w:rsidP="00084D33">
      <w:pPr>
        <w:suppressAutoHyphens/>
        <w:rPr>
          <w:noProof/>
          <w:szCs w:val="22"/>
        </w:rPr>
      </w:pPr>
      <w:r w:rsidRPr="0063119B">
        <w:rPr>
          <w:noProof/>
          <w:szCs w:val="22"/>
        </w:rPr>
        <w:t>-</w:t>
      </w:r>
      <w:r w:rsidRPr="0063119B">
        <w:rPr>
          <w:noProof/>
          <w:szCs w:val="22"/>
        </w:rPr>
        <w:tab/>
      </w:r>
      <w:r w:rsidR="00084D33" w:rsidRPr="0063119B">
        <w:rPr>
          <w:noProof/>
          <w:szCs w:val="22"/>
        </w:rPr>
        <w:t xml:space="preserve">em blisters </w:t>
      </w:r>
      <w:r w:rsidR="009F175B" w:rsidRPr="0063119B">
        <w:rPr>
          <w:noProof/>
          <w:szCs w:val="22"/>
        </w:rPr>
        <w:t xml:space="preserve">perfurados </w:t>
      </w:r>
      <w:r w:rsidR="00084D33" w:rsidRPr="0063119B">
        <w:rPr>
          <w:noProof/>
          <w:szCs w:val="22"/>
        </w:rPr>
        <w:t xml:space="preserve">para dose unitária de 10 x 1 ou 100 x 1 </w:t>
      </w:r>
      <w:r w:rsidR="009F175B" w:rsidRPr="0063119B">
        <w:rPr>
          <w:noProof/>
          <w:szCs w:val="22"/>
        </w:rPr>
        <w:t>comprimidos.</w:t>
      </w:r>
    </w:p>
    <w:p w14:paraId="0B19E460" w14:textId="77777777" w:rsidR="00084D33" w:rsidRPr="0063119B" w:rsidRDefault="00607DE4" w:rsidP="00084D33">
      <w:pPr>
        <w:suppressAutoHyphens/>
        <w:rPr>
          <w:noProof/>
          <w:szCs w:val="22"/>
        </w:rPr>
      </w:pPr>
      <w:r>
        <w:rPr>
          <w:noProof/>
          <w:szCs w:val="22"/>
        </w:rPr>
        <w:t>Rivaroxabano</w:t>
      </w:r>
      <w:r w:rsidR="00BE4EA8" w:rsidRPr="0063119B">
        <w:rPr>
          <w:noProof/>
          <w:szCs w:val="22"/>
        </w:rPr>
        <w:t xml:space="preserve"> Accord comprimidos revestidos por película também estão disponíveis </w:t>
      </w:r>
      <w:r w:rsidR="00524548" w:rsidRPr="0063119B">
        <w:rPr>
          <w:noProof/>
          <w:szCs w:val="22"/>
        </w:rPr>
        <w:t xml:space="preserve">em frascos </w:t>
      </w:r>
      <w:r w:rsidR="00191206" w:rsidRPr="0063119B">
        <w:rPr>
          <w:noProof/>
          <w:szCs w:val="22"/>
        </w:rPr>
        <w:t>de</w:t>
      </w:r>
      <w:r w:rsidR="00524548" w:rsidRPr="0063119B">
        <w:rPr>
          <w:noProof/>
          <w:szCs w:val="22"/>
        </w:rPr>
        <w:t xml:space="preserve"> </w:t>
      </w:r>
      <w:r w:rsidR="00BE4EA8" w:rsidRPr="0063119B">
        <w:rPr>
          <w:noProof/>
          <w:szCs w:val="22"/>
        </w:rPr>
        <w:t>PEAD contendo</w:t>
      </w:r>
      <w:r w:rsidR="00524548" w:rsidRPr="0063119B">
        <w:rPr>
          <w:noProof/>
          <w:szCs w:val="22"/>
        </w:rPr>
        <w:t xml:space="preserve"> </w:t>
      </w:r>
      <w:r w:rsidR="00BE4EA8" w:rsidRPr="0063119B">
        <w:rPr>
          <w:noProof/>
          <w:szCs w:val="22"/>
        </w:rPr>
        <w:t>30, 90 ou 500 </w:t>
      </w:r>
      <w:r w:rsidR="00524548" w:rsidRPr="0063119B">
        <w:rPr>
          <w:noProof/>
          <w:szCs w:val="22"/>
        </w:rPr>
        <w:t>comprimidos</w:t>
      </w:r>
      <w:r w:rsidR="00084D33" w:rsidRPr="0063119B">
        <w:rPr>
          <w:noProof/>
          <w:szCs w:val="22"/>
        </w:rPr>
        <w:t>.</w:t>
      </w:r>
    </w:p>
    <w:p w14:paraId="7B5AF357" w14:textId="77777777" w:rsidR="00084D33" w:rsidRPr="0063119B" w:rsidRDefault="00084D33" w:rsidP="00084D33">
      <w:pPr>
        <w:suppressAutoHyphens/>
        <w:rPr>
          <w:noProof/>
          <w:szCs w:val="22"/>
        </w:rPr>
      </w:pPr>
    </w:p>
    <w:p w14:paraId="6B3640D9" w14:textId="77777777" w:rsidR="00084D33" w:rsidRPr="0063119B" w:rsidRDefault="00084D33" w:rsidP="00084D33">
      <w:pPr>
        <w:suppressAutoHyphens/>
        <w:rPr>
          <w:noProof/>
          <w:szCs w:val="22"/>
        </w:rPr>
      </w:pPr>
      <w:r w:rsidRPr="0063119B">
        <w:rPr>
          <w:noProof/>
          <w:szCs w:val="22"/>
        </w:rPr>
        <w:t>É possível que não sejam comercializadas todas as apresentações.</w:t>
      </w:r>
    </w:p>
    <w:p w14:paraId="1B62A292" w14:textId="77777777" w:rsidR="00084D33" w:rsidRPr="0063119B" w:rsidRDefault="00084D33" w:rsidP="00084D33">
      <w:pPr>
        <w:numPr>
          <w:ilvl w:val="12"/>
          <w:numId w:val="0"/>
        </w:numPr>
        <w:suppressAutoHyphens/>
        <w:rPr>
          <w:noProof/>
          <w:szCs w:val="22"/>
        </w:rPr>
      </w:pPr>
    </w:p>
    <w:p w14:paraId="32037782" w14:textId="77777777" w:rsidR="00084D33" w:rsidRPr="0063119B" w:rsidRDefault="00084D33" w:rsidP="00084D33">
      <w:pPr>
        <w:keepNext/>
        <w:suppressAutoHyphens/>
        <w:rPr>
          <w:b/>
          <w:bCs/>
          <w:noProof/>
          <w:szCs w:val="22"/>
        </w:rPr>
      </w:pPr>
      <w:r w:rsidRPr="0063119B">
        <w:rPr>
          <w:b/>
          <w:bCs/>
          <w:noProof/>
          <w:szCs w:val="22"/>
        </w:rPr>
        <w:t>Titular da Autorização de Introdução no Mercado</w:t>
      </w:r>
    </w:p>
    <w:p w14:paraId="4A0C801B" w14:textId="77777777" w:rsidR="00084D33" w:rsidRPr="0063119B" w:rsidRDefault="00084D33" w:rsidP="001F10F8">
      <w:pPr>
        <w:keepNext/>
        <w:keepLines/>
        <w:numPr>
          <w:ilvl w:val="12"/>
          <w:numId w:val="0"/>
        </w:numPr>
        <w:suppressAutoHyphens/>
        <w:rPr>
          <w:noProof/>
          <w:szCs w:val="22"/>
        </w:rPr>
      </w:pPr>
    </w:p>
    <w:p w14:paraId="5C9B6965" w14:textId="77777777" w:rsidR="00BE4EA8" w:rsidRPr="0063119B" w:rsidRDefault="00BE4EA8" w:rsidP="00BE4EA8">
      <w:pPr>
        <w:rPr>
          <w:szCs w:val="22"/>
          <w:lang w:val="en-GB"/>
        </w:rPr>
      </w:pPr>
      <w:r w:rsidRPr="0063119B">
        <w:rPr>
          <w:szCs w:val="22"/>
          <w:lang w:val="en-GB"/>
        </w:rPr>
        <w:t>Accord Healthcare S.L.U.</w:t>
      </w:r>
    </w:p>
    <w:p w14:paraId="51271C82" w14:textId="77777777" w:rsidR="00BE4EA8" w:rsidRPr="0063119B" w:rsidRDefault="00BE4EA8" w:rsidP="00BE4EA8">
      <w:pPr>
        <w:rPr>
          <w:szCs w:val="22"/>
        </w:rPr>
      </w:pPr>
      <w:r w:rsidRPr="0063119B">
        <w:rPr>
          <w:szCs w:val="22"/>
        </w:rPr>
        <w:t xml:space="preserve">World Trade Center, Moll de Barcelona, s/n, Edifici Est 6ª planta, </w:t>
      </w:r>
    </w:p>
    <w:p w14:paraId="647D98BE" w14:textId="77777777" w:rsidR="00BE4EA8" w:rsidRPr="0063119B" w:rsidRDefault="00BE4EA8" w:rsidP="00BE4EA8">
      <w:pPr>
        <w:rPr>
          <w:szCs w:val="22"/>
        </w:rPr>
      </w:pPr>
      <w:r w:rsidRPr="0063119B">
        <w:rPr>
          <w:szCs w:val="22"/>
        </w:rPr>
        <w:t>Barcelona, 08039</w:t>
      </w:r>
    </w:p>
    <w:p w14:paraId="415991FB" w14:textId="77777777" w:rsidR="00084D33" w:rsidRPr="0063119B" w:rsidRDefault="00BE4EA8" w:rsidP="001F10F8">
      <w:pPr>
        <w:keepNext/>
        <w:keepLines/>
        <w:numPr>
          <w:ilvl w:val="12"/>
          <w:numId w:val="0"/>
        </w:numPr>
        <w:suppressAutoHyphens/>
        <w:rPr>
          <w:noProof/>
          <w:szCs w:val="22"/>
        </w:rPr>
      </w:pPr>
      <w:r w:rsidRPr="0063119B">
        <w:rPr>
          <w:szCs w:val="22"/>
        </w:rPr>
        <w:t>Espanha</w:t>
      </w:r>
    </w:p>
    <w:p w14:paraId="244225AC" w14:textId="77777777" w:rsidR="00084D33" w:rsidRPr="0063119B" w:rsidRDefault="00084D33" w:rsidP="001F10F8">
      <w:pPr>
        <w:keepNext/>
        <w:keepLines/>
        <w:suppressAutoHyphens/>
        <w:rPr>
          <w:noProof/>
          <w:szCs w:val="22"/>
        </w:rPr>
      </w:pPr>
    </w:p>
    <w:p w14:paraId="18AC0902" w14:textId="77777777" w:rsidR="00084D33" w:rsidRPr="001C3EB7" w:rsidRDefault="00084D33" w:rsidP="00084D33">
      <w:pPr>
        <w:keepNext/>
        <w:suppressAutoHyphens/>
        <w:rPr>
          <w:b/>
          <w:bCs/>
          <w:noProof/>
          <w:szCs w:val="22"/>
        </w:rPr>
      </w:pPr>
      <w:r w:rsidRPr="001C3EB7">
        <w:rPr>
          <w:b/>
          <w:bCs/>
          <w:noProof/>
          <w:szCs w:val="22"/>
        </w:rPr>
        <w:t>Fabricante</w:t>
      </w:r>
    </w:p>
    <w:p w14:paraId="1AE25D2F" w14:textId="77777777" w:rsidR="00BE4EA8" w:rsidRPr="001C3EB7" w:rsidRDefault="00BE4EA8" w:rsidP="00BE4EA8">
      <w:pPr>
        <w:keepNext/>
        <w:numPr>
          <w:ilvl w:val="12"/>
          <w:numId w:val="0"/>
        </w:numPr>
        <w:suppressAutoHyphens/>
        <w:rPr>
          <w:noProof/>
          <w:szCs w:val="22"/>
        </w:rPr>
      </w:pPr>
    </w:p>
    <w:p w14:paraId="791D842D" w14:textId="77777777" w:rsidR="00BE4EA8" w:rsidRPr="001C3EB7" w:rsidRDefault="00BE4EA8" w:rsidP="00BE4EA8">
      <w:pPr>
        <w:keepNext/>
        <w:contextualSpacing/>
        <w:rPr>
          <w:szCs w:val="22"/>
        </w:rPr>
      </w:pPr>
      <w:r w:rsidRPr="001C3EB7">
        <w:rPr>
          <w:szCs w:val="22"/>
        </w:rPr>
        <w:t>Accord Healthcare Polska Sp. z o.o.</w:t>
      </w:r>
    </w:p>
    <w:p w14:paraId="7C64A3B6" w14:textId="77777777" w:rsidR="00BE4EA8" w:rsidRPr="00E63212" w:rsidRDefault="00BE4EA8" w:rsidP="00BE4EA8">
      <w:pPr>
        <w:contextualSpacing/>
        <w:rPr>
          <w:szCs w:val="22"/>
        </w:rPr>
      </w:pPr>
      <w:r w:rsidRPr="00E63212">
        <w:rPr>
          <w:szCs w:val="22"/>
        </w:rPr>
        <w:t xml:space="preserve">Ul. Lutomierska 50, </w:t>
      </w:r>
    </w:p>
    <w:p w14:paraId="3BE97694" w14:textId="77777777" w:rsidR="00BE4EA8" w:rsidRPr="00E63212" w:rsidRDefault="00BE4EA8" w:rsidP="00BE4EA8">
      <w:pPr>
        <w:contextualSpacing/>
        <w:rPr>
          <w:szCs w:val="22"/>
        </w:rPr>
      </w:pPr>
      <w:r w:rsidRPr="00E63212">
        <w:rPr>
          <w:szCs w:val="22"/>
        </w:rPr>
        <w:t>95-200 Pabianice, Polónia</w:t>
      </w:r>
    </w:p>
    <w:p w14:paraId="0676D02E" w14:textId="77777777" w:rsidR="00BE4EA8" w:rsidRPr="00E63212" w:rsidRDefault="00BE4EA8" w:rsidP="00BE4EA8">
      <w:pPr>
        <w:contextualSpacing/>
        <w:rPr>
          <w:szCs w:val="22"/>
        </w:rPr>
      </w:pPr>
    </w:p>
    <w:p w14:paraId="171D21F8" w14:textId="77777777" w:rsidR="00BE4EA8" w:rsidRPr="00E63212" w:rsidRDefault="00BE4EA8" w:rsidP="00BE4EA8">
      <w:pPr>
        <w:contextualSpacing/>
        <w:rPr>
          <w:szCs w:val="22"/>
        </w:rPr>
      </w:pPr>
      <w:r w:rsidRPr="00E63212">
        <w:rPr>
          <w:szCs w:val="22"/>
        </w:rPr>
        <w:t xml:space="preserve">Pharmadox Healthcare Limited </w:t>
      </w:r>
    </w:p>
    <w:p w14:paraId="53ACF5D8" w14:textId="77777777" w:rsidR="00BE4EA8" w:rsidRPr="00E63212" w:rsidRDefault="00BE4EA8" w:rsidP="00BE4EA8">
      <w:pPr>
        <w:contextualSpacing/>
        <w:rPr>
          <w:szCs w:val="22"/>
        </w:rPr>
      </w:pPr>
      <w:r w:rsidRPr="00E63212">
        <w:rPr>
          <w:szCs w:val="22"/>
        </w:rPr>
        <w:t xml:space="preserve">KW20A Kordin Industrial Park, Paola </w:t>
      </w:r>
    </w:p>
    <w:p w14:paraId="2D6035A3" w14:textId="77777777" w:rsidR="00BE4EA8" w:rsidRPr="0063119B" w:rsidRDefault="00BE4EA8" w:rsidP="00BE4EA8">
      <w:pPr>
        <w:contextualSpacing/>
        <w:rPr>
          <w:szCs w:val="22"/>
          <w:lang w:val="es-ES"/>
        </w:rPr>
      </w:pPr>
      <w:r w:rsidRPr="0063119B">
        <w:rPr>
          <w:szCs w:val="22"/>
          <w:lang w:val="es-ES"/>
        </w:rPr>
        <w:t>PLA 3000, Malta</w:t>
      </w:r>
    </w:p>
    <w:p w14:paraId="5EF683B5" w14:textId="77777777" w:rsidR="00BE4EA8" w:rsidRPr="0063119B" w:rsidRDefault="00BE4EA8" w:rsidP="00BE4EA8">
      <w:pPr>
        <w:contextualSpacing/>
        <w:rPr>
          <w:szCs w:val="22"/>
          <w:lang w:val="es-ES"/>
        </w:rPr>
      </w:pPr>
    </w:p>
    <w:p w14:paraId="32279A43" w14:textId="77777777" w:rsidR="00BE4EA8" w:rsidRPr="0063119B" w:rsidRDefault="00BE4EA8" w:rsidP="00BE4EA8">
      <w:pPr>
        <w:contextualSpacing/>
        <w:rPr>
          <w:szCs w:val="22"/>
          <w:lang w:val="es-ES"/>
        </w:rPr>
      </w:pPr>
      <w:proofErr w:type="spellStart"/>
      <w:r w:rsidRPr="0063119B">
        <w:rPr>
          <w:szCs w:val="22"/>
          <w:lang w:val="es-ES"/>
        </w:rPr>
        <w:t>Laboratori</w:t>
      </w:r>
      <w:proofErr w:type="spellEnd"/>
      <w:r w:rsidRPr="0063119B">
        <w:rPr>
          <w:szCs w:val="22"/>
          <w:lang w:val="es-ES"/>
        </w:rPr>
        <w:t xml:space="preserve"> </w:t>
      </w:r>
      <w:proofErr w:type="spellStart"/>
      <w:r w:rsidRPr="0063119B">
        <w:rPr>
          <w:szCs w:val="22"/>
          <w:lang w:val="es-ES"/>
        </w:rPr>
        <w:t>Fundació</w:t>
      </w:r>
      <w:proofErr w:type="spellEnd"/>
      <w:r w:rsidRPr="0063119B">
        <w:rPr>
          <w:szCs w:val="22"/>
          <w:lang w:val="es-ES"/>
        </w:rPr>
        <w:t xml:space="preserve"> DAU</w:t>
      </w:r>
    </w:p>
    <w:p w14:paraId="3455B835" w14:textId="77777777" w:rsidR="00BE4EA8" w:rsidRPr="0063119B" w:rsidRDefault="00BE4EA8" w:rsidP="00BE4EA8">
      <w:pPr>
        <w:contextualSpacing/>
        <w:rPr>
          <w:szCs w:val="22"/>
        </w:rPr>
      </w:pPr>
      <w:r w:rsidRPr="0063119B">
        <w:rPr>
          <w:szCs w:val="22"/>
          <w:lang w:val="es-ES"/>
        </w:rPr>
        <w:t xml:space="preserve">C/ C, 12-14 Pol. </w:t>
      </w:r>
      <w:proofErr w:type="spellStart"/>
      <w:r w:rsidRPr="0063119B">
        <w:rPr>
          <w:szCs w:val="22"/>
          <w:lang w:val="es-ES"/>
        </w:rPr>
        <w:t>Ind</w:t>
      </w:r>
      <w:proofErr w:type="spellEnd"/>
      <w:r w:rsidRPr="0063119B">
        <w:rPr>
          <w:szCs w:val="22"/>
          <w:lang w:val="es-ES"/>
        </w:rPr>
        <w:t xml:space="preserve">. </w:t>
      </w:r>
      <w:r w:rsidRPr="0063119B">
        <w:rPr>
          <w:szCs w:val="22"/>
        </w:rPr>
        <w:t>Zona Franca,</w:t>
      </w:r>
    </w:p>
    <w:p w14:paraId="5788A81D" w14:textId="77777777" w:rsidR="00BE4EA8" w:rsidRPr="0063119B" w:rsidRDefault="00BE4EA8" w:rsidP="00BE4EA8">
      <w:pPr>
        <w:contextualSpacing/>
        <w:rPr>
          <w:szCs w:val="22"/>
        </w:rPr>
      </w:pPr>
      <w:r w:rsidRPr="0063119B">
        <w:rPr>
          <w:szCs w:val="22"/>
        </w:rPr>
        <w:t>08040 Barcelona, Espanha</w:t>
      </w:r>
    </w:p>
    <w:p w14:paraId="30A638BA" w14:textId="77777777" w:rsidR="00BE4EA8" w:rsidRPr="0063119B" w:rsidRDefault="00BE4EA8" w:rsidP="00BE4EA8">
      <w:pPr>
        <w:contextualSpacing/>
        <w:rPr>
          <w:szCs w:val="22"/>
        </w:rPr>
      </w:pPr>
    </w:p>
    <w:p w14:paraId="73DB0964" w14:textId="77777777" w:rsidR="00BE4EA8" w:rsidRPr="0063119B" w:rsidRDefault="00BE4EA8" w:rsidP="00BE4EA8">
      <w:pPr>
        <w:rPr>
          <w:noProof/>
          <w:szCs w:val="22"/>
        </w:rPr>
      </w:pPr>
      <w:r w:rsidRPr="0063119B">
        <w:rPr>
          <w:noProof/>
          <w:szCs w:val="22"/>
        </w:rPr>
        <w:t>Accord Healthcare B.V</w:t>
      </w:r>
    </w:p>
    <w:p w14:paraId="350428A8" w14:textId="77777777" w:rsidR="00BE4EA8" w:rsidRPr="0063119B" w:rsidRDefault="00BE4EA8" w:rsidP="00BE4EA8">
      <w:pPr>
        <w:rPr>
          <w:noProof/>
          <w:szCs w:val="22"/>
        </w:rPr>
      </w:pPr>
      <w:r w:rsidRPr="0063119B">
        <w:rPr>
          <w:noProof/>
          <w:szCs w:val="22"/>
        </w:rPr>
        <w:t>Winthontlaan 200, 3526KV Utrecht,</w:t>
      </w:r>
    </w:p>
    <w:p w14:paraId="7B987B16" w14:textId="77777777" w:rsidR="00BE4EA8" w:rsidRDefault="00BE4EA8" w:rsidP="00BE4EA8">
      <w:pPr>
        <w:rPr>
          <w:ins w:id="38" w:author="MAH_Review_JV" w:date="2025-08-06T17:13:00Z" w16du:dateUtc="2025-08-06T16:13:00Z"/>
          <w:noProof/>
          <w:szCs w:val="22"/>
        </w:rPr>
      </w:pPr>
      <w:r w:rsidRPr="0063119B">
        <w:rPr>
          <w:noProof/>
          <w:szCs w:val="22"/>
        </w:rPr>
        <w:t>Países Baixos</w:t>
      </w:r>
    </w:p>
    <w:p w14:paraId="6841F8EC" w14:textId="77777777" w:rsidR="00B969D7" w:rsidRDefault="00B969D7" w:rsidP="00BE4EA8">
      <w:pPr>
        <w:rPr>
          <w:ins w:id="39" w:author="MAH_Review_JV" w:date="2025-08-06T17:13:00Z" w16du:dateUtc="2025-08-06T16:13:00Z"/>
          <w:noProof/>
          <w:szCs w:val="22"/>
        </w:rPr>
      </w:pPr>
    </w:p>
    <w:p w14:paraId="7DE245A6" w14:textId="77777777" w:rsidR="00B969D7" w:rsidRPr="008749C0" w:rsidRDefault="00B969D7" w:rsidP="00B969D7">
      <w:pPr>
        <w:rPr>
          <w:ins w:id="40" w:author="MAH_Review_JV" w:date="2025-08-06T17:13:00Z" w16du:dateUtc="2025-08-06T16:13:00Z"/>
          <w:szCs w:val="22"/>
          <w:lang w:val="en-US"/>
        </w:rPr>
      </w:pPr>
      <w:ins w:id="41" w:author="MAH_Review_JV" w:date="2025-08-06T17:13:00Z" w16du:dateUtc="2025-08-06T16:13:00Z">
        <w:r w:rsidRPr="008749C0">
          <w:rPr>
            <w:szCs w:val="22"/>
            <w:lang w:val="en-US"/>
          </w:rPr>
          <w:t xml:space="preserve">Accord Healthcare single member S.A. </w:t>
        </w:r>
      </w:ins>
    </w:p>
    <w:p w14:paraId="6C96D9D4" w14:textId="77777777" w:rsidR="00B969D7" w:rsidRPr="008749C0" w:rsidRDefault="00B969D7" w:rsidP="00B969D7">
      <w:pPr>
        <w:rPr>
          <w:ins w:id="42" w:author="MAH_Review_JV" w:date="2025-08-06T17:13:00Z" w16du:dateUtc="2025-08-06T16:13:00Z"/>
          <w:szCs w:val="22"/>
          <w:lang w:val="en-US"/>
        </w:rPr>
      </w:pPr>
      <w:ins w:id="43" w:author="MAH_Review_JV" w:date="2025-08-06T17:13:00Z" w16du:dateUtc="2025-08-06T16:13:00Z">
        <w:r w:rsidRPr="008749C0">
          <w:rPr>
            <w:szCs w:val="22"/>
            <w:lang w:val="en-US"/>
          </w:rPr>
          <w:t xml:space="preserve">64th Km National Road Athens, </w:t>
        </w:r>
      </w:ins>
    </w:p>
    <w:p w14:paraId="722F82D6" w14:textId="77777777" w:rsidR="00B969D7" w:rsidRDefault="00B969D7" w:rsidP="00B969D7">
      <w:pPr>
        <w:rPr>
          <w:ins w:id="44" w:author="MAH_Review_JV" w:date="2025-08-06T17:13:00Z" w16du:dateUtc="2025-08-06T16:13:00Z"/>
          <w:szCs w:val="22"/>
        </w:rPr>
      </w:pPr>
      <w:ins w:id="45" w:author="MAH_Review_JV" w:date="2025-08-06T17:13:00Z" w16du:dateUtc="2025-08-06T16:13:00Z">
        <w:r w:rsidRPr="00F62DEF">
          <w:rPr>
            <w:szCs w:val="22"/>
          </w:rPr>
          <w:t>Lamia, Schimatari, 32009, Gr</w:t>
        </w:r>
        <w:r>
          <w:rPr>
            <w:szCs w:val="22"/>
          </w:rPr>
          <w:t>écia</w:t>
        </w:r>
      </w:ins>
    </w:p>
    <w:p w14:paraId="531D06C7" w14:textId="77777777" w:rsidR="00B969D7" w:rsidRPr="0063119B" w:rsidRDefault="00B969D7" w:rsidP="00BE4EA8">
      <w:pPr>
        <w:rPr>
          <w:noProof/>
          <w:szCs w:val="22"/>
        </w:rPr>
      </w:pPr>
    </w:p>
    <w:p w14:paraId="23B6F4D4" w14:textId="77777777" w:rsidR="00BE4EA8" w:rsidRPr="0063119B" w:rsidRDefault="00BE4EA8" w:rsidP="00084D33">
      <w:pPr>
        <w:suppressAutoHyphens/>
        <w:ind w:right="14"/>
        <w:rPr>
          <w:b/>
          <w:noProof/>
          <w:szCs w:val="22"/>
        </w:rPr>
      </w:pPr>
    </w:p>
    <w:p w14:paraId="3CDB29FB" w14:textId="77777777" w:rsidR="00084D33" w:rsidRPr="0063119B" w:rsidRDefault="00084D33" w:rsidP="00084D33">
      <w:pPr>
        <w:suppressAutoHyphens/>
        <w:ind w:right="14"/>
        <w:rPr>
          <w:noProof/>
          <w:szCs w:val="22"/>
        </w:rPr>
      </w:pPr>
      <w:r w:rsidRPr="0063119B">
        <w:rPr>
          <w:b/>
          <w:noProof/>
          <w:szCs w:val="22"/>
        </w:rPr>
        <w:t xml:space="preserve">Este folheto foi revisto pela última vez em </w:t>
      </w:r>
    </w:p>
    <w:p w14:paraId="3EE6482B" w14:textId="77777777" w:rsidR="00084D33" w:rsidRPr="0063119B" w:rsidRDefault="00084D33" w:rsidP="00084D33">
      <w:pPr>
        <w:suppressAutoHyphens/>
        <w:ind w:right="14"/>
        <w:rPr>
          <w:noProof/>
          <w:szCs w:val="22"/>
        </w:rPr>
      </w:pPr>
    </w:p>
    <w:p w14:paraId="236B6620" w14:textId="77777777" w:rsidR="00084D33" w:rsidRPr="0063119B" w:rsidRDefault="00084D33" w:rsidP="00084D33">
      <w:pPr>
        <w:suppressAutoHyphens/>
        <w:ind w:right="14"/>
        <w:rPr>
          <w:noProof/>
          <w:szCs w:val="22"/>
        </w:rPr>
      </w:pPr>
      <w:r w:rsidRPr="0063119B">
        <w:rPr>
          <w:noProof/>
          <w:szCs w:val="22"/>
        </w:rPr>
        <w:t xml:space="preserve">Está disponível informação pormenorizada sobre este medicamento no sítio da internet da Agência Europeia de Medicamentos: </w:t>
      </w:r>
      <w:hyperlink r:id="rId28" w:history="1">
        <w:r w:rsidR="00767D16" w:rsidRPr="0063119B">
          <w:rPr>
            <w:rStyle w:val="Hyperlink"/>
            <w:noProof/>
            <w:szCs w:val="22"/>
          </w:rPr>
          <w:t>http://www.ema.europa.eu</w:t>
        </w:r>
      </w:hyperlink>
      <w:r w:rsidRPr="0063119B">
        <w:rPr>
          <w:noProof/>
          <w:szCs w:val="22"/>
        </w:rPr>
        <w:t>.</w:t>
      </w:r>
    </w:p>
    <w:p w14:paraId="6A399E8F" w14:textId="77777777" w:rsidR="00FB7835" w:rsidRPr="0063119B" w:rsidRDefault="00FB7835" w:rsidP="00FB7835">
      <w:pPr>
        <w:jc w:val="center"/>
        <w:rPr>
          <w:b/>
          <w:noProof/>
          <w:szCs w:val="22"/>
        </w:rPr>
      </w:pPr>
      <w:r w:rsidRPr="0063119B">
        <w:rPr>
          <w:szCs w:val="22"/>
        </w:rPr>
        <w:br w:type="page"/>
      </w:r>
      <w:r w:rsidRPr="0063119B">
        <w:rPr>
          <w:b/>
          <w:noProof/>
          <w:szCs w:val="22"/>
        </w:rPr>
        <w:lastRenderedPageBreak/>
        <w:t>Folheto informativo: Informação para o utilizador</w:t>
      </w:r>
    </w:p>
    <w:p w14:paraId="3F84B1FC" w14:textId="77777777" w:rsidR="00FB7835" w:rsidRPr="0063119B" w:rsidRDefault="00FB7835" w:rsidP="00FB7835">
      <w:pPr>
        <w:suppressAutoHyphens/>
        <w:jc w:val="center"/>
        <w:rPr>
          <w:b/>
          <w:noProof/>
          <w:szCs w:val="22"/>
        </w:rPr>
      </w:pPr>
    </w:p>
    <w:p w14:paraId="60ACE8D0" w14:textId="77777777" w:rsidR="00FB7835" w:rsidRPr="001B6FEC" w:rsidRDefault="00607DE4" w:rsidP="00FB7835">
      <w:pPr>
        <w:suppressAutoHyphens/>
        <w:jc w:val="center"/>
        <w:rPr>
          <w:b/>
          <w:bCs/>
          <w:noProof/>
          <w:szCs w:val="22"/>
        </w:rPr>
      </w:pPr>
      <w:r w:rsidRPr="001B6FEC">
        <w:rPr>
          <w:b/>
          <w:bCs/>
          <w:noProof/>
          <w:szCs w:val="22"/>
        </w:rPr>
        <w:t>Rivaroxabano</w:t>
      </w:r>
      <w:r w:rsidR="001F7D02" w:rsidRPr="001B6FEC">
        <w:rPr>
          <w:b/>
          <w:bCs/>
          <w:noProof/>
          <w:szCs w:val="22"/>
        </w:rPr>
        <w:t xml:space="preserve"> Accord</w:t>
      </w:r>
      <w:r w:rsidR="00FB7835" w:rsidRPr="001B6FEC">
        <w:rPr>
          <w:b/>
          <w:bCs/>
          <w:noProof/>
          <w:szCs w:val="22"/>
        </w:rPr>
        <w:t xml:space="preserve"> 15 mg comprimidos revestidos por película</w:t>
      </w:r>
    </w:p>
    <w:p w14:paraId="646C4C5A" w14:textId="77777777" w:rsidR="00FB7835" w:rsidRPr="001B6FEC" w:rsidRDefault="00607DE4" w:rsidP="00FB7835">
      <w:pPr>
        <w:suppressAutoHyphens/>
        <w:jc w:val="center"/>
        <w:rPr>
          <w:b/>
          <w:bCs/>
          <w:noProof/>
          <w:szCs w:val="22"/>
        </w:rPr>
      </w:pPr>
      <w:r w:rsidRPr="001B6FEC">
        <w:rPr>
          <w:b/>
          <w:bCs/>
          <w:noProof/>
          <w:szCs w:val="22"/>
        </w:rPr>
        <w:t>Rivaroxabano</w:t>
      </w:r>
      <w:r w:rsidR="001F7D02" w:rsidRPr="001B6FEC">
        <w:rPr>
          <w:b/>
          <w:bCs/>
          <w:noProof/>
          <w:szCs w:val="22"/>
        </w:rPr>
        <w:t xml:space="preserve"> Accord</w:t>
      </w:r>
      <w:r w:rsidR="00FB7835" w:rsidRPr="001B6FEC">
        <w:rPr>
          <w:b/>
          <w:bCs/>
          <w:noProof/>
          <w:szCs w:val="22"/>
        </w:rPr>
        <w:t xml:space="preserve"> 20 mg comprimidos revestidos por película</w:t>
      </w:r>
    </w:p>
    <w:p w14:paraId="29B9FBE7" w14:textId="77777777" w:rsidR="004F688D" w:rsidRPr="001B6FEC" w:rsidRDefault="004F688D" w:rsidP="00FB7835">
      <w:pPr>
        <w:suppressAutoHyphens/>
        <w:jc w:val="center"/>
        <w:rPr>
          <w:noProof/>
          <w:szCs w:val="22"/>
        </w:rPr>
      </w:pPr>
    </w:p>
    <w:p w14:paraId="5F019346" w14:textId="77777777" w:rsidR="004F688D" w:rsidRPr="00EF3721" w:rsidRDefault="004F688D" w:rsidP="005500AB">
      <w:pPr>
        <w:suppressAutoHyphens/>
        <w:jc w:val="center"/>
        <w:outlineLvl w:val="2"/>
        <w:rPr>
          <w:b/>
          <w:bCs/>
          <w:noProof/>
          <w:szCs w:val="22"/>
        </w:rPr>
      </w:pPr>
      <w:r w:rsidRPr="00EF3721">
        <w:rPr>
          <w:b/>
          <w:bCs/>
          <w:noProof/>
          <w:szCs w:val="22"/>
        </w:rPr>
        <w:t xml:space="preserve">Embalagem de Tratamento </w:t>
      </w:r>
      <w:r w:rsidR="006E73B3" w:rsidRPr="00EF3721">
        <w:rPr>
          <w:b/>
          <w:bCs/>
          <w:noProof/>
          <w:szCs w:val="22"/>
        </w:rPr>
        <w:t>I</w:t>
      </w:r>
      <w:r w:rsidRPr="00EF3721">
        <w:rPr>
          <w:b/>
          <w:bCs/>
          <w:noProof/>
          <w:szCs w:val="22"/>
        </w:rPr>
        <w:t>nicial</w:t>
      </w:r>
    </w:p>
    <w:p w14:paraId="5A7BD3C6" w14:textId="77777777" w:rsidR="00DB02C3" w:rsidRPr="0063119B" w:rsidRDefault="00DB02C3" w:rsidP="005500AB">
      <w:pPr>
        <w:suppressAutoHyphens/>
        <w:jc w:val="center"/>
        <w:outlineLvl w:val="2"/>
        <w:rPr>
          <w:noProof/>
          <w:szCs w:val="22"/>
        </w:rPr>
      </w:pPr>
      <w:r>
        <w:rPr>
          <w:szCs w:val="22"/>
        </w:rPr>
        <w:t>Nâo utilizar em crianças</w:t>
      </w:r>
    </w:p>
    <w:p w14:paraId="5B78299F" w14:textId="77777777" w:rsidR="00FB7835" w:rsidRPr="0063119B" w:rsidRDefault="00FB7835" w:rsidP="00FB7835">
      <w:pPr>
        <w:suppressAutoHyphens/>
        <w:jc w:val="center"/>
        <w:rPr>
          <w:noProof/>
          <w:szCs w:val="22"/>
        </w:rPr>
      </w:pPr>
      <w:r w:rsidRPr="0063119B">
        <w:rPr>
          <w:noProof/>
          <w:szCs w:val="22"/>
        </w:rPr>
        <w:t>rivaroxabano</w:t>
      </w:r>
    </w:p>
    <w:p w14:paraId="2BE198AC" w14:textId="77777777" w:rsidR="00FB7835" w:rsidRPr="0063119B" w:rsidRDefault="00FB7835" w:rsidP="00FB7835">
      <w:pPr>
        <w:suppressAutoHyphens/>
        <w:ind w:left="567" w:hanging="567"/>
        <w:rPr>
          <w:noProof/>
          <w:szCs w:val="22"/>
        </w:rPr>
      </w:pPr>
    </w:p>
    <w:p w14:paraId="08AAC525" w14:textId="77777777" w:rsidR="00FB7835" w:rsidRPr="0063119B" w:rsidRDefault="00FB7835" w:rsidP="00FB7835">
      <w:pPr>
        <w:ind w:right="-2"/>
        <w:rPr>
          <w:noProof/>
          <w:szCs w:val="22"/>
        </w:rPr>
      </w:pPr>
      <w:r w:rsidRPr="0063119B">
        <w:rPr>
          <w:b/>
          <w:noProof/>
          <w:szCs w:val="22"/>
        </w:rPr>
        <w:t>Leia com atenção todo este folheto antes de começar a tomar este medicamento, pois contém informação importante para si.</w:t>
      </w:r>
    </w:p>
    <w:p w14:paraId="1A59DAEF" w14:textId="77777777" w:rsidR="00FB7835" w:rsidRPr="0063119B" w:rsidRDefault="00FB7835" w:rsidP="00FB7835">
      <w:pPr>
        <w:numPr>
          <w:ilvl w:val="0"/>
          <w:numId w:val="1"/>
        </w:numPr>
        <w:ind w:left="567" w:right="-2" w:hanging="567"/>
        <w:rPr>
          <w:noProof/>
          <w:szCs w:val="22"/>
        </w:rPr>
      </w:pPr>
      <w:r w:rsidRPr="0063119B">
        <w:rPr>
          <w:noProof/>
          <w:szCs w:val="22"/>
        </w:rPr>
        <w:t>Conserve este folheto. Pode ter necessidade de o ler novamente.</w:t>
      </w:r>
    </w:p>
    <w:p w14:paraId="0430C909" w14:textId="77777777" w:rsidR="00FB7835" w:rsidRPr="0063119B" w:rsidRDefault="00FB7835" w:rsidP="00FB7835">
      <w:pPr>
        <w:numPr>
          <w:ilvl w:val="0"/>
          <w:numId w:val="1"/>
        </w:numPr>
        <w:ind w:left="567" w:right="-2" w:hanging="567"/>
        <w:rPr>
          <w:noProof/>
          <w:szCs w:val="22"/>
        </w:rPr>
      </w:pPr>
      <w:r w:rsidRPr="0063119B">
        <w:rPr>
          <w:noProof/>
          <w:szCs w:val="22"/>
        </w:rPr>
        <w:t>Caso ainda tenha dúvidas, fale com o seu médico ou farmacêutico.</w:t>
      </w:r>
    </w:p>
    <w:p w14:paraId="5E9D1950" w14:textId="77777777" w:rsidR="00FB7835" w:rsidRPr="0063119B" w:rsidRDefault="00FB7835" w:rsidP="00FB7835">
      <w:pPr>
        <w:numPr>
          <w:ilvl w:val="0"/>
          <w:numId w:val="1"/>
        </w:numPr>
        <w:ind w:left="567" w:right="-2" w:hanging="567"/>
        <w:rPr>
          <w:noProof/>
          <w:szCs w:val="22"/>
        </w:rPr>
      </w:pPr>
      <w:r w:rsidRPr="0063119B">
        <w:rPr>
          <w:noProof/>
          <w:szCs w:val="22"/>
        </w:rPr>
        <w:t>Este medicamento foi receitado apenas para si. Não deve dá</w:t>
      </w:r>
      <w:r w:rsidRPr="0063119B">
        <w:rPr>
          <w:noProof/>
          <w:szCs w:val="22"/>
        </w:rPr>
        <w:noBreakHyphen/>
        <w:t>lo a outros. O medicamento pode ser</w:t>
      </w:r>
      <w:r w:rsidRPr="0063119B">
        <w:rPr>
          <w:noProof/>
          <w:szCs w:val="22"/>
        </w:rPr>
        <w:noBreakHyphen/>
        <w:t>lhes prejudicial mesmo que apresentem os mesmos sinais de doença.</w:t>
      </w:r>
    </w:p>
    <w:p w14:paraId="4BE0F0FF" w14:textId="77777777" w:rsidR="00FB7835" w:rsidRPr="0063119B" w:rsidRDefault="00FB7835" w:rsidP="00FB7835">
      <w:pPr>
        <w:numPr>
          <w:ilvl w:val="0"/>
          <w:numId w:val="1"/>
        </w:numPr>
        <w:ind w:left="567" w:right="-2" w:hanging="567"/>
        <w:rPr>
          <w:noProof/>
          <w:szCs w:val="22"/>
        </w:rPr>
      </w:pPr>
      <w:r w:rsidRPr="0063119B">
        <w:rPr>
          <w:noProof/>
          <w:szCs w:val="22"/>
        </w:rPr>
        <w:t xml:space="preserve">Se tiver quaisquer efeitos </w:t>
      </w:r>
      <w:r w:rsidR="00654D4F" w:rsidRPr="0063119B">
        <w:rPr>
          <w:noProof/>
          <w:szCs w:val="22"/>
        </w:rPr>
        <w:t>indesejáveis</w:t>
      </w:r>
      <w:r w:rsidRPr="0063119B">
        <w:rPr>
          <w:noProof/>
          <w:szCs w:val="22"/>
        </w:rPr>
        <w:t xml:space="preserve">, incluindo possíveis efeitos </w:t>
      </w:r>
      <w:r w:rsidR="00654D4F" w:rsidRPr="0063119B">
        <w:rPr>
          <w:noProof/>
          <w:szCs w:val="22"/>
        </w:rPr>
        <w:t>indesejáveis</w:t>
      </w:r>
      <w:r w:rsidRPr="0063119B">
        <w:rPr>
          <w:noProof/>
          <w:szCs w:val="22"/>
        </w:rPr>
        <w:t xml:space="preserve"> não indicados neste folheto, fale com o seu médico ou farmacêutico. Ver secção 4.</w:t>
      </w:r>
    </w:p>
    <w:p w14:paraId="0F8A45CD" w14:textId="77777777" w:rsidR="00FB7835" w:rsidRPr="0063119B" w:rsidRDefault="00FB7835" w:rsidP="00FB7835">
      <w:pPr>
        <w:ind w:right="-2"/>
        <w:rPr>
          <w:noProof/>
          <w:szCs w:val="22"/>
        </w:rPr>
      </w:pPr>
    </w:p>
    <w:p w14:paraId="46A470CF" w14:textId="77777777" w:rsidR="00FB7835" w:rsidRPr="0063119B" w:rsidRDefault="00FB7835" w:rsidP="00FB7835">
      <w:pPr>
        <w:ind w:right="-2"/>
        <w:rPr>
          <w:noProof/>
          <w:szCs w:val="22"/>
        </w:rPr>
      </w:pPr>
    </w:p>
    <w:p w14:paraId="2D889CE7" w14:textId="77777777" w:rsidR="00FB7835" w:rsidRPr="0063119B" w:rsidRDefault="00FB7835" w:rsidP="00FB7835">
      <w:pPr>
        <w:numPr>
          <w:ilvl w:val="12"/>
          <w:numId w:val="0"/>
        </w:numPr>
        <w:suppressAutoHyphens/>
        <w:rPr>
          <w:noProof/>
          <w:szCs w:val="22"/>
        </w:rPr>
      </w:pPr>
      <w:r w:rsidRPr="0063119B">
        <w:rPr>
          <w:b/>
          <w:noProof/>
          <w:szCs w:val="22"/>
        </w:rPr>
        <w:t>O que contém este folheto</w:t>
      </w:r>
    </w:p>
    <w:p w14:paraId="6CF80C60" w14:textId="77777777" w:rsidR="00FB7835" w:rsidRPr="0063119B" w:rsidRDefault="00FB7835" w:rsidP="00FB7835">
      <w:pPr>
        <w:suppressAutoHyphens/>
        <w:ind w:left="567" w:hanging="567"/>
        <w:rPr>
          <w:noProof/>
          <w:szCs w:val="22"/>
        </w:rPr>
      </w:pPr>
      <w:r w:rsidRPr="0063119B">
        <w:rPr>
          <w:noProof/>
          <w:szCs w:val="22"/>
        </w:rPr>
        <w:t>1.</w:t>
      </w:r>
      <w:r w:rsidRPr="0063119B">
        <w:rPr>
          <w:noProof/>
          <w:szCs w:val="22"/>
        </w:rPr>
        <w:tab/>
        <w:t xml:space="preserve">O que é </w:t>
      </w:r>
      <w:r w:rsidR="00607DE4">
        <w:rPr>
          <w:noProof/>
          <w:szCs w:val="22"/>
        </w:rPr>
        <w:t>Rivaroxabano</w:t>
      </w:r>
      <w:r w:rsidR="001F7D02" w:rsidRPr="0063119B">
        <w:rPr>
          <w:noProof/>
          <w:szCs w:val="22"/>
        </w:rPr>
        <w:t xml:space="preserve"> Accord</w:t>
      </w:r>
      <w:r w:rsidRPr="0063119B">
        <w:rPr>
          <w:noProof/>
          <w:szCs w:val="22"/>
        </w:rPr>
        <w:t xml:space="preserve"> e para que é utilizado</w:t>
      </w:r>
    </w:p>
    <w:p w14:paraId="02FFC381" w14:textId="77777777" w:rsidR="00FB7835" w:rsidRPr="0063119B" w:rsidRDefault="00FB7835" w:rsidP="00FB7835">
      <w:pPr>
        <w:suppressAutoHyphens/>
        <w:ind w:left="567" w:hanging="567"/>
        <w:rPr>
          <w:noProof/>
          <w:szCs w:val="22"/>
        </w:rPr>
      </w:pPr>
      <w:r w:rsidRPr="0063119B">
        <w:rPr>
          <w:noProof/>
          <w:szCs w:val="22"/>
        </w:rPr>
        <w:t>2.</w:t>
      </w:r>
      <w:r w:rsidRPr="0063119B">
        <w:rPr>
          <w:noProof/>
          <w:szCs w:val="22"/>
        </w:rPr>
        <w:tab/>
        <w:t xml:space="preserve">O que precisa de saber antes de tomar </w:t>
      </w:r>
      <w:r w:rsidR="00607DE4">
        <w:rPr>
          <w:noProof/>
          <w:szCs w:val="22"/>
        </w:rPr>
        <w:t>Rivaroxabano</w:t>
      </w:r>
      <w:r w:rsidR="001F7D02" w:rsidRPr="0063119B">
        <w:rPr>
          <w:noProof/>
          <w:szCs w:val="22"/>
        </w:rPr>
        <w:t xml:space="preserve"> Accord</w:t>
      </w:r>
    </w:p>
    <w:p w14:paraId="28FBCC75" w14:textId="77777777" w:rsidR="00FB7835" w:rsidRPr="0063119B" w:rsidRDefault="00FB7835" w:rsidP="00FB7835">
      <w:pPr>
        <w:suppressAutoHyphens/>
        <w:ind w:left="567" w:hanging="567"/>
        <w:rPr>
          <w:noProof/>
          <w:szCs w:val="22"/>
        </w:rPr>
      </w:pPr>
      <w:r w:rsidRPr="0063119B">
        <w:rPr>
          <w:noProof/>
          <w:szCs w:val="22"/>
        </w:rPr>
        <w:t>3.</w:t>
      </w:r>
      <w:r w:rsidRPr="0063119B">
        <w:rPr>
          <w:noProof/>
          <w:szCs w:val="22"/>
        </w:rPr>
        <w:tab/>
        <w:t xml:space="preserve">Como tomar </w:t>
      </w:r>
      <w:r w:rsidR="00607DE4">
        <w:rPr>
          <w:noProof/>
          <w:szCs w:val="22"/>
        </w:rPr>
        <w:t>Rivaroxabano</w:t>
      </w:r>
      <w:r w:rsidR="001F7D02" w:rsidRPr="0063119B">
        <w:rPr>
          <w:noProof/>
          <w:szCs w:val="22"/>
        </w:rPr>
        <w:t xml:space="preserve"> Accord</w:t>
      </w:r>
    </w:p>
    <w:p w14:paraId="5EDF7EDE" w14:textId="77777777" w:rsidR="00FB7835" w:rsidRPr="0063119B" w:rsidRDefault="00FB7835" w:rsidP="00FB7835">
      <w:pPr>
        <w:suppressAutoHyphens/>
        <w:ind w:left="567" w:hanging="567"/>
        <w:rPr>
          <w:noProof/>
          <w:szCs w:val="22"/>
        </w:rPr>
      </w:pPr>
      <w:r w:rsidRPr="0063119B">
        <w:rPr>
          <w:noProof/>
          <w:szCs w:val="22"/>
        </w:rPr>
        <w:t>4.</w:t>
      </w:r>
      <w:r w:rsidRPr="0063119B">
        <w:rPr>
          <w:noProof/>
          <w:szCs w:val="22"/>
        </w:rPr>
        <w:tab/>
        <w:t xml:space="preserve">Efeitos </w:t>
      </w:r>
      <w:r w:rsidR="00654D4F" w:rsidRPr="0063119B">
        <w:rPr>
          <w:noProof/>
          <w:szCs w:val="22"/>
        </w:rPr>
        <w:t>indesejáveis</w:t>
      </w:r>
      <w:r w:rsidRPr="0063119B">
        <w:rPr>
          <w:noProof/>
          <w:szCs w:val="22"/>
        </w:rPr>
        <w:t xml:space="preserve"> possíveis</w:t>
      </w:r>
    </w:p>
    <w:p w14:paraId="3F12FDBD" w14:textId="77777777" w:rsidR="00FB7835" w:rsidRPr="0063119B" w:rsidRDefault="00FB7835" w:rsidP="00FB7835">
      <w:pPr>
        <w:suppressAutoHyphens/>
        <w:ind w:left="567" w:hanging="567"/>
        <w:rPr>
          <w:noProof/>
          <w:szCs w:val="22"/>
        </w:rPr>
      </w:pPr>
      <w:r w:rsidRPr="0063119B">
        <w:rPr>
          <w:noProof/>
          <w:szCs w:val="22"/>
        </w:rPr>
        <w:t>5.</w:t>
      </w:r>
      <w:r w:rsidRPr="0063119B">
        <w:rPr>
          <w:noProof/>
          <w:szCs w:val="22"/>
        </w:rPr>
        <w:tab/>
        <w:t xml:space="preserve">Como conservar </w:t>
      </w:r>
      <w:r w:rsidR="00607DE4">
        <w:rPr>
          <w:noProof/>
          <w:szCs w:val="22"/>
        </w:rPr>
        <w:t>Rivaroxabano</w:t>
      </w:r>
      <w:r w:rsidR="001F7D02" w:rsidRPr="0063119B">
        <w:rPr>
          <w:noProof/>
          <w:szCs w:val="22"/>
        </w:rPr>
        <w:t xml:space="preserve"> Accord</w:t>
      </w:r>
    </w:p>
    <w:p w14:paraId="569D1580" w14:textId="77777777" w:rsidR="00FB7835" w:rsidRPr="0063119B" w:rsidRDefault="00FB7835" w:rsidP="00FF261B">
      <w:pPr>
        <w:tabs>
          <w:tab w:val="left" w:pos="720"/>
          <w:tab w:val="left" w:pos="1440"/>
          <w:tab w:val="left" w:pos="2160"/>
          <w:tab w:val="left" w:pos="2880"/>
          <w:tab w:val="left" w:pos="3600"/>
          <w:tab w:val="left" w:pos="4320"/>
          <w:tab w:val="left" w:pos="6935"/>
        </w:tabs>
        <w:suppressAutoHyphens/>
        <w:ind w:left="567" w:hanging="567"/>
        <w:rPr>
          <w:noProof/>
          <w:szCs w:val="22"/>
        </w:rPr>
      </w:pPr>
      <w:r w:rsidRPr="0063119B">
        <w:rPr>
          <w:noProof/>
          <w:szCs w:val="22"/>
        </w:rPr>
        <w:t>6.</w:t>
      </w:r>
      <w:r w:rsidRPr="0063119B">
        <w:rPr>
          <w:noProof/>
          <w:szCs w:val="22"/>
        </w:rPr>
        <w:tab/>
        <w:t>Conteúdo da embalagem e outras informações</w:t>
      </w:r>
    </w:p>
    <w:p w14:paraId="634EA12C" w14:textId="77777777" w:rsidR="00FB7835" w:rsidRPr="0063119B" w:rsidRDefault="00FB7835" w:rsidP="00FB7835">
      <w:pPr>
        <w:suppressAutoHyphens/>
        <w:rPr>
          <w:noProof/>
          <w:szCs w:val="22"/>
        </w:rPr>
      </w:pPr>
    </w:p>
    <w:p w14:paraId="5A89EE5F" w14:textId="77777777" w:rsidR="00FB7835" w:rsidRPr="0063119B" w:rsidRDefault="00FB7835" w:rsidP="00FB7835">
      <w:pPr>
        <w:suppressAutoHyphens/>
        <w:rPr>
          <w:noProof/>
          <w:szCs w:val="22"/>
        </w:rPr>
      </w:pPr>
    </w:p>
    <w:p w14:paraId="788AA719" w14:textId="77777777" w:rsidR="00FB7835" w:rsidRPr="0063119B" w:rsidRDefault="00FB7835" w:rsidP="00FB7835">
      <w:pPr>
        <w:numPr>
          <w:ilvl w:val="12"/>
          <w:numId w:val="0"/>
        </w:numPr>
        <w:suppressAutoHyphens/>
        <w:ind w:left="567" w:hanging="567"/>
        <w:rPr>
          <w:noProof/>
          <w:szCs w:val="22"/>
        </w:rPr>
      </w:pPr>
      <w:r w:rsidRPr="0063119B">
        <w:rPr>
          <w:b/>
          <w:noProof/>
          <w:szCs w:val="22"/>
        </w:rPr>
        <w:t>1.</w:t>
      </w:r>
      <w:r w:rsidRPr="0063119B">
        <w:rPr>
          <w:b/>
          <w:noProof/>
          <w:szCs w:val="22"/>
        </w:rPr>
        <w:tab/>
        <w:t xml:space="preserve">O que é </w:t>
      </w:r>
      <w:r w:rsidR="00607DE4">
        <w:rPr>
          <w:b/>
          <w:noProof/>
          <w:szCs w:val="22"/>
        </w:rPr>
        <w:t>Rivaroxabano</w:t>
      </w:r>
      <w:r w:rsidR="001F7D02" w:rsidRPr="0063119B">
        <w:rPr>
          <w:b/>
          <w:noProof/>
          <w:szCs w:val="22"/>
        </w:rPr>
        <w:t xml:space="preserve"> Accord</w:t>
      </w:r>
      <w:r w:rsidRPr="0063119B">
        <w:rPr>
          <w:b/>
          <w:noProof/>
          <w:szCs w:val="22"/>
        </w:rPr>
        <w:t xml:space="preserve"> e para que é utilizado</w:t>
      </w:r>
    </w:p>
    <w:p w14:paraId="7A395C32" w14:textId="77777777" w:rsidR="00FB7835" w:rsidRPr="0063119B" w:rsidRDefault="00FB7835" w:rsidP="00FB7835">
      <w:pPr>
        <w:numPr>
          <w:ilvl w:val="12"/>
          <w:numId w:val="0"/>
        </w:numPr>
        <w:suppressAutoHyphens/>
        <w:rPr>
          <w:noProof/>
          <w:szCs w:val="22"/>
        </w:rPr>
      </w:pPr>
    </w:p>
    <w:p w14:paraId="0592DC95" w14:textId="77777777" w:rsidR="00FB7835" w:rsidRPr="0063119B" w:rsidRDefault="00607DE4" w:rsidP="00FB7835">
      <w:pPr>
        <w:numPr>
          <w:ilvl w:val="12"/>
          <w:numId w:val="0"/>
        </w:numPr>
        <w:suppressAutoHyphens/>
        <w:rPr>
          <w:noProof/>
          <w:szCs w:val="22"/>
        </w:rPr>
      </w:pPr>
      <w:r>
        <w:rPr>
          <w:noProof/>
          <w:szCs w:val="22"/>
        </w:rPr>
        <w:t>Rivaroxabano</w:t>
      </w:r>
      <w:r w:rsidR="001F7D02" w:rsidRPr="0063119B">
        <w:rPr>
          <w:noProof/>
          <w:szCs w:val="22"/>
        </w:rPr>
        <w:t xml:space="preserve"> Accord</w:t>
      </w:r>
      <w:r w:rsidR="00FB7835" w:rsidRPr="0063119B">
        <w:rPr>
          <w:noProof/>
          <w:szCs w:val="22"/>
        </w:rPr>
        <w:t xml:space="preserve"> contém a substância ativa rivaroxabano e é usado em adultos para:</w:t>
      </w:r>
    </w:p>
    <w:p w14:paraId="6E2501B0" w14:textId="77777777" w:rsidR="00FB7835" w:rsidRPr="0063119B" w:rsidRDefault="00FB7835" w:rsidP="00FB7835">
      <w:pPr>
        <w:numPr>
          <w:ilvl w:val="0"/>
          <w:numId w:val="8"/>
        </w:numPr>
        <w:suppressAutoHyphens/>
        <w:ind w:left="567" w:hanging="567"/>
        <w:rPr>
          <w:noProof/>
          <w:szCs w:val="22"/>
        </w:rPr>
      </w:pPr>
      <w:r w:rsidRPr="0063119B">
        <w:rPr>
          <w:noProof/>
          <w:szCs w:val="22"/>
        </w:rPr>
        <w:t>tratar coágulos de sangue nas veias das suas pernas (trombose venosa profunda) e nos vasos sanguíneos dos seus pulmões (embolismo pulmonar) e para prevenir</w:t>
      </w:r>
      <w:r w:rsidRPr="0063119B">
        <w:rPr>
          <w:b/>
          <w:noProof/>
          <w:szCs w:val="22"/>
        </w:rPr>
        <w:t xml:space="preserve"> </w:t>
      </w:r>
      <w:r w:rsidRPr="0063119B">
        <w:rPr>
          <w:noProof/>
          <w:szCs w:val="22"/>
        </w:rPr>
        <w:t>o reaparecimento</w:t>
      </w:r>
      <w:r w:rsidRPr="0063119B">
        <w:rPr>
          <w:b/>
          <w:noProof/>
          <w:szCs w:val="22"/>
        </w:rPr>
        <w:t xml:space="preserve"> </w:t>
      </w:r>
      <w:r w:rsidRPr="0063119B">
        <w:rPr>
          <w:noProof/>
          <w:szCs w:val="22"/>
        </w:rPr>
        <w:t>de coágulos de sangue nos vasos sanguíneos das suas pernas e/ou pulmões.</w:t>
      </w:r>
    </w:p>
    <w:p w14:paraId="1CBEBAAB" w14:textId="77777777" w:rsidR="00FB7835" w:rsidRPr="0063119B" w:rsidRDefault="00FB7835" w:rsidP="00FB7835">
      <w:pPr>
        <w:rPr>
          <w:noProof/>
          <w:szCs w:val="22"/>
        </w:rPr>
      </w:pPr>
      <w:r w:rsidRPr="0063119B">
        <w:rPr>
          <w:noProof/>
          <w:szCs w:val="22"/>
        </w:rPr>
        <w:br/>
      </w:r>
      <w:r w:rsidR="00607DE4">
        <w:rPr>
          <w:noProof/>
          <w:szCs w:val="22"/>
        </w:rPr>
        <w:t>Rivaroxabano</w:t>
      </w:r>
      <w:r w:rsidR="001F7D02" w:rsidRPr="0063119B">
        <w:rPr>
          <w:noProof/>
          <w:szCs w:val="22"/>
        </w:rPr>
        <w:t xml:space="preserve"> Accord</w:t>
      </w:r>
      <w:r w:rsidRPr="0063119B">
        <w:rPr>
          <w:noProof/>
          <w:szCs w:val="22"/>
        </w:rPr>
        <w:t xml:space="preserve"> pertence a um grupo de medicamentos chamados agentes antitrombóticos. Atua através do bloqueio de um fator de coagulação sanguínea (fator Xa) reduzindo assim a tendência do sangue para formar coágulos.</w:t>
      </w:r>
    </w:p>
    <w:p w14:paraId="5C0C042B" w14:textId="77777777" w:rsidR="00FB7835" w:rsidRPr="0063119B" w:rsidRDefault="00FB7835" w:rsidP="00FB7835">
      <w:pPr>
        <w:numPr>
          <w:ilvl w:val="12"/>
          <w:numId w:val="0"/>
        </w:numPr>
        <w:suppressAutoHyphens/>
        <w:rPr>
          <w:noProof/>
          <w:szCs w:val="22"/>
        </w:rPr>
      </w:pPr>
    </w:p>
    <w:p w14:paraId="5408BB7D" w14:textId="77777777" w:rsidR="00FB7835" w:rsidRPr="0063119B" w:rsidRDefault="00FB7835" w:rsidP="00FB7835">
      <w:pPr>
        <w:numPr>
          <w:ilvl w:val="12"/>
          <w:numId w:val="0"/>
        </w:numPr>
        <w:tabs>
          <w:tab w:val="left" w:pos="1418"/>
        </w:tabs>
        <w:suppressAutoHyphens/>
        <w:rPr>
          <w:noProof/>
          <w:szCs w:val="22"/>
        </w:rPr>
      </w:pPr>
    </w:p>
    <w:p w14:paraId="6E0D8A64" w14:textId="77777777" w:rsidR="00FB7835" w:rsidRPr="0063119B" w:rsidRDefault="00FB7835" w:rsidP="00FB7835">
      <w:pPr>
        <w:numPr>
          <w:ilvl w:val="12"/>
          <w:numId w:val="0"/>
        </w:numPr>
        <w:suppressAutoHyphens/>
        <w:ind w:left="567" w:hanging="567"/>
        <w:rPr>
          <w:b/>
          <w:noProof/>
          <w:szCs w:val="22"/>
        </w:rPr>
      </w:pPr>
      <w:r w:rsidRPr="0063119B">
        <w:rPr>
          <w:b/>
          <w:noProof/>
          <w:szCs w:val="22"/>
        </w:rPr>
        <w:t>2.</w:t>
      </w:r>
      <w:r w:rsidRPr="0063119B">
        <w:rPr>
          <w:b/>
          <w:noProof/>
          <w:szCs w:val="22"/>
        </w:rPr>
        <w:tab/>
      </w:r>
      <w:r w:rsidRPr="0063119B">
        <w:rPr>
          <w:b/>
          <w:szCs w:val="22"/>
        </w:rPr>
        <w:t>O que precisa de saber a</w:t>
      </w:r>
      <w:r w:rsidRPr="0063119B">
        <w:rPr>
          <w:b/>
          <w:noProof/>
          <w:szCs w:val="22"/>
        </w:rPr>
        <w:t xml:space="preserve">ntes de tomar </w:t>
      </w:r>
      <w:r w:rsidR="00607DE4">
        <w:rPr>
          <w:b/>
          <w:noProof/>
          <w:szCs w:val="22"/>
        </w:rPr>
        <w:t>Rivaroxabano</w:t>
      </w:r>
      <w:r w:rsidR="001F7D02" w:rsidRPr="0063119B">
        <w:rPr>
          <w:b/>
          <w:noProof/>
          <w:szCs w:val="22"/>
        </w:rPr>
        <w:t xml:space="preserve"> Accord</w:t>
      </w:r>
    </w:p>
    <w:p w14:paraId="18831252" w14:textId="77777777" w:rsidR="00FB7835" w:rsidRPr="0063119B" w:rsidRDefault="00FB7835" w:rsidP="00FB7835">
      <w:pPr>
        <w:numPr>
          <w:ilvl w:val="12"/>
          <w:numId w:val="0"/>
        </w:numPr>
        <w:suppressAutoHyphens/>
        <w:ind w:left="567" w:hanging="567"/>
        <w:rPr>
          <w:noProof/>
          <w:szCs w:val="22"/>
        </w:rPr>
      </w:pPr>
    </w:p>
    <w:p w14:paraId="77628E28" w14:textId="77777777" w:rsidR="00FB7835" w:rsidRPr="0063119B" w:rsidRDefault="00FB7835" w:rsidP="00FB7835">
      <w:pPr>
        <w:numPr>
          <w:ilvl w:val="12"/>
          <w:numId w:val="0"/>
        </w:numPr>
        <w:suppressAutoHyphens/>
        <w:rPr>
          <w:noProof/>
          <w:szCs w:val="22"/>
        </w:rPr>
      </w:pPr>
      <w:r w:rsidRPr="0063119B">
        <w:rPr>
          <w:b/>
          <w:noProof/>
          <w:szCs w:val="22"/>
        </w:rPr>
        <w:t xml:space="preserve">Não tome </w:t>
      </w:r>
      <w:r w:rsidR="00607DE4">
        <w:rPr>
          <w:b/>
          <w:noProof/>
          <w:szCs w:val="22"/>
        </w:rPr>
        <w:t>Rivaroxabano</w:t>
      </w:r>
      <w:r w:rsidR="001F7D02" w:rsidRPr="0063119B">
        <w:rPr>
          <w:b/>
          <w:noProof/>
          <w:szCs w:val="22"/>
        </w:rPr>
        <w:t xml:space="preserve"> Accord</w:t>
      </w:r>
    </w:p>
    <w:p w14:paraId="1AF4817B" w14:textId="77777777" w:rsidR="00FB7835" w:rsidRPr="0063119B" w:rsidRDefault="00FB7835" w:rsidP="00FB7835">
      <w:pPr>
        <w:ind w:left="567" w:hanging="567"/>
        <w:rPr>
          <w:noProof/>
          <w:szCs w:val="22"/>
        </w:rPr>
      </w:pPr>
      <w:r w:rsidRPr="0063119B">
        <w:rPr>
          <w:noProof/>
          <w:szCs w:val="22"/>
        </w:rPr>
        <w:noBreakHyphen/>
      </w:r>
      <w:r w:rsidRPr="0063119B">
        <w:rPr>
          <w:noProof/>
          <w:szCs w:val="22"/>
        </w:rPr>
        <w:tab/>
        <w:t>se tem alergia ao rivaroxabano ou a qualquer outro componente deste medicamento (indicados na secção 6)</w:t>
      </w:r>
    </w:p>
    <w:p w14:paraId="3118035B" w14:textId="77777777" w:rsidR="00FB7835" w:rsidRPr="0063119B" w:rsidRDefault="00FB7835" w:rsidP="00FB7835">
      <w:pPr>
        <w:ind w:left="567" w:hanging="567"/>
        <w:rPr>
          <w:b/>
          <w:noProof/>
          <w:szCs w:val="22"/>
        </w:rPr>
      </w:pPr>
      <w:r w:rsidRPr="0063119B">
        <w:rPr>
          <w:noProof/>
          <w:szCs w:val="22"/>
        </w:rPr>
        <w:noBreakHyphen/>
      </w:r>
      <w:r w:rsidRPr="0063119B">
        <w:rPr>
          <w:noProof/>
          <w:szCs w:val="22"/>
        </w:rPr>
        <w:tab/>
        <w:t>se está a sangrar excessivamente</w:t>
      </w:r>
    </w:p>
    <w:p w14:paraId="01459254" w14:textId="77777777" w:rsidR="00FB7835" w:rsidRPr="0063119B" w:rsidRDefault="00FB7835" w:rsidP="00FB7835">
      <w:pPr>
        <w:ind w:left="567" w:hanging="567"/>
        <w:rPr>
          <w:b/>
          <w:szCs w:val="22"/>
          <w:lang w:eastAsia="pt-PT"/>
        </w:rPr>
      </w:pPr>
      <w:r w:rsidRPr="0063119B">
        <w:rPr>
          <w:b/>
          <w:noProof/>
          <w:szCs w:val="22"/>
        </w:rPr>
        <w:t>-</w:t>
      </w:r>
      <w:r w:rsidRPr="0063119B">
        <w:rPr>
          <w:b/>
          <w:noProof/>
          <w:szCs w:val="22"/>
        </w:rPr>
        <w:tab/>
      </w:r>
      <w:r w:rsidRPr="0063119B">
        <w:rPr>
          <w:noProof/>
          <w:szCs w:val="22"/>
        </w:rPr>
        <w:t>se tem uma doença ou situação num órgão do corpo</w:t>
      </w:r>
      <w:r w:rsidRPr="0063119B">
        <w:rPr>
          <w:szCs w:val="22"/>
          <w:lang w:eastAsia="pt-PT"/>
        </w:rPr>
        <w:t xml:space="preserve"> que aumente o risco de hemorragia grave (ex.: úlcera no estômago, lesão ou hemorragia no cérebro, cirurgia recente do cérebro ou dos olhos)</w:t>
      </w:r>
    </w:p>
    <w:p w14:paraId="650B52F1" w14:textId="77777777" w:rsidR="00FB7835" w:rsidRPr="0063119B" w:rsidRDefault="00FB7835" w:rsidP="00FB7835">
      <w:pPr>
        <w:autoSpaceDE w:val="0"/>
        <w:autoSpaceDN w:val="0"/>
        <w:adjustRightInd w:val="0"/>
        <w:ind w:left="567" w:hanging="567"/>
        <w:rPr>
          <w:b/>
          <w:noProof/>
          <w:szCs w:val="22"/>
        </w:rPr>
      </w:pPr>
      <w:r w:rsidRPr="0063119B">
        <w:rPr>
          <w:b/>
          <w:noProof/>
          <w:szCs w:val="22"/>
        </w:rPr>
        <w:t xml:space="preserve">-         </w:t>
      </w:r>
      <w:r w:rsidRPr="0063119B">
        <w:rPr>
          <w:szCs w:val="22"/>
          <w:lang w:eastAsia="pt-PT"/>
        </w:rPr>
        <w:t>se está a tomar medicamentos para prevenir a coagulação sanguínea (ex.: varfarina, dabigatrano, apixabano ou heparina), exceto quando estiver a mudar de tratamento anticoagulante ou enquanto receber heparina através de uma linha venosa ou arterial para a manter aberta</w:t>
      </w:r>
    </w:p>
    <w:p w14:paraId="7E79CAC1" w14:textId="77777777" w:rsidR="00FB7835" w:rsidRPr="0063119B" w:rsidRDefault="00FB7835" w:rsidP="00FB7835">
      <w:pPr>
        <w:ind w:left="567" w:hanging="567"/>
        <w:rPr>
          <w:noProof/>
          <w:szCs w:val="22"/>
        </w:rPr>
      </w:pPr>
      <w:r w:rsidRPr="0063119B">
        <w:rPr>
          <w:noProof/>
          <w:szCs w:val="22"/>
        </w:rPr>
        <w:noBreakHyphen/>
      </w:r>
      <w:r w:rsidRPr="0063119B">
        <w:rPr>
          <w:noProof/>
          <w:szCs w:val="22"/>
        </w:rPr>
        <w:tab/>
        <w:t>se tem uma doença no fígado, que leva a um aumento do risco de hemorragias</w:t>
      </w:r>
    </w:p>
    <w:p w14:paraId="2164464D" w14:textId="77777777" w:rsidR="00FB7835" w:rsidRPr="0063119B" w:rsidRDefault="00FB7835" w:rsidP="00FB7835">
      <w:pPr>
        <w:ind w:left="567" w:hanging="567"/>
        <w:rPr>
          <w:noProof/>
          <w:szCs w:val="22"/>
        </w:rPr>
      </w:pPr>
      <w:r w:rsidRPr="0063119B">
        <w:rPr>
          <w:noProof/>
          <w:szCs w:val="22"/>
        </w:rPr>
        <w:noBreakHyphen/>
      </w:r>
      <w:r w:rsidRPr="0063119B">
        <w:rPr>
          <w:noProof/>
          <w:szCs w:val="22"/>
        </w:rPr>
        <w:tab/>
        <w:t>se está grávida ou a amamentar</w:t>
      </w:r>
    </w:p>
    <w:p w14:paraId="1EE9B8F0" w14:textId="77777777" w:rsidR="00FB7835" w:rsidRPr="0063119B" w:rsidRDefault="00FB7835" w:rsidP="00FB7835">
      <w:pPr>
        <w:numPr>
          <w:ilvl w:val="12"/>
          <w:numId w:val="0"/>
        </w:numPr>
        <w:suppressAutoHyphens/>
        <w:rPr>
          <w:noProof/>
          <w:szCs w:val="22"/>
        </w:rPr>
      </w:pPr>
      <w:r w:rsidRPr="0063119B">
        <w:rPr>
          <w:b/>
          <w:noProof/>
          <w:szCs w:val="22"/>
        </w:rPr>
        <w:t xml:space="preserve">Não tome </w:t>
      </w:r>
      <w:r w:rsidR="00607DE4">
        <w:rPr>
          <w:b/>
          <w:noProof/>
          <w:szCs w:val="22"/>
        </w:rPr>
        <w:t>Rivaroxabano</w:t>
      </w:r>
      <w:r w:rsidR="001F7D02" w:rsidRPr="0063119B">
        <w:rPr>
          <w:b/>
          <w:noProof/>
          <w:szCs w:val="22"/>
        </w:rPr>
        <w:t xml:space="preserve"> Accord</w:t>
      </w:r>
      <w:r w:rsidRPr="0063119B">
        <w:rPr>
          <w:b/>
          <w:noProof/>
          <w:szCs w:val="22"/>
        </w:rPr>
        <w:t xml:space="preserve"> e informe o seu médico</w:t>
      </w:r>
      <w:r w:rsidRPr="0063119B">
        <w:rPr>
          <w:noProof/>
          <w:szCs w:val="22"/>
        </w:rPr>
        <w:t xml:space="preserve"> se alguma destas situações se aplica a si.</w:t>
      </w:r>
    </w:p>
    <w:p w14:paraId="0768952D" w14:textId="77777777" w:rsidR="00FB7835" w:rsidRPr="0063119B" w:rsidRDefault="00FB7835" w:rsidP="00FB7835">
      <w:pPr>
        <w:numPr>
          <w:ilvl w:val="12"/>
          <w:numId w:val="0"/>
        </w:numPr>
        <w:suppressAutoHyphens/>
        <w:rPr>
          <w:noProof/>
          <w:szCs w:val="22"/>
        </w:rPr>
      </w:pPr>
    </w:p>
    <w:p w14:paraId="522F857C" w14:textId="77777777" w:rsidR="00FB7835" w:rsidRPr="0063119B" w:rsidRDefault="00FB7835" w:rsidP="00FB7835">
      <w:pPr>
        <w:suppressAutoHyphens/>
        <w:rPr>
          <w:noProof/>
          <w:szCs w:val="22"/>
        </w:rPr>
      </w:pPr>
      <w:r w:rsidRPr="0063119B">
        <w:rPr>
          <w:b/>
          <w:noProof/>
          <w:szCs w:val="22"/>
        </w:rPr>
        <w:t>Advertências e precauções</w:t>
      </w:r>
    </w:p>
    <w:p w14:paraId="0420D159" w14:textId="77777777" w:rsidR="00FB7835" w:rsidRPr="0063119B" w:rsidRDefault="00FB7835" w:rsidP="00FB7835">
      <w:pPr>
        <w:suppressAutoHyphens/>
        <w:rPr>
          <w:noProof/>
          <w:szCs w:val="22"/>
        </w:rPr>
      </w:pPr>
      <w:r w:rsidRPr="0063119B">
        <w:rPr>
          <w:noProof/>
          <w:szCs w:val="22"/>
        </w:rPr>
        <w:lastRenderedPageBreak/>
        <w:t xml:space="preserve">Fale com o seu médico ou farmacêutico antes de tomar </w:t>
      </w:r>
      <w:r w:rsidR="00607DE4">
        <w:rPr>
          <w:noProof/>
          <w:szCs w:val="22"/>
        </w:rPr>
        <w:t>Rivaroxabano</w:t>
      </w:r>
      <w:r w:rsidR="001F7D02" w:rsidRPr="0063119B">
        <w:rPr>
          <w:noProof/>
          <w:szCs w:val="22"/>
        </w:rPr>
        <w:t xml:space="preserve"> Accord</w:t>
      </w:r>
      <w:r w:rsidRPr="0063119B">
        <w:rPr>
          <w:noProof/>
          <w:szCs w:val="22"/>
        </w:rPr>
        <w:t>.</w:t>
      </w:r>
    </w:p>
    <w:p w14:paraId="7A0BFB00" w14:textId="77777777" w:rsidR="00FB7835" w:rsidRPr="0063119B" w:rsidRDefault="00FB7835" w:rsidP="00FB7835">
      <w:pPr>
        <w:numPr>
          <w:ilvl w:val="12"/>
          <w:numId w:val="0"/>
        </w:numPr>
        <w:suppressAutoHyphens/>
        <w:rPr>
          <w:b/>
          <w:noProof/>
          <w:szCs w:val="22"/>
        </w:rPr>
      </w:pPr>
    </w:p>
    <w:p w14:paraId="38A92DA1" w14:textId="77777777" w:rsidR="00FB7835" w:rsidRPr="0063119B" w:rsidRDefault="00FB7835" w:rsidP="00FB7835">
      <w:pPr>
        <w:numPr>
          <w:ilvl w:val="12"/>
          <w:numId w:val="0"/>
        </w:numPr>
        <w:suppressAutoHyphens/>
        <w:rPr>
          <w:b/>
          <w:noProof/>
          <w:szCs w:val="22"/>
        </w:rPr>
      </w:pPr>
      <w:r w:rsidRPr="0063119B">
        <w:rPr>
          <w:b/>
          <w:noProof/>
          <w:szCs w:val="22"/>
        </w:rPr>
        <w:t xml:space="preserve">Tome especial cuidado com </w:t>
      </w:r>
      <w:r w:rsidR="00607DE4">
        <w:rPr>
          <w:b/>
          <w:noProof/>
          <w:szCs w:val="22"/>
        </w:rPr>
        <w:t>Rivaroxabano</w:t>
      </w:r>
      <w:r w:rsidR="001F7D02" w:rsidRPr="0063119B">
        <w:rPr>
          <w:b/>
          <w:noProof/>
          <w:szCs w:val="22"/>
        </w:rPr>
        <w:t xml:space="preserve"> Accord</w:t>
      </w:r>
    </w:p>
    <w:p w14:paraId="4D48526D" w14:textId="77777777" w:rsidR="00FB7835" w:rsidRPr="0063119B" w:rsidRDefault="00FB7835" w:rsidP="00FB7835">
      <w:pPr>
        <w:numPr>
          <w:ilvl w:val="12"/>
          <w:numId w:val="0"/>
        </w:numPr>
        <w:suppressAutoHyphens/>
        <w:rPr>
          <w:noProof/>
          <w:szCs w:val="22"/>
        </w:rPr>
      </w:pPr>
      <w:r w:rsidRPr="0063119B">
        <w:rPr>
          <w:b/>
          <w:noProof/>
          <w:szCs w:val="22"/>
        </w:rPr>
        <w:t xml:space="preserve">-         </w:t>
      </w:r>
      <w:r w:rsidRPr="0063119B">
        <w:rPr>
          <w:noProof/>
          <w:szCs w:val="22"/>
        </w:rPr>
        <w:t>se tem</w:t>
      </w:r>
      <w:r w:rsidRPr="0063119B">
        <w:rPr>
          <w:b/>
          <w:noProof/>
          <w:szCs w:val="22"/>
        </w:rPr>
        <w:t xml:space="preserve"> </w:t>
      </w:r>
      <w:r w:rsidRPr="0063119B">
        <w:rPr>
          <w:noProof/>
          <w:szCs w:val="22"/>
        </w:rPr>
        <w:t>um risco aumentado de hemorragia, uma vez que pode ser o caso de situações como:</w:t>
      </w:r>
    </w:p>
    <w:p w14:paraId="6A8F10BD" w14:textId="77777777" w:rsidR="00FB7835" w:rsidRPr="0063119B" w:rsidRDefault="00FB7835" w:rsidP="00FB7835">
      <w:pPr>
        <w:tabs>
          <w:tab w:val="left" w:pos="1418"/>
        </w:tabs>
        <w:suppressAutoHyphens/>
        <w:ind w:left="1134" w:hanging="567"/>
        <w:rPr>
          <w:b/>
          <w:noProof/>
          <w:szCs w:val="22"/>
        </w:rPr>
      </w:pPr>
      <w:r w:rsidRPr="0063119B">
        <w:rPr>
          <w:noProof/>
          <w:szCs w:val="22"/>
        </w:rPr>
        <w:t>▪</w:t>
      </w:r>
      <w:r w:rsidRPr="0063119B">
        <w:rPr>
          <w:noProof/>
          <w:szCs w:val="22"/>
        </w:rPr>
        <w:tab/>
        <w:t>doença grave dos rins, uma vez que a sua função renal pode afetar a quantidade de medicamento que funciona no seu corpo</w:t>
      </w:r>
    </w:p>
    <w:p w14:paraId="0D820724" w14:textId="77777777" w:rsidR="00FB7835" w:rsidRPr="0063119B" w:rsidRDefault="00FB7835" w:rsidP="00FB7835">
      <w:pPr>
        <w:tabs>
          <w:tab w:val="left" w:pos="1418"/>
        </w:tabs>
        <w:suppressAutoHyphens/>
        <w:ind w:left="1134" w:hanging="567"/>
        <w:rPr>
          <w:b/>
          <w:noProof/>
          <w:szCs w:val="22"/>
        </w:rPr>
      </w:pPr>
      <w:r w:rsidRPr="0063119B">
        <w:rPr>
          <w:noProof/>
          <w:szCs w:val="22"/>
        </w:rPr>
        <w:t>▪</w:t>
      </w:r>
      <w:r w:rsidRPr="0063119B">
        <w:rPr>
          <w:noProof/>
          <w:szCs w:val="22"/>
        </w:rPr>
        <w:tab/>
        <w:t xml:space="preserve">se está a tomar outros medicamentos para prevenir coágulos de sangue (ex.: varfarina, dabigatrano, apixabano ou heparina), </w:t>
      </w:r>
      <w:r w:rsidRPr="0063119B">
        <w:rPr>
          <w:rStyle w:val="hps"/>
          <w:szCs w:val="22"/>
        </w:rPr>
        <w:t xml:space="preserve">quando estiver a </w:t>
      </w:r>
      <w:r w:rsidRPr="0063119B">
        <w:rPr>
          <w:szCs w:val="22"/>
          <w:lang w:eastAsia="pt-PT"/>
        </w:rPr>
        <w:t>mudar de tratamento</w:t>
      </w:r>
      <w:r w:rsidRPr="0063119B">
        <w:rPr>
          <w:b/>
          <w:szCs w:val="22"/>
          <w:lang w:eastAsia="pt-PT"/>
        </w:rPr>
        <w:t xml:space="preserve"> </w:t>
      </w:r>
      <w:r w:rsidRPr="0063119B">
        <w:rPr>
          <w:szCs w:val="22"/>
          <w:lang w:eastAsia="pt-PT"/>
        </w:rPr>
        <w:t>anticoagulante ou enquanto receber heparina através de uma linha venosa ou arterial para a manter aberta</w:t>
      </w:r>
      <w:r w:rsidRPr="0063119B">
        <w:rPr>
          <w:rStyle w:val="hps"/>
          <w:szCs w:val="22"/>
        </w:rPr>
        <w:t xml:space="preserve"> (</w:t>
      </w:r>
      <w:r w:rsidRPr="0063119B">
        <w:rPr>
          <w:rStyle w:val="atn"/>
          <w:szCs w:val="22"/>
        </w:rPr>
        <w:t>ver secção "</w:t>
      </w:r>
      <w:r w:rsidRPr="0063119B">
        <w:rPr>
          <w:szCs w:val="22"/>
        </w:rPr>
        <w:t xml:space="preserve">Outros medicamentos </w:t>
      </w:r>
      <w:r w:rsidRPr="0063119B">
        <w:rPr>
          <w:rStyle w:val="hps"/>
          <w:szCs w:val="22"/>
        </w:rPr>
        <w:t>e</w:t>
      </w:r>
      <w:r w:rsidRPr="0063119B">
        <w:rPr>
          <w:szCs w:val="22"/>
        </w:rPr>
        <w:t xml:space="preserve"> </w:t>
      </w:r>
      <w:r w:rsidR="00607DE4">
        <w:rPr>
          <w:rStyle w:val="hps"/>
          <w:szCs w:val="22"/>
        </w:rPr>
        <w:t>Rivaroxabano</w:t>
      </w:r>
      <w:r w:rsidR="001F7D02" w:rsidRPr="0063119B">
        <w:rPr>
          <w:rStyle w:val="hps"/>
          <w:szCs w:val="22"/>
        </w:rPr>
        <w:t xml:space="preserve"> Accord</w:t>
      </w:r>
      <w:r w:rsidRPr="0063119B">
        <w:rPr>
          <w:szCs w:val="22"/>
        </w:rPr>
        <w:t>")</w:t>
      </w:r>
    </w:p>
    <w:p w14:paraId="5058B9CF" w14:textId="77777777" w:rsidR="00FB7835" w:rsidRPr="0063119B" w:rsidRDefault="00FB7835" w:rsidP="00FB7835">
      <w:pPr>
        <w:tabs>
          <w:tab w:val="left" w:pos="1418"/>
        </w:tabs>
        <w:suppressAutoHyphens/>
        <w:ind w:left="1134" w:hanging="567"/>
        <w:rPr>
          <w:b/>
          <w:noProof/>
          <w:szCs w:val="22"/>
        </w:rPr>
      </w:pPr>
      <w:r w:rsidRPr="0063119B">
        <w:rPr>
          <w:noProof/>
          <w:szCs w:val="22"/>
        </w:rPr>
        <w:t>▪</w:t>
      </w:r>
      <w:r w:rsidRPr="0063119B">
        <w:rPr>
          <w:noProof/>
          <w:szCs w:val="22"/>
        </w:rPr>
        <w:tab/>
        <w:t>doenças hemorrágicas</w:t>
      </w:r>
    </w:p>
    <w:p w14:paraId="76DD09D8" w14:textId="77777777" w:rsidR="00FB7835" w:rsidRPr="0063119B" w:rsidRDefault="00FB7835" w:rsidP="00FB7835">
      <w:pPr>
        <w:suppressAutoHyphens/>
        <w:ind w:left="1134" w:hanging="567"/>
        <w:rPr>
          <w:noProof/>
          <w:szCs w:val="22"/>
        </w:rPr>
      </w:pPr>
      <w:r w:rsidRPr="0063119B">
        <w:rPr>
          <w:noProof/>
          <w:szCs w:val="22"/>
        </w:rPr>
        <w:t>▪</w:t>
      </w:r>
      <w:r w:rsidRPr="0063119B">
        <w:rPr>
          <w:noProof/>
          <w:szCs w:val="22"/>
        </w:rPr>
        <w:tab/>
        <w:t>tensão arterial muito alta, não controlada por tratamento médico</w:t>
      </w:r>
    </w:p>
    <w:p w14:paraId="18CFA6E5" w14:textId="77777777" w:rsidR="00FB7835" w:rsidRPr="0063119B" w:rsidRDefault="00FB7835" w:rsidP="00FB7835">
      <w:pPr>
        <w:suppressAutoHyphens/>
        <w:ind w:left="1134" w:hanging="567"/>
        <w:rPr>
          <w:noProof/>
          <w:szCs w:val="22"/>
        </w:rPr>
      </w:pPr>
      <w:r w:rsidRPr="0063119B">
        <w:rPr>
          <w:noProof/>
          <w:szCs w:val="22"/>
        </w:rPr>
        <w:t>▪</w:t>
      </w:r>
      <w:r w:rsidRPr="0063119B">
        <w:rPr>
          <w:noProof/>
          <w:szCs w:val="22"/>
        </w:rPr>
        <w:tab/>
        <w:t>doenças do seu estômago ou intestinos que podem resultar em hemorragia, ex.: inflamação dos intestinos ou estômago, ou inflamação do esófago ex.: devido à doença de refluxo gastroesofágico (doença em que o ácido do estômago sobe para o esófago)</w:t>
      </w:r>
      <w:r w:rsidR="009F7B2E" w:rsidRPr="009F7B2E">
        <w:t xml:space="preserve"> </w:t>
      </w:r>
      <w:r w:rsidR="009F7B2E">
        <w:t>ou tumores localizados no estômago ou intestinos ou trato genital ou trato urinário</w:t>
      </w:r>
    </w:p>
    <w:p w14:paraId="714269BE" w14:textId="77777777" w:rsidR="00FB7835" w:rsidRPr="0063119B" w:rsidRDefault="00FB7835" w:rsidP="00FB7835">
      <w:pPr>
        <w:suppressAutoHyphens/>
        <w:ind w:left="1134" w:hanging="567"/>
        <w:rPr>
          <w:noProof/>
          <w:szCs w:val="22"/>
        </w:rPr>
      </w:pPr>
      <w:r w:rsidRPr="0063119B">
        <w:rPr>
          <w:noProof/>
          <w:szCs w:val="22"/>
        </w:rPr>
        <w:t>▪</w:t>
      </w:r>
      <w:r w:rsidRPr="0063119B">
        <w:rPr>
          <w:noProof/>
          <w:szCs w:val="22"/>
        </w:rPr>
        <w:tab/>
        <w:t>um problema com os vasos sanguíneos do fundo do olho (retinopatia)</w:t>
      </w:r>
    </w:p>
    <w:p w14:paraId="1BDF93F7" w14:textId="77777777" w:rsidR="00FB7835" w:rsidRPr="0063119B" w:rsidRDefault="00FB7835" w:rsidP="00FB7835">
      <w:pPr>
        <w:suppressAutoHyphens/>
        <w:ind w:left="1134" w:hanging="567"/>
        <w:rPr>
          <w:b/>
          <w:noProof/>
          <w:szCs w:val="22"/>
        </w:rPr>
      </w:pPr>
      <w:r w:rsidRPr="0063119B">
        <w:rPr>
          <w:noProof/>
          <w:szCs w:val="22"/>
        </w:rPr>
        <w:t>▪</w:t>
      </w:r>
      <w:r w:rsidRPr="0063119B">
        <w:rPr>
          <w:noProof/>
          <w:szCs w:val="22"/>
        </w:rPr>
        <w:tab/>
        <w:t>uma doença dos pulmões em que os seus brônquios estão alargados e cheios de pús</w:t>
      </w:r>
      <w:r w:rsidRPr="0063119B">
        <w:rPr>
          <w:b/>
          <w:noProof/>
          <w:szCs w:val="22"/>
        </w:rPr>
        <w:t xml:space="preserve"> </w:t>
      </w:r>
      <w:r w:rsidRPr="0063119B">
        <w:rPr>
          <w:i/>
          <w:noProof/>
          <w:szCs w:val="22"/>
        </w:rPr>
        <w:t>(</w:t>
      </w:r>
      <w:r w:rsidRPr="0063119B">
        <w:rPr>
          <w:noProof/>
          <w:szCs w:val="22"/>
        </w:rPr>
        <w:t>bronquiectasias</w:t>
      </w:r>
      <w:r w:rsidRPr="0063119B">
        <w:rPr>
          <w:i/>
          <w:noProof/>
          <w:szCs w:val="22"/>
        </w:rPr>
        <w:t xml:space="preserve">) </w:t>
      </w:r>
      <w:r w:rsidRPr="0063119B">
        <w:rPr>
          <w:noProof/>
          <w:szCs w:val="22"/>
        </w:rPr>
        <w:t>ou anterior hemorragia dos pulmões</w:t>
      </w:r>
    </w:p>
    <w:p w14:paraId="6B3C1A9B" w14:textId="77777777" w:rsidR="00FB7835" w:rsidRPr="0063119B" w:rsidRDefault="00FB7835" w:rsidP="00FB7835">
      <w:pPr>
        <w:suppressAutoHyphens/>
        <w:rPr>
          <w:noProof/>
          <w:szCs w:val="22"/>
        </w:rPr>
      </w:pPr>
      <w:r w:rsidRPr="0063119B">
        <w:rPr>
          <w:noProof/>
          <w:szCs w:val="22"/>
        </w:rPr>
        <w:t>-         se tem uma válvula cardíaca protésica</w:t>
      </w:r>
    </w:p>
    <w:p w14:paraId="7BD5AF21" w14:textId="77777777" w:rsidR="00BE4EA8" w:rsidRPr="0063119B" w:rsidRDefault="00BE4EA8" w:rsidP="00A82ECE">
      <w:pPr>
        <w:numPr>
          <w:ilvl w:val="0"/>
          <w:numId w:val="33"/>
        </w:numPr>
        <w:suppressAutoHyphens/>
        <w:ind w:left="567" w:hanging="567"/>
        <w:rPr>
          <w:noProof/>
          <w:szCs w:val="22"/>
        </w:rPr>
      </w:pPr>
      <w:r w:rsidRPr="0063119B">
        <w:rPr>
          <w:noProof/>
          <w:szCs w:val="22"/>
        </w:rPr>
        <w:t>se o seu médico determinar</w:t>
      </w:r>
      <w:r w:rsidRPr="0063119B">
        <w:rPr>
          <w:b/>
          <w:noProof/>
          <w:szCs w:val="22"/>
        </w:rPr>
        <w:t xml:space="preserve"> </w:t>
      </w:r>
      <w:r w:rsidRPr="0063119B">
        <w:rPr>
          <w:noProof/>
          <w:szCs w:val="22"/>
        </w:rPr>
        <w:t>que a sua</w:t>
      </w:r>
      <w:r w:rsidRPr="0063119B">
        <w:rPr>
          <w:b/>
          <w:noProof/>
          <w:szCs w:val="22"/>
        </w:rPr>
        <w:t xml:space="preserve"> </w:t>
      </w:r>
      <w:r w:rsidRPr="0063119B">
        <w:rPr>
          <w:noProof/>
          <w:szCs w:val="22"/>
        </w:rPr>
        <w:t>tensão arterial é instável ou está planeado outro tratamento</w:t>
      </w:r>
      <w:r w:rsidRPr="0063119B">
        <w:rPr>
          <w:b/>
          <w:noProof/>
          <w:szCs w:val="22"/>
        </w:rPr>
        <w:t xml:space="preserve"> </w:t>
      </w:r>
      <w:r w:rsidRPr="0063119B">
        <w:rPr>
          <w:noProof/>
          <w:szCs w:val="22"/>
        </w:rPr>
        <w:t xml:space="preserve">ou procedimento cirúrgico para remover o cóagulo de sangue dos seus pulmões </w:t>
      </w:r>
    </w:p>
    <w:p w14:paraId="4FAC8AE2" w14:textId="77777777" w:rsidR="00C909B6" w:rsidRPr="0063119B" w:rsidRDefault="00C909B6" w:rsidP="00A82ECE">
      <w:pPr>
        <w:numPr>
          <w:ilvl w:val="0"/>
          <w:numId w:val="33"/>
        </w:numPr>
        <w:suppressAutoHyphens/>
        <w:ind w:left="567" w:hanging="567"/>
        <w:rPr>
          <w:noProof/>
          <w:szCs w:val="22"/>
        </w:rPr>
      </w:pPr>
      <w:r w:rsidRPr="0063119B">
        <w:rPr>
          <w:noProof/>
          <w:szCs w:val="22"/>
        </w:rPr>
        <w:t>se tem uma doença chamada síndrome antifosfolipídica (uma doença do sistema imunitário que provoca um aumento do risco de coágulos sanguíneos), informe o seu médico, que decidirá se o tratamento necessita de ser alterado</w:t>
      </w:r>
    </w:p>
    <w:p w14:paraId="2958F0B8" w14:textId="77777777" w:rsidR="00FB7835" w:rsidRPr="0063119B" w:rsidRDefault="00FB7835" w:rsidP="00FB7835">
      <w:pPr>
        <w:suppressAutoHyphens/>
        <w:rPr>
          <w:noProof/>
          <w:szCs w:val="22"/>
        </w:rPr>
      </w:pPr>
    </w:p>
    <w:p w14:paraId="54179CE8" w14:textId="77777777" w:rsidR="00FB7835" w:rsidRPr="0063119B" w:rsidRDefault="00FB7835" w:rsidP="00FB7835">
      <w:pPr>
        <w:suppressAutoHyphens/>
        <w:rPr>
          <w:noProof/>
          <w:szCs w:val="22"/>
        </w:rPr>
      </w:pPr>
      <w:r w:rsidRPr="0063119B">
        <w:rPr>
          <w:b/>
          <w:noProof/>
          <w:szCs w:val="22"/>
        </w:rPr>
        <w:t>Se algumas das situações acima se aplicar a si, informe o seu médico</w:t>
      </w:r>
      <w:r w:rsidRPr="0063119B">
        <w:rPr>
          <w:noProof/>
          <w:szCs w:val="22"/>
        </w:rPr>
        <w:t xml:space="preserve"> antes de tomar </w:t>
      </w:r>
      <w:r w:rsidR="00607DE4">
        <w:rPr>
          <w:noProof/>
          <w:szCs w:val="22"/>
        </w:rPr>
        <w:t>Rivaroxabano</w:t>
      </w:r>
      <w:r w:rsidR="001F7D02" w:rsidRPr="0063119B">
        <w:rPr>
          <w:noProof/>
          <w:szCs w:val="22"/>
        </w:rPr>
        <w:t xml:space="preserve"> Accord</w:t>
      </w:r>
      <w:r w:rsidRPr="0063119B">
        <w:rPr>
          <w:noProof/>
          <w:szCs w:val="22"/>
        </w:rPr>
        <w:t>. O seu médico decidirá se deve ser tratado com este medicamento e se deve ser mantido sob uma observação mais atenta.</w:t>
      </w:r>
    </w:p>
    <w:p w14:paraId="28EB56DC" w14:textId="77777777" w:rsidR="00FB7835" w:rsidRPr="0063119B" w:rsidRDefault="00FB7835" w:rsidP="00FB7835">
      <w:pPr>
        <w:tabs>
          <w:tab w:val="left" w:pos="709"/>
        </w:tabs>
        <w:suppressAutoHyphens/>
        <w:ind w:left="709" w:hanging="709"/>
        <w:rPr>
          <w:noProof/>
          <w:szCs w:val="22"/>
        </w:rPr>
      </w:pPr>
    </w:p>
    <w:p w14:paraId="677002F2" w14:textId="77777777" w:rsidR="00FB7835" w:rsidRPr="0063119B" w:rsidDel="008A376F" w:rsidRDefault="00FB7835" w:rsidP="00FB7835">
      <w:pPr>
        <w:tabs>
          <w:tab w:val="left" w:pos="709"/>
        </w:tabs>
        <w:suppressAutoHyphens/>
        <w:ind w:left="709" w:hanging="709"/>
        <w:rPr>
          <w:b/>
          <w:noProof/>
          <w:szCs w:val="22"/>
        </w:rPr>
      </w:pPr>
      <w:r w:rsidRPr="0063119B">
        <w:rPr>
          <w:b/>
          <w:noProof/>
          <w:szCs w:val="22"/>
        </w:rPr>
        <w:t>Se necessitar de ser operado</w:t>
      </w:r>
    </w:p>
    <w:p w14:paraId="4F2DF3A0" w14:textId="77777777" w:rsidR="00FB7835" w:rsidRPr="0063119B" w:rsidRDefault="00FB7835" w:rsidP="00FB7835">
      <w:pPr>
        <w:tabs>
          <w:tab w:val="left" w:pos="567"/>
        </w:tabs>
        <w:suppressAutoHyphens/>
        <w:ind w:left="567" w:hanging="567"/>
        <w:rPr>
          <w:noProof/>
          <w:szCs w:val="22"/>
        </w:rPr>
      </w:pPr>
      <w:r w:rsidRPr="0063119B">
        <w:rPr>
          <w:noProof/>
          <w:szCs w:val="22"/>
        </w:rPr>
        <w:noBreakHyphen/>
      </w:r>
      <w:r w:rsidRPr="0063119B">
        <w:rPr>
          <w:noProof/>
          <w:szCs w:val="22"/>
        </w:rPr>
        <w:tab/>
        <w:t xml:space="preserve">é muito importante tomar </w:t>
      </w:r>
      <w:r w:rsidR="00607DE4">
        <w:rPr>
          <w:noProof/>
          <w:szCs w:val="22"/>
        </w:rPr>
        <w:t>Rivaroxabano</w:t>
      </w:r>
      <w:r w:rsidR="001F7D02" w:rsidRPr="0063119B">
        <w:rPr>
          <w:noProof/>
          <w:szCs w:val="22"/>
        </w:rPr>
        <w:t xml:space="preserve"> Accord</w:t>
      </w:r>
      <w:r w:rsidRPr="0063119B">
        <w:rPr>
          <w:noProof/>
          <w:szCs w:val="22"/>
        </w:rPr>
        <w:t xml:space="preserve"> antes e após a cirurgia, exatamente às horas que o seu médico lhe indicou.</w:t>
      </w:r>
    </w:p>
    <w:p w14:paraId="30E828AD" w14:textId="77777777" w:rsidR="00FB7835" w:rsidRPr="0063119B" w:rsidRDefault="00FB7835" w:rsidP="00FB7835">
      <w:pPr>
        <w:suppressAutoHyphens/>
        <w:ind w:left="567" w:hanging="567"/>
        <w:rPr>
          <w:noProof/>
          <w:szCs w:val="22"/>
        </w:rPr>
      </w:pPr>
      <w:r w:rsidRPr="0063119B">
        <w:rPr>
          <w:noProof/>
          <w:szCs w:val="22"/>
        </w:rPr>
        <w:t>-         se a cirurgia envolve a colocação de um cateter ou injeção na coluna vertebral (ex.: anestesia epidural ou espinal ou redução da dor):</w:t>
      </w:r>
    </w:p>
    <w:p w14:paraId="556D4FBC" w14:textId="77777777" w:rsidR="00FB7835" w:rsidRPr="0063119B" w:rsidRDefault="00FB7835" w:rsidP="00FB7835">
      <w:pPr>
        <w:tabs>
          <w:tab w:val="left" w:pos="1418"/>
        </w:tabs>
        <w:suppressAutoHyphens/>
        <w:ind w:left="1418" w:hanging="709"/>
        <w:rPr>
          <w:noProof/>
          <w:szCs w:val="22"/>
        </w:rPr>
      </w:pPr>
      <w:r w:rsidRPr="0063119B">
        <w:rPr>
          <w:noProof/>
          <w:szCs w:val="22"/>
        </w:rPr>
        <w:t>▪</w:t>
      </w:r>
      <w:r w:rsidRPr="0063119B">
        <w:rPr>
          <w:noProof/>
          <w:szCs w:val="22"/>
        </w:rPr>
        <w:tab/>
        <w:t xml:space="preserve">é muito importante tomar </w:t>
      </w:r>
      <w:r w:rsidR="00607DE4">
        <w:rPr>
          <w:noProof/>
          <w:szCs w:val="22"/>
        </w:rPr>
        <w:t>Rivaroxabano</w:t>
      </w:r>
      <w:r w:rsidR="001F7D02" w:rsidRPr="0063119B">
        <w:rPr>
          <w:noProof/>
          <w:szCs w:val="22"/>
        </w:rPr>
        <w:t xml:space="preserve"> Accord</w:t>
      </w:r>
      <w:r w:rsidRPr="0063119B">
        <w:rPr>
          <w:noProof/>
          <w:szCs w:val="22"/>
        </w:rPr>
        <w:t xml:space="preserve">  exatamente às horas que o seu médico lhe indicou, antes e após injeção ou remoção do catéter</w:t>
      </w:r>
    </w:p>
    <w:p w14:paraId="5D98C5CC" w14:textId="77777777" w:rsidR="00FB7835" w:rsidRPr="0063119B" w:rsidRDefault="00FB7835" w:rsidP="00FB7835">
      <w:pPr>
        <w:tabs>
          <w:tab w:val="left" w:pos="1418"/>
        </w:tabs>
        <w:suppressAutoHyphens/>
        <w:ind w:left="1418" w:hanging="709"/>
        <w:rPr>
          <w:noProof/>
          <w:szCs w:val="22"/>
        </w:rPr>
      </w:pPr>
      <w:r w:rsidRPr="0063119B">
        <w:rPr>
          <w:noProof/>
          <w:szCs w:val="22"/>
        </w:rPr>
        <w:t>▪</w:t>
      </w:r>
      <w:r w:rsidRPr="0063119B">
        <w:rPr>
          <w:noProof/>
          <w:szCs w:val="22"/>
        </w:rPr>
        <w:tab/>
        <w:t>informe imediatamente o seu médico se apresentar adormecimento ou fraqueza das pernas ou problemas com o seu intestino ou bexiga após terminar a anestesia, porque é necessário um cuidado urgente.</w:t>
      </w:r>
    </w:p>
    <w:p w14:paraId="48E90F88" w14:textId="77777777" w:rsidR="00FB7835" w:rsidRPr="0063119B" w:rsidRDefault="00FB7835" w:rsidP="00FB7835">
      <w:pPr>
        <w:suppressAutoHyphens/>
        <w:rPr>
          <w:noProof/>
          <w:szCs w:val="22"/>
        </w:rPr>
      </w:pPr>
    </w:p>
    <w:p w14:paraId="3005A7E1" w14:textId="77777777" w:rsidR="00FB7835" w:rsidRPr="0063119B" w:rsidRDefault="00FB7835" w:rsidP="00FB7835">
      <w:pPr>
        <w:suppressAutoHyphens/>
        <w:rPr>
          <w:b/>
          <w:noProof/>
          <w:szCs w:val="22"/>
        </w:rPr>
      </w:pPr>
      <w:r w:rsidRPr="0063119B">
        <w:rPr>
          <w:b/>
          <w:noProof/>
          <w:szCs w:val="22"/>
        </w:rPr>
        <w:t>Crianças e adolescentes</w:t>
      </w:r>
    </w:p>
    <w:p w14:paraId="6406238D" w14:textId="77777777" w:rsidR="00FB7835" w:rsidRPr="0063119B" w:rsidRDefault="00DB02C3" w:rsidP="00FB7835">
      <w:pPr>
        <w:suppressAutoHyphens/>
        <w:rPr>
          <w:noProof/>
          <w:szCs w:val="22"/>
        </w:rPr>
      </w:pPr>
      <w:r>
        <w:rPr>
          <w:szCs w:val="22"/>
        </w:rPr>
        <w:t xml:space="preserve">A embalagem de tratamento inicial de </w:t>
      </w:r>
      <w:r w:rsidR="00607DE4">
        <w:rPr>
          <w:noProof/>
          <w:szCs w:val="22"/>
        </w:rPr>
        <w:t>Rivaroxabano</w:t>
      </w:r>
      <w:r w:rsidR="001F7D02" w:rsidRPr="0063119B">
        <w:rPr>
          <w:noProof/>
          <w:szCs w:val="22"/>
        </w:rPr>
        <w:t xml:space="preserve"> Accord</w:t>
      </w:r>
      <w:r w:rsidR="00FB7835" w:rsidRPr="0063119B">
        <w:rPr>
          <w:noProof/>
          <w:szCs w:val="22"/>
        </w:rPr>
        <w:t xml:space="preserve"> </w:t>
      </w:r>
      <w:r w:rsidR="00FB7835" w:rsidRPr="0063119B">
        <w:rPr>
          <w:b/>
          <w:noProof/>
          <w:szCs w:val="22"/>
        </w:rPr>
        <w:t>não é recomendado para pessoas com menos de 18 anos de idade</w:t>
      </w:r>
      <w:r>
        <w:rPr>
          <w:b/>
          <w:noProof/>
          <w:szCs w:val="22"/>
        </w:rPr>
        <w:t xml:space="preserve">, </w:t>
      </w:r>
      <w:r>
        <w:rPr>
          <w:szCs w:val="22"/>
        </w:rPr>
        <w:t>uma vez que foi concebida especificamente para o tratamento de doentes adultos e não é apropriada para utilização em crianças e adolescentes</w:t>
      </w:r>
      <w:r w:rsidR="00FB7835" w:rsidRPr="0063119B">
        <w:rPr>
          <w:noProof/>
          <w:szCs w:val="22"/>
        </w:rPr>
        <w:t xml:space="preserve">. </w:t>
      </w:r>
    </w:p>
    <w:p w14:paraId="5A8EB6A2" w14:textId="77777777" w:rsidR="00FB7835" w:rsidRPr="0063119B" w:rsidRDefault="00FB7835" w:rsidP="00FB7835">
      <w:pPr>
        <w:suppressAutoHyphens/>
        <w:rPr>
          <w:noProof/>
          <w:szCs w:val="22"/>
        </w:rPr>
      </w:pPr>
    </w:p>
    <w:p w14:paraId="30013999" w14:textId="77777777" w:rsidR="00FB7835" w:rsidRPr="0063119B" w:rsidRDefault="00FB7835" w:rsidP="00FB7835">
      <w:pPr>
        <w:suppressAutoHyphens/>
        <w:rPr>
          <w:noProof/>
          <w:szCs w:val="22"/>
        </w:rPr>
      </w:pPr>
      <w:r w:rsidRPr="0063119B">
        <w:rPr>
          <w:b/>
          <w:noProof/>
          <w:szCs w:val="22"/>
        </w:rPr>
        <w:t xml:space="preserve">Outros medicamentos e </w:t>
      </w:r>
      <w:r w:rsidR="00607DE4">
        <w:rPr>
          <w:b/>
          <w:noProof/>
          <w:szCs w:val="22"/>
        </w:rPr>
        <w:t>Rivaroxabano</w:t>
      </w:r>
      <w:r w:rsidR="001F7D02" w:rsidRPr="0063119B">
        <w:rPr>
          <w:b/>
          <w:noProof/>
          <w:szCs w:val="22"/>
        </w:rPr>
        <w:t xml:space="preserve"> Accord</w:t>
      </w:r>
    </w:p>
    <w:p w14:paraId="3A0B66C4" w14:textId="77777777" w:rsidR="00FB7835" w:rsidRPr="0063119B" w:rsidRDefault="00FB7835" w:rsidP="00FB7835">
      <w:pPr>
        <w:rPr>
          <w:noProof/>
          <w:szCs w:val="22"/>
        </w:rPr>
      </w:pPr>
      <w:r w:rsidRPr="0063119B">
        <w:rPr>
          <w:noProof/>
          <w:szCs w:val="22"/>
        </w:rPr>
        <w:t>Informe o seu médico ou farmacêutico se estiver a tomar, tiver tomado recentemente ou se vier a tomar outros medicamentos, incluindo medicamentos não sujeitos a receita médica.</w:t>
      </w:r>
    </w:p>
    <w:p w14:paraId="62725248" w14:textId="77777777" w:rsidR="00FB7835" w:rsidRPr="0063119B" w:rsidRDefault="00FB7835" w:rsidP="00FB7835">
      <w:pPr>
        <w:tabs>
          <w:tab w:val="left" w:pos="567"/>
        </w:tabs>
        <w:suppressAutoHyphens/>
        <w:rPr>
          <w:b/>
          <w:noProof/>
          <w:szCs w:val="22"/>
        </w:rPr>
      </w:pPr>
      <w:r w:rsidRPr="0063119B">
        <w:rPr>
          <w:b/>
          <w:noProof/>
          <w:szCs w:val="22"/>
        </w:rPr>
        <w:noBreakHyphen/>
      </w:r>
      <w:r w:rsidRPr="0063119B">
        <w:rPr>
          <w:b/>
          <w:noProof/>
          <w:szCs w:val="22"/>
        </w:rPr>
        <w:tab/>
        <w:t>Se está a tomar</w:t>
      </w:r>
    </w:p>
    <w:p w14:paraId="56CB6F45" w14:textId="77777777" w:rsidR="00FB7835" w:rsidRPr="0063119B" w:rsidRDefault="00FB7835" w:rsidP="00FB7835">
      <w:pPr>
        <w:suppressAutoHyphens/>
        <w:ind w:left="1134" w:hanging="567"/>
        <w:rPr>
          <w:noProof/>
          <w:szCs w:val="22"/>
        </w:rPr>
      </w:pPr>
      <w:r w:rsidRPr="0063119B">
        <w:rPr>
          <w:noProof/>
          <w:szCs w:val="22"/>
        </w:rPr>
        <w:t>▪</w:t>
      </w:r>
      <w:r w:rsidRPr="0063119B">
        <w:rPr>
          <w:noProof/>
          <w:szCs w:val="22"/>
        </w:rPr>
        <w:tab/>
        <w:t xml:space="preserve">alguns medicamentos para as infeções fúngicas (ex.: </w:t>
      </w:r>
      <w:r w:rsidR="00475EF4" w:rsidRPr="0063119B">
        <w:rPr>
          <w:noProof/>
          <w:szCs w:val="22"/>
        </w:rPr>
        <w:t xml:space="preserve">fluconazol, </w:t>
      </w:r>
      <w:r w:rsidRPr="0063119B">
        <w:rPr>
          <w:noProof/>
          <w:szCs w:val="22"/>
        </w:rPr>
        <w:t>itraconazol, voriconazol, posaconazol), a menos que seja apenas aplicado na pele</w:t>
      </w:r>
    </w:p>
    <w:p w14:paraId="55787F1C" w14:textId="77777777" w:rsidR="0086001C" w:rsidRPr="0063119B" w:rsidRDefault="0086001C" w:rsidP="00FB7835">
      <w:pPr>
        <w:suppressAutoHyphens/>
        <w:ind w:left="1134" w:hanging="567"/>
        <w:rPr>
          <w:noProof/>
          <w:szCs w:val="22"/>
        </w:rPr>
      </w:pPr>
      <w:r w:rsidRPr="0063119B">
        <w:rPr>
          <w:noProof/>
          <w:szCs w:val="22"/>
        </w:rPr>
        <w:t>▪</w:t>
      </w:r>
      <w:r w:rsidRPr="0063119B">
        <w:rPr>
          <w:noProof/>
          <w:szCs w:val="22"/>
        </w:rPr>
        <w:tab/>
        <w:t>comprimidos de cetoconazol (utilizados par</w:t>
      </w:r>
      <w:r w:rsidR="00076A00" w:rsidRPr="0063119B">
        <w:rPr>
          <w:noProof/>
          <w:szCs w:val="22"/>
        </w:rPr>
        <w:t>a tratar a síndrome de Cushing –</w:t>
      </w:r>
      <w:r w:rsidRPr="0063119B">
        <w:rPr>
          <w:noProof/>
          <w:szCs w:val="22"/>
        </w:rPr>
        <w:t xml:space="preserve"> quando o organismo produz um excesso de cortisol)</w:t>
      </w:r>
    </w:p>
    <w:p w14:paraId="0AB1353C" w14:textId="77777777" w:rsidR="00475EF4" w:rsidRPr="0063119B" w:rsidRDefault="00475EF4" w:rsidP="00FB7835">
      <w:pPr>
        <w:suppressAutoHyphens/>
        <w:ind w:left="1134" w:hanging="567"/>
        <w:rPr>
          <w:noProof/>
          <w:szCs w:val="22"/>
        </w:rPr>
      </w:pPr>
      <w:r w:rsidRPr="0063119B">
        <w:rPr>
          <w:noProof/>
          <w:szCs w:val="22"/>
        </w:rPr>
        <w:t>▪</w:t>
      </w:r>
      <w:r w:rsidRPr="0063119B">
        <w:rPr>
          <w:noProof/>
          <w:szCs w:val="22"/>
        </w:rPr>
        <w:tab/>
        <w:t>alguns medicamentos para infeções bacteriana</w:t>
      </w:r>
      <w:r w:rsidR="00BC3CDB" w:rsidRPr="0063119B">
        <w:rPr>
          <w:noProof/>
          <w:szCs w:val="22"/>
        </w:rPr>
        <w:t>s (ex.: claritromicina, eritromi</w:t>
      </w:r>
      <w:r w:rsidRPr="0063119B">
        <w:rPr>
          <w:noProof/>
          <w:szCs w:val="22"/>
        </w:rPr>
        <w:t>cina)</w:t>
      </w:r>
    </w:p>
    <w:p w14:paraId="4B53ED07" w14:textId="77777777" w:rsidR="00FB7835" w:rsidRPr="0063119B" w:rsidRDefault="00FB7835" w:rsidP="00FB7835">
      <w:pPr>
        <w:suppressAutoHyphens/>
        <w:ind w:left="1134" w:hanging="567"/>
        <w:rPr>
          <w:noProof/>
          <w:szCs w:val="22"/>
        </w:rPr>
      </w:pPr>
      <w:r w:rsidRPr="0063119B">
        <w:rPr>
          <w:noProof/>
          <w:szCs w:val="22"/>
        </w:rPr>
        <w:t>▪</w:t>
      </w:r>
      <w:r w:rsidRPr="0063119B">
        <w:rPr>
          <w:noProof/>
          <w:szCs w:val="22"/>
        </w:rPr>
        <w:tab/>
        <w:t>alguns medicamentos anti</w:t>
      </w:r>
      <w:r w:rsidRPr="0063119B">
        <w:rPr>
          <w:noProof/>
          <w:szCs w:val="22"/>
        </w:rPr>
        <w:noBreakHyphen/>
        <w:t>virais para VIH / SIDA (ex.: ritonavir)</w:t>
      </w:r>
    </w:p>
    <w:p w14:paraId="6DB90227" w14:textId="77777777" w:rsidR="00FB7835" w:rsidRPr="0063119B" w:rsidRDefault="00FB7835" w:rsidP="00FB7835">
      <w:pPr>
        <w:suppressAutoHyphens/>
        <w:ind w:left="1134" w:hanging="567"/>
        <w:rPr>
          <w:noProof/>
          <w:szCs w:val="22"/>
        </w:rPr>
      </w:pPr>
      <w:r w:rsidRPr="0063119B">
        <w:rPr>
          <w:noProof/>
          <w:szCs w:val="22"/>
        </w:rPr>
        <w:lastRenderedPageBreak/>
        <w:t>▪</w:t>
      </w:r>
      <w:r w:rsidRPr="0063119B">
        <w:rPr>
          <w:noProof/>
          <w:szCs w:val="22"/>
        </w:rPr>
        <w:tab/>
        <w:t>outros medicamentos para diminuir a coagulação sanguínea (ex.: enoxaparina, clopidogrel ou antagonistas da vitamina K tais como a varfarina e o acenocumarol)</w:t>
      </w:r>
    </w:p>
    <w:p w14:paraId="6D947F7C" w14:textId="77777777" w:rsidR="00FB7835" w:rsidRPr="0063119B" w:rsidRDefault="00FB7835" w:rsidP="00FB7835">
      <w:pPr>
        <w:suppressAutoHyphens/>
        <w:ind w:left="1134" w:hanging="567"/>
        <w:rPr>
          <w:noProof/>
          <w:szCs w:val="22"/>
        </w:rPr>
      </w:pPr>
      <w:r w:rsidRPr="0063119B">
        <w:rPr>
          <w:noProof/>
          <w:szCs w:val="22"/>
        </w:rPr>
        <w:t>▪</w:t>
      </w:r>
      <w:r w:rsidRPr="0063119B">
        <w:rPr>
          <w:noProof/>
          <w:szCs w:val="22"/>
        </w:rPr>
        <w:tab/>
        <w:t>anti</w:t>
      </w:r>
      <w:r w:rsidRPr="0063119B">
        <w:rPr>
          <w:noProof/>
          <w:szCs w:val="22"/>
        </w:rPr>
        <w:noBreakHyphen/>
        <w:t>inflamatórios e medicamentos para aliviar a dor (ex.: naproxeno ou ácido acetilsalicílico)</w:t>
      </w:r>
    </w:p>
    <w:p w14:paraId="74EBB8D9" w14:textId="77777777" w:rsidR="00FB7835" w:rsidRPr="0063119B" w:rsidRDefault="00FB7835" w:rsidP="00FB7835">
      <w:pPr>
        <w:suppressAutoHyphens/>
        <w:ind w:firstLine="567"/>
        <w:rPr>
          <w:noProof/>
          <w:szCs w:val="22"/>
        </w:rPr>
      </w:pPr>
      <w:r w:rsidRPr="0063119B">
        <w:rPr>
          <w:noProof/>
          <w:szCs w:val="22"/>
        </w:rPr>
        <w:t>▪</w:t>
      </w:r>
      <w:r w:rsidRPr="0063119B">
        <w:rPr>
          <w:noProof/>
          <w:szCs w:val="22"/>
        </w:rPr>
        <w:tab/>
        <w:t xml:space="preserve">       dronedarona, um medicamento para tratar o batimento cardíaco anormal</w:t>
      </w:r>
    </w:p>
    <w:p w14:paraId="121F3FF7" w14:textId="77777777" w:rsidR="001914A3" w:rsidRPr="0063119B" w:rsidRDefault="001914A3" w:rsidP="001F0C63">
      <w:pPr>
        <w:tabs>
          <w:tab w:val="left" w:pos="1134"/>
        </w:tabs>
        <w:suppressAutoHyphens/>
        <w:ind w:left="1134" w:hanging="567"/>
        <w:rPr>
          <w:b/>
          <w:noProof/>
          <w:szCs w:val="22"/>
        </w:rPr>
      </w:pPr>
      <w:r w:rsidRPr="0063119B">
        <w:rPr>
          <w:noProof/>
          <w:szCs w:val="22"/>
        </w:rPr>
        <w:t>▪</w:t>
      </w:r>
      <w:r w:rsidRPr="0063119B">
        <w:rPr>
          <w:noProof/>
          <w:szCs w:val="22"/>
        </w:rPr>
        <w:tab/>
        <w:t>alguns medicamentos para tratar a depressão (inibidores seletivos da recaptação da serotonina (ISRS) ou inibidores da recaptação da serotonina e norepinefrina (IRSN))</w:t>
      </w:r>
    </w:p>
    <w:p w14:paraId="53E5A632" w14:textId="77777777" w:rsidR="00FB7835" w:rsidRPr="0063119B" w:rsidRDefault="00FB7835" w:rsidP="00FB7835">
      <w:pPr>
        <w:suppressAutoHyphens/>
        <w:ind w:left="567"/>
        <w:rPr>
          <w:b/>
          <w:noProof/>
          <w:szCs w:val="22"/>
        </w:rPr>
      </w:pPr>
    </w:p>
    <w:p w14:paraId="2C25A03C" w14:textId="77777777" w:rsidR="00FB7835" w:rsidRPr="0063119B" w:rsidRDefault="00FB7835" w:rsidP="00FB7835">
      <w:pPr>
        <w:suppressAutoHyphens/>
        <w:ind w:left="567"/>
        <w:rPr>
          <w:noProof/>
          <w:szCs w:val="22"/>
        </w:rPr>
      </w:pPr>
      <w:r w:rsidRPr="0063119B">
        <w:rPr>
          <w:b/>
          <w:noProof/>
          <w:szCs w:val="22"/>
        </w:rPr>
        <w:t xml:space="preserve">Se algumas das situações acima se aplicar a si, informe o seu médico </w:t>
      </w:r>
      <w:r w:rsidRPr="0063119B">
        <w:rPr>
          <w:noProof/>
          <w:szCs w:val="22"/>
        </w:rPr>
        <w:t xml:space="preserve">antes de tomar </w:t>
      </w:r>
      <w:r w:rsidR="00607DE4">
        <w:rPr>
          <w:noProof/>
          <w:szCs w:val="22"/>
        </w:rPr>
        <w:t>Rivaroxabano</w:t>
      </w:r>
      <w:r w:rsidR="001F7D02" w:rsidRPr="0063119B">
        <w:rPr>
          <w:noProof/>
          <w:szCs w:val="22"/>
        </w:rPr>
        <w:t xml:space="preserve"> Accord</w:t>
      </w:r>
      <w:r w:rsidRPr="0063119B">
        <w:rPr>
          <w:noProof/>
          <w:szCs w:val="22"/>
        </w:rPr>
        <w:t xml:space="preserve">, porque o efeito de </w:t>
      </w:r>
      <w:r w:rsidR="00607DE4">
        <w:rPr>
          <w:noProof/>
          <w:szCs w:val="22"/>
        </w:rPr>
        <w:t>Rivaroxabano</w:t>
      </w:r>
      <w:r w:rsidR="001F7D02" w:rsidRPr="0063119B">
        <w:rPr>
          <w:noProof/>
          <w:szCs w:val="22"/>
        </w:rPr>
        <w:t xml:space="preserve"> Accord</w:t>
      </w:r>
      <w:r w:rsidRPr="0063119B">
        <w:rPr>
          <w:noProof/>
          <w:szCs w:val="22"/>
        </w:rPr>
        <w:t xml:space="preserve"> pode estar aumentado. O seu médico decidirá se deve ser tratado com este medicamento e se deve ser mantido sob uma observação mais atenta.</w:t>
      </w:r>
    </w:p>
    <w:p w14:paraId="3A80EFFE" w14:textId="77777777" w:rsidR="00FB7835" w:rsidRPr="0063119B" w:rsidRDefault="00FB7835" w:rsidP="00FB7835">
      <w:pPr>
        <w:suppressAutoHyphens/>
        <w:ind w:left="567"/>
        <w:rPr>
          <w:b/>
          <w:noProof/>
          <w:szCs w:val="22"/>
        </w:rPr>
      </w:pPr>
      <w:r w:rsidRPr="0063119B">
        <w:rPr>
          <w:noProof/>
          <w:szCs w:val="22"/>
        </w:rPr>
        <w:t>Se o seu médico considerar que corre risco de desenvolver úlceras do estômago ou intestino, poderá prescrever</w:t>
      </w:r>
      <w:r w:rsidRPr="0063119B">
        <w:rPr>
          <w:noProof/>
          <w:szCs w:val="22"/>
        </w:rPr>
        <w:noBreakHyphen/>
        <w:t>lhe também um tratamento preventivo de úlcera.</w:t>
      </w:r>
    </w:p>
    <w:p w14:paraId="7F83C713" w14:textId="77777777" w:rsidR="00FB7835" w:rsidRPr="0063119B" w:rsidRDefault="00FB7835" w:rsidP="00FB7835">
      <w:pPr>
        <w:suppressAutoHyphens/>
        <w:rPr>
          <w:noProof/>
          <w:szCs w:val="22"/>
        </w:rPr>
      </w:pPr>
    </w:p>
    <w:p w14:paraId="7D792201" w14:textId="77777777" w:rsidR="00FB7835" w:rsidRPr="0063119B" w:rsidRDefault="00FB7835" w:rsidP="00FB7835">
      <w:pPr>
        <w:tabs>
          <w:tab w:val="left" w:pos="567"/>
        </w:tabs>
        <w:suppressAutoHyphens/>
        <w:rPr>
          <w:b/>
          <w:noProof/>
          <w:szCs w:val="22"/>
        </w:rPr>
      </w:pPr>
      <w:r w:rsidRPr="0063119B">
        <w:rPr>
          <w:b/>
          <w:noProof/>
          <w:szCs w:val="22"/>
        </w:rPr>
        <w:noBreakHyphen/>
      </w:r>
      <w:r w:rsidRPr="0063119B">
        <w:rPr>
          <w:b/>
          <w:noProof/>
          <w:szCs w:val="22"/>
        </w:rPr>
        <w:tab/>
        <w:t>Se está a tomar</w:t>
      </w:r>
    </w:p>
    <w:p w14:paraId="2B1A752E" w14:textId="77777777" w:rsidR="00FB7835" w:rsidRPr="0063119B" w:rsidRDefault="00FB7835" w:rsidP="00FB7835">
      <w:pPr>
        <w:suppressAutoHyphens/>
        <w:ind w:left="1134" w:hanging="567"/>
        <w:rPr>
          <w:b/>
          <w:noProof/>
          <w:szCs w:val="22"/>
        </w:rPr>
      </w:pPr>
      <w:r w:rsidRPr="0063119B">
        <w:rPr>
          <w:noProof/>
          <w:szCs w:val="22"/>
        </w:rPr>
        <w:t>▪</w:t>
      </w:r>
      <w:r w:rsidRPr="0063119B">
        <w:rPr>
          <w:noProof/>
          <w:szCs w:val="22"/>
        </w:rPr>
        <w:tab/>
        <w:t>alguns medicamentos para o tratamento da epilepsia</w:t>
      </w:r>
      <w:r w:rsidRPr="0063119B">
        <w:rPr>
          <w:b/>
          <w:noProof/>
          <w:szCs w:val="22"/>
        </w:rPr>
        <w:t xml:space="preserve"> </w:t>
      </w:r>
      <w:r w:rsidRPr="0063119B">
        <w:rPr>
          <w:noProof/>
          <w:szCs w:val="22"/>
        </w:rPr>
        <w:t>(fenitoína, carbamazepina, fenobarbital)</w:t>
      </w:r>
    </w:p>
    <w:p w14:paraId="310E2015" w14:textId="77777777" w:rsidR="00FB7835" w:rsidRPr="0063119B" w:rsidRDefault="00FB7835" w:rsidP="00FB7835">
      <w:pPr>
        <w:suppressAutoHyphens/>
        <w:ind w:left="1134" w:hanging="567"/>
        <w:rPr>
          <w:b/>
          <w:noProof/>
          <w:szCs w:val="22"/>
        </w:rPr>
      </w:pPr>
      <w:r w:rsidRPr="0063119B">
        <w:rPr>
          <w:noProof/>
          <w:szCs w:val="22"/>
        </w:rPr>
        <w:t>▪</w:t>
      </w:r>
      <w:r w:rsidRPr="0063119B">
        <w:rPr>
          <w:noProof/>
          <w:szCs w:val="22"/>
        </w:rPr>
        <w:tab/>
        <w:t xml:space="preserve">hipericão </w:t>
      </w:r>
      <w:r w:rsidRPr="0063119B">
        <w:rPr>
          <w:rStyle w:val="BoldtextinprintedPIonly"/>
          <w:b w:val="0"/>
          <w:noProof/>
          <w:szCs w:val="22"/>
        </w:rPr>
        <w:t>(</w:t>
      </w:r>
      <w:r w:rsidRPr="0063119B">
        <w:rPr>
          <w:rStyle w:val="BoldtextinprintedPIonly"/>
          <w:b w:val="0"/>
          <w:i/>
          <w:noProof/>
          <w:szCs w:val="22"/>
        </w:rPr>
        <w:t>Hypericum perforatum</w:t>
      </w:r>
      <w:r w:rsidRPr="0063119B">
        <w:rPr>
          <w:rStyle w:val="BoldtextinprintedPIonly"/>
          <w:b w:val="0"/>
          <w:noProof/>
          <w:szCs w:val="22"/>
        </w:rPr>
        <w:t>)</w:t>
      </w:r>
      <w:r w:rsidRPr="0063119B">
        <w:rPr>
          <w:noProof/>
          <w:szCs w:val="22"/>
        </w:rPr>
        <w:t>,</w:t>
      </w:r>
      <w:r w:rsidRPr="0063119B">
        <w:rPr>
          <w:b/>
          <w:noProof/>
          <w:szCs w:val="22"/>
        </w:rPr>
        <w:t xml:space="preserve"> </w:t>
      </w:r>
      <w:r w:rsidRPr="0063119B">
        <w:rPr>
          <w:noProof/>
          <w:szCs w:val="22"/>
        </w:rPr>
        <w:t>um produto à base de plantas utilizado para a depressão</w:t>
      </w:r>
    </w:p>
    <w:p w14:paraId="05F18C37" w14:textId="77777777" w:rsidR="00FB7835" w:rsidRPr="0063119B" w:rsidRDefault="00FB7835" w:rsidP="00FB7835">
      <w:pPr>
        <w:suppressAutoHyphens/>
        <w:ind w:left="1134" w:hanging="567"/>
        <w:rPr>
          <w:noProof/>
          <w:szCs w:val="22"/>
        </w:rPr>
      </w:pPr>
      <w:r w:rsidRPr="0063119B">
        <w:rPr>
          <w:noProof/>
          <w:szCs w:val="22"/>
        </w:rPr>
        <w:t>▪</w:t>
      </w:r>
      <w:r w:rsidRPr="0063119B">
        <w:rPr>
          <w:noProof/>
          <w:szCs w:val="22"/>
        </w:rPr>
        <w:tab/>
        <w:t>rifampicina,</w:t>
      </w:r>
      <w:r w:rsidRPr="0063119B">
        <w:rPr>
          <w:b/>
          <w:noProof/>
          <w:szCs w:val="22"/>
        </w:rPr>
        <w:t xml:space="preserve"> </w:t>
      </w:r>
      <w:r w:rsidRPr="0063119B">
        <w:rPr>
          <w:noProof/>
          <w:szCs w:val="22"/>
        </w:rPr>
        <w:t>um antibiótico</w:t>
      </w:r>
    </w:p>
    <w:p w14:paraId="1E9CD181" w14:textId="77777777" w:rsidR="00FB7835" w:rsidRPr="0063119B" w:rsidRDefault="00FB7835" w:rsidP="00FB7835">
      <w:pPr>
        <w:suppressAutoHyphens/>
        <w:ind w:left="1134" w:hanging="567"/>
        <w:rPr>
          <w:noProof/>
          <w:szCs w:val="22"/>
        </w:rPr>
      </w:pPr>
    </w:p>
    <w:p w14:paraId="011E0C32" w14:textId="77777777" w:rsidR="00FB7835" w:rsidRPr="0063119B" w:rsidRDefault="00FB7835" w:rsidP="00FB7835">
      <w:pPr>
        <w:suppressAutoHyphens/>
        <w:ind w:left="567"/>
        <w:rPr>
          <w:b/>
          <w:noProof/>
          <w:szCs w:val="22"/>
        </w:rPr>
      </w:pPr>
      <w:r w:rsidRPr="0063119B">
        <w:rPr>
          <w:b/>
          <w:noProof/>
          <w:szCs w:val="22"/>
        </w:rPr>
        <w:t xml:space="preserve">Se algumas das situações acima se aplicar a si, informe o seu médico </w:t>
      </w:r>
      <w:r w:rsidRPr="0063119B">
        <w:rPr>
          <w:noProof/>
          <w:szCs w:val="22"/>
        </w:rPr>
        <w:t xml:space="preserve">antes de tomar </w:t>
      </w:r>
      <w:r w:rsidR="00607DE4">
        <w:rPr>
          <w:noProof/>
          <w:szCs w:val="22"/>
        </w:rPr>
        <w:t>Rivaroxabano</w:t>
      </w:r>
      <w:r w:rsidR="001F7D02" w:rsidRPr="0063119B">
        <w:rPr>
          <w:noProof/>
          <w:szCs w:val="22"/>
        </w:rPr>
        <w:t xml:space="preserve"> Accord</w:t>
      </w:r>
      <w:r w:rsidRPr="0063119B">
        <w:rPr>
          <w:noProof/>
          <w:szCs w:val="22"/>
        </w:rPr>
        <w:t xml:space="preserve">, porque o efeito de </w:t>
      </w:r>
      <w:r w:rsidR="00607DE4">
        <w:rPr>
          <w:noProof/>
          <w:szCs w:val="22"/>
        </w:rPr>
        <w:t>Rivaroxabano</w:t>
      </w:r>
      <w:r w:rsidR="001F7D02" w:rsidRPr="0063119B">
        <w:rPr>
          <w:noProof/>
          <w:szCs w:val="22"/>
        </w:rPr>
        <w:t xml:space="preserve"> Accord</w:t>
      </w:r>
      <w:r w:rsidRPr="0063119B">
        <w:rPr>
          <w:noProof/>
          <w:szCs w:val="22"/>
        </w:rPr>
        <w:t xml:space="preserve"> pode estar diminuído. O seu médico decidirá se deve ser tratado com </w:t>
      </w:r>
      <w:r w:rsidR="00607DE4">
        <w:rPr>
          <w:noProof/>
          <w:szCs w:val="22"/>
        </w:rPr>
        <w:t>Rivaroxabano</w:t>
      </w:r>
      <w:r w:rsidR="001F7D02" w:rsidRPr="0063119B">
        <w:rPr>
          <w:noProof/>
          <w:szCs w:val="22"/>
        </w:rPr>
        <w:t xml:space="preserve"> Accord</w:t>
      </w:r>
      <w:r w:rsidRPr="0063119B">
        <w:rPr>
          <w:noProof/>
          <w:szCs w:val="22"/>
        </w:rPr>
        <w:t xml:space="preserve"> e se deve ser mantido sob uma observação mais atenta.</w:t>
      </w:r>
    </w:p>
    <w:p w14:paraId="78C694D4" w14:textId="77777777" w:rsidR="00FB7835" w:rsidRPr="0063119B" w:rsidRDefault="00FB7835" w:rsidP="00FB7835">
      <w:pPr>
        <w:suppressAutoHyphens/>
        <w:rPr>
          <w:b/>
          <w:noProof/>
          <w:szCs w:val="22"/>
        </w:rPr>
      </w:pPr>
    </w:p>
    <w:p w14:paraId="754891D5" w14:textId="77777777" w:rsidR="00FB7835" w:rsidRPr="0063119B" w:rsidRDefault="00FB7835" w:rsidP="00FB7835">
      <w:pPr>
        <w:suppressAutoHyphens/>
        <w:rPr>
          <w:noProof/>
          <w:szCs w:val="22"/>
        </w:rPr>
      </w:pPr>
      <w:r w:rsidRPr="0063119B">
        <w:rPr>
          <w:b/>
          <w:noProof/>
          <w:szCs w:val="22"/>
        </w:rPr>
        <w:t>Gravidez e amamentação</w:t>
      </w:r>
    </w:p>
    <w:p w14:paraId="7C0F97AE" w14:textId="77777777" w:rsidR="00FB7835" w:rsidRPr="0063119B" w:rsidRDefault="00FB7835" w:rsidP="00FB7835">
      <w:pPr>
        <w:suppressAutoHyphens/>
        <w:rPr>
          <w:noProof/>
          <w:szCs w:val="22"/>
        </w:rPr>
      </w:pPr>
      <w:r w:rsidRPr="0063119B">
        <w:rPr>
          <w:noProof/>
          <w:szCs w:val="22"/>
        </w:rPr>
        <w:t xml:space="preserve">Não tome </w:t>
      </w:r>
      <w:r w:rsidR="00607DE4">
        <w:rPr>
          <w:noProof/>
          <w:szCs w:val="22"/>
        </w:rPr>
        <w:t>Rivaroxabano</w:t>
      </w:r>
      <w:r w:rsidR="001F7D02" w:rsidRPr="0063119B">
        <w:rPr>
          <w:noProof/>
          <w:szCs w:val="22"/>
        </w:rPr>
        <w:t xml:space="preserve"> Accord</w:t>
      </w:r>
      <w:r w:rsidRPr="0063119B">
        <w:rPr>
          <w:noProof/>
          <w:szCs w:val="22"/>
        </w:rPr>
        <w:t xml:space="preserve"> se está grávida ou a amamentar. Se existe a possibilidade de poder ficar grávida, utilize um contracetivo fiável, enquanto toma </w:t>
      </w:r>
      <w:r w:rsidR="00607DE4">
        <w:rPr>
          <w:noProof/>
          <w:szCs w:val="22"/>
        </w:rPr>
        <w:t>Rivaroxabano</w:t>
      </w:r>
      <w:r w:rsidR="001F7D02" w:rsidRPr="0063119B">
        <w:rPr>
          <w:noProof/>
          <w:szCs w:val="22"/>
        </w:rPr>
        <w:t xml:space="preserve"> Accord</w:t>
      </w:r>
      <w:r w:rsidRPr="0063119B">
        <w:rPr>
          <w:noProof/>
          <w:szCs w:val="22"/>
        </w:rPr>
        <w:t>. Se engravidar, enquanto está a tomar este medicamento, informe o seu médico imediatamente, que decidirá como deverá ser tratada.</w:t>
      </w:r>
    </w:p>
    <w:p w14:paraId="7D3ADF6D" w14:textId="77777777" w:rsidR="00FB7835" w:rsidRPr="0063119B" w:rsidRDefault="00FB7835" w:rsidP="00FB7835">
      <w:pPr>
        <w:suppressAutoHyphens/>
        <w:rPr>
          <w:noProof/>
          <w:szCs w:val="22"/>
        </w:rPr>
      </w:pPr>
    </w:p>
    <w:p w14:paraId="569A441E" w14:textId="77777777" w:rsidR="00FB7835" w:rsidRPr="0063119B" w:rsidRDefault="00FB7835" w:rsidP="00FB7835">
      <w:pPr>
        <w:keepNext/>
        <w:suppressAutoHyphens/>
        <w:rPr>
          <w:noProof/>
          <w:szCs w:val="22"/>
        </w:rPr>
      </w:pPr>
      <w:r w:rsidRPr="0063119B">
        <w:rPr>
          <w:b/>
          <w:noProof/>
          <w:szCs w:val="22"/>
        </w:rPr>
        <w:t>Condução de veículos e utilização de máquinas</w:t>
      </w:r>
    </w:p>
    <w:p w14:paraId="773425E9" w14:textId="77777777" w:rsidR="00FB7835" w:rsidRPr="0063119B" w:rsidRDefault="00607DE4" w:rsidP="00FB7835">
      <w:pPr>
        <w:keepNext/>
        <w:suppressAutoHyphens/>
        <w:rPr>
          <w:noProof/>
          <w:szCs w:val="22"/>
        </w:rPr>
      </w:pPr>
      <w:r>
        <w:rPr>
          <w:noProof/>
          <w:szCs w:val="22"/>
        </w:rPr>
        <w:t>Rivaroxabano</w:t>
      </w:r>
      <w:r w:rsidR="001F7D02" w:rsidRPr="0063119B">
        <w:rPr>
          <w:noProof/>
          <w:szCs w:val="22"/>
        </w:rPr>
        <w:t xml:space="preserve"> Accord</w:t>
      </w:r>
      <w:r w:rsidR="00FB7835" w:rsidRPr="0063119B">
        <w:rPr>
          <w:noProof/>
          <w:szCs w:val="22"/>
        </w:rPr>
        <w:t xml:space="preserve"> pode causar tonturas (efeito </w:t>
      </w:r>
      <w:r w:rsidR="00654D4F" w:rsidRPr="0063119B">
        <w:rPr>
          <w:noProof/>
          <w:szCs w:val="22"/>
        </w:rPr>
        <w:t>indesejável</w:t>
      </w:r>
      <w:r w:rsidR="00FB7835" w:rsidRPr="0063119B">
        <w:rPr>
          <w:noProof/>
          <w:szCs w:val="22"/>
        </w:rPr>
        <w:t xml:space="preserve"> frequente) ou desmaio (efeito </w:t>
      </w:r>
      <w:r w:rsidR="00654D4F" w:rsidRPr="0063119B">
        <w:rPr>
          <w:noProof/>
          <w:szCs w:val="22"/>
        </w:rPr>
        <w:t>indesejável</w:t>
      </w:r>
      <w:r w:rsidR="00FB7835" w:rsidRPr="0063119B">
        <w:rPr>
          <w:noProof/>
          <w:szCs w:val="22"/>
        </w:rPr>
        <w:t xml:space="preserve"> pouco frequente) (ver secção 4, “Efeitos </w:t>
      </w:r>
      <w:r w:rsidR="00654D4F" w:rsidRPr="0063119B">
        <w:rPr>
          <w:noProof/>
          <w:szCs w:val="22"/>
        </w:rPr>
        <w:t>indesejáveis</w:t>
      </w:r>
      <w:r w:rsidR="00FB7835" w:rsidRPr="0063119B">
        <w:rPr>
          <w:noProof/>
          <w:szCs w:val="22"/>
        </w:rPr>
        <w:t xml:space="preserve"> possíveis”). Não deve conduzir</w:t>
      </w:r>
      <w:r w:rsidR="00DB02C3">
        <w:rPr>
          <w:noProof/>
          <w:szCs w:val="22"/>
        </w:rPr>
        <w:t xml:space="preserve">, </w:t>
      </w:r>
      <w:r w:rsidR="00DB02C3">
        <w:rPr>
          <w:szCs w:val="22"/>
        </w:rPr>
        <w:t>andar de bicicleta</w:t>
      </w:r>
      <w:r w:rsidR="00FB7835" w:rsidRPr="0063119B">
        <w:rPr>
          <w:noProof/>
          <w:szCs w:val="22"/>
        </w:rPr>
        <w:t xml:space="preserve"> ou utilizar </w:t>
      </w:r>
      <w:r w:rsidR="00DB02C3">
        <w:rPr>
          <w:szCs w:val="22"/>
        </w:rPr>
        <w:t xml:space="preserve">qualquer ferramenta ou </w:t>
      </w:r>
      <w:r w:rsidR="00FB7835" w:rsidRPr="0063119B">
        <w:rPr>
          <w:noProof/>
          <w:szCs w:val="22"/>
        </w:rPr>
        <w:t>máquinas se for afetado por estes sintomas.</w:t>
      </w:r>
    </w:p>
    <w:p w14:paraId="269F54E1" w14:textId="77777777" w:rsidR="00FB7835" w:rsidRPr="0063119B" w:rsidRDefault="00FB7835" w:rsidP="00FB7835">
      <w:pPr>
        <w:suppressAutoHyphens/>
        <w:rPr>
          <w:noProof/>
          <w:szCs w:val="22"/>
        </w:rPr>
      </w:pPr>
    </w:p>
    <w:p w14:paraId="498811AE" w14:textId="77777777" w:rsidR="00FB7835" w:rsidRPr="0063119B" w:rsidRDefault="00607DE4" w:rsidP="00FB7835">
      <w:pPr>
        <w:keepNext/>
        <w:suppressAutoHyphens/>
        <w:rPr>
          <w:b/>
          <w:noProof/>
          <w:szCs w:val="22"/>
        </w:rPr>
      </w:pPr>
      <w:r>
        <w:rPr>
          <w:b/>
          <w:noProof/>
          <w:szCs w:val="22"/>
        </w:rPr>
        <w:t>Rivaroxabano</w:t>
      </w:r>
      <w:r w:rsidR="001F7D02" w:rsidRPr="0063119B">
        <w:rPr>
          <w:b/>
          <w:noProof/>
          <w:szCs w:val="22"/>
        </w:rPr>
        <w:t xml:space="preserve"> Accord</w:t>
      </w:r>
      <w:r w:rsidR="00FB7835" w:rsidRPr="0063119B">
        <w:rPr>
          <w:b/>
          <w:noProof/>
          <w:szCs w:val="22"/>
        </w:rPr>
        <w:t xml:space="preserve"> contém lactose</w:t>
      </w:r>
      <w:r w:rsidR="0058751A" w:rsidRPr="0063119B">
        <w:rPr>
          <w:b/>
          <w:noProof/>
          <w:szCs w:val="22"/>
        </w:rPr>
        <w:t xml:space="preserve"> e sódio</w:t>
      </w:r>
    </w:p>
    <w:p w14:paraId="041B272B" w14:textId="77777777" w:rsidR="00FB7835" w:rsidRPr="0063119B" w:rsidRDefault="00FB7835" w:rsidP="00FB7835">
      <w:pPr>
        <w:keepNext/>
        <w:suppressAutoHyphens/>
        <w:rPr>
          <w:noProof/>
          <w:szCs w:val="22"/>
        </w:rPr>
      </w:pPr>
      <w:r w:rsidRPr="0063119B">
        <w:rPr>
          <w:noProof/>
          <w:szCs w:val="22"/>
        </w:rPr>
        <w:t>Se foi informado pelo seu médico que tem intolerância a alguns açúcares, contacte</w:t>
      </w:r>
      <w:r w:rsidRPr="0063119B">
        <w:rPr>
          <w:noProof/>
          <w:szCs w:val="22"/>
        </w:rPr>
        <w:noBreakHyphen/>
        <w:t>o antes de tomar este medicamento.</w:t>
      </w:r>
    </w:p>
    <w:p w14:paraId="20BA3FC4" w14:textId="77777777" w:rsidR="0058751A" w:rsidRPr="0063119B" w:rsidRDefault="0058751A" w:rsidP="0058751A">
      <w:pPr>
        <w:keepNext/>
        <w:suppressAutoHyphens/>
        <w:rPr>
          <w:noProof/>
          <w:szCs w:val="22"/>
        </w:rPr>
      </w:pPr>
      <w:r w:rsidRPr="0063119B">
        <w:rPr>
          <w:noProof/>
          <w:szCs w:val="22"/>
        </w:rPr>
        <w:t xml:space="preserve">Este medicamento contém menos de 1 mmol de sódio (23 mg) por comprimido, </w:t>
      </w:r>
      <w:r w:rsidR="00B06231" w:rsidRPr="0063119B">
        <w:rPr>
          <w:noProof/>
          <w:szCs w:val="22"/>
        </w:rPr>
        <w:t xml:space="preserve">ou </w:t>
      </w:r>
      <w:r w:rsidRPr="0063119B">
        <w:rPr>
          <w:noProof/>
          <w:szCs w:val="22"/>
        </w:rPr>
        <w:t>seja é praticamente “isento de sódio”.</w:t>
      </w:r>
    </w:p>
    <w:p w14:paraId="242CFCF3" w14:textId="77777777" w:rsidR="00FB7835" w:rsidRPr="0063119B" w:rsidRDefault="00FB7835" w:rsidP="00FB7835">
      <w:pPr>
        <w:suppressAutoHyphens/>
        <w:rPr>
          <w:noProof/>
          <w:szCs w:val="22"/>
        </w:rPr>
      </w:pPr>
    </w:p>
    <w:p w14:paraId="6CF0B956" w14:textId="77777777" w:rsidR="00FB7835" w:rsidRPr="0063119B" w:rsidRDefault="00FB7835" w:rsidP="00FB7835">
      <w:pPr>
        <w:suppressAutoHyphens/>
        <w:rPr>
          <w:noProof/>
          <w:szCs w:val="22"/>
        </w:rPr>
      </w:pPr>
    </w:p>
    <w:p w14:paraId="6A0307E2" w14:textId="77777777" w:rsidR="00FB7835" w:rsidRPr="0063119B" w:rsidRDefault="00FB7835" w:rsidP="00FB7835">
      <w:pPr>
        <w:suppressAutoHyphens/>
        <w:ind w:left="567" w:hanging="567"/>
        <w:rPr>
          <w:noProof/>
          <w:szCs w:val="22"/>
        </w:rPr>
      </w:pPr>
      <w:r w:rsidRPr="0063119B">
        <w:rPr>
          <w:b/>
          <w:noProof/>
          <w:szCs w:val="22"/>
        </w:rPr>
        <w:t>3.</w:t>
      </w:r>
      <w:r w:rsidRPr="0063119B">
        <w:rPr>
          <w:b/>
          <w:noProof/>
          <w:szCs w:val="22"/>
        </w:rPr>
        <w:tab/>
        <w:t xml:space="preserve">Como tomar </w:t>
      </w:r>
      <w:r w:rsidR="00607DE4">
        <w:rPr>
          <w:b/>
          <w:noProof/>
          <w:szCs w:val="22"/>
        </w:rPr>
        <w:t>Rivaroxabano</w:t>
      </w:r>
      <w:r w:rsidR="001F7D02" w:rsidRPr="0063119B">
        <w:rPr>
          <w:b/>
          <w:noProof/>
          <w:szCs w:val="22"/>
        </w:rPr>
        <w:t xml:space="preserve"> Accord</w:t>
      </w:r>
    </w:p>
    <w:p w14:paraId="11525BD2" w14:textId="77777777" w:rsidR="00FB7835" w:rsidRPr="0063119B" w:rsidRDefault="00FB7835" w:rsidP="00FB7835">
      <w:pPr>
        <w:suppressAutoHyphens/>
        <w:rPr>
          <w:noProof/>
          <w:szCs w:val="22"/>
        </w:rPr>
      </w:pPr>
    </w:p>
    <w:p w14:paraId="1F993E4A" w14:textId="77777777" w:rsidR="00FB7835" w:rsidRPr="0063119B" w:rsidRDefault="00FB7835" w:rsidP="00FB7835">
      <w:pPr>
        <w:suppressAutoHyphens/>
        <w:rPr>
          <w:noProof/>
          <w:szCs w:val="22"/>
        </w:rPr>
      </w:pPr>
      <w:r w:rsidRPr="0063119B">
        <w:rPr>
          <w:noProof/>
          <w:szCs w:val="22"/>
        </w:rPr>
        <w:t>Tome este medicamento exatamente como indicado pelo seu médico. Fale com o seu médico ou farmacêutico se tiver dúvidas.</w:t>
      </w:r>
    </w:p>
    <w:p w14:paraId="54F75CCC" w14:textId="77777777" w:rsidR="00FB7835" w:rsidRPr="0063119B" w:rsidRDefault="00FB7835" w:rsidP="00FB7835">
      <w:pPr>
        <w:suppressAutoHyphens/>
        <w:rPr>
          <w:noProof/>
          <w:szCs w:val="22"/>
        </w:rPr>
      </w:pPr>
    </w:p>
    <w:p w14:paraId="30AFD5A0" w14:textId="77777777" w:rsidR="00A905C1" w:rsidRPr="0063119B" w:rsidRDefault="00A905C1" w:rsidP="00A905C1">
      <w:pPr>
        <w:suppressAutoHyphens/>
        <w:rPr>
          <w:noProof/>
          <w:szCs w:val="22"/>
        </w:rPr>
      </w:pPr>
      <w:r w:rsidRPr="0063119B">
        <w:rPr>
          <w:noProof/>
          <w:szCs w:val="22"/>
        </w:rPr>
        <w:t>T</w:t>
      </w:r>
      <w:r w:rsidR="005268D0" w:rsidRPr="0063119B">
        <w:rPr>
          <w:noProof/>
          <w:szCs w:val="22"/>
        </w:rPr>
        <w:t>em de t</w:t>
      </w:r>
      <w:r w:rsidRPr="0063119B">
        <w:rPr>
          <w:noProof/>
          <w:szCs w:val="22"/>
        </w:rPr>
        <w:t xml:space="preserve">omar </w:t>
      </w:r>
      <w:r w:rsidR="00607DE4">
        <w:rPr>
          <w:noProof/>
          <w:szCs w:val="22"/>
        </w:rPr>
        <w:t>Rivaroxabano</w:t>
      </w:r>
      <w:r w:rsidR="001F7D02" w:rsidRPr="0063119B">
        <w:rPr>
          <w:noProof/>
          <w:szCs w:val="22"/>
        </w:rPr>
        <w:t xml:space="preserve"> Accord</w:t>
      </w:r>
      <w:r w:rsidRPr="0063119B">
        <w:rPr>
          <w:noProof/>
          <w:szCs w:val="22"/>
        </w:rPr>
        <w:t xml:space="preserve"> juntamente com uma refeição.</w:t>
      </w:r>
    </w:p>
    <w:p w14:paraId="64A33AF5" w14:textId="77777777" w:rsidR="00A905C1" w:rsidRPr="0063119B" w:rsidRDefault="00A905C1" w:rsidP="00A905C1">
      <w:pPr>
        <w:suppressAutoHyphens/>
        <w:rPr>
          <w:noProof/>
          <w:szCs w:val="22"/>
        </w:rPr>
      </w:pPr>
      <w:r w:rsidRPr="0063119B">
        <w:rPr>
          <w:noProof/>
          <w:szCs w:val="22"/>
        </w:rPr>
        <w:t>Engolir o(s) comprimido(s) de preferência com água.</w:t>
      </w:r>
    </w:p>
    <w:p w14:paraId="6519AF0E" w14:textId="77777777" w:rsidR="00A905C1" w:rsidRPr="0063119B" w:rsidRDefault="00A905C1" w:rsidP="00A905C1">
      <w:pPr>
        <w:suppressAutoHyphens/>
        <w:rPr>
          <w:noProof/>
          <w:szCs w:val="22"/>
        </w:rPr>
      </w:pPr>
    </w:p>
    <w:p w14:paraId="255D9510" w14:textId="77777777" w:rsidR="00A905C1" w:rsidRPr="0063119B" w:rsidRDefault="00A905C1" w:rsidP="00A905C1">
      <w:pPr>
        <w:suppressAutoHyphens/>
        <w:rPr>
          <w:noProof/>
          <w:szCs w:val="22"/>
        </w:rPr>
      </w:pPr>
      <w:r w:rsidRPr="0063119B">
        <w:rPr>
          <w:noProof/>
          <w:szCs w:val="22"/>
        </w:rPr>
        <w:t xml:space="preserve">Se tiver dificuldade em engolir o comprimido inteiro, fale com o seu médico sobre outras formas de tomar </w:t>
      </w:r>
      <w:r w:rsidR="00607DE4">
        <w:rPr>
          <w:noProof/>
          <w:szCs w:val="22"/>
        </w:rPr>
        <w:t>Rivaroxabano</w:t>
      </w:r>
      <w:r w:rsidR="001F7D02" w:rsidRPr="0063119B">
        <w:rPr>
          <w:noProof/>
          <w:szCs w:val="22"/>
        </w:rPr>
        <w:t xml:space="preserve"> Accord</w:t>
      </w:r>
      <w:r w:rsidRPr="0063119B">
        <w:rPr>
          <w:noProof/>
          <w:szCs w:val="22"/>
        </w:rPr>
        <w:t>. O comprimido pode ser esmagado e misturado com água ou  puré de maçã imediatamente antes de o tomar. Esta mistura deve ser imediatamente seguida por alimentos.</w:t>
      </w:r>
    </w:p>
    <w:p w14:paraId="122C4CA6" w14:textId="77777777" w:rsidR="00A905C1" w:rsidRPr="0063119B" w:rsidRDefault="00A905C1" w:rsidP="00A905C1">
      <w:pPr>
        <w:suppressAutoHyphens/>
        <w:rPr>
          <w:noProof/>
          <w:szCs w:val="22"/>
        </w:rPr>
      </w:pPr>
      <w:r w:rsidRPr="0063119B">
        <w:rPr>
          <w:noProof/>
          <w:szCs w:val="22"/>
        </w:rPr>
        <w:lastRenderedPageBreak/>
        <w:t xml:space="preserve">Se necessário, o seu médico pode administrar-lhe também o comprimido </w:t>
      </w:r>
      <w:r w:rsidR="00607DE4">
        <w:rPr>
          <w:noProof/>
          <w:szCs w:val="22"/>
        </w:rPr>
        <w:t>Rivaroxabano</w:t>
      </w:r>
      <w:r w:rsidR="001F7D02" w:rsidRPr="0063119B">
        <w:rPr>
          <w:noProof/>
          <w:szCs w:val="22"/>
        </w:rPr>
        <w:t xml:space="preserve"> Accord</w:t>
      </w:r>
      <w:r w:rsidRPr="0063119B">
        <w:rPr>
          <w:noProof/>
          <w:szCs w:val="22"/>
        </w:rPr>
        <w:t xml:space="preserve"> esmagado através de uma sonda gástrica.</w:t>
      </w:r>
    </w:p>
    <w:p w14:paraId="48853ADF" w14:textId="77777777" w:rsidR="00DB02C3" w:rsidRPr="0063119B" w:rsidRDefault="00DB02C3" w:rsidP="007B33AF">
      <w:pPr>
        <w:rPr>
          <w:szCs w:val="22"/>
        </w:rPr>
      </w:pPr>
    </w:p>
    <w:p w14:paraId="3A304A30" w14:textId="77777777" w:rsidR="00FB7835" w:rsidRPr="0063119B" w:rsidRDefault="00FB7835" w:rsidP="00FB7835">
      <w:pPr>
        <w:suppressAutoHyphens/>
        <w:rPr>
          <w:b/>
          <w:noProof/>
          <w:szCs w:val="22"/>
        </w:rPr>
      </w:pPr>
      <w:r w:rsidRPr="0063119B">
        <w:rPr>
          <w:b/>
          <w:noProof/>
          <w:szCs w:val="22"/>
        </w:rPr>
        <w:t>Que quantidade tomar</w:t>
      </w:r>
    </w:p>
    <w:p w14:paraId="699AF0B9" w14:textId="77777777" w:rsidR="00FB7835" w:rsidRPr="0063119B" w:rsidRDefault="00FB7835" w:rsidP="00FB7835">
      <w:pPr>
        <w:suppressAutoHyphens/>
        <w:rPr>
          <w:noProof/>
          <w:szCs w:val="22"/>
        </w:rPr>
      </w:pPr>
      <w:r w:rsidRPr="0063119B">
        <w:rPr>
          <w:noProof/>
          <w:szCs w:val="22"/>
        </w:rPr>
        <w:t xml:space="preserve">A dose recomenda é </w:t>
      </w:r>
      <w:r w:rsidR="00104B9D" w:rsidRPr="0063119B">
        <w:rPr>
          <w:noProof/>
          <w:szCs w:val="22"/>
        </w:rPr>
        <w:t xml:space="preserve">um comprimido de </w:t>
      </w:r>
      <w:r w:rsidR="00607DE4">
        <w:rPr>
          <w:noProof/>
          <w:szCs w:val="22"/>
        </w:rPr>
        <w:t>Rivaroxabano</w:t>
      </w:r>
      <w:r w:rsidR="001F7D02" w:rsidRPr="0063119B">
        <w:rPr>
          <w:noProof/>
          <w:szCs w:val="22"/>
        </w:rPr>
        <w:t xml:space="preserve"> Accord</w:t>
      </w:r>
      <w:r w:rsidR="00104B9D" w:rsidRPr="0063119B">
        <w:rPr>
          <w:noProof/>
          <w:szCs w:val="22"/>
        </w:rPr>
        <w:t xml:space="preserve"> </w:t>
      </w:r>
      <w:r w:rsidRPr="0063119B">
        <w:rPr>
          <w:noProof/>
          <w:szCs w:val="22"/>
        </w:rPr>
        <w:t>15</w:t>
      </w:r>
      <w:r w:rsidR="00104B9D" w:rsidRPr="0063119B">
        <w:rPr>
          <w:noProof/>
          <w:szCs w:val="22"/>
        </w:rPr>
        <w:t> </w:t>
      </w:r>
      <w:r w:rsidRPr="0063119B">
        <w:rPr>
          <w:noProof/>
          <w:szCs w:val="22"/>
        </w:rPr>
        <w:t>mg 2</w:t>
      </w:r>
      <w:r w:rsidR="00104B9D" w:rsidRPr="0063119B">
        <w:rPr>
          <w:noProof/>
          <w:szCs w:val="22"/>
        </w:rPr>
        <w:t> </w:t>
      </w:r>
      <w:r w:rsidRPr="0063119B">
        <w:rPr>
          <w:noProof/>
          <w:szCs w:val="22"/>
        </w:rPr>
        <w:t>vezes ao dia para as primeiras 3</w:t>
      </w:r>
      <w:r w:rsidR="00104B9D" w:rsidRPr="0063119B">
        <w:rPr>
          <w:noProof/>
          <w:szCs w:val="22"/>
        </w:rPr>
        <w:t> </w:t>
      </w:r>
      <w:r w:rsidRPr="0063119B">
        <w:rPr>
          <w:noProof/>
          <w:szCs w:val="22"/>
        </w:rPr>
        <w:t>semanas. Após as 3</w:t>
      </w:r>
      <w:r w:rsidR="00104B9D" w:rsidRPr="0063119B">
        <w:rPr>
          <w:noProof/>
          <w:szCs w:val="22"/>
        </w:rPr>
        <w:t> </w:t>
      </w:r>
      <w:r w:rsidRPr="0063119B">
        <w:rPr>
          <w:noProof/>
          <w:szCs w:val="22"/>
        </w:rPr>
        <w:t xml:space="preserve">semanas o tratamento, a dose recomendada é </w:t>
      </w:r>
      <w:r w:rsidR="00104B9D" w:rsidRPr="0063119B">
        <w:rPr>
          <w:noProof/>
          <w:szCs w:val="22"/>
        </w:rPr>
        <w:t xml:space="preserve">um comprimido de </w:t>
      </w:r>
      <w:r w:rsidR="00607DE4">
        <w:rPr>
          <w:noProof/>
          <w:szCs w:val="22"/>
        </w:rPr>
        <w:t>Rivaroxabano</w:t>
      </w:r>
      <w:r w:rsidR="001F7D02" w:rsidRPr="0063119B">
        <w:rPr>
          <w:noProof/>
          <w:szCs w:val="22"/>
        </w:rPr>
        <w:t xml:space="preserve"> Accord</w:t>
      </w:r>
      <w:r w:rsidR="00104B9D" w:rsidRPr="0063119B">
        <w:rPr>
          <w:noProof/>
          <w:szCs w:val="22"/>
        </w:rPr>
        <w:t xml:space="preserve"> </w:t>
      </w:r>
      <w:r w:rsidRPr="0063119B">
        <w:rPr>
          <w:noProof/>
          <w:szCs w:val="22"/>
        </w:rPr>
        <w:t>20</w:t>
      </w:r>
      <w:r w:rsidR="00104B9D" w:rsidRPr="0063119B">
        <w:rPr>
          <w:noProof/>
          <w:szCs w:val="22"/>
        </w:rPr>
        <w:t> </w:t>
      </w:r>
      <w:r w:rsidRPr="0063119B">
        <w:rPr>
          <w:noProof/>
          <w:szCs w:val="22"/>
        </w:rPr>
        <w:t>mg uma vez por dia.</w:t>
      </w:r>
    </w:p>
    <w:p w14:paraId="7811C883" w14:textId="77777777" w:rsidR="00FB7835" w:rsidRPr="0063119B" w:rsidRDefault="004F688D" w:rsidP="00FB7835">
      <w:pPr>
        <w:suppressAutoHyphens/>
        <w:rPr>
          <w:noProof/>
          <w:szCs w:val="22"/>
        </w:rPr>
      </w:pPr>
      <w:r w:rsidRPr="0063119B">
        <w:rPr>
          <w:noProof/>
          <w:szCs w:val="22"/>
        </w:rPr>
        <w:t>Esta</w:t>
      </w:r>
      <w:r w:rsidR="00FB7835" w:rsidRPr="0063119B">
        <w:rPr>
          <w:noProof/>
          <w:szCs w:val="22"/>
        </w:rPr>
        <w:t xml:space="preserve"> embalagem de </w:t>
      </w:r>
      <w:r w:rsidRPr="0063119B">
        <w:rPr>
          <w:noProof/>
          <w:szCs w:val="22"/>
        </w:rPr>
        <w:t xml:space="preserve">tratamento inicial </w:t>
      </w:r>
      <w:r w:rsidR="00FB7835" w:rsidRPr="0063119B">
        <w:rPr>
          <w:noProof/>
          <w:szCs w:val="22"/>
        </w:rPr>
        <w:t xml:space="preserve">de 15 mg e 20 mg </w:t>
      </w:r>
      <w:r w:rsidRPr="0063119B">
        <w:rPr>
          <w:noProof/>
          <w:szCs w:val="22"/>
        </w:rPr>
        <w:t xml:space="preserve">de </w:t>
      </w:r>
      <w:r w:rsidR="00607DE4">
        <w:rPr>
          <w:noProof/>
          <w:szCs w:val="22"/>
        </w:rPr>
        <w:t>Rivaroxabano</w:t>
      </w:r>
      <w:r w:rsidR="001F7D02" w:rsidRPr="0063119B">
        <w:rPr>
          <w:noProof/>
          <w:szCs w:val="22"/>
        </w:rPr>
        <w:t xml:space="preserve"> Accord</w:t>
      </w:r>
      <w:r w:rsidRPr="0063119B">
        <w:rPr>
          <w:noProof/>
          <w:szCs w:val="22"/>
        </w:rPr>
        <w:t xml:space="preserve"> </w:t>
      </w:r>
      <w:r w:rsidR="009E72F4" w:rsidRPr="0063119B">
        <w:rPr>
          <w:noProof/>
          <w:szCs w:val="22"/>
        </w:rPr>
        <w:t>é apenas</w:t>
      </w:r>
      <w:r w:rsidR="00FB7835" w:rsidRPr="0063119B">
        <w:rPr>
          <w:noProof/>
          <w:szCs w:val="22"/>
        </w:rPr>
        <w:t xml:space="preserve"> para as 4 primeiras semanas</w:t>
      </w:r>
      <w:r w:rsidR="009E72F4" w:rsidRPr="0063119B">
        <w:rPr>
          <w:noProof/>
          <w:szCs w:val="22"/>
        </w:rPr>
        <w:t xml:space="preserve"> de tratamento</w:t>
      </w:r>
      <w:r w:rsidR="00FB7835" w:rsidRPr="0063119B">
        <w:rPr>
          <w:noProof/>
          <w:szCs w:val="22"/>
        </w:rPr>
        <w:t>.</w:t>
      </w:r>
    </w:p>
    <w:p w14:paraId="5D464B97" w14:textId="77777777" w:rsidR="00FB7835" w:rsidRPr="0063119B" w:rsidRDefault="00FB7835" w:rsidP="00FF261B">
      <w:pPr>
        <w:suppressAutoHyphens/>
        <w:rPr>
          <w:noProof/>
          <w:szCs w:val="22"/>
        </w:rPr>
      </w:pPr>
      <w:r w:rsidRPr="0063119B">
        <w:rPr>
          <w:noProof/>
          <w:szCs w:val="22"/>
        </w:rPr>
        <w:t xml:space="preserve">Após terminar </w:t>
      </w:r>
      <w:r w:rsidR="000A4037" w:rsidRPr="0063119B">
        <w:rPr>
          <w:noProof/>
          <w:szCs w:val="22"/>
        </w:rPr>
        <w:t xml:space="preserve">esta </w:t>
      </w:r>
      <w:r w:rsidRPr="0063119B">
        <w:rPr>
          <w:noProof/>
          <w:szCs w:val="22"/>
        </w:rPr>
        <w:t xml:space="preserve">embalagem o tratamento continuará com </w:t>
      </w:r>
      <w:r w:rsidR="00607DE4">
        <w:rPr>
          <w:noProof/>
          <w:szCs w:val="22"/>
        </w:rPr>
        <w:t>Rivaroxabano</w:t>
      </w:r>
      <w:r w:rsidR="001F7D02" w:rsidRPr="0063119B">
        <w:rPr>
          <w:noProof/>
          <w:szCs w:val="22"/>
        </w:rPr>
        <w:t xml:space="preserve"> Accord</w:t>
      </w:r>
      <w:r w:rsidRPr="0063119B">
        <w:rPr>
          <w:noProof/>
          <w:szCs w:val="22"/>
        </w:rPr>
        <w:t xml:space="preserve"> 20 mg uma vez por dia como o seu médico o informou. </w:t>
      </w:r>
    </w:p>
    <w:p w14:paraId="6CCEBF63" w14:textId="77777777" w:rsidR="00FB7835" w:rsidRPr="0063119B" w:rsidRDefault="00FB7835" w:rsidP="00FF261B">
      <w:pPr>
        <w:suppressAutoHyphens/>
        <w:rPr>
          <w:noProof/>
          <w:szCs w:val="22"/>
        </w:rPr>
      </w:pPr>
      <w:r w:rsidRPr="0063119B">
        <w:rPr>
          <w:noProof/>
          <w:szCs w:val="22"/>
        </w:rPr>
        <w:t xml:space="preserve">Se tiver problemas nos rins, o seu médico pode decidir reduzir a dose para um comprimido de </w:t>
      </w:r>
      <w:r w:rsidR="00607DE4">
        <w:rPr>
          <w:noProof/>
          <w:szCs w:val="22"/>
        </w:rPr>
        <w:t>Rivaroxabano</w:t>
      </w:r>
      <w:r w:rsidR="001F7D02" w:rsidRPr="0063119B">
        <w:rPr>
          <w:noProof/>
          <w:szCs w:val="22"/>
        </w:rPr>
        <w:t xml:space="preserve"> Accord</w:t>
      </w:r>
      <w:r w:rsidR="00104B9D" w:rsidRPr="0063119B">
        <w:rPr>
          <w:noProof/>
          <w:szCs w:val="22"/>
        </w:rPr>
        <w:t xml:space="preserve"> </w:t>
      </w:r>
      <w:r w:rsidRPr="0063119B">
        <w:rPr>
          <w:noProof/>
          <w:szCs w:val="22"/>
        </w:rPr>
        <w:t>15</w:t>
      </w:r>
      <w:r w:rsidR="00104B9D" w:rsidRPr="0063119B">
        <w:rPr>
          <w:noProof/>
          <w:szCs w:val="22"/>
        </w:rPr>
        <w:t> </w:t>
      </w:r>
      <w:r w:rsidRPr="0063119B">
        <w:rPr>
          <w:noProof/>
          <w:szCs w:val="22"/>
        </w:rPr>
        <w:t xml:space="preserve">mg uma vez ao dia, após 3 semanas de tratamento, se o risco de hemorragia for superior ao risco de ter outro coágulo no sangue. </w:t>
      </w:r>
    </w:p>
    <w:p w14:paraId="52912982" w14:textId="77777777" w:rsidR="00FB7835" w:rsidRPr="0063119B" w:rsidRDefault="00FB7835" w:rsidP="00FB7835">
      <w:pPr>
        <w:suppressAutoHyphens/>
        <w:rPr>
          <w:noProof/>
          <w:szCs w:val="22"/>
        </w:rPr>
      </w:pPr>
    </w:p>
    <w:p w14:paraId="25F23379" w14:textId="77777777" w:rsidR="00FB7835" w:rsidRPr="0063119B" w:rsidRDefault="00FB7835" w:rsidP="00FB7835">
      <w:pPr>
        <w:suppressAutoHyphens/>
        <w:rPr>
          <w:b/>
          <w:noProof/>
          <w:szCs w:val="22"/>
        </w:rPr>
      </w:pPr>
      <w:r w:rsidRPr="0063119B">
        <w:rPr>
          <w:b/>
          <w:noProof/>
          <w:szCs w:val="22"/>
        </w:rPr>
        <w:t xml:space="preserve">Quando tomar </w:t>
      </w:r>
      <w:r w:rsidR="00607DE4">
        <w:rPr>
          <w:b/>
          <w:noProof/>
          <w:szCs w:val="22"/>
        </w:rPr>
        <w:t>Rivaroxabano</w:t>
      </w:r>
      <w:r w:rsidR="001F7D02" w:rsidRPr="0063119B">
        <w:rPr>
          <w:b/>
          <w:noProof/>
          <w:szCs w:val="22"/>
        </w:rPr>
        <w:t xml:space="preserve"> Accord</w:t>
      </w:r>
    </w:p>
    <w:p w14:paraId="57AD7B3A" w14:textId="77777777" w:rsidR="00FB7835" w:rsidRPr="0063119B" w:rsidRDefault="00FB7835" w:rsidP="00FB7835">
      <w:pPr>
        <w:suppressAutoHyphens/>
        <w:rPr>
          <w:noProof/>
          <w:szCs w:val="22"/>
        </w:rPr>
      </w:pPr>
      <w:r w:rsidRPr="0063119B">
        <w:rPr>
          <w:noProof/>
          <w:szCs w:val="22"/>
        </w:rPr>
        <w:t>Tome o(s) comprimido(s) todos os dias, até que o seu médico lhe diga para parar.</w:t>
      </w:r>
    </w:p>
    <w:p w14:paraId="355D4AD8" w14:textId="77777777" w:rsidR="00FB7835" w:rsidRPr="0063119B" w:rsidRDefault="00FB7835" w:rsidP="00FB7835">
      <w:pPr>
        <w:suppressAutoHyphens/>
        <w:rPr>
          <w:noProof/>
          <w:szCs w:val="22"/>
        </w:rPr>
      </w:pPr>
      <w:r w:rsidRPr="0063119B">
        <w:rPr>
          <w:noProof/>
          <w:szCs w:val="22"/>
        </w:rPr>
        <w:t>Tente tomar o(s) comprimido(s) sempre à mesma hora, todos os dias, para ajudá</w:t>
      </w:r>
      <w:r w:rsidRPr="0063119B">
        <w:rPr>
          <w:noProof/>
          <w:szCs w:val="22"/>
        </w:rPr>
        <w:noBreakHyphen/>
        <w:t>lo a lembrar</w:t>
      </w:r>
      <w:r w:rsidRPr="0063119B">
        <w:rPr>
          <w:noProof/>
          <w:szCs w:val="22"/>
        </w:rPr>
        <w:noBreakHyphen/>
        <w:t>se da sua toma.</w:t>
      </w:r>
    </w:p>
    <w:p w14:paraId="570D1416" w14:textId="77777777" w:rsidR="00FB7835" w:rsidRPr="0063119B" w:rsidRDefault="00FB7835" w:rsidP="00FB7835">
      <w:pPr>
        <w:suppressAutoHyphens/>
        <w:rPr>
          <w:noProof/>
          <w:szCs w:val="22"/>
        </w:rPr>
      </w:pPr>
      <w:r w:rsidRPr="0063119B">
        <w:rPr>
          <w:noProof/>
          <w:szCs w:val="22"/>
        </w:rPr>
        <w:t>O seu médico decidirá durante quanto tempo deverá continuar o tratamento.</w:t>
      </w:r>
    </w:p>
    <w:p w14:paraId="2BC8851B" w14:textId="77777777" w:rsidR="00FB7835" w:rsidRPr="0063119B" w:rsidRDefault="00FB7835" w:rsidP="00FB7835">
      <w:pPr>
        <w:suppressAutoHyphens/>
        <w:rPr>
          <w:noProof/>
          <w:szCs w:val="22"/>
        </w:rPr>
      </w:pPr>
    </w:p>
    <w:p w14:paraId="46A732FA" w14:textId="77777777" w:rsidR="00FB7835" w:rsidRPr="0063119B" w:rsidRDefault="00FB7835" w:rsidP="00FB7835">
      <w:pPr>
        <w:suppressAutoHyphens/>
        <w:rPr>
          <w:b/>
          <w:noProof/>
          <w:szCs w:val="22"/>
        </w:rPr>
      </w:pPr>
      <w:r w:rsidRPr="0063119B">
        <w:rPr>
          <w:b/>
          <w:noProof/>
          <w:szCs w:val="22"/>
        </w:rPr>
        <w:t xml:space="preserve">Se tomar mais </w:t>
      </w:r>
      <w:r w:rsidR="00607DE4">
        <w:rPr>
          <w:b/>
          <w:noProof/>
          <w:szCs w:val="22"/>
        </w:rPr>
        <w:t>Rivaroxabano</w:t>
      </w:r>
      <w:r w:rsidR="001F7D02" w:rsidRPr="0063119B">
        <w:rPr>
          <w:b/>
          <w:noProof/>
          <w:szCs w:val="22"/>
        </w:rPr>
        <w:t xml:space="preserve"> Accord</w:t>
      </w:r>
      <w:r w:rsidRPr="0063119B">
        <w:rPr>
          <w:b/>
          <w:noProof/>
          <w:szCs w:val="22"/>
        </w:rPr>
        <w:t xml:space="preserve"> do que deveria</w:t>
      </w:r>
    </w:p>
    <w:p w14:paraId="175B7651" w14:textId="77777777" w:rsidR="00FB7835" w:rsidRPr="0063119B" w:rsidRDefault="00FB7835" w:rsidP="00FB7835">
      <w:pPr>
        <w:suppressAutoHyphens/>
        <w:rPr>
          <w:noProof/>
          <w:szCs w:val="22"/>
        </w:rPr>
      </w:pPr>
      <w:r w:rsidRPr="0063119B">
        <w:rPr>
          <w:noProof/>
          <w:szCs w:val="22"/>
        </w:rPr>
        <w:t xml:space="preserve">Contacte imediatamente o seu médico se tiver tomado demasiados comprimidos de </w:t>
      </w:r>
      <w:r w:rsidR="00607DE4">
        <w:rPr>
          <w:noProof/>
          <w:szCs w:val="22"/>
        </w:rPr>
        <w:t>Rivaroxabano</w:t>
      </w:r>
      <w:r w:rsidR="001F7D02" w:rsidRPr="0063119B">
        <w:rPr>
          <w:noProof/>
          <w:szCs w:val="22"/>
        </w:rPr>
        <w:t xml:space="preserve"> Accord</w:t>
      </w:r>
      <w:r w:rsidRPr="0063119B">
        <w:rPr>
          <w:noProof/>
          <w:szCs w:val="22"/>
        </w:rPr>
        <w:t xml:space="preserve">. Tomar </w:t>
      </w:r>
      <w:r w:rsidR="00607DE4">
        <w:rPr>
          <w:noProof/>
          <w:szCs w:val="22"/>
        </w:rPr>
        <w:t>Rivaroxabano</w:t>
      </w:r>
      <w:r w:rsidR="001F7D02" w:rsidRPr="0063119B">
        <w:rPr>
          <w:noProof/>
          <w:szCs w:val="22"/>
        </w:rPr>
        <w:t xml:space="preserve"> Accord</w:t>
      </w:r>
      <w:r w:rsidRPr="0063119B">
        <w:rPr>
          <w:noProof/>
          <w:szCs w:val="22"/>
        </w:rPr>
        <w:t xml:space="preserve"> em excesso aumenta o risco de hemorragia.</w:t>
      </w:r>
    </w:p>
    <w:p w14:paraId="2AD6BE92" w14:textId="77777777" w:rsidR="00FB7835" w:rsidRPr="0063119B" w:rsidRDefault="00FB7835" w:rsidP="00FB7835">
      <w:pPr>
        <w:suppressAutoHyphens/>
        <w:rPr>
          <w:b/>
          <w:noProof/>
          <w:szCs w:val="22"/>
        </w:rPr>
      </w:pPr>
    </w:p>
    <w:p w14:paraId="0B59A2E9" w14:textId="77777777" w:rsidR="00FB7835" w:rsidRPr="0063119B" w:rsidRDefault="00FB7835" w:rsidP="00FB7835">
      <w:pPr>
        <w:suppressAutoHyphens/>
        <w:rPr>
          <w:b/>
          <w:noProof/>
          <w:szCs w:val="22"/>
        </w:rPr>
      </w:pPr>
      <w:r w:rsidRPr="0063119B">
        <w:rPr>
          <w:b/>
          <w:noProof/>
          <w:szCs w:val="22"/>
        </w:rPr>
        <w:t xml:space="preserve">Caso se tenha esquecido de tomar </w:t>
      </w:r>
      <w:r w:rsidR="00607DE4">
        <w:rPr>
          <w:b/>
          <w:noProof/>
          <w:szCs w:val="22"/>
        </w:rPr>
        <w:t>Rivaroxabano</w:t>
      </w:r>
      <w:r w:rsidR="001F7D02" w:rsidRPr="0063119B">
        <w:rPr>
          <w:b/>
          <w:noProof/>
          <w:szCs w:val="22"/>
        </w:rPr>
        <w:t xml:space="preserve"> Accord</w:t>
      </w:r>
    </w:p>
    <w:p w14:paraId="08CB7D25" w14:textId="77777777" w:rsidR="00FB7835" w:rsidRPr="0063119B" w:rsidRDefault="00FB7835" w:rsidP="00FB7835">
      <w:pPr>
        <w:suppressAutoHyphens/>
        <w:rPr>
          <w:noProof/>
          <w:szCs w:val="22"/>
        </w:rPr>
      </w:pPr>
      <w:r w:rsidRPr="0063119B">
        <w:rPr>
          <w:noProof/>
          <w:szCs w:val="22"/>
        </w:rPr>
        <w:t xml:space="preserve">-           Se estiver a tomar um comprimido de 15 mg </w:t>
      </w:r>
      <w:r w:rsidRPr="0063119B">
        <w:rPr>
          <w:noProof/>
          <w:szCs w:val="22"/>
          <w:u w:val="single"/>
        </w:rPr>
        <w:t>duas vezes</w:t>
      </w:r>
      <w:r w:rsidRPr="0063119B">
        <w:rPr>
          <w:noProof/>
          <w:szCs w:val="22"/>
        </w:rPr>
        <w:t xml:space="preserve"> ao dia</w:t>
      </w:r>
      <w:r w:rsidRPr="0063119B">
        <w:rPr>
          <w:b/>
          <w:noProof/>
          <w:szCs w:val="22"/>
        </w:rPr>
        <w:t xml:space="preserve"> </w:t>
      </w:r>
      <w:r w:rsidRPr="0063119B">
        <w:rPr>
          <w:noProof/>
          <w:szCs w:val="22"/>
        </w:rPr>
        <w:t xml:space="preserve">e se tiver esquecido de uma        </w:t>
      </w:r>
      <w:r w:rsidRPr="0063119B">
        <w:rPr>
          <w:noProof/>
          <w:szCs w:val="22"/>
        </w:rPr>
        <w:tab/>
        <w:t>dose, tome</w:t>
      </w:r>
      <w:r w:rsidRPr="0063119B">
        <w:rPr>
          <w:noProof/>
          <w:szCs w:val="22"/>
        </w:rPr>
        <w:noBreakHyphen/>
        <w:t xml:space="preserve">a assim que se lembrar. Não tome mais do que dois comprimidos de 15 mg no </w:t>
      </w:r>
      <w:r w:rsidRPr="0063119B">
        <w:rPr>
          <w:noProof/>
          <w:szCs w:val="22"/>
        </w:rPr>
        <w:tab/>
        <w:t xml:space="preserve">mesmo dia. Caso se tenha esquecido de tomar uma dose, pode tomar dois comprimidos de </w:t>
      </w:r>
      <w:r w:rsidRPr="0063119B">
        <w:rPr>
          <w:noProof/>
          <w:szCs w:val="22"/>
        </w:rPr>
        <w:tab/>
        <w:t xml:space="preserve">15 mg ao mesmo tempo para perfazer o total de dois comprimidos (30 mg) num dia. No dia </w:t>
      </w:r>
      <w:r w:rsidRPr="0063119B">
        <w:rPr>
          <w:noProof/>
          <w:szCs w:val="22"/>
        </w:rPr>
        <w:tab/>
        <w:t>seguinte deve continuar a tomar um comprimido de 15 mg duas vezes ao dia.</w:t>
      </w:r>
    </w:p>
    <w:p w14:paraId="018CA646" w14:textId="77777777" w:rsidR="00FB7835" w:rsidRPr="0063119B" w:rsidRDefault="00FB7835" w:rsidP="00FB7835">
      <w:pPr>
        <w:suppressAutoHyphens/>
        <w:rPr>
          <w:b/>
          <w:noProof/>
          <w:szCs w:val="22"/>
        </w:rPr>
      </w:pPr>
    </w:p>
    <w:p w14:paraId="0BD376E4" w14:textId="77777777" w:rsidR="00FB7835" w:rsidRPr="0063119B" w:rsidRDefault="00FB7835" w:rsidP="00FB7835">
      <w:pPr>
        <w:suppressAutoHyphens/>
        <w:ind w:left="567" w:hanging="567"/>
        <w:rPr>
          <w:noProof/>
          <w:szCs w:val="22"/>
        </w:rPr>
      </w:pPr>
      <w:r w:rsidRPr="0063119B">
        <w:rPr>
          <w:noProof/>
          <w:szCs w:val="22"/>
        </w:rPr>
        <w:noBreakHyphen/>
      </w:r>
      <w:r w:rsidRPr="0063119B">
        <w:rPr>
          <w:noProof/>
          <w:szCs w:val="22"/>
        </w:rPr>
        <w:tab/>
        <w:t>Se estiver a tomar um comprimido de 20 mg uma vez ao dia e se tiver esquecido de uma dose, tome</w:t>
      </w:r>
      <w:r w:rsidRPr="0063119B">
        <w:rPr>
          <w:noProof/>
          <w:szCs w:val="22"/>
        </w:rPr>
        <w:noBreakHyphen/>
        <w:t>a assim que se lembrar. Não tome mais do que um comprimido no mesmo dia para compensar uma dose que se esqueceu de tomar.Tome o próximo comprimido no dia seguinte e, em seguida, continue a tomar um comprimido uma vez ao dia.</w:t>
      </w:r>
      <w:r w:rsidRPr="0063119B">
        <w:rPr>
          <w:noProof/>
          <w:szCs w:val="22"/>
        </w:rPr>
        <w:br/>
      </w:r>
    </w:p>
    <w:p w14:paraId="4A84C9CB" w14:textId="77777777" w:rsidR="00FB7835" w:rsidRPr="001B6FEC" w:rsidRDefault="00FB7835" w:rsidP="00FB7835">
      <w:pPr>
        <w:suppressAutoHyphens/>
        <w:rPr>
          <w:noProof/>
          <w:szCs w:val="22"/>
        </w:rPr>
      </w:pPr>
      <w:r w:rsidRPr="001B6FEC">
        <w:rPr>
          <w:b/>
          <w:noProof/>
          <w:szCs w:val="22"/>
        </w:rPr>
        <w:t xml:space="preserve">Se parar de tomar </w:t>
      </w:r>
      <w:r w:rsidR="00607DE4" w:rsidRPr="001B6FEC">
        <w:rPr>
          <w:b/>
          <w:noProof/>
          <w:szCs w:val="22"/>
        </w:rPr>
        <w:t>Rivaroxabano</w:t>
      </w:r>
      <w:r w:rsidR="001F7D02" w:rsidRPr="001B6FEC">
        <w:rPr>
          <w:b/>
          <w:noProof/>
          <w:szCs w:val="22"/>
        </w:rPr>
        <w:t xml:space="preserve"> Accord</w:t>
      </w:r>
    </w:p>
    <w:p w14:paraId="633E423B" w14:textId="77777777" w:rsidR="00FB7835" w:rsidRPr="0063119B" w:rsidRDefault="00FB7835" w:rsidP="00FB7835">
      <w:pPr>
        <w:suppressAutoHyphens/>
        <w:rPr>
          <w:noProof/>
          <w:szCs w:val="22"/>
        </w:rPr>
      </w:pPr>
      <w:r w:rsidRPr="0063119B">
        <w:rPr>
          <w:noProof/>
          <w:szCs w:val="22"/>
        </w:rPr>
        <w:t xml:space="preserve">Não pare de tomar </w:t>
      </w:r>
      <w:r w:rsidR="00607DE4">
        <w:rPr>
          <w:noProof/>
          <w:szCs w:val="22"/>
        </w:rPr>
        <w:t>Rivaroxabano</w:t>
      </w:r>
      <w:r w:rsidR="001F7D02" w:rsidRPr="0063119B">
        <w:rPr>
          <w:noProof/>
          <w:szCs w:val="22"/>
        </w:rPr>
        <w:t xml:space="preserve"> Accord</w:t>
      </w:r>
      <w:r w:rsidRPr="0063119B">
        <w:rPr>
          <w:noProof/>
          <w:szCs w:val="22"/>
        </w:rPr>
        <w:t xml:space="preserve"> sem falar primeiro com o seu médico, porque </w:t>
      </w:r>
      <w:r w:rsidR="00607DE4">
        <w:rPr>
          <w:noProof/>
          <w:szCs w:val="22"/>
        </w:rPr>
        <w:t>Rivaroxabano</w:t>
      </w:r>
      <w:r w:rsidR="001F7D02" w:rsidRPr="0063119B">
        <w:rPr>
          <w:noProof/>
          <w:szCs w:val="22"/>
        </w:rPr>
        <w:t xml:space="preserve"> Accord</w:t>
      </w:r>
      <w:r w:rsidRPr="0063119B">
        <w:rPr>
          <w:noProof/>
          <w:szCs w:val="22"/>
        </w:rPr>
        <w:t xml:space="preserve"> trata e previne situações graves.</w:t>
      </w:r>
    </w:p>
    <w:p w14:paraId="667FAC8B" w14:textId="77777777" w:rsidR="00FB7835" w:rsidRPr="0063119B" w:rsidRDefault="00FB7835" w:rsidP="00FB7835">
      <w:pPr>
        <w:suppressAutoHyphens/>
        <w:rPr>
          <w:noProof/>
          <w:szCs w:val="22"/>
        </w:rPr>
      </w:pPr>
    </w:p>
    <w:p w14:paraId="4B0B4BE7" w14:textId="77777777" w:rsidR="00FB7835" w:rsidRPr="0063119B" w:rsidRDefault="00FB7835" w:rsidP="00FB7835">
      <w:pPr>
        <w:suppressAutoHyphens/>
        <w:rPr>
          <w:noProof/>
          <w:szCs w:val="22"/>
        </w:rPr>
      </w:pPr>
      <w:r w:rsidRPr="0063119B">
        <w:rPr>
          <w:noProof/>
          <w:szCs w:val="22"/>
        </w:rPr>
        <w:t>Caso ainda tenha dúvidas sobre a utilização deste medicamento, fale com o seu médico ou farmacêutico.</w:t>
      </w:r>
    </w:p>
    <w:p w14:paraId="0B6BBCFB" w14:textId="77777777" w:rsidR="00FB7835" w:rsidRPr="0063119B" w:rsidRDefault="00FB7835" w:rsidP="00FB7835">
      <w:pPr>
        <w:suppressAutoHyphens/>
        <w:rPr>
          <w:noProof/>
          <w:szCs w:val="22"/>
        </w:rPr>
      </w:pPr>
    </w:p>
    <w:p w14:paraId="3F3D976A" w14:textId="77777777" w:rsidR="00FB7835" w:rsidRPr="0063119B" w:rsidRDefault="00FB7835" w:rsidP="00FB7835">
      <w:pPr>
        <w:suppressAutoHyphens/>
        <w:rPr>
          <w:noProof/>
          <w:szCs w:val="22"/>
        </w:rPr>
      </w:pPr>
    </w:p>
    <w:p w14:paraId="38E69A1F" w14:textId="77777777" w:rsidR="00FB7835" w:rsidRPr="0063119B" w:rsidRDefault="00FB7835" w:rsidP="00FB7835">
      <w:pPr>
        <w:suppressAutoHyphens/>
        <w:ind w:left="567" w:hanging="567"/>
        <w:rPr>
          <w:b/>
          <w:noProof/>
          <w:szCs w:val="22"/>
        </w:rPr>
      </w:pPr>
      <w:r w:rsidRPr="0063119B">
        <w:rPr>
          <w:b/>
          <w:noProof/>
          <w:szCs w:val="22"/>
        </w:rPr>
        <w:t>4.</w:t>
      </w:r>
      <w:r w:rsidRPr="0063119B">
        <w:rPr>
          <w:b/>
          <w:noProof/>
          <w:szCs w:val="22"/>
        </w:rPr>
        <w:tab/>
        <w:t xml:space="preserve">Efeitos </w:t>
      </w:r>
      <w:r w:rsidR="00654D4F" w:rsidRPr="0063119B">
        <w:rPr>
          <w:b/>
          <w:noProof/>
          <w:szCs w:val="22"/>
        </w:rPr>
        <w:t>indesejáveis</w:t>
      </w:r>
      <w:r w:rsidRPr="0063119B">
        <w:rPr>
          <w:b/>
          <w:noProof/>
          <w:szCs w:val="22"/>
        </w:rPr>
        <w:t xml:space="preserve"> possíveis</w:t>
      </w:r>
    </w:p>
    <w:p w14:paraId="01B35E39" w14:textId="77777777" w:rsidR="00FB7835" w:rsidRPr="0063119B" w:rsidRDefault="00FB7835" w:rsidP="00FB7835">
      <w:pPr>
        <w:suppressAutoHyphens/>
        <w:rPr>
          <w:noProof/>
          <w:szCs w:val="22"/>
        </w:rPr>
      </w:pPr>
    </w:p>
    <w:p w14:paraId="593264B5" w14:textId="77777777" w:rsidR="00FB7835" w:rsidRPr="0063119B" w:rsidRDefault="00FB7835" w:rsidP="00FB7835">
      <w:pPr>
        <w:suppressAutoHyphens/>
        <w:rPr>
          <w:noProof/>
          <w:szCs w:val="22"/>
        </w:rPr>
      </w:pPr>
      <w:r w:rsidRPr="0063119B">
        <w:rPr>
          <w:noProof/>
          <w:szCs w:val="22"/>
        </w:rPr>
        <w:t xml:space="preserve">Como todos os medicamentos, </w:t>
      </w:r>
      <w:r w:rsidR="007B33AF" w:rsidRPr="0063119B">
        <w:rPr>
          <w:noProof/>
          <w:szCs w:val="22"/>
        </w:rPr>
        <w:t>este medicamento</w:t>
      </w:r>
      <w:r w:rsidRPr="0063119B">
        <w:rPr>
          <w:noProof/>
          <w:szCs w:val="22"/>
        </w:rPr>
        <w:t xml:space="preserve"> pode causar efeitos </w:t>
      </w:r>
      <w:r w:rsidR="00654D4F" w:rsidRPr="0063119B">
        <w:rPr>
          <w:noProof/>
          <w:szCs w:val="22"/>
        </w:rPr>
        <w:t>indesejáveis</w:t>
      </w:r>
      <w:r w:rsidRPr="0063119B">
        <w:rPr>
          <w:noProof/>
          <w:szCs w:val="22"/>
        </w:rPr>
        <w:t>, embora estes não se manifestem em todas as pessoas.</w:t>
      </w:r>
    </w:p>
    <w:p w14:paraId="7D4E4FD7" w14:textId="77777777" w:rsidR="00FB7835" w:rsidRPr="0063119B" w:rsidRDefault="00FB7835" w:rsidP="00FB7835">
      <w:pPr>
        <w:suppressAutoHyphens/>
        <w:rPr>
          <w:noProof/>
          <w:szCs w:val="22"/>
        </w:rPr>
      </w:pPr>
    </w:p>
    <w:p w14:paraId="4059E504" w14:textId="77777777" w:rsidR="00FB7835" w:rsidRPr="0063119B" w:rsidRDefault="00FB7835" w:rsidP="00FB7835">
      <w:pPr>
        <w:suppressAutoHyphens/>
        <w:rPr>
          <w:noProof/>
          <w:szCs w:val="22"/>
        </w:rPr>
      </w:pPr>
      <w:r w:rsidRPr="0063119B">
        <w:rPr>
          <w:noProof/>
          <w:szCs w:val="22"/>
        </w:rPr>
        <w:t xml:space="preserve">Como outros medicamentos similares </w:t>
      </w:r>
      <w:r w:rsidR="00DB02C3">
        <w:rPr>
          <w:szCs w:val="22"/>
        </w:rPr>
        <w:t>para reduzir a formação de coágulos sanguíneos</w:t>
      </w:r>
      <w:r w:rsidRPr="0063119B">
        <w:rPr>
          <w:noProof/>
          <w:szCs w:val="22"/>
        </w:rPr>
        <w:t xml:space="preserve">, </w:t>
      </w:r>
      <w:r w:rsidR="00607DE4">
        <w:rPr>
          <w:noProof/>
          <w:szCs w:val="22"/>
        </w:rPr>
        <w:t>Rivaroxabano</w:t>
      </w:r>
      <w:r w:rsidR="001F7D02" w:rsidRPr="0063119B">
        <w:rPr>
          <w:noProof/>
          <w:szCs w:val="22"/>
        </w:rPr>
        <w:t xml:space="preserve"> Accord</w:t>
      </w:r>
      <w:r w:rsidRPr="0063119B">
        <w:rPr>
          <w:noProof/>
          <w:szCs w:val="22"/>
        </w:rPr>
        <w:t xml:space="preserve"> pode causar uma hemorragia que pode potencialmente causar risco de vida. Uma hemorragia excessiva pode levar a uma queda súbita da tensão arterial (choque). Em alguns casos, a hemorragia pode não ser óbvia.</w:t>
      </w:r>
    </w:p>
    <w:p w14:paraId="53B3924F" w14:textId="77777777" w:rsidR="00FB7835" w:rsidRPr="0063119B" w:rsidRDefault="00FB7835" w:rsidP="00FB7835">
      <w:pPr>
        <w:suppressAutoHyphens/>
        <w:rPr>
          <w:noProof/>
          <w:szCs w:val="22"/>
        </w:rPr>
      </w:pPr>
    </w:p>
    <w:p w14:paraId="2B00C1F5" w14:textId="77777777" w:rsidR="00DB02C3" w:rsidRDefault="00DB02C3" w:rsidP="00FB7835">
      <w:pPr>
        <w:suppressAutoHyphens/>
        <w:rPr>
          <w:b/>
          <w:noProof/>
          <w:szCs w:val="22"/>
        </w:rPr>
      </w:pPr>
      <w:r>
        <w:rPr>
          <w:b/>
          <w:bCs/>
          <w:szCs w:val="22"/>
        </w:rPr>
        <w:t>Informe imediatamente o seu médico, se sentir algum dos seguintes efeitos indesejáveis:</w:t>
      </w:r>
    </w:p>
    <w:p w14:paraId="571DA500" w14:textId="77777777" w:rsidR="00FB7835" w:rsidRDefault="00DB02C3" w:rsidP="00FB7835">
      <w:pPr>
        <w:suppressAutoHyphens/>
        <w:rPr>
          <w:b/>
          <w:noProof/>
          <w:szCs w:val="22"/>
        </w:rPr>
      </w:pPr>
      <w:r>
        <w:rPr>
          <w:b/>
          <w:noProof/>
          <w:szCs w:val="22"/>
        </w:rPr>
        <w:t>S</w:t>
      </w:r>
      <w:r w:rsidR="00FB7835" w:rsidRPr="0063119B">
        <w:rPr>
          <w:b/>
          <w:noProof/>
          <w:szCs w:val="22"/>
        </w:rPr>
        <w:t>ina</w:t>
      </w:r>
      <w:r>
        <w:rPr>
          <w:b/>
          <w:noProof/>
          <w:szCs w:val="22"/>
        </w:rPr>
        <w:t>is</w:t>
      </w:r>
      <w:r w:rsidR="00FB7835" w:rsidRPr="0063119B">
        <w:rPr>
          <w:b/>
          <w:noProof/>
          <w:szCs w:val="22"/>
        </w:rPr>
        <w:t xml:space="preserve"> de hemorragia</w:t>
      </w:r>
    </w:p>
    <w:p w14:paraId="274FD867" w14:textId="77777777" w:rsidR="00DB02C3" w:rsidRPr="00EF3721" w:rsidRDefault="00DB02C3" w:rsidP="00EF3721">
      <w:pPr>
        <w:numPr>
          <w:ilvl w:val="0"/>
          <w:numId w:val="5"/>
        </w:numPr>
        <w:suppressAutoHyphens/>
        <w:rPr>
          <w:noProof/>
          <w:szCs w:val="22"/>
        </w:rPr>
      </w:pPr>
      <w:r w:rsidRPr="00DB02C3">
        <w:rPr>
          <w:noProof/>
          <w:szCs w:val="22"/>
        </w:rPr>
        <w:lastRenderedPageBreak/>
        <w:t>hemorragia no cérebro ou interior do crânio (sintomas podem incluir dor de cabeça, fraqueza de um dos lados, vómitos, tonturas, diminuição do nível de consciência e rigidez do pescoço. Uma urgência médica grave. Procure ajuda médica imediatamente!)</w:t>
      </w:r>
      <w:r>
        <w:rPr>
          <w:noProof/>
          <w:szCs w:val="22"/>
        </w:rPr>
        <w:t xml:space="preserve">  </w:t>
      </w:r>
    </w:p>
    <w:p w14:paraId="3D2DB45F" w14:textId="77777777" w:rsidR="00FB7835" w:rsidRPr="0063119B" w:rsidRDefault="00FB7835" w:rsidP="00FB7835">
      <w:pPr>
        <w:numPr>
          <w:ilvl w:val="0"/>
          <w:numId w:val="5"/>
        </w:numPr>
        <w:suppressAutoHyphens/>
        <w:rPr>
          <w:noProof/>
          <w:szCs w:val="22"/>
        </w:rPr>
      </w:pPr>
      <w:r w:rsidRPr="0063119B">
        <w:rPr>
          <w:noProof/>
          <w:szCs w:val="22"/>
        </w:rPr>
        <w:t>perda de sangue prolongada ou excessiva</w:t>
      </w:r>
    </w:p>
    <w:p w14:paraId="1D6D68E5" w14:textId="77777777" w:rsidR="00FB7835" w:rsidRPr="0063119B" w:rsidRDefault="00FB7835" w:rsidP="00FB7835">
      <w:pPr>
        <w:numPr>
          <w:ilvl w:val="0"/>
          <w:numId w:val="5"/>
        </w:numPr>
        <w:suppressAutoHyphens/>
        <w:rPr>
          <w:noProof/>
          <w:szCs w:val="22"/>
        </w:rPr>
      </w:pPr>
      <w:r w:rsidRPr="0063119B">
        <w:rPr>
          <w:noProof/>
          <w:szCs w:val="22"/>
        </w:rPr>
        <w:t>sensação anormal de fraqueza, cansaço, palidez, tonturas, dores de cabeça, inchaço inexplicável, falta de ar, dor no peito ou angina de peito</w:t>
      </w:r>
    </w:p>
    <w:p w14:paraId="095DDE81" w14:textId="77777777" w:rsidR="00FB7835" w:rsidRPr="0063119B" w:rsidRDefault="00FB7835" w:rsidP="00FB7835">
      <w:pPr>
        <w:suppressAutoHyphens/>
        <w:rPr>
          <w:noProof/>
          <w:szCs w:val="22"/>
        </w:rPr>
      </w:pPr>
      <w:r w:rsidRPr="0063119B">
        <w:rPr>
          <w:noProof/>
          <w:szCs w:val="22"/>
        </w:rPr>
        <w:t>O seu médico pode decidir mantê</w:t>
      </w:r>
      <w:r w:rsidRPr="0063119B">
        <w:rPr>
          <w:noProof/>
          <w:szCs w:val="22"/>
        </w:rPr>
        <w:noBreakHyphen/>
        <w:t xml:space="preserve">lo sob uma observação mais atenta ou alterar </w:t>
      </w:r>
      <w:r w:rsidR="00DB02C3">
        <w:rPr>
          <w:noProof/>
          <w:szCs w:val="22"/>
        </w:rPr>
        <w:t>o tratamento</w:t>
      </w:r>
      <w:r w:rsidRPr="0063119B">
        <w:rPr>
          <w:noProof/>
          <w:szCs w:val="22"/>
        </w:rPr>
        <w:t>.</w:t>
      </w:r>
    </w:p>
    <w:p w14:paraId="712DAF03" w14:textId="77777777" w:rsidR="00FB7835" w:rsidRPr="0063119B" w:rsidRDefault="00FB7835" w:rsidP="00FB7835">
      <w:pPr>
        <w:suppressAutoHyphens/>
        <w:rPr>
          <w:noProof/>
          <w:szCs w:val="22"/>
        </w:rPr>
      </w:pPr>
    </w:p>
    <w:p w14:paraId="009FF01E" w14:textId="77777777" w:rsidR="00CA3CD7" w:rsidRPr="0063119B" w:rsidRDefault="00DB02C3" w:rsidP="00493A33">
      <w:pPr>
        <w:keepNext/>
        <w:suppressAutoHyphens/>
        <w:rPr>
          <w:b/>
          <w:noProof/>
          <w:szCs w:val="22"/>
        </w:rPr>
      </w:pPr>
      <w:r>
        <w:rPr>
          <w:b/>
          <w:noProof/>
          <w:szCs w:val="22"/>
        </w:rPr>
        <w:t>S</w:t>
      </w:r>
      <w:r w:rsidR="00CA3CD7" w:rsidRPr="0063119B">
        <w:rPr>
          <w:b/>
          <w:noProof/>
          <w:szCs w:val="22"/>
        </w:rPr>
        <w:t>ina</w:t>
      </w:r>
      <w:r>
        <w:rPr>
          <w:b/>
          <w:noProof/>
          <w:szCs w:val="22"/>
        </w:rPr>
        <w:t>is</w:t>
      </w:r>
      <w:r w:rsidR="00CA3CD7" w:rsidRPr="0063119B">
        <w:rPr>
          <w:b/>
          <w:noProof/>
          <w:szCs w:val="22"/>
        </w:rPr>
        <w:t xml:space="preserve"> de reaç</w:t>
      </w:r>
      <w:r>
        <w:rPr>
          <w:b/>
          <w:noProof/>
          <w:szCs w:val="22"/>
        </w:rPr>
        <w:t>ões</w:t>
      </w:r>
      <w:r w:rsidR="00CA3CD7" w:rsidRPr="0063119B">
        <w:rPr>
          <w:b/>
          <w:noProof/>
          <w:szCs w:val="22"/>
        </w:rPr>
        <w:t xml:space="preserve"> cutânea</w:t>
      </w:r>
      <w:r>
        <w:rPr>
          <w:b/>
          <w:noProof/>
          <w:szCs w:val="22"/>
        </w:rPr>
        <w:t>s</w:t>
      </w:r>
      <w:r w:rsidR="00CA3CD7" w:rsidRPr="0063119B">
        <w:rPr>
          <w:b/>
          <w:noProof/>
          <w:szCs w:val="22"/>
        </w:rPr>
        <w:t xml:space="preserve"> grave</w:t>
      </w:r>
      <w:r>
        <w:rPr>
          <w:b/>
          <w:noProof/>
          <w:szCs w:val="22"/>
        </w:rPr>
        <w:t>s</w:t>
      </w:r>
    </w:p>
    <w:p w14:paraId="12CB6347" w14:textId="77777777" w:rsidR="00475EF4" w:rsidRPr="0063119B" w:rsidRDefault="00CA3CD7" w:rsidP="00D733A1">
      <w:pPr>
        <w:numPr>
          <w:ilvl w:val="0"/>
          <w:numId w:val="5"/>
        </w:numPr>
        <w:suppressAutoHyphens/>
        <w:rPr>
          <w:noProof/>
          <w:szCs w:val="22"/>
        </w:rPr>
      </w:pPr>
      <w:r w:rsidRPr="0063119B">
        <w:rPr>
          <w:noProof/>
          <w:szCs w:val="22"/>
        </w:rPr>
        <w:t>disseminação intensa da erupção cutânea, bolhas ou lesões das mucosas, ex.: na boca ou olhos (síndrome Stevens-Johnson/</w:t>
      </w:r>
      <w:r w:rsidR="00B37008" w:rsidRPr="0063119B">
        <w:rPr>
          <w:noProof/>
          <w:szCs w:val="22"/>
        </w:rPr>
        <w:t>n</w:t>
      </w:r>
      <w:r w:rsidRPr="0063119B">
        <w:rPr>
          <w:noProof/>
          <w:szCs w:val="22"/>
        </w:rPr>
        <w:t xml:space="preserve">ecrólise </w:t>
      </w:r>
      <w:r w:rsidR="00B37008" w:rsidRPr="0063119B">
        <w:rPr>
          <w:noProof/>
          <w:szCs w:val="22"/>
        </w:rPr>
        <w:t>e</w:t>
      </w:r>
      <w:r w:rsidRPr="0063119B">
        <w:rPr>
          <w:noProof/>
          <w:szCs w:val="22"/>
        </w:rPr>
        <w:t xml:space="preserve">pidérmica </w:t>
      </w:r>
      <w:r w:rsidR="00B37008" w:rsidRPr="0063119B">
        <w:rPr>
          <w:noProof/>
          <w:szCs w:val="22"/>
        </w:rPr>
        <w:t>t</w:t>
      </w:r>
      <w:r w:rsidRPr="0063119B">
        <w:rPr>
          <w:noProof/>
          <w:szCs w:val="22"/>
        </w:rPr>
        <w:t xml:space="preserve">óxica). </w:t>
      </w:r>
    </w:p>
    <w:p w14:paraId="1FAC4D00" w14:textId="0C1981B2" w:rsidR="00DB02C3" w:rsidRDefault="00475EF4" w:rsidP="00475EF4">
      <w:pPr>
        <w:numPr>
          <w:ilvl w:val="0"/>
          <w:numId w:val="5"/>
        </w:numPr>
        <w:suppressAutoHyphens/>
        <w:rPr>
          <w:noProof/>
          <w:szCs w:val="22"/>
        </w:rPr>
      </w:pPr>
      <w:r w:rsidRPr="0063119B">
        <w:rPr>
          <w:szCs w:val="22"/>
        </w:rPr>
        <w:t xml:space="preserve">uma reação medicamentosa que causa erupção cutânea, febre, inflamação dos órgãos internos, anormalidades </w:t>
      </w:r>
      <w:r w:rsidR="002B5FBC">
        <w:rPr>
          <w:szCs w:val="22"/>
        </w:rPr>
        <w:t>no sangue</w:t>
      </w:r>
      <w:r w:rsidR="002B5FBC" w:rsidRPr="0063119B">
        <w:rPr>
          <w:szCs w:val="22"/>
        </w:rPr>
        <w:t xml:space="preserve"> </w:t>
      </w:r>
      <w:r w:rsidRPr="0063119B">
        <w:rPr>
          <w:szCs w:val="22"/>
        </w:rPr>
        <w:t xml:space="preserve">e doença sistémica (síndrome de DRESS). </w:t>
      </w:r>
    </w:p>
    <w:p w14:paraId="3012AC71" w14:textId="77777777" w:rsidR="00475EF4" w:rsidRPr="0063119B" w:rsidRDefault="00475EF4" w:rsidP="00EF3721">
      <w:pPr>
        <w:suppressAutoHyphens/>
        <w:rPr>
          <w:noProof/>
          <w:szCs w:val="22"/>
        </w:rPr>
      </w:pPr>
      <w:r w:rsidRPr="0063119B">
        <w:rPr>
          <w:szCs w:val="22"/>
        </w:rPr>
        <w:t>A frequência deste</w:t>
      </w:r>
      <w:r w:rsidR="00DB02C3">
        <w:rPr>
          <w:szCs w:val="22"/>
        </w:rPr>
        <w:t>s</w:t>
      </w:r>
      <w:r w:rsidRPr="0063119B">
        <w:rPr>
          <w:szCs w:val="22"/>
        </w:rPr>
        <w:t xml:space="preserve"> efeito</w:t>
      </w:r>
      <w:r w:rsidR="00DB02C3">
        <w:rPr>
          <w:szCs w:val="22"/>
        </w:rPr>
        <w:t>s</w:t>
      </w:r>
      <w:r w:rsidRPr="0063119B">
        <w:rPr>
          <w:szCs w:val="22"/>
        </w:rPr>
        <w:t xml:space="preserve"> </w:t>
      </w:r>
      <w:r w:rsidR="003914C9" w:rsidRPr="0063119B">
        <w:rPr>
          <w:noProof/>
          <w:szCs w:val="22"/>
        </w:rPr>
        <w:t>indesejáve</w:t>
      </w:r>
      <w:r w:rsidR="00DB02C3">
        <w:rPr>
          <w:noProof/>
          <w:szCs w:val="22"/>
        </w:rPr>
        <w:t>is</w:t>
      </w:r>
      <w:r w:rsidRPr="0063119B">
        <w:rPr>
          <w:szCs w:val="22"/>
        </w:rPr>
        <w:t xml:space="preserve"> é muito rara (</w:t>
      </w:r>
      <w:r w:rsidR="0086001C" w:rsidRPr="0063119B">
        <w:rPr>
          <w:szCs w:val="22"/>
        </w:rPr>
        <w:t>até</w:t>
      </w:r>
      <w:r w:rsidRPr="0063119B">
        <w:rPr>
          <w:szCs w:val="22"/>
        </w:rPr>
        <w:t xml:space="preserve"> 1 em 10.000</w:t>
      </w:r>
      <w:r w:rsidR="00DB02C3">
        <w:rPr>
          <w:szCs w:val="22"/>
        </w:rPr>
        <w:t xml:space="preserve"> pessoas</w:t>
      </w:r>
      <w:r w:rsidRPr="0063119B">
        <w:rPr>
          <w:szCs w:val="22"/>
        </w:rPr>
        <w:t>).</w:t>
      </w:r>
    </w:p>
    <w:p w14:paraId="576E260E" w14:textId="77777777" w:rsidR="00475EF4" w:rsidRPr="0063119B" w:rsidRDefault="00475EF4" w:rsidP="00475EF4">
      <w:pPr>
        <w:suppressAutoHyphens/>
        <w:rPr>
          <w:b/>
          <w:noProof/>
          <w:szCs w:val="22"/>
        </w:rPr>
      </w:pPr>
    </w:p>
    <w:p w14:paraId="37B6D5B8" w14:textId="77777777" w:rsidR="00475EF4" w:rsidRPr="0063119B" w:rsidRDefault="00DB02C3" w:rsidP="00475EF4">
      <w:pPr>
        <w:suppressAutoHyphens/>
        <w:rPr>
          <w:b/>
          <w:noProof/>
          <w:szCs w:val="22"/>
        </w:rPr>
      </w:pPr>
      <w:r>
        <w:rPr>
          <w:b/>
          <w:noProof/>
          <w:szCs w:val="22"/>
        </w:rPr>
        <w:t>S</w:t>
      </w:r>
      <w:r w:rsidR="00DF1193" w:rsidRPr="0063119B">
        <w:rPr>
          <w:b/>
          <w:noProof/>
          <w:szCs w:val="22"/>
        </w:rPr>
        <w:t>ina</w:t>
      </w:r>
      <w:r>
        <w:rPr>
          <w:b/>
          <w:noProof/>
          <w:szCs w:val="22"/>
        </w:rPr>
        <w:t>is</w:t>
      </w:r>
      <w:r w:rsidR="00DF1193" w:rsidRPr="0063119B">
        <w:rPr>
          <w:b/>
          <w:noProof/>
          <w:szCs w:val="22"/>
        </w:rPr>
        <w:t xml:space="preserve"> de reações alérgicas</w:t>
      </w:r>
      <w:r w:rsidR="00475EF4" w:rsidRPr="0063119B">
        <w:rPr>
          <w:b/>
          <w:noProof/>
          <w:szCs w:val="22"/>
        </w:rPr>
        <w:t xml:space="preserve"> grave</w:t>
      </w:r>
      <w:r w:rsidR="00DF1193" w:rsidRPr="0063119B">
        <w:rPr>
          <w:b/>
          <w:noProof/>
          <w:szCs w:val="22"/>
        </w:rPr>
        <w:t>s</w:t>
      </w:r>
    </w:p>
    <w:p w14:paraId="7C31C1EA" w14:textId="77777777" w:rsidR="00DB02C3" w:rsidRDefault="00475EF4" w:rsidP="00475EF4">
      <w:pPr>
        <w:numPr>
          <w:ilvl w:val="0"/>
          <w:numId w:val="5"/>
        </w:numPr>
        <w:suppressAutoHyphens/>
        <w:rPr>
          <w:noProof/>
          <w:szCs w:val="22"/>
        </w:rPr>
      </w:pPr>
      <w:r w:rsidRPr="0063119B">
        <w:rPr>
          <w:szCs w:val="22"/>
        </w:rPr>
        <w:t xml:space="preserve">inchaço da </w:t>
      </w:r>
      <w:r w:rsidR="00244954" w:rsidRPr="0063119B">
        <w:rPr>
          <w:szCs w:val="22"/>
        </w:rPr>
        <w:t>face</w:t>
      </w:r>
      <w:r w:rsidRPr="0063119B">
        <w:rPr>
          <w:szCs w:val="22"/>
        </w:rPr>
        <w:t xml:space="preserve">, lábios, boca, língua ou garganta; dificuldade em engolir; urticária e dificuldades respiratórias; </w:t>
      </w:r>
      <w:r w:rsidR="00CA2F64" w:rsidRPr="0063119B">
        <w:rPr>
          <w:szCs w:val="22"/>
        </w:rPr>
        <w:t xml:space="preserve">queda </w:t>
      </w:r>
      <w:r w:rsidRPr="0063119B">
        <w:rPr>
          <w:szCs w:val="22"/>
        </w:rPr>
        <w:t xml:space="preserve">súbita da pressão arterial. </w:t>
      </w:r>
    </w:p>
    <w:p w14:paraId="1BE9388E" w14:textId="77777777" w:rsidR="00475EF4" w:rsidRPr="0063119B" w:rsidRDefault="00475EF4" w:rsidP="00EF3721">
      <w:pPr>
        <w:suppressAutoHyphens/>
        <w:rPr>
          <w:noProof/>
          <w:szCs w:val="22"/>
        </w:rPr>
      </w:pPr>
      <w:r w:rsidRPr="0063119B">
        <w:rPr>
          <w:szCs w:val="22"/>
        </w:rPr>
        <w:t xml:space="preserve">A frequência de </w:t>
      </w:r>
      <w:r w:rsidR="00DB02C3">
        <w:rPr>
          <w:szCs w:val="22"/>
          <w:lang w:eastAsia="pt-PT"/>
        </w:rPr>
        <w:t xml:space="preserve">reações alérgicas graves </w:t>
      </w:r>
      <w:r w:rsidRPr="0063119B">
        <w:rPr>
          <w:szCs w:val="22"/>
        </w:rPr>
        <w:t xml:space="preserve">é muito rara (reações anafiláticas, incluindo choque anafilático; podem afetar </w:t>
      </w:r>
      <w:r w:rsidR="0086001C" w:rsidRPr="0063119B">
        <w:rPr>
          <w:szCs w:val="22"/>
        </w:rPr>
        <w:t>até</w:t>
      </w:r>
      <w:r w:rsidRPr="0063119B">
        <w:rPr>
          <w:szCs w:val="22"/>
        </w:rPr>
        <w:t xml:space="preserve"> 1 em 10.000 pessoas) e pouco frequentes (angioedema e edema alérgico; podem afetar até 1 em cada 100 pessoas).</w:t>
      </w:r>
    </w:p>
    <w:p w14:paraId="5D2B4D84" w14:textId="77777777" w:rsidR="00CA3CD7" w:rsidRPr="0063119B" w:rsidRDefault="00CA3CD7" w:rsidP="00FB7835">
      <w:pPr>
        <w:suppressAutoHyphens/>
        <w:rPr>
          <w:b/>
          <w:noProof/>
          <w:szCs w:val="22"/>
        </w:rPr>
      </w:pPr>
    </w:p>
    <w:p w14:paraId="6149A80E" w14:textId="77777777" w:rsidR="00FB7835" w:rsidRPr="0063119B" w:rsidRDefault="00FB7835" w:rsidP="00FB7835">
      <w:pPr>
        <w:suppressAutoHyphens/>
        <w:rPr>
          <w:b/>
          <w:noProof/>
          <w:szCs w:val="22"/>
        </w:rPr>
      </w:pPr>
      <w:r w:rsidRPr="0063119B">
        <w:rPr>
          <w:b/>
          <w:noProof/>
          <w:szCs w:val="22"/>
        </w:rPr>
        <w:t xml:space="preserve">Lista global dos efeitos </w:t>
      </w:r>
      <w:r w:rsidR="00654D4F" w:rsidRPr="0063119B">
        <w:rPr>
          <w:b/>
          <w:noProof/>
          <w:szCs w:val="22"/>
        </w:rPr>
        <w:t>indesejáveis</w:t>
      </w:r>
      <w:r w:rsidRPr="0063119B">
        <w:rPr>
          <w:b/>
          <w:noProof/>
          <w:szCs w:val="22"/>
        </w:rPr>
        <w:t xml:space="preserve"> possíveis</w:t>
      </w:r>
    </w:p>
    <w:p w14:paraId="61C0F887" w14:textId="77777777" w:rsidR="00FB7835" w:rsidRPr="0063119B" w:rsidRDefault="00FB7835" w:rsidP="00FB7835">
      <w:pPr>
        <w:suppressAutoHyphens/>
        <w:rPr>
          <w:b/>
          <w:noProof/>
          <w:szCs w:val="22"/>
        </w:rPr>
      </w:pPr>
    </w:p>
    <w:p w14:paraId="430B2BE8" w14:textId="77777777" w:rsidR="00FB7835" w:rsidRPr="0063119B" w:rsidRDefault="00FB7835" w:rsidP="00FB7835">
      <w:pPr>
        <w:suppressAutoHyphens/>
        <w:rPr>
          <w:b/>
          <w:i/>
          <w:noProof/>
          <w:szCs w:val="22"/>
        </w:rPr>
      </w:pPr>
      <w:r w:rsidRPr="0063119B">
        <w:rPr>
          <w:b/>
          <w:noProof/>
          <w:szCs w:val="22"/>
        </w:rPr>
        <w:t xml:space="preserve">Frequentes </w:t>
      </w:r>
      <w:r w:rsidRPr="0063119B">
        <w:rPr>
          <w:noProof/>
          <w:szCs w:val="22"/>
        </w:rPr>
        <w:t>(podem afetar até 1 em 10 pessoas)</w:t>
      </w:r>
    </w:p>
    <w:p w14:paraId="1EA04D75" w14:textId="77777777" w:rsidR="00075965" w:rsidRPr="0063119B" w:rsidRDefault="00075965" w:rsidP="00075965">
      <w:pPr>
        <w:suppressAutoHyphens/>
        <w:ind w:left="142" w:hanging="142"/>
        <w:rPr>
          <w:noProof/>
          <w:szCs w:val="22"/>
        </w:rPr>
      </w:pPr>
      <w:r w:rsidRPr="0063119B">
        <w:rPr>
          <w:noProof/>
          <w:szCs w:val="22"/>
        </w:rPr>
        <w:noBreakHyphen/>
        <w:t xml:space="preserve"> diminuição dos glóbulos vermelhos, o que pode provocar palidez da pele e causar fraqueza ou falta de ar</w:t>
      </w:r>
    </w:p>
    <w:p w14:paraId="06C843BF" w14:textId="77777777" w:rsidR="00FB7835" w:rsidRPr="0063119B" w:rsidRDefault="00FB7835" w:rsidP="00FB7835">
      <w:pPr>
        <w:suppressAutoHyphens/>
        <w:ind w:left="142" w:hanging="142"/>
        <w:rPr>
          <w:noProof/>
          <w:szCs w:val="22"/>
        </w:rPr>
      </w:pPr>
      <w:r w:rsidRPr="0063119B">
        <w:rPr>
          <w:noProof/>
          <w:szCs w:val="22"/>
        </w:rPr>
        <w:noBreakHyphen/>
        <w:t xml:space="preserve"> hemorragia no estômago ou intestino, hemorragia urogenital (incluindo sangue na urina e período menstrual intenso), hemorragia pelo nariz, hemorragia das gengivas</w:t>
      </w:r>
    </w:p>
    <w:p w14:paraId="4BDB9961" w14:textId="77777777" w:rsidR="00FB7835" w:rsidRPr="0063119B" w:rsidRDefault="00FB7835" w:rsidP="00FB7835">
      <w:pPr>
        <w:suppressAutoHyphens/>
        <w:rPr>
          <w:noProof/>
          <w:szCs w:val="22"/>
        </w:rPr>
      </w:pPr>
      <w:r w:rsidRPr="0063119B">
        <w:rPr>
          <w:noProof/>
          <w:szCs w:val="22"/>
        </w:rPr>
        <w:noBreakHyphen/>
        <w:t xml:space="preserve"> hemorragia nos olhos (incluindo hemorragia da parte branca dos olhos)</w:t>
      </w:r>
    </w:p>
    <w:p w14:paraId="4297F169" w14:textId="77777777" w:rsidR="00FB7835" w:rsidRPr="0063119B" w:rsidRDefault="00FB7835" w:rsidP="00FB7835">
      <w:pPr>
        <w:suppressAutoHyphens/>
        <w:rPr>
          <w:noProof/>
          <w:szCs w:val="22"/>
        </w:rPr>
      </w:pPr>
      <w:r w:rsidRPr="0063119B">
        <w:rPr>
          <w:noProof/>
          <w:szCs w:val="22"/>
        </w:rPr>
        <w:noBreakHyphen/>
        <w:t xml:space="preserve"> hemorragia num tecido ou uma cavidade do corpo (hematoma, nódoas negras)</w:t>
      </w:r>
    </w:p>
    <w:p w14:paraId="5A151472" w14:textId="77777777" w:rsidR="00FB7835" w:rsidRPr="0063119B" w:rsidRDefault="00FB7835" w:rsidP="00FB7835">
      <w:pPr>
        <w:suppressAutoHyphens/>
        <w:rPr>
          <w:noProof/>
          <w:szCs w:val="22"/>
        </w:rPr>
      </w:pPr>
      <w:r w:rsidRPr="0063119B">
        <w:rPr>
          <w:noProof/>
          <w:szCs w:val="22"/>
        </w:rPr>
        <w:t>- tossir sangue</w:t>
      </w:r>
    </w:p>
    <w:p w14:paraId="75BE484E" w14:textId="77777777" w:rsidR="00FB7835" w:rsidRPr="0063119B" w:rsidRDefault="00FB7835" w:rsidP="00FB7835">
      <w:pPr>
        <w:suppressAutoHyphens/>
        <w:rPr>
          <w:noProof/>
          <w:szCs w:val="22"/>
        </w:rPr>
      </w:pPr>
      <w:r w:rsidRPr="0063119B">
        <w:rPr>
          <w:noProof/>
          <w:szCs w:val="22"/>
        </w:rPr>
        <w:t>- hemorragia da pele ou sob a pele</w:t>
      </w:r>
    </w:p>
    <w:p w14:paraId="1FE8D1F2" w14:textId="77777777" w:rsidR="00FB7835" w:rsidRPr="0063119B" w:rsidRDefault="00FB7835" w:rsidP="00FB7835">
      <w:pPr>
        <w:suppressAutoHyphens/>
        <w:rPr>
          <w:noProof/>
          <w:szCs w:val="22"/>
        </w:rPr>
      </w:pPr>
      <w:r w:rsidRPr="0063119B">
        <w:rPr>
          <w:noProof/>
          <w:szCs w:val="22"/>
        </w:rPr>
        <w:noBreakHyphen/>
        <w:t xml:space="preserve"> hemorragia após uma cirurgia</w:t>
      </w:r>
    </w:p>
    <w:p w14:paraId="41CB0343" w14:textId="77777777" w:rsidR="00FB7835" w:rsidRPr="0063119B" w:rsidRDefault="00FB7835" w:rsidP="00FB7835">
      <w:pPr>
        <w:suppressAutoHyphens/>
        <w:rPr>
          <w:noProof/>
          <w:szCs w:val="22"/>
        </w:rPr>
      </w:pPr>
      <w:r w:rsidRPr="0063119B">
        <w:rPr>
          <w:noProof/>
          <w:szCs w:val="22"/>
        </w:rPr>
        <w:t>- secreção de sangue ou fluído de uma ferida cirúrgica</w:t>
      </w:r>
    </w:p>
    <w:p w14:paraId="2448ECB8" w14:textId="77777777" w:rsidR="00FB7835" w:rsidRPr="0063119B" w:rsidRDefault="00FB7835" w:rsidP="00FB7835">
      <w:pPr>
        <w:suppressAutoHyphens/>
        <w:rPr>
          <w:noProof/>
          <w:szCs w:val="22"/>
        </w:rPr>
      </w:pPr>
      <w:r w:rsidRPr="0063119B">
        <w:rPr>
          <w:noProof/>
          <w:szCs w:val="22"/>
        </w:rPr>
        <w:noBreakHyphen/>
        <w:t xml:space="preserve"> inchaço dos membros</w:t>
      </w:r>
    </w:p>
    <w:p w14:paraId="1CAE1E58" w14:textId="77777777" w:rsidR="00FB7835" w:rsidRPr="0063119B" w:rsidRDefault="00FB7835" w:rsidP="00FB7835">
      <w:pPr>
        <w:suppressAutoHyphens/>
        <w:rPr>
          <w:noProof/>
          <w:szCs w:val="22"/>
        </w:rPr>
      </w:pPr>
      <w:r w:rsidRPr="0063119B">
        <w:rPr>
          <w:noProof/>
          <w:szCs w:val="22"/>
        </w:rPr>
        <w:noBreakHyphen/>
        <w:t xml:space="preserve"> dor nos membros</w:t>
      </w:r>
    </w:p>
    <w:p w14:paraId="5ECEE517" w14:textId="77777777" w:rsidR="00075965" w:rsidRPr="0063119B" w:rsidRDefault="00075965" w:rsidP="00075965">
      <w:pPr>
        <w:suppressAutoHyphens/>
        <w:rPr>
          <w:noProof/>
          <w:szCs w:val="22"/>
        </w:rPr>
      </w:pPr>
      <w:r w:rsidRPr="0063119B">
        <w:rPr>
          <w:noProof/>
          <w:szCs w:val="22"/>
        </w:rPr>
        <w:t>- função dos rins diminuída (pode ser observada em testes realizados pelo seu médico)</w:t>
      </w:r>
    </w:p>
    <w:p w14:paraId="42379C5D" w14:textId="77777777" w:rsidR="00FB7835" w:rsidRPr="0063119B" w:rsidRDefault="00FB7835" w:rsidP="00FB7835">
      <w:pPr>
        <w:suppressAutoHyphens/>
        <w:rPr>
          <w:noProof/>
          <w:szCs w:val="22"/>
        </w:rPr>
      </w:pPr>
      <w:r w:rsidRPr="0063119B">
        <w:rPr>
          <w:noProof/>
          <w:szCs w:val="22"/>
        </w:rPr>
        <w:noBreakHyphen/>
        <w:t xml:space="preserve"> febre</w:t>
      </w:r>
    </w:p>
    <w:p w14:paraId="6A768309" w14:textId="77777777" w:rsidR="00FB7835" w:rsidRPr="0063119B" w:rsidRDefault="00FB7835" w:rsidP="00FB7835">
      <w:pPr>
        <w:suppressAutoHyphens/>
        <w:rPr>
          <w:noProof/>
          <w:szCs w:val="22"/>
        </w:rPr>
      </w:pPr>
      <w:r w:rsidRPr="0063119B">
        <w:rPr>
          <w:noProof/>
          <w:szCs w:val="22"/>
        </w:rPr>
        <w:noBreakHyphen/>
        <w:t xml:space="preserve"> dor de estômago, indigestão, má disposição, prisão de ventre, diarreia </w:t>
      </w:r>
    </w:p>
    <w:p w14:paraId="5F8DD5A5" w14:textId="77777777" w:rsidR="00FB7835" w:rsidRPr="0063119B" w:rsidRDefault="00FB7835" w:rsidP="00FB7835">
      <w:pPr>
        <w:suppressAutoHyphens/>
        <w:rPr>
          <w:noProof/>
          <w:szCs w:val="22"/>
        </w:rPr>
      </w:pPr>
      <w:r w:rsidRPr="0063119B">
        <w:rPr>
          <w:noProof/>
          <w:szCs w:val="22"/>
        </w:rPr>
        <w:noBreakHyphen/>
        <w:t xml:space="preserve"> tensão arterial baixa (os sintomas podem ser sensação de tonturas ou desmaio ao levantar</w:t>
      </w:r>
      <w:r w:rsidRPr="0063119B">
        <w:rPr>
          <w:noProof/>
          <w:szCs w:val="22"/>
        </w:rPr>
        <w:noBreakHyphen/>
        <w:t>se)</w:t>
      </w:r>
    </w:p>
    <w:p w14:paraId="5F4A11ED" w14:textId="77777777" w:rsidR="00FB7835" w:rsidRPr="0063119B" w:rsidRDefault="00FB7835" w:rsidP="00FB7835">
      <w:pPr>
        <w:suppressAutoHyphens/>
        <w:ind w:left="142" w:hanging="142"/>
        <w:rPr>
          <w:noProof/>
          <w:szCs w:val="22"/>
        </w:rPr>
      </w:pPr>
      <w:r w:rsidRPr="0063119B">
        <w:rPr>
          <w:noProof/>
          <w:szCs w:val="22"/>
        </w:rPr>
        <w:noBreakHyphen/>
        <w:t xml:space="preserve"> diminuição da força e energia de um modo geral (fraqueza, cansaço), dores de cabeça, tonturas</w:t>
      </w:r>
    </w:p>
    <w:p w14:paraId="379E9C05" w14:textId="77777777" w:rsidR="00FB7835" w:rsidRPr="0063119B" w:rsidRDefault="00FB7835" w:rsidP="00FB7835">
      <w:pPr>
        <w:suppressAutoHyphens/>
        <w:rPr>
          <w:noProof/>
          <w:szCs w:val="22"/>
        </w:rPr>
      </w:pPr>
      <w:r w:rsidRPr="0063119B">
        <w:rPr>
          <w:noProof/>
          <w:szCs w:val="22"/>
        </w:rPr>
        <w:noBreakHyphen/>
        <w:t xml:space="preserve"> erupção na pele, comichão na pele</w:t>
      </w:r>
    </w:p>
    <w:p w14:paraId="5AD44D5F" w14:textId="77777777" w:rsidR="00FB7835" w:rsidRPr="0063119B" w:rsidRDefault="00FB7835" w:rsidP="00FB7835">
      <w:pPr>
        <w:suppressAutoHyphens/>
        <w:rPr>
          <w:noProof/>
          <w:szCs w:val="22"/>
        </w:rPr>
      </w:pPr>
      <w:r w:rsidRPr="0063119B">
        <w:rPr>
          <w:noProof/>
          <w:szCs w:val="22"/>
        </w:rPr>
        <w:noBreakHyphen/>
        <w:t xml:space="preserve"> testes sanguíneos poderão demonstrar um aumento de algumas enzimas hepáticas</w:t>
      </w:r>
    </w:p>
    <w:p w14:paraId="1DA92263" w14:textId="77777777" w:rsidR="00FB7835" w:rsidRPr="0063119B" w:rsidRDefault="00FB7835" w:rsidP="00FB7835">
      <w:pPr>
        <w:suppressAutoHyphens/>
        <w:rPr>
          <w:noProof/>
          <w:szCs w:val="22"/>
        </w:rPr>
      </w:pPr>
    </w:p>
    <w:p w14:paraId="7C98E084" w14:textId="77777777" w:rsidR="00FB7835" w:rsidRPr="0063119B" w:rsidRDefault="00FB7835" w:rsidP="00FB7835">
      <w:pPr>
        <w:suppressAutoHyphens/>
        <w:rPr>
          <w:b/>
          <w:noProof/>
          <w:szCs w:val="22"/>
        </w:rPr>
      </w:pPr>
      <w:r w:rsidRPr="0063119B">
        <w:rPr>
          <w:b/>
          <w:noProof/>
          <w:szCs w:val="22"/>
        </w:rPr>
        <w:t xml:space="preserve">Pouco frequentes </w:t>
      </w:r>
      <w:r w:rsidRPr="0063119B">
        <w:rPr>
          <w:noProof/>
          <w:szCs w:val="22"/>
        </w:rPr>
        <w:t>(podem afetar até 1 em 100 pessoas)</w:t>
      </w:r>
    </w:p>
    <w:p w14:paraId="0FEA1CC5" w14:textId="77777777" w:rsidR="00FB7835" w:rsidRPr="0063119B" w:rsidRDefault="00FB7835" w:rsidP="00FB7835">
      <w:pPr>
        <w:suppressAutoHyphens/>
        <w:rPr>
          <w:noProof/>
          <w:szCs w:val="22"/>
        </w:rPr>
      </w:pPr>
      <w:r w:rsidRPr="0063119B">
        <w:rPr>
          <w:noProof/>
          <w:szCs w:val="22"/>
        </w:rPr>
        <w:noBreakHyphen/>
        <w:t xml:space="preserve"> hemorragia no cérebro ou no interior do crânio</w:t>
      </w:r>
      <w:r w:rsidR="00DB02C3">
        <w:rPr>
          <w:noProof/>
          <w:szCs w:val="22"/>
        </w:rPr>
        <w:t xml:space="preserve"> </w:t>
      </w:r>
      <w:r w:rsidR="00DB02C3">
        <w:rPr>
          <w:szCs w:val="22"/>
          <w:lang w:eastAsia="pt-PT"/>
        </w:rPr>
        <w:t>(ver acima, sinais de hemorragia)</w:t>
      </w:r>
    </w:p>
    <w:p w14:paraId="235E6BF0" w14:textId="77777777" w:rsidR="00FB7835" w:rsidRPr="0063119B" w:rsidRDefault="00FB7835" w:rsidP="008601E5">
      <w:pPr>
        <w:suppressAutoHyphens/>
        <w:rPr>
          <w:noProof/>
          <w:szCs w:val="22"/>
        </w:rPr>
      </w:pPr>
      <w:r w:rsidRPr="0063119B">
        <w:rPr>
          <w:noProof/>
          <w:szCs w:val="22"/>
        </w:rPr>
        <w:noBreakHyphen/>
        <w:t xml:space="preserve"> hemorragia numa articulação causando dor e inchaço</w:t>
      </w:r>
    </w:p>
    <w:p w14:paraId="785F9CC4" w14:textId="77777777" w:rsidR="00244954" w:rsidRPr="0063119B" w:rsidRDefault="00244954" w:rsidP="00FB7835">
      <w:pPr>
        <w:suppressAutoHyphens/>
        <w:rPr>
          <w:noProof/>
          <w:szCs w:val="22"/>
        </w:rPr>
      </w:pPr>
      <w:r w:rsidRPr="0063119B">
        <w:rPr>
          <w:noProof/>
          <w:szCs w:val="22"/>
        </w:rPr>
        <w:t>- trombocitopenia (baixo número de plaquetas, que são células que ajudam o sangue a coagular)</w:t>
      </w:r>
    </w:p>
    <w:p w14:paraId="070E0F75" w14:textId="77777777" w:rsidR="00075965" w:rsidRPr="0063119B" w:rsidRDefault="00075965" w:rsidP="00075965">
      <w:pPr>
        <w:suppressAutoHyphens/>
        <w:rPr>
          <w:noProof/>
          <w:szCs w:val="22"/>
        </w:rPr>
      </w:pPr>
      <w:r w:rsidRPr="0063119B">
        <w:rPr>
          <w:noProof/>
          <w:szCs w:val="22"/>
        </w:rPr>
        <w:noBreakHyphen/>
        <w:t xml:space="preserve"> reações alérgicas, incluindo reações alérgicas da pele</w:t>
      </w:r>
    </w:p>
    <w:p w14:paraId="41739F8B" w14:textId="77777777" w:rsidR="00075965" w:rsidRPr="0063119B" w:rsidRDefault="00075965" w:rsidP="00075965">
      <w:pPr>
        <w:suppressAutoHyphens/>
        <w:rPr>
          <w:noProof/>
          <w:szCs w:val="22"/>
        </w:rPr>
      </w:pPr>
      <w:r w:rsidRPr="0063119B">
        <w:rPr>
          <w:noProof/>
          <w:szCs w:val="22"/>
        </w:rPr>
        <w:noBreakHyphen/>
        <w:t xml:space="preserve"> função do fígado diminuída (pode ser observada em testes efetuados pelo seu médico)</w:t>
      </w:r>
    </w:p>
    <w:p w14:paraId="0BBC7F80" w14:textId="77777777" w:rsidR="00075965" w:rsidRPr="0063119B" w:rsidRDefault="00075965" w:rsidP="00075965">
      <w:pPr>
        <w:suppressAutoHyphens/>
        <w:ind w:left="142" w:hanging="142"/>
        <w:rPr>
          <w:noProof/>
          <w:szCs w:val="22"/>
        </w:rPr>
      </w:pPr>
      <w:r w:rsidRPr="0063119B">
        <w:rPr>
          <w:noProof/>
          <w:szCs w:val="22"/>
        </w:rPr>
        <w:noBreakHyphen/>
        <w:t xml:space="preserve"> testes sanguíneos poderão demonstrar um aumento da bilirrubina, de algumas enzimas pancreáticas ou do número de plaquetas</w:t>
      </w:r>
    </w:p>
    <w:p w14:paraId="59740978" w14:textId="77777777" w:rsidR="00FB7835" w:rsidRPr="0063119B" w:rsidRDefault="00FB7835" w:rsidP="00FB7835">
      <w:pPr>
        <w:suppressAutoHyphens/>
        <w:rPr>
          <w:noProof/>
          <w:szCs w:val="22"/>
        </w:rPr>
      </w:pPr>
      <w:r w:rsidRPr="0063119B">
        <w:rPr>
          <w:noProof/>
          <w:szCs w:val="22"/>
        </w:rPr>
        <w:t>- desmaio</w:t>
      </w:r>
    </w:p>
    <w:p w14:paraId="539C34BB" w14:textId="77777777" w:rsidR="00FB7835" w:rsidRPr="0063119B" w:rsidRDefault="00FB7835" w:rsidP="00FB7835">
      <w:pPr>
        <w:suppressAutoHyphens/>
        <w:rPr>
          <w:noProof/>
          <w:szCs w:val="22"/>
        </w:rPr>
      </w:pPr>
      <w:r w:rsidRPr="0063119B">
        <w:rPr>
          <w:noProof/>
          <w:szCs w:val="22"/>
        </w:rPr>
        <w:noBreakHyphen/>
        <w:t xml:space="preserve"> sensação de mal</w:t>
      </w:r>
      <w:r w:rsidRPr="0063119B">
        <w:rPr>
          <w:noProof/>
          <w:szCs w:val="22"/>
        </w:rPr>
        <w:noBreakHyphen/>
        <w:t>estar</w:t>
      </w:r>
    </w:p>
    <w:p w14:paraId="2A9FD89B" w14:textId="77777777" w:rsidR="00075965" w:rsidRPr="0063119B" w:rsidRDefault="00075965" w:rsidP="00075965">
      <w:pPr>
        <w:suppressAutoHyphens/>
        <w:rPr>
          <w:noProof/>
          <w:szCs w:val="22"/>
        </w:rPr>
      </w:pPr>
      <w:r w:rsidRPr="0063119B">
        <w:rPr>
          <w:noProof/>
          <w:szCs w:val="22"/>
        </w:rPr>
        <w:t>- batimento cardíaco mais rápido</w:t>
      </w:r>
    </w:p>
    <w:p w14:paraId="514570A6" w14:textId="77777777" w:rsidR="00FB7835" w:rsidRPr="0063119B" w:rsidRDefault="00FB7835" w:rsidP="00FB7835">
      <w:pPr>
        <w:suppressAutoHyphens/>
        <w:rPr>
          <w:noProof/>
          <w:szCs w:val="22"/>
        </w:rPr>
      </w:pPr>
      <w:r w:rsidRPr="0063119B">
        <w:rPr>
          <w:noProof/>
          <w:szCs w:val="22"/>
        </w:rPr>
        <w:noBreakHyphen/>
        <w:t xml:space="preserve"> boca seca</w:t>
      </w:r>
    </w:p>
    <w:p w14:paraId="6FFF6EF0" w14:textId="77777777" w:rsidR="00FB7835" w:rsidRPr="0063119B" w:rsidRDefault="00FB7835" w:rsidP="00FB7835">
      <w:pPr>
        <w:suppressAutoHyphens/>
        <w:rPr>
          <w:noProof/>
          <w:szCs w:val="22"/>
        </w:rPr>
      </w:pPr>
      <w:r w:rsidRPr="0063119B">
        <w:rPr>
          <w:noProof/>
          <w:szCs w:val="22"/>
        </w:rPr>
        <w:lastRenderedPageBreak/>
        <w:noBreakHyphen/>
        <w:t xml:space="preserve"> urticária (erupção da pele com comichão)</w:t>
      </w:r>
    </w:p>
    <w:p w14:paraId="354FD6D6" w14:textId="77777777" w:rsidR="00FB7835" w:rsidRPr="0063119B" w:rsidRDefault="00FB7835" w:rsidP="00FB7835">
      <w:pPr>
        <w:suppressAutoHyphens/>
        <w:rPr>
          <w:b/>
          <w:noProof/>
          <w:szCs w:val="22"/>
        </w:rPr>
      </w:pPr>
    </w:p>
    <w:p w14:paraId="52F1AE13" w14:textId="77777777" w:rsidR="00FB7835" w:rsidRPr="0063119B" w:rsidRDefault="00FB7835" w:rsidP="00FB7835">
      <w:pPr>
        <w:suppressAutoHyphens/>
        <w:rPr>
          <w:b/>
          <w:noProof/>
          <w:szCs w:val="22"/>
        </w:rPr>
      </w:pPr>
      <w:r w:rsidRPr="0063119B">
        <w:rPr>
          <w:b/>
          <w:noProof/>
          <w:szCs w:val="22"/>
        </w:rPr>
        <w:t xml:space="preserve">Raros </w:t>
      </w:r>
      <w:r w:rsidRPr="0063119B">
        <w:rPr>
          <w:noProof/>
          <w:szCs w:val="22"/>
        </w:rPr>
        <w:t>(podem afetar até 1 em 1.000 pessoas)</w:t>
      </w:r>
    </w:p>
    <w:p w14:paraId="1CB0030B" w14:textId="77777777" w:rsidR="00FB7835" w:rsidRPr="0063119B" w:rsidRDefault="00FB7835" w:rsidP="00FB7835">
      <w:pPr>
        <w:suppressAutoHyphens/>
        <w:rPr>
          <w:noProof/>
          <w:szCs w:val="22"/>
        </w:rPr>
      </w:pPr>
      <w:r w:rsidRPr="0063119B">
        <w:rPr>
          <w:noProof/>
          <w:szCs w:val="22"/>
        </w:rPr>
        <w:noBreakHyphen/>
        <w:t xml:space="preserve"> hemorragia num músculo</w:t>
      </w:r>
    </w:p>
    <w:p w14:paraId="2771854E" w14:textId="77777777" w:rsidR="00244954" w:rsidRPr="0063119B" w:rsidRDefault="00244954" w:rsidP="00FB7835">
      <w:pPr>
        <w:suppressAutoHyphens/>
        <w:rPr>
          <w:noProof/>
          <w:szCs w:val="22"/>
        </w:rPr>
      </w:pPr>
      <w:r w:rsidRPr="0063119B">
        <w:rPr>
          <w:noProof/>
          <w:szCs w:val="22"/>
        </w:rPr>
        <w:t>- colestase (diminuição do fluxo biliar), hepatite incl. lesão hepatocelular (inflmação do fígado incl. lesão do fígado)</w:t>
      </w:r>
    </w:p>
    <w:p w14:paraId="4913BFAD" w14:textId="77777777" w:rsidR="00075965" w:rsidRPr="0063119B" w:rsidRDefault="00075965" w:rsidP="00075965">
      <w:pPr>
        <w:suppressAutoHyphens/>
        <w:rPr>
          <w:noProof/>
          <w:szCs w:val="22"/>
        </w:rPr>
      </w:pPr>
      <w:r w:rsidRPr="0063119B">
        <w:rPr>
          <w:noProof/>
          <w:szCs w:val="22"/>
        </w:rPr>
        <w:noBreakHyphen/>
        <w:t xml:space="preserve"> amarelecimento da pele e dos olhos (icterícia)</w:t>
      </w:r>
    </w:p>
    <w:p w14:paraId="15AD2E7C" w14:textId="77777777" w:rsidR="00FB7835" w:rsidRPr="0063119B" w:rsidRDefault="00FB7835" w:rsidP="00FB7835">
      <w:pPr>
        <w:suppressAutoHyphens/>
        <w:rPr>
          <w:noProof/>
          <w:szCs w:val="22"/>
        </w:rPr>
      </w:pPr>
      <w:r w:rsidRPr="0063119B">
        <w:rPr>
          <w:noProof/>
          <w:szCs w:val="22"/>
        </w:rPr>
        <w:noBreakHyphen/>
        <w:t xml:space="preserve"> inchaço localizado</w:t>
      </w:r>
    </w:p>
    <w:p w14:paraId="2FDD0E55" w14:textId="77777777" w:rsidR="00FB7835" w:rsidRPr="0063119B" w:rsidRDefault="00FB7835" w:rsidP="00FB7835">
      <w:pPr>
        <w:suppressAutoHyphens/>
        <w:rPr>
          <w:noProof/>
          <w:szCs w:val="22"/>
        </w:rPr>
      </w:pPr>
      <w:r w:rsidRPr="0063119B">
        <w:rPr>
          <w:noProof/>
          <w:szCs w:val="22"/>
        </w:rPr>
        <w:noBreakHyphen/>
        <w:t xml:space="preserve"> acumulação de sangue (hematoma) na sua virilha como uma complicação de um procedimento cardíaco no qual um cateter é inserido no interior de uma artéria da sua perna (pseudoaneurisma)</w:t>
      </w:r>
    </w:p>
    <w:p w14:paraId="4E7BB110" w14:textId="0A935BA2" w:rsidR="00FB7835" w:rsidRDefault="00FB7835" w:rsidP="00FB7835">
      <w:pPr>
        <w:suppressAutoHyphens/>
        <w:rPr>
          <w:noProof/>
          <w:szCs w:val="22"/>
        </w:rPr>
      </w:pPr>
    </w:p>
    <w:p w14:paraId="61D9F392" w14:textId="77777777" w:rsidR="002B5FBC" w:rsidRDefault="002B5FBC" w:rsidP="00FB7835">
      <w:pPr>
        <w:suppressAutoHyphens/>
      </w:pPr>
      <w:r w:rsidRPr="006A13A4">
        <w:rPr>
          <w:b/>
          <w:bCs/>
        </w:rPr>
        <w:t>Muito raros</w:t>
      </w:r>
      <w:r>
        <w:t xml:space="preserve"> (podem afetar até 1 em 10 000 pessoas) </w:t>
      </w:r>
    </w:p>
    <w:p w14:paraId="522F0B0D" w14:textId="0CF659A6" w:rsidR="002B5FBC" w:rsidRDefault="002B5FBC" w:rsidP="00FB7835">
      <w:pPr>
        <w:suppressAutoHyphens/>
        <w:rPr>
          <w:noProof/>
          <w:szCs w:val="22"/>
        </w:rPr>
      </w:pPr>
      <w:r>
        <w:t>- acumulação de eosinófilos, um tipo de glóbulos brancos, granulócitos, no sangue que causam inflamação no pulmão (pneumonia eosinofílica)</w:t>
      </w:r>
    </w:p>
    <w:p w14:paraId="5DBD0869" w14:textId="77777777" w:rsidR="002B5FBC" w:rsidRPr="0063119B" w:rsidRDefault="002B5FBC" w:rsidP="00FB7835">
      <w:pPr>
        <w:suppressAutoHyphens/>
        <w:rPr>
          <w:noProof/>
          <w:szCs w:val="22"/>
        </w:rPr>
      </w:pPr>
    </w:p>
    <w:p w14:paraId="7A449903" w14:textId="77777777" w:rsidR="00FB7835" w:rsidRPr="0063119B" w:rsidRDefault="00FB7835" w:rsidP="00FB7835">
      <w:pPr>
        <w:suppressAutoHyphens/>
        <w:rPr>
          <w:b/>
          <w:noProof/>
          <w:szCs w:val="22"/>
        </w:rPr>
      </w:pPr>
      <w:r w:rsidRPr="0063119B">
        <w:rPr>
          <w:b/>
          <w:noProof/>
          <w:szCs w:val="22"/>
        </w:rPr>
        <w:t xml:space="preserve">Desconhecido </w:t>
      </w:r>
      <w:r w:rsidRPr="0063119B">
        <w:rPr>
          <w:noProof/>
          <w:szCs w:val="22"/>
        </w:rPr>
        <w:t>(frequência não pode ser calculada a partir dos dados disponíveis)</w:t>
      </w:r>
    </w:p>
    <w:p w14:paraId="34AEFF01" w14:textId="77777777" w:rsidR="00075965" w:rsidRDefault="00075965" w:rsidP="00075965">
      <w:pPr>
        <w:suppressAutoHyphens/>
        <w:rPr>
          <w:noProof/>
          <w:szCs w:val="22"/>
        </w:rPr>
      </w:pPr>
      <w:r w:rsidRPr="0063119B">
        <w:rPr>
          <w:noProof/>
          <w:szCs w:val="22"/>
        </w:rPr>
        <w:noBreakHyphen/>
        <w:t xml:space="preserve"> insuficiência renal após uma hemorragia grave</w:t>
      </w:r>
    </w:p>
    <w:p w14:paraId="46517849" w14:textId="1536F218" w:rsidR="007830B5" w:rsidRPr="0063119B" w:rsidRDefault="007830B5" w:rsidP="00C64655">
      <w:pPr>
        <w:suppressAutoHyphens/>
        <w:ind w:left="142" w:hanging="142"/>
        <w:rPr>
          <w:noProof/>
          <w:szCs w:val="22"/>
        </w:rPr>
      </w:pPr>
      <w:r>
        <w:t>- hemorragia no rim, por vezes com presença de sangue na urina, levando à incapacidade dos rins funcionarem adequadamente (nefropatia relacionada com anticoagulante)</w:t>
      </w:r>
    </w:p>
    <w:p w14:paraId="38798708" w14:textId="77777777" w:rsidR="00FB7835" w:rsidRPr="0063119B" w:rsidRDefault="00FB7835" w:rsidP="00FB7835">
      <w:pPr>
        <w:suppressAutoHyphens/>
        <w:ind w:left="142" w:hanging="142"/>
        <w:rPr>
          <w:noProof/>
          <w:szCs w:val="22"/>
        </w:rPr>
      </w:pPr>
      <w:r w:rsidRPr="0063119B">
        <w:rPr>
          <w:noProof/>
          <w:szCs w:val="22"/>
        </w:rPr>
        <w:noBreakHyphen/>
        <w:t xml:space="preserve"> aumento da pressão nos músculos das suas pernas ou braços após uma hemorragia, que pode causar dor, inchaço, sensação alterada, adormecimento ou paralisia (síndrome compartimental após uma hemorragia)</w:t>
      </w:r>
    </w:p>
    <w:p w14:paraId="293E0431" w14:textId="77777777" w:rsidR="00FB7835" w:rsidRPr="0063119B" w:rsidRDefault="00FB7835" w:rsidP="00FB7835">
      <w:pPr>
        <w:suppressAutoHyphens/>
        <w:rPr>
          <w:noProof/>
          <w:szCs w:val="22"/>
        </w:rPr>
      </w:pPr>
    </w:p>
    <w:p w14:paraId="4B338DD0" w14:textId="77777777" w:rsidR="00FB7835" w:rsidRPr="0063119B" w:rsidRDefault="00FB7835" w:rsidP="00FB7835">
      <w:pPr>
        <w:suppressAutoHyphens/>
        <w:rPr>
          <w:b/>
          <w:szCs w:val="22"/>
        </w:rPr>
      </w:pPr>
      <w:r w:rsidRPr="0063119B">
        <w:rPr>
          <w:b/>
          <w:noProof/>
          <w:szCs w:val="22"/>
        </w:rPr>
        <w:t xml:space="preserve">Comunicação de efeitos </w:t>
      </w:r>
      <w:r w:rsidR="00654D4F" w:rsidRPr="0063119B">
        <w:rPr>
          <w:b/>
          <w:noProof/>
          <w:szCs w:val="22"/>
        </w:rPr>
        <w:t>indesejáveis</w:t>
      </w:r>
    </w:p>
    <w:p w14:paraId="13D43F61" w14:textId="77777777" w:rsidR="00FB7835" w:rsidRPr="0063119B" w:rsidRDefault="00FB7835" w:rsidP="00FB7835">
      <w:pPr>
        <w:suppressAutoHyphens/>
        <w:rPr>
          <w:noProof/>
          <w:szCs w:val="22"/>
        </w:rPr>
      </w:pPr>
      <w:r w:rsidRPr="0063119B">
        <w:rPr>
          <w:noProof/>
          <w:szCs w:val="22"/>
        </w:rPr>
        <w:t xml:space="preserve">Se tiver quaisquer </w:t>
      </w:r>
      <w:r w:rsidR="001A6F2C" w:rsidRPr="0063119B">
        <w:rPr>
          <w:noProof/>
          <w:szCs w:val="22"/>
        </w:rPr>
        <w:t>e</w:t>
      </w:r>
      <w:r w:rsidRPr="0063119B">
        <w:rPr>
          <w:noProof/>
          <w:szCs w:val="22"/>
        </w:rPr>
        <w:t xml:space="preserve">feitos </w:t>
      </w:r>
      <w:r w:rsidR="00654D4F" w:rsidRPr="0063119B">
        <w:rPr>
          <w:noProof/>
          <w:szCs w:val="22"/>
        </w:rPr>
        <w:t>indesejáveis</w:t>
      </w:r>
      <w:r w:rsidRPr="0063119B">
        <w:rPr>
          <w:noProof/>
          <w:szCs w:val="22"/>
        </w:rPr>
        <w:t xml:space="preserve">, incluindo possíveis efeitos </w:t>
      </w:r>
      <w:r w:rsidR="00654D4F" w:rsidRPr="0063119B">
        <w:rPr>
          <w:noProof/>
          <w:szCs w:val="22"/>
        </w:rPr>
        <w:t>indesejáveis</w:t>
      </w:r>
      <w:r w:rsidRPr="0063119B">
        <w:rPr>
          <w:noProof/>
          <w:szCs w:val="22"/>
        </w:rPr>
        <w:t xml:space="preserve"> não indicados neste folheto, fale com o seu médico ou farmacêutico. </w:t>
      </w:r>
      <w:r w:rsidRPr="0063119B">
        <w:rPr>
          <w:szCs w:val="22"/>
        </w:rPr>
        <w:t xml:space="preserve">Também poderá comunicar efeitos </w:t>
      </w:r>
      <w:r w:rsidR="00654D4F" w:rsidRPr="0063119B">
        <w:rPr>
          <w:noProof/>
          <w:szCs w:val="22"/>
        </w:rPr>
        <w:t>indesejáveis</w:t>
      </w:r>
      <w:r w:rsidRPr="0063119B">
        <w:rPr>
          <w:szCs w:val="22"/>
        </w:rPr>
        <w:t xml:space="preserve"> diretamente através </w:t>
      </w:r>
      <w:r w:rsidRPr="0063119B">
        <w:rPr>
          <w:szCs w:val="22"/>
          <w:highlight w:val="lightGray"/>
        </w:rPr>
        <w:t xml:space="preserve">do sistema nacional de notificação mencionado no </w:t>
      </w:r>
      <w:hyperlink r:id="rId29" w:history="1">
        <w:r w:rsidRPr="0063119B">
          <w:rPr>
            <w:rStyle w:val="Hyperlink"/>
            <w:szCs w:val="22"/>
            <w:highlight w:val="lightGray"/>
          </w:rPr>
          <w:t>Apêndice V</w:t>
        </w:r>
      </w:hyperlink>
      <w:r w:rsidRPr="0063119B">
        <w:rPr>
          <w:szCs w:val="22"/>
        </w:rPr>
        <w:t xml:space="preserve">. Ao comunicar efeitos </w:t>
      </w:r>
      <w:r w:rsidR="00654D4F" w:rsidRPr="0063119B">
        <w:rPr>
          <w:noProof/>
          <w:szCs w:val="22"/>
        </w:rPr>
        <w:t>indesejáveis</w:t>
      </w:r>
      <w:r w:rsidRPr="0063119B">
        <w:rPr>
          <w:szCs w:val="22"/>
        </w:rPr>
        <w:t>, estará a ajudar a fornecer mais informações sobre a segurança deste medicamento.</w:t>
      </w:r>
    </w:p>
    <w:p w14:paraId="50902568" w14:textId="77777777" w:rsidR="00FB7835" w:rsidRPr="0063119B" w:rsidRDefault="00FB7835" w:rsidP="00FB7835">
      <w:pPr>
        <w:suppressAutoHyphens/>
        <w:rPr>
          <w:noProof/>
          <w:szCs w:val="22"/>
        </w:rPr>
      </w:pPr>
    </w:p>
    <w:p w14:paraId="44F7F753" w14:textId="77777777" w:rsidR="00FB7835" w:rsidRPr="0063119B" w:rsidRDefault="00FB7835" w:rsidP="00FB7835">
      <w:pPr>
        <w:suppressAutoHyphens/>
        <w:rPr>
          <w:b/>
          <w:noProof/>
          <w:szCs w:val="22"/>
        </w:rPr>
      </w:pPr>
    </w:p>
    <w:p w14:paraId="77D7FE3F" w14:textId="77777777" w:rsidR="00FB7835" w:rsidRPr="0063119B" w:rsidRDefault="00FB7835" w:rsidP="00FB7835">
      <w:pPr>
        <w:suppressAutoHyphens/>
        <w:rPr>
          <w:noProof/>
          <w:szCs w:val="22"/>
        </w:rPr>
      </w:pPr>
      <w:r w:rsidRPr="0063119B">
        <w:rPr>
          <w:b/>
          <w:noProof/>
          <w:szCs w:val="22"/>
        </w:rPr>
        <w:t>5.</w:t>
      </w:r>
      <w:r w:rsidRPr="0063119B">
        <w:rPr>
          <w:b/>
          <w:noProof/>
          <w:szCs w:val="22"/>
        </w:rPr>
        <w:tab/>
        <w:t xml:space="preserve">Como conservar </w:t>
      </w:r>
      <w:r w:rsidR="00607DE4">
        <w:rPr>
          <w:b/>
          <w:noProof/>
          <w:szCs w:val="22"/>
        </w:rPr>
        <w:t>Rivaroxabano</w:t>
      </w:r>
      <w:r w:rsidR="001F7D02" w:rsidRPr="0063119B">
        <w:rPr>
          <w:b/>
          <w:noProof/>
          <w:szCs w:val="22"/>
        </w:rPr>
        <w:t xml:space="preserve"> Accord</w:t>
      </w:r>
    </w:p>
    <w:p w14:paraId="3441A196" w14:textId="77777777" w:rsidR="00FB7835" w:rsidRPr="0063119B" w:rsidRDefault="00FB7835" w:rsidP="00FB7835">
      <w:pPr>
        <w:suppressAutoHyphens/>
        <w:rPr>
          <w:noProof/>
          <w:szCs w:val="22"/>
        </w:rPr>
      </w:pPr>
    </w:p>
    <w:p w14:paraId="54E0C425" w14:textId="77777777" w:rsidR="00FB7835" w:rsidRPr="0063119B" w:rsidRDefault="00FB7835" w:rsidP="00FB7835">
      <w:pPr>
        <w:suppressAutoHyphens/>
        <w:rPr>
          <w:noProof/>
          <w:szCs w:val="22"/>
        </w:rPr>
      </w:pPr>
      <w:r w:rsidRPr="0063119B">
        <w:rPr>
          <w:noProof/>
          <w:szCs w:val="22"/>
        </w:rPr>
        <w:t>Manter este medicamento fora da vista e do alcance das crianças.</w:t>
      </w:r>
    </w:p>
    <w:p w14:paraId="4DD19250" w14:textId="77777777" w:rsidR="00FB7835" w:rsidRPr="0063119B" w:rsidRDefault="00FB7835" w:rsidP="00FB7835">
      <w:pPr>
        <w:suppressAutoHyphens/>
        <w:rPr>
          <w:noProof/>
          <w:szCs w:val="22"/>
        </w:rPr>
      </w:pPr>
    </w:p>
    <w:p w14:paraId="7BE6DCDA" w14:textId="77777777" w:rsidR="00FB7835" w:rsidRPr="0063119B" w:rsidRDefault="00FB7835" w:rsidP="00FB7835">
      <w:pPr>
        <w:suppressAutoHyphens/>
        <w:rPr>
          <w:noProof/>
          <w:szCs w:val="22"/>
        </w:rPr>
      </w:pPr>
      <w:r w:rsidRPr="0063119B">
        <w:rPr>
          <w:noProof/>
          <w:szCs w:val="22"/>
        </w:rPr>
        <w:t xml:space="preserve">Não utilize este medicamento após o prazo de validade impresso na embalagem exterior e </w:t>
      </w:r>
      <w:r w:rsidR="007B33AF" w:rsidRPr="0063119B">
        <w:rPr>
          <w:noProof/>
          <w:szCs w:val="22"/>
        </w:rPr>
        <w:t>no blister</w:t>
      </w:r>
      <w:r w:rsidRPr="0063119B">
        <w:rPr>
          <w:noProof/>
          <w:szCs w:val="22"/>
        </w:rPr>
        <w:t xml:space="preserve"> após EXP. O prazo de validade corresponde ao último dia do mês indicado.</w:t>
      </w:r>
    </w:p>
    <w:p w14:paraId="62B39692" w14:textId="77777777" w:rsidR="00FB7835" w:rsidRPr="0063119B" w:rsidRDefault="00FB7835" w:rsidP="00FB7835">
      <w:pPr>
        <w:suppressAutoHyphens/>
        <w:rPr>
          <w:noProof/>
          <w:szCs w:val="22"/>
        </w:rPr>
      </w:pPr>
    </w:p>
    <w:p w14:paraId="1EA45727" w14:textId="77777777" w:rsidR="00FB7835" w:rsidRPr="0063119B" w:rsidRDefault="00FB7835" w:rsidP="00FB7835">
      <w:pPr>
        <w:suppressAutoHyphens/>
        <w:rPr>
          <w:noProof/>
          <w:szCs w:val="22"/>
        </w:rPr>
      </w:pPr>
      <w:r w:rsidRPr="0063119B">
        <w:rPr>
          <w:noProof/>
          <w:szCs w:val="22"/>
        </w:rPr>
        <w:t>Este medicamento não necessita de condições especiais de conservação.</w:t>
      </w:r>
    </w:p>
    <w:p w14:paraId="21B02D2A" w14:textId="77777777" w:rsidR="00FB7835" w:rsidRDefault="00FB7835" w:rsidP="00FB7835">
      <w:pPr>
        <w:suppressAutoHyphens/>
        <w:rPr>
          <w:noProof/>
          <w:szCs w:val="22"/>
        </w:rPr>
      </w:pPr>
    </w:p>
    <w:p w14:paraId="7EC16E5C" w14:textId="77777777" w:rsidR="00DB02C3" w:rsidRDefault="00DB02C3" w:rsidP="00DB02C3">
      <w:pPr>
        <w:autoSpaceDE w:val="0"/>
        <w:autoSpaceDN w:val="0"/>
        <w:adjustRightInd w:val="0"/>
        <w:rPr>
          <w:szCs w:val="22"/>
          <w:lang w:eastAsia="pt-PT"/>
        </w:rPr>
      </w:pPr>
      <w:r>
        <w:rPr>
          <w:szCs w:val="22"/>
          <w:lang w:eastAsia="pt-PT"/>
        </w:rPr>
        <w:t>Trituração dos comprimidos</w:t>
      </w:r>
    </w:p>
    <w:p w14:paraId="5DB3B1E9" w14:textId="77777777" w:rsidR="00DB02C3" w:rsidRDefault="00DB02C3" w:rsidP="00DB02C3">
      <w:pPr>
        <w:suppressAutoHyphens/>
        <w:rPr>
          <w:szCs w:val="22"/>
          <w:lang w:eastAsia="pt-PT"/>
        </w:rPr>
      </w:pPr>
      <w:r>
        <w:rPr>
          <w:szCs w:val="22"/>
          <w:lang w:eastAsia="pt-PT"/>
        </w:rPr>
        <w:t>Os comprimidos triturados são estáveis em água ou puré de maçã até 4 horas.</w:t>
      </w:r>
    </w:p>
    <w:p w14:paraId="51BD2676" w14:textId="77777777" w:rsidR="00DB02C3" w:rsidRPr="0063119B" w:rsidRDefault="00DB02C3" w:rsidP="00DB02C3">
      <w:pPr>
        <w:suppressAutoHyphens/>
        <w:rPr>
          <w:noProof/>
          <w:szCs w:val="22"/>
        </w:rPr>
      </w:pPr>
    </w:p>
    <w:p w14:paraId="60796F81" w14:textId="77777777" w:rsidR="00FB7835" w:rsidRPr="0063119B" w:rsidRDefault="00FB7835" w:rsidP="00FB7835">
      <w:pPr>
        <w:suppressAutoHyphens/>
        <w:rPr>
          <w:noProof/>
          <w:szCs w:val="22"/>
        </w:rPr>
      </w:pPr>
      <w:r w:rsidRPr="0063119B">
        <w:rPr>
          <w:noProof/>
          <w:szCs w:val="22"/>
        </w:rPr>
        <w:t>Não deite fora quaisquer medicamentos na canalização ou no lixo doméstico. Pergunte ao seu farmacêutico como deitar fora os medicamentos que já não utiliza. Estas medidas ajudarão a proteger o ambiente.</w:t>
      </w:r>
    </w:p>
    <w:p w14:paraId="2DB7A49F" w14:textId="77777777" w:rsidR="00FB7835" w:rsidRPr="0063119B" w:rsidRDefault="00FB7835" w:rsidP="00FB7835">
      <w:pPr>
        <w:suppressAutoHyphens/>
        <w:ind w:left="567" w:hanging="567"/>
        <w:rPr>
          <w:b/>
          <w:noProof/>
          <w:szCs w:val="22"/>
        </w:rPr>
      </w:pPr>
    </w:p>
    <w:p w14:paraId="79332BCB" w14:textId="77777777" w:rsidR="00FB7835" w:rsidRPr="0063119B" w:rsidRDefault="00FB7835" w:rsidP="00FB7835">
      <w:pPr>
        <w:suppressAutoHyphens/>
        <w:ind w:left="567" w:hanging="567"/>
        <w:rPr>
          <w:b/>
          <w:noProof/>
          <w:szCs w:val="22"/>
        </w:rPr>
      </w:pPr>
    </w:p>
    <w:p w14:paraId="3B240840" w14:textId="77777777" w:rsidR="00FB7835" w:rsidRPr="0063119B" w:rsidRDefault="00FB7835" w:rsidP="00FB7835">
      <w:pPr>
        <w:suppressAutoHyphens/>
        <w:ind w:left="567" w:hanging="567"/>
        <w:rPr>
          <w:b/>
          <w:noProof/>
          <w:szCs w:val="22"/>
        </w:rPr>
      </w:pPr>
      <w:r w:rsidRPr="0063119B">
        <w:rPr>
          <w:b/>
          <w:noProof/>
          <w:szCs w:val="22"/>
        </w:rPr>
        <w:t>6.</w:t>
      </w:r>
      <w:r w:rsidRPr="0063119B">
        <w:rPr>
          <w:b/>
          <w:noProof/>
          <w:szCs w:val="22"/>
        </w:rPr>
        <w:tab/>
      </w:r>
      <w:r w:rsidRPr="0063119B">
        <w:rPr>
          <w:b/>
          <w:szCs w:val="22"/>
        </w:rPr>
        <w:t xml:space="preserve">Conteúdo da embalagem e </w:t>
      </w:r>
      <w:r w:rsidRPr="0063119B">
        <w:rPr>
          <w:b/>
          <w:noProof/>
          <w:szCs w:val="22"/>
        </w:rPr>
        <w:t>outras informações</w:t>
      </w:r>
    </w:p>
    <w:p w14:paraId="705D62AD" w14:textId="77777777" w:rsidR="00FB7835" w:rsidRPr="0063119B" w:rsidRDefault="00FB7835" w:rsidP="00FB7835">
      <w:pPr>
        <w:suppressAutoHyphens/>
        <w:ind w:left="567" w:hanging="567"/>
        <w:rPr>
          <w:noProof/>
          <w:szCs w:val="22"/>
        </w:rPr>
      </w:pPr>
    </w:p>
    <w:p w14:paraId="499F8879" w14:textId="77777777" w:rsidR="00FB7835" w:rsidRPr="0063119B" w:rsidRDefault="00FB7835" w:rsidP="00FB7835">
      <w:pPr>
        <w:suppressAutoHyphens/>
        <w:rPr>
          <w:b/>
          <w:bCs/>
          <w:noProof/>
          <w:szCs w:val="22"/>
        </w:rPr>
      </w:pPr>
      <w:r w:rsidRPr="0063119B">
        <w:rPr>
          <w:b/>
          <w:bCs/>
          <w:noProof/>
          <w:szCs w:val="22"/>
        </w:rPr>
        <w:t xml:space="preserve">Qual a composição de </w:t>
      </w:r>
      <w:r w:rsidR="00607DE4">
        <w:rPr>
          <w:b/>
          <w:bCs/>
          <w:noProof/>
          <w:szCs w:val="22"/>
        </w:rPr>
        <w:t>Rivaroxabano</w:t>
      </w:r>
      <w:r w:rsidR="001F7D02" w:rsidRPr="0063119B">
        <w:rPr>
          <w:b/>
          <w:bCs/>
          <w:noProof/>
          <w:szCs w:val="22"/>
        </w:rPr>
        <w:t xml:space="preserve"> Accord</w:t>
      </w:r>
    </w:p>
    <w:p w14:paraId="08436D17" w14:textId="77777777" w:rsidR="00FB7835" w:rsidRPr="0063119B" w:rsidRDefault="00FB7835" w:rsidP="00FB7835">
      <w:pPr>
        <w:numPr>
          <w:ilvl w:val="0"/>
          <w:numId w:val="1"/>
        </w:numPr>
        <w:suppressAutoHyphens/>
        <w:ind w:left="567" w:hanging="567"/>
        <w:rPr>
          <w:noProof/>
          <w:szCs w:val="22"/>
        </w:rPr>
      </w:pPr>
      <w:r w:rsidRPr="0063119B">
        <w:rPr>
          <w:noProof/>
          <w:szCs w:val="22"/>
        </w:rPr>
        <w:t>A substância ativa é o rivaroxabano. Cada comprimido contém 15 ou 20 mg de rivaroxabano, respetivamente.</w:t>
      </w:r>
    </w:p>
    <w:p w14:paraId="1DBCCABF" w14:textId="77777777" w:rsidR="00FB7835" w:rsidRPr="0063119B" w:rsidRDefault="00FB7835" w:rsidP="00FB7835">
      <w:pPr>
        <w:numPr>
          <w:ilvl w:val="0"/>
          <w:numId w:val="1"/>
        </w:numPr>
        <w:suppressAutoHyphens/>
        <w:ind w:left="567" w:hanging="567"/>
        <w:rPr>
          <w:noProof/>
          <w:szCs w:val="22"/>
        </w:rPr>
      </w:pPr>
      <w:r w:rsidRPr="0063119B">
        <w:rPr>
          <w:noProof/>
          <w:szCs w:val="22"/>
        </w:rPr>
        <w:t>Os outros componentes são:</w:t>
      </w:r>
    </w:p>
    <w:p w14:paraId="6EBACE7C" w14:textId="77777777" w:rsidR="007B33AF" w:rsidRPr="0063119B" w:rsidRDefault="007B33AF" w:rsidP="007B33AF">
      <w:pPr>
        <w:suppressAutoHyphens/>
        <w:rPr>
          <w:noProof/>
          <w:szCs w:val="22"/>
        </w:rPr>
      </w:pPr>
    </w:p>
    <w:p w14:paraId="0F9067BB" w14:textId="77777777" w:rsidR="007B33AF" w:rsidRPr="0063119B" w:rsidRDefault="00FB7835" w:rsidP="007B33AF">
      <w:pPr>
        <w:suppressAutoHyphens/>
        <w:rPr>
          <w:noProof/>
          <w:szCs w:val="22"/>
        </w:rPr>
      </w:pPr>
      <w:r w:rsidRPr="0063119B">
        <w:rPr>
          <w:noProof/>
          <w:szCs w:val="22"/>
          <w:u w:val="single"/>
        </w:rPr>
        <w:t>Núcleo do comprimido</w:t>
      </w:r>
    </w:p>
    <w:p w14:paraId="31E82E00" w14:textId="77777777" w:rsidR="007B33AF" w:rsidRPr="0063119B" w:rsidRDefault="007B33AF" w:rsidP="007B33AF">
      <w:pPr>
        <w:suppressAutoHyphens/>
        <w:rPr>
          <w:noProof/>
          <w:szCs w:val="22"/>
        </w:rPr>
      </w:pPr>
    </w:p>
    <w:p w14:paraId="33399144" w14:textId="77777777" w:rsidR="007B33AF" w:rsidRPr="0063119B" w:rsidRDefault="007B33AF" w:rsidP="007B33AF">
      <w:pPr>
        <w:keepNext/>
        <w:suppressAutoHyphens/>
        <w:rPr>
          <w:noProof/>
          <w:szCs w:val="22"/>
        </w:rPr>
      </w:pPr>
      <w:r w:rsidRPr="0063119B">
        <w:rPr>
          <w:noProof/>
          <w:szCs w:val="22"/>
        </w:rPr>
        <w:lastRenderedPageBreak/>
        <w:t>Lactose mono-hidratada</w:t>
      </w:r>
    </w:p>
    <w:p w14:paraId="42869A52" w14:textId="77777777" w:rsidR="007B33AF" w:rsidRPr="0063119B" w:rsidRDefault="007B33AF" w:rsidP="007B33AF">
      <w:pPr>
        <w:keepNext/>
        <w:suppressAutoHyphens/>
        <w:rPr>
          <w:noProof/>
          <w:szCs w:val="22"/>
        </w:rPr>
      </w:pPr>
      <w:r w:rsidRPr="0063119B">
        <w:rPr>
          <w:noProof/>
          <w:szCs w:val="22"/>
        </w:rPr>
        <w:t>Croscarmelose sódica (E468)</w:t>
      </w:r>
    </w:p>
    <w:p w14:paraId="40DB139B" w14:textId="77777777" w:rsidR="007B33AF" w:rsidRPr="0063119B" w:rsidRDefault="007B33AF" w:rsidP="007B33AF">
      <w:pPr>
        <w:keepNext/>
        <w:suppressAutoHyphens/>
        <w:rPr>
          <w:noProof/>
          <w:szCs w:val="22"/>
        </w:rPr>
      </w:pPr>
      <w:r w:rsidRPr="0063119B">
        <w:rPr>
          <w:noProof/>
          <w:szCs w:val="22"/>
        </w:rPr>
        <w:t>Laurilsulfato de sódio (E487)</w:t>
      </w:r>
    </w:p>
    <w:p w14:paraId="2F8BF6A7" w14:textId="77777777" w:rsidR="007B33AF" w:rsidRPr="0063119B" w:rsidRDefault="007B33AF" w:rsidP="007B33AF">
      <w:pPr>
        <w:keepNext/>
        <w:suppressAutoHyphens/>
        <w:rPr>
          <w:noProof/>
          <w:szCs w:val="22"/>
        </w:rPr>
      </w:pPr>
      <w:r w:rsidRPr="0063119B">
        <w:rPr>
          <w:noProof/>
          <w:szCs w:val="22"/>
        </w:rPr>
        <w:t xml:space="preserve">Hipromelose </w:t>
      </w:r>
      <w:r w:rsidR="00F57713" w:rsidRPr="0063119B">
        <w:rPr>
          <w:noProof/>
          <w:szCs w:val="22"/>
        </w:rPr>
        <w:t xml:space="preserve">2910 (viscosidade nominal 5,1 mPa.S) </w:t>
      </w:r>
      <w:r w:rsidRPr="0063119B">
        <w:rPr>
          <w:noProof/>
          <w:szCs w:val="22"/>
        </w:rPr>
        <w:t>(E464)</w:t>
      </w:r>
    </w:p>
    <w:p w14:paraId="27823A3D" w14:textId="77777777" w:rsidR="007B33AF" w:rsidRPr="0063119B" w:rsidRDefault="007B33AF" w:rsidP="007B33AF">
      <w:pPr>
        <w:keepNext/>
        <w:suppressAutoHyphens/>
        <w:rPr>
          <w:noProof/>
          <w:szCs w:val="22"/>
        </w:rPr>
      </w:pPr>
      <w:r w:rsidRPr="0063119B">
        <w:rPr>
          <w:noProof/>
          <w:szCs w:val="22"/>
        </w:rPr>
        <w:t>Celulose microcristalina (E460)</w:t>
      </w:r>
    </w:p>
    <w:p w14:paraId="4A00FA45" w14:textId="77777777" w:rsidR="007B33AF" w:rsidRPr="0063119B" w:rsidRDefault="007B33AF" w:rsidP="007B33AF">
      <w:pPr>
        <w:keepNext/>
        <w:suppressAutoHyphens/>
        <w:rPr>
          <w:noProof/>
          <w:szCs w:val="22"/>
        </w:rPr>
      </w:pPr>
      <w:r w:rsidRPr="0063119B">
        <w:rPr>
          <w:noProof/>
          <w:szCs w:val="22"/>
        </w:rPr>
        <w:t>Sílica coloidal anidra (E551)</w:t>
      </w:r>
    </w:p>
    <w:p w14:paraId="228E072E" w14:textId="77777777" w:rsidR="007B33AF" w:rsidRPr="0063119B" w:rsidRDefault="007B33AF" w:rsidP="007B33AF">
      <w:pPr>
        <w:keepNext/>
        <w:suppressAutoHyphens/>
        <w:rPr>
          <w:noProof/>
          <w:szCs w:val="22"/>
        </w:rPr>
      </w:pPr>
      <w:r w:rsidRPr="0063119B">
        <w:rPr>
          <w:noProof/>
          <w:szCs w:val="22"/>
        </w:rPr>
        <w:t>Estearato de magnésio (E572)</w:t>
      </w:r>
    </w:p>
    <w:p w14:paraId="3DB62895" w14:textId="77777777" w:rsidR="00FB7835" w:rsidRPr="0063119B" w:rsidRDefault="00FB7835" w:rsidP="000B293C">
      <w:pPr>
        <w:suppressAutoHyphens/>
        <w:rPr>
          <w:noProof/>
          <w:szCs w:val="22"/>
        </w:rPr>
      </w:pPr>
    </w:p>
    <w:p w14:paraId="103FB0CD" w14:textId="77777777" w:rsidR="007B33AF" w:rsidRPr="0063119B" w:rsidRDefault="00FB7835" w:rsidP="007B33AF">
      <w:pPr>
        <w:suppressAutoHyphens/>
        <w:rPr>
          <w:noProof/>
          <w:szCs w:val="22"/>
        </w:rPr>
      </w:pPr>
      <w:r w:rsidRPr="0063119B">
        <w:rPr>
          <w:noProof/>
          <w:szCs w:val="22"/>
          <w:u w:val="single"/>
        </w:rPr>
        <w:t>Revestimento por película</w:t>
      </w:r>
    </w:p>
    <w:p w14:paraId="766E65B0" w14:textId="77777777" w:rsidR="007B33AF" w:rsidRPr="0063119B" w:rsidRDefault="007B33AF" w:rsidP="007B33AF">
      <w:pPr>
        <w:suppressAutoHyphens/>
        <w:rPr>
          <w:noProof/>
          <w:szCs w:val="22"/>
        </w:rPr>
      </w:pPr>
    </w:p>
    <w:p w14:paraId="043FFA24" w14:textId="77777777" w:rsidR="007B33AF" w:rsidRPr="0063119B" w:rsidRDefault="007B33AF" w:rsidP="007B33AF">
      <w:pPr>
        <w:suppressAutoHyphens/>
        <w:rPr>
          <w:noProof/>
          <w:szCs w:val="22"/>
        </w:rPr>
      </w:pPr>
      <w:r w:rsidRPr="0063119B">
        <w:rPr>
          <w:noProof/>
          <w:szCs w:val="22"/>
        </w:rPr>
        <w:t>Macrogol 4000 (E1521)</w:t>
      </w:r>
    </w:p>
    <w:p w14:paraId="256BEB74" w14:textId="77777777" w:rsidR="007B33AF" w:rsidRPr="0063119B" w:rsidRDefault="007B33AF" w:rsidP="007B33AF">
      <w:pPr>
        <w:suppressAutoHyphens/>
        <w:rPr>
          <w:noProof/>
          <w:szCs w:val="22"/>
        </w:rPr>
      </w:pPr>
      <w:r w:rsidRPr="0063119B">
        <w:rPr>
          <w:noProof/>
          <w:szCs w:val="22"/>
        </w:rPr>
        <w:t xml:space="preserve">Hipromelose </w:t>
      </w:r>
      <w:r w:rsidR="00F57713" w:rsidRPr="0063119B">
        <w:rPr>
          <w:noProof/>
          <w:szCs w:val="22"/>
        </w:rPr>
        <w:t xml:space="preserve">2910 (viscosidade nominal 5,1 mPa.S) </w:t>
      </w:r>
      <w:r w:rsidRPr="0063119B">
        <w:rPr>
          <w:noProof/>
          <w:szCs w:val="22"/>
        </w:rPr>
        <w:t>(E464)</w:t>
      </w:r>
    </w:p>
    <w:p w14:paraId="383499B5" w14:textId="77777777" w:rsidR="007B33AF" w:rsidRPr="0063119B" w:rsidRDefault="007B33AF" w:rsidP="007B33AF">
      <w:pPr>
        <w:suppressAutoHyphens/>
        <w:rPr>
          <w:noProof/>
          <w:szCs w:val="22"/>
        </w:rPr>
      </w:pPr>
      <w:r w:rsidRPr="0063119B">
        <w:rPr>
          <w:noProof/>
          <w:szCs w:val="22"/>
        </w:rPr>
        <w:t>Dióxido de titânio (E171)</w:t>
      </w:r>
    </w:p>
    <w:p w14:paraId="54F9830E" w14:textId="77777777" w:rsidR="00FB7835" w:rsidRPr="0063119B" w:rsidRDefault="007B33AF" w:rsidP="000B293C">
      <w:pPr>
        <w:suppressAutoHyphens/>
        <w:rPr>
          <w:noProof/>
          <w:szCs w:val="22"/>
        </w:rPr>
      </w:pPr>
      <w:r w:rsidRPr="0063119B">
        <w:rPr>
          <w:noProof/>
          <w:szCs w:val="22"/>
        </w:rPr>
        <w:t>Ó</w:t>
      </w:r>
      <w:r w:rsidR="00FB7835" w:rsidRPr="0063119B">
        <w:rPr>
          <w:noProof/>
          <w:szCs w:val="22"/>
        </w:rPr>
        <w:t>xido de ferro vermelho (E172).</w:t>
      </w:r>
    </w:p>
    <w:p w14:paraId="032582D0" w14:textId="77777777" w:rsidR="00FB7835" w:rsidRPr="0063119B" w:rsidRDefault="00FB7835" w:rsidP="00FB7835">
      <w:pPr>
        <w:suppressAutoHyphens/>
        <w:ind w:left="567"/>
        <w:rPr>
          <w:noProof/>
          <w:szCs w:val="22"/>
        </w:rPr>
      </w:pPr>
    </w:p>
    <w:p w14:paraId="5118070E" w14:textId="77777777" w:rsidR="00FB7835" w:rsidRPr="0063119B" w:rsidRDefault="00FB7835" w:rsidP="00261101">
      <w:pPr>
        <w:keepNext/>
        <w:suppressAutoHyphens/>
        <w:rPr>
          <w:b/>
          <w:bCs/>
          <w:noProof/>
          <w:szCs w:val="22"/>
        </w:rPr>
      </w:pPr>
      <w:r w:rsidRPr="0063119B">
        <w:rPr>
          <w:b/>
          <w:bCs/>
          <w:noProof/>
          <w:szCs w:val="22"/>
        </w:rPr>
        <w:t xml:space="preserve">Qual o aspeto de </w:t>
      </w:r>
      <w:r w:rsidR="00607DE4">
        <w:rPr>
          <w:b/>
          <w:bCs/>
          <w:noProof/>
          <w:szCs w:val="22"/>
        </w:rPr>
        <w:t>Rivaroxabano</w:t>
      </w:r>
      <w:r w:rsidR="001F7D02" w:rsidRPr="0063119B">
        <w:rPr>
          <w:b/>
          <w:bCs/>
          <w:noProof/>
          <w:szCs w:val="22"/>
        </w:rPr>
        <w:t xml:space="preserve"> Accord</w:t>
      </w:r>
      <w:r w:rsidRPr="0063119B">
        <w:rPr>
          <w:b/>
          <w:bCs/>
          <w:noProof/>
          <w:szCs w:val="22"/>
        </w:rPr>
        <w:t xml:space="preserve"> e conteúdo da embalagem</w:t>
      </w:r>
    </w:p>
    <w:p w14:paraId="21D38559" w14:textId="77777777" w:rsidR="00FB7835" w:rsidRPr="0063119B" w:rsidRDefault="00607DE4" w:rsidP="00FB7835">
      <w:pPr>
        <w:suppressAutoHyphens/>
        <w:rPr>
          <w:noProof/>
          <w:szCs w:val="22"/>
        </w:rPr>
      </w:pPr>
      <w:r>
        <w:rPr>
          <w:noProof/>
          <w:szCs w:val="22"/>
        </w:rPr>
        <w:t>Rivaroxabano</w:t>
      </w:r>
      <w:r w:rsidR="001F7D02" w:rsidRPr="0063119B">
        <w:rPr>
          <w:noProof/>
          <w:szCs w:val="22"/>
        </w:rPr>
        <w:t xml:space="preserve"> Accord</w:t>
      </w:r>
      <w:r w:rsidR="00FB7835" w:rsidRPr="0063119B">
        <w:rPr>
          <w:noProof/>
          <w:szCs w:val="22"/>
        </w:rPr>
        <w:t xml:space="preserve"> 15 mg comprimidos revestidos por película são comprimidos </w:t>
      </w:r>
      <w:r w:rsidR="007B33AF" w:rsidRPr="0063119B">
        <w:rPr>
          <w:noProof/>
          <w:szCs w:val="22"/>
        </w:rPr>
        <w:t xml:space="preserve">revestidos por película, biconvexos, redondos, com aproximadamente 5,00 mm de diâmetro, </w:t>
      </w:r>
      <w:r w:rsidR="00FB7835" w:rsidRPr="0063119B">
        <w:rPr>
          <w:noProof/>
          <w:szCs w:val="22"/>
        </w:rPr>
        <w:t xml:space="preserve">de cor vermelha, </w:t>
      </w:r>
      <w:r w:rsidR="007B33AF" w:rsidRPr="0063119B">
        <w:rPr>
          <w:noProof/>
          <w:szCs w:val="22"/>
        </w:rPr>
        <w:t>com a gravação”IL” numa das faces e “2” na outra face.</w:t>
      </w:r>
      <w:r w:rsidR="00FB7835" w:rsidRPr="0063119B">
        <w:rPr>
          <w:noProof/>
          <w:szCs w:val="22"/>
        </w:rPr>
        <w:t>.</w:t>
      </w:r>
    </w:p>
    <w:p w14:paraId="4AAF68F8" w14:textId="77777777" w:rsidR="00FB7835" w:rsidRPr="0063119B" w:rsidRDefault="00607DE4" w:rsidP="00FB7835">
      <w:pPr>
        <w:suppressAutoHyphens/>
        <w:rPr>
          <w:noProof/>
          <w:szCs w:val="22"/>
        </w:rPr>
      </w:pPr>
      <w:r>
        <w:rPr>
          <w:noProof/>
          <w:szCs w:val="22"/>
        </w:rPr>
        <w:t>Rivaroxabano</w:t>
      </w:r>
      <w:r w:rsidR="001F7D02" w:rsidRPr="0063119B">
        <w:rPr>
          <w:noProof/>
          <w:szCs w:val="22"/>
        </w:rPr>
        <w:t xml:space="preserve"> Accord</w:t>
      </w:r>
      <w:r w:rsidR="00FB7835" w:rsidRPr="0063119B">
        <w:rPr>
          <w:noProof/>
          <w:szCs w:val="22"/>
        </w:rPr>
        <w:t xml:space="preserve"> 20 mg comprimidos revestidos por película são comprimidos </w:t>
      </w:r>
      <w:r w:rsidR="007B33AF" w:rsidRPr="0063119B">
        <w:rPr>
          <w:noProof/>
          <w:szCs w:val="22"/>
        </w:rPr>
        <w:t xml:space="preserve">revestidos por película, biconvexos, redondos, com aproximadamente </w:t>
      </w:r>
      <w:r w:rsidR="00190C61" w:rsidRPr="0063119B">
        <w:rPr>
          <w:noProof/>
          <w:szCs w:val="22"/>
        </w:rPr>
        <w:t>6</w:t>
      </w:r>
      <w:r w:rsidR="007B33AF" w:rsidRPr="0063119B">
        <w:rPr>
          <w:noProof/>
          <w:szCs w:val="22"/>
        </w:rPr>
        <w:t xml:space="preserve">,00 mm de diâmetro, </w:t>
      </w:r>
      <w:r w:rsidR="00FB7835" w:rsidRPr="0063119B">
        <w:rPr>
          <w:noProof/>
          <w:szCs w:val="22"/>
        </w:rPr>
        <w:t>de cor vermelho</w:t>
      </w:r>
      <w:r w:rsidR="007B33AF" w:rsidRPr="0063119B">
        <w:rPr>
          <w:noProof/>
          <w:szCs w:val="22"/>
        </w:rPr>
        <w:t xml:space="preserve"> escur</w:t>
      </w:r>
      <w:r w:rsidR="00FB7835" w:rsidRPr="0063119B">
        <w:rPr>
          <w:noProof/>
          <w:szCs w:val="22"/>
        </w:rPr>
        <w:t>o,</w:t>
      </w:r>
      <w:r w:rsidR="00190C61" w:rsidRPr="0063119B">
        <w:rPr>
          <w:noProof/>
          <w:szCs w:val="22"/>
        </w:rPr>
        <w:t xml:space="preserve"> com a gravação”IL3” numa das faces e lisos na outra face.</w:t>
      </w:r>
      <w:r w:rsidR="00FB7835" w:rsidRPr="0063119B">
        <w:rPr>
          <w:noProof/>
          <w:szCs w:val="22"/>
        </w:rPr>
        <w:t>.</w:t>
      </w:r>
    </w:p>
    <w:p w14:paraId="465AD06E" w14:textId="77777777" w:rsidR="00FB7835" w:rsidRPr="0063119B" w:rsidRDefault="00FB7835" w:rsidP="00FB7835">
      <w:pPr>
        <w:suppressAutoHyphens/>
        <w:rPr>
          <w:noProof/>
          <w:szCs w:val="22"/>
        </w:rPr>
      </w:pPr>
      <w:r w:rsidRPr="0063119B">
        <w:rPr>
          <w:noProof/>
          <w:szCs w:val="22"/>
        </w:rPr>
        <w:t xml:space="preserve">Embalagem de </w:t>
      </w:r>
      <w:r w:rsidR="000D1403" w:rsidRPr="0063119B">
        <w:rPr>
          <w:noProof/>
          <w:szCs w:val="22"/>
        </w:rPr>
        <w:t>t</w:t>
      </w:r>
      <w:r w:rsidR="00F73211" w:rsidRPr="0063119B">
        <w:rPr>
          <w:noProof/>
          <w:szCs w:val="22"/>
        </w:rPr>
        <w:t>ratamento inicial</w:t>
      </w:r>
      <w:r w:rsidRPr="0063119B">
        <w:rPr>
          <w:noProof/>
          <w:szCs w:val="22"/>
        </w:rPr>
        <w:t xml:space="preserve"> para </w:t>
      </w:r>
      <w:r w:rsidR="00F73211" w:rsidRPr="0063119B">
        <w:rPr>
          <w:noProof/>
          <w:szCs w:val="22"/>
        </w:rPr>
        <w:t xml:space="preserve">as primeiras </w:t>
      </w:r>
      <w:r w:rsidRPr="0063119B">
        <w:rPr>
          <w:noProof/>
          <w:szCs w:val="22"/>
        </w:rPr>
        <w:t>4</w:t>
      </w:r>
      <w:r w:rsidR="00190C61" w:rsidRPr="0063119B">
        <w:rPr>
          <w:noProof/>
          <w:szCs w:val="22"/>
        </w:rPr>
        <w:t> </w:t>
      </w:r>
      <w:r w:rsidRPr="0063119B">
        <w:rPr>
          <w:noProof/>
          <w:szCs w:val="22"/>
        </w:rPr>
        <w:t>semanas:  cada embalagem de 49</w:t>
      </w:r>
      <w:r w:rsidR="00190C61" w:rsidRPr="0063119B">
        <w:rPr>
          <w:noProof/>
          <w:szCs w:val="22"/>
        </w:rPr>
        <w:t> </w:t>
      </w:r>
      <w:r w:rsidRPr="0063119B">
        <w:rPr>
          <w:noProof/>
          <w:szCs w:val="22"/>
        </w:rPr>
        <w:t xml:space="preserve">comprimidos revestidos por película  para </w:t>
      </w:r>
      <w:r w:rsidR="00F73211" w:rsidRPr="0063119B">
        <w:rPr>
          <w:noProof/>
          <w:szCs w:val="22"/>
        </w:rPr>
        <w:t xml:space="preserve">as primeiras </w:t>
      </w:r>
      <w:r w:rsidRPr="0063119B">
        <w:rPr>
          <w:noProof/>
          <w:szCs w:val="22"/>
        </w:rPr>
        <w:t>4</w:t>
      </w:r>
      <w:r w:rsidR="00190C61" w:rsidRPr="0063119B">
        <w:rPr>
          <w:noProof/>
          <w:szCs w:val="22"/>
        </w:rPr>
        <w:t> </w:t>
      </w:r>
      <w:r w:rsidRPr="0063119B">
        <w:rPr>
          <w:noProof/>
          <w:szCs w:val="22"/>
        </w:rPr>
        <w:t xml:space="preserve">semanas de tratamento contém: </w:t>
      </w:r>
    </w:p>
    <w:p w14:paraId="24FAD9BD" w14:textId="77777777" w:rsidR="00FB7835" w:rsidRPr="0063119B" w:rsidRDefault="00FB7835" w:rsidP="00FB7835">
      <w:pPr>
        <w:suppressAutoHyphens/>
        <w:rPr>
          <w:noProof/>
          <w:szCs w:val="22"/>
        </w:rPr>
      </w:pPr>
      <w:r w:rsidRPr="0063119B">
        <w:rPr>
          <w:noProof/>
          <w:szCs w:val="22"/>
        </w:rPr>
        <w:t>42</w:t>
      </w:r>
      <w:r w:rsidR="00190C61" w:rsidRPr="0063119B">
        <w:rPr>
          <w:noProof/>
          <w:szCs w:val="22"/>
        </w:rPr>
        <w:t> </w:t>
      </w:r>
      <w:r w:rsidRPr="0063119B">
        <w:rPr>
          <w:noProof/>
          <w:szCs w:val="22"/>
        </w:rPr>
        <w:t>comprimidos comprimidos revestidos por película de 15</w:t>
      </w:r>
      <w:r w:rsidR="00190C61" w:rsidRPr="0063119B">
        <w:rPr>
          <w:noProof/>
          <w:szCs w:val="22"/>
        </w:rPr>
        <w:t> </w:t>
      </w:r>
      <w:r w:rsidRPr="0063119B">
        <w:rPr>
          <w:noProof/>
          <w:szCs w:val="22"/>
        </w:rPr>
        <w:t>mg de rivaroxabano e 7</w:t>
      </w:r>
      <w:r w:rsidR="00190C61" w:rsidRPr="0063119B">
        <w:rPr>
          <w:noProof/>
          <w:szCs w:val="22"/>
        </w:rPr>
        <w:t> </w:t>
      </w:r>
      <w:r w:rsidRPr="0063119B">
        <w:rPr>
          <w:noProof/>
          <w:szCs w:val="22"/>
        </w:rPr>
        <w:t>comprimidos revestidos de 20</w:t>
      </w:r>
      <w:r w:rsidR="00190C61" w:rsidRPr="0063119B">
        <w:rPr>
          <w:noProof/>
          <w:szCs w:val="22"/>
        </w:rPr>
        <w:t> </w:t>
      </w:r>
      <w:r w:rsidRPr="0063119B">
        <w:rPr>
          <w:noProof/>
          <w:szCs w:val="22"/>
        </w:rPr>
        <w:t>mg de rivaroxabano numa carteira de cartão.</w:t>
      </w:r>
    </w:p>
    <w:p w14:paraId="467FEFF7" w14:textId="77777777" w:rsidR="00FB7835" w:rsidRPr="0063119B" w:rsidRDefault="00FB7835" w:rsidP="00FB7835">
      <w:pPr>
        <w:numPr>
          <w:ilvl w:val="12"/>
          <w:numId w:val="0"/>
        </w:numPr>
        <w:suppressAutoHyphens/>
        <w:rPr>
          <w:noProof/>
          <w:szCs w:val="22"/>
        </w:rPr>
      </w:pPr>
    </w:p>
    <w:p w14:paraId="3525BB6F" w14:textId="77777777" w:rsidR="00FB7835" w:rsidRPr="0063119B" w:rsidRDefault="00FB7835" w:rsidP="00FB7835">
      <w:pPr>
        <w:keepNext/>
        <w:suppressAutoHyphens/>
        <w:rPr>
          <w:b/>
          <w:bCs/>
          <w:noProof/>
          <w:szCs w:val="22"/>
        </w:rPr>
      </w:pPr>
      <w:r w:rsidRPr="0063119B">
        <w:rPr>
          <w:b/>
          <w:bCs/>
          <w:noProof/>
          <w:szCs w:val="22"/>
        </w:rPr>
        <w:t>Titular da Autorização de Introdução no Mercado</w:t>
      </w:r>
    </w:p>
    <w:p w14:paraId="03946FF6" w14:textId="77777777" w:rsidR="00FB7835" w:rsidRPr="0063119B" w:rsidRDefault="00FB7835" w:rsidP="00FB7835">
      <w:pPr>
        <w:keepNext/>
        <w:numPr>
          <w:ilvl w:val="12"/>
          <w:numId w:val="0"/>
        </w:numPr>
        <w:suppressAutoHyphens/>
        <w:rPr>
          <w:noProof/>
          <w:szCs w:val="22"/>
        </w:rPr>
      </w:pPr>
    </w:p>
    <w:p w14:paraId="7097F3A6" w14:textId="77777777" w:rsidR="00190C61" w:rsidRPr="0063119B" w:rsidRDefault="00190C61" w:rsidP="00190C61">
      <w:pPr>
        <w:rPr>
          <w:szCs w:val="22"/>
          <w:lang w:val="en-GB"/>
        </w:rPr>
      </w:pPr>
      <w:r w:rsidRPr="0063119B">
        <w:rPr>
          <w:szCs w:val="22"/>
          <w:lang w:val="en-GB"/>
        </w:rPr>
        <w:t>Accord Healthcare S.L.U.</w:t>
      </w:r>
    </w:p>
    <w:p w14:paraId="106B2BDB" w14:textId="77777777" w:rsidR="00190C61" w:rsidRPr="0063119B" w:rsidRDefault="00190C61" w:rsidP="00190C61">
      <w:pPr>
        <w:rPr>
          <w:szCs w:val="22"/>
        </w:rPr>
      </w:pPr>
      <w:r w:rsidRPr="0063119B">
        <w:rPr>
          <w:szCs w:val="22"/>
        </w:rPr>
        <w:t xml:space="preserve">World Trade Center, Moll de Barcelona, s/n, Edifici Est 6ª planta, </w:t>
      </w:r>
    </w:p>
    <w:p w14:paraId="7A7E3078" w14:textId="77777777" w:rsidR="00190C61" w:rsidRPr="0063119B" w:rsidRDefault="00190C61" w:rsidP="00190C61">
      <w:pPr>
        <w:rPr>
          <w:szCs w:val="22"/>
        </w:rPr>
      </w:pPr>
      <w:r w:rsidRPr="0063119B">
        <w:rPr>
          <w:szCs w:val="22"/>
        </w:rPr>
        <w:t>Barcelona, 08039</w:t>
      </w:r>
    </w:p>
    <w:p w14:paraId="56166979" w14:textId="77777777" w:rsidR="00FB7835" w:rsidRPr="0063119B" w:rsidRDefault="00190C61" w:rsidP="00FB7835">
      <w:pPr>
        <w:numPr>
          <w:ilvl w:val="12"/>
          <w:numId w:val="0"/>
        </w:numPr>
        <w:suppressAutoHyphens/>
        <w:rPr>
          <w:noProof/>
          <w:szCs w:val="22"/>
        </w:rPr>
      </w:pPr>
      <w:r w:rsidRPr="0063119B">
        <w:rPr>
          <w:szCs w:val="22"/>
        </w:rPr>
        <w:t>Espanha</w:t>
      </w:r>
    </w:p>
    <w:p w14:paraId="34D926CB" w14:textId="77777777" w:rsidR="00FB7835" w:rsidRPr="0063119B" w:rsidRDefault="00FB7835" w:rsidP="00FB7835">
      <w:pPr>
        <w:suppressAutoHyphens/>
        <w:rPr>
          <w:noProof/>
          <w:szCs w:val="22"/>
        </w:rPr>
      </w:pPr>
    </w:p>
    <w:p w14:paraId="09B1F970" w14:textId="77777777" w:rsidR="00FB7835" w:rsidRPr="001C3EB7" w:rsidRDefault="00FB7835" w:rsidP="00FB7835">
      <w:pPr>
        <w:keepNext/>
        <w:suppressAutoHyphens/>
        <w:rPr>
          <w:b/>
          <w:bCs/>
          <w:noProof/>
          <w:szCs w:val="22"/>
        </w:rPr>
      </w:pPr>
      <w:r w:rsidRPr="001C3EB7">
        <w:rPr>
          <w:b/>
          <w:bCs/>
          <w:noProof/>
          <w:szCs w:val="22"/>
        </w:rPr>
        <w:t>Fabricante</w:t>
      </w:r>
    </w:p>
    <w:p w14:paraId="0BBB004D" w14:textId="77777777" w:rsidR="00190C61" w:rsidRPr="001C3EB7" w:rsidRDefault="00190C61" w:rsidP="00190C61">
      <w:pPr>
        <w:keepNext/>
        <w:numPr>
          <w:ilvl w:val="12"/>
          <w:numId w:val="0"/>
        </w:numPr>
        <w:suppressAutoHyphens/>
        <w:rPr>
          <w:noProof/>
          <w:szCs w:val="22"/>
        </w:rPr>
      </w:pPr>
    </w:p>
    <w:p w14:paraId="20074FCF" w14:textId="77777777" w:rsidR="00190C61" w:rsidRPr="001C3EB7" w:rsidRDefault="00190C61" w:rsidP="00190C61">
      <w:pPr>
        <w:keepNext/>
        <w:contextualSpacing/>
        <w:rPr>
          <w:szCs w:val="22"/>
        </w:rPr>
      </w:pPr>
      <w:r w:rsidRPr="001C3EB7">
        <w:rPr>
          <w:szCs w:val="22"/>
        </w:rPr>
        <w:t>Accord Healthcare Polska Sp. z o.o.</w:t>
      </w:r>
    </w:p>
    <w:p w14:paraId="538D76C3" w14:textId="77777777" w:rsidR="00190C61" w:rsidRPr="00E63212" w:rsidRDefault="00190C61" w:rsidP="00190C61">
      <w:pPr>
        <w:contextualSpacing/>
        <w:rPr>
          <w:szCs w:val="22"/>
        </w:rPr>
      </w:pPr>
      <w:r w:rsidRPr="00E63212">
        <w:rPr>
          <w:szCs w:val="22"/>
        </w:rPr>
        <w:t xml:space="preserve">Ul. Lutomierska 50, </w:t>
      </w:r>
    </w:p>
    <w:p w14:paraId="75120A60" w14:textId="77777777" w:rsidR="00190C61" w:rsidRPr="00E63212" w:rsidRDefault="00190C61" w:rsidP="00190C61">
      <w:pPr>
        <w:contextualSpacing/>
        <w:rPr>
          <w:szCs w:val="22"/>
        </w:rPr>
      </w:pPr>
      <w:r w:rsidRPr="00E63212">
        <w:rPr>
          <w:szCs w:val="22"/>
        </w:rPr>
        <w:t>95-200 Pabianice, Polónia</w:t>
      </w:r>
    </w:p>
    <w:p w14:paraId="50250886" w14:textId="77777777" w:rsidR="00190C61" w:rsidRPr="00E63212" w:rsidRDefault="00190C61" w:rsidP="00190C61">
      <w:pPr>
        <w:contextualSpacing/>
        <w:rPr>
          <w:szCs w:val="22"/>
        </w:rPr>
      </w:pPr>
    </w:p>
    <w:p w14:paraId="37C4DC10" w14:textId="77777777" w:rsidR="00190C61" w:rsidRPr="00E63212" w:rsidRDefault="00190C61" w:rsidP="00190C61">
      <w:pPr>
        <w:contextualSpacing/>
        <w:rPr>
          <w:szCs w:val="22"/>
        </w:rPr>
      </w:pPr>
      <w:r w:rsidRPr="00E63212">
        <w:rPr>
          <w:szCs w:val="22"/>
        </w:rPr>
        <w:t xml:space="preserve">Pharmadox Healthcare Limited </w:t>
      </w:r>
    </w:p>
    <w:p w14:paraId="163B346C" w14:textId="77777777" w:rsidR="00190C61" w:rsidRPr="00E63212" w:rsidRDefault="00190C61" w:rsidP="00190C61">
      <w:pPr>
        <w:contextualSpacing/>
        <w:rPr>
          <w:szCs w:val="22"/>
        </w:rPr>
      </w:pPr>
      <w:r w:rsidRPr="00E63212">
        <w:rPr>
          <w:szCs w:val="22"/>
        </w:rPr>
        <w:t xml:space="preserve">KW20A Kordin Industrial Park, Paola </w:t>
      </w:r>
    </w:p>
    <w:p w14:paraId="7856C835" w14:textId="77777777" w:rsidR="00190C61" w:rsidRPr="0063119B" w:rsidRDefault="00190C61" w:rsidP="00190C61">
      <w:pPr>
        <w:contextualSpacing/>
        <w:rPr>
          <w:szCs w:val="22"/>
          <w:lang w:val="es-ES"/>
        </w:rPr>
      </w:pPr>
      <w:r w:rsidRPr="0063119B">
        <w:rPr>
          <w:szCs w:val="22"/>
          <w:lang w:val="es-ES"/>
        </w:rPr>
        <w:t>PLA 3000, Malta</w:t>
      </w:r>
    </w:p>
    <w:p w14:paraId="344B8334" w14:textId="77777777" w:rsidR="00190C61" w:rsidRPr="0063119B" w:rsidRDefault="00190C61" w:rsidP="00190C61">
      <w:pPr>
        <w:contextualSpacing/>
        <w:rPr>
          <w:szCs w:val="22"/>
          <w:lang w:val="es-ES"/>
        </w:rPr>
      </w:pPr>
    </w:p>
    <w:p w14:paraId="4FF535BC" w14:textId="77777777" w:rsidR="00190C61" w:rsidRPr="0063119B" w:rsidRDefault="00190C61" w:rsidP="00190C61">
      <w:pPr>
        <w:contextualSpacing/>
        <w:rPr>
          <w:szCs w:val="22"/>
          <w:lang w:val="es-ES"/>
        </w:rPr>
      </w:pPr>
      <w:proofErr w:type="spellStart"/>
      <w:r w:rsidRPr="0063119B">
        <w:rPr>
          <w:szCs w:val="22"/>
          <w:lang w:val="es-ES"/>
        </w:rPr>
        <w:t>Laboratori</w:t>
      </w:r>
      <w:proofErr w:type="spellEnd"/>
      <w:r w:rsidRPr="0063119B">
        <w:rPr>
          <w:szCs w:val="22"/>
          <w:lang w:val="es-ES"/>
        </w:rPr>
        <w:t xml:space="preserve"> </w:t>
      </w:r>
      <w:proofErr w:type="spellStart"/>
      <w:r w:rsidRPr="0063119B">
        <w:rPr>
          <w:szCs w:val="22"/>
          <w:lang w:val="es-ES"/>
        </w:rPr>
        <w:t>Fundació</w:t>
      </w:r>
      <w:proofErr w:type="spellEnd"/>
      <w:r w:rsidRPr="0063119B">
        <w:rPr>
          <w:szCs w:val="22"/>
          <w:lang w:val="es-ES"/>
        </w:rPr>
        <w:t xml:space="preserve"> DAU</w:t>
      </w:r>
    </w:p>
    <w:p w14:paraId="0D1B50F4" w14:textId="77777777" w:rsidR="00190C61" w:rsidRPr="0063119B" w:rsidRDefault="00190C61" w:rsidP="00190C61">
      <w:pPr>
        <w:contextualSpacing/>
        <w:rPr>
          <w:szCs w:val="22"/>
        </w:rPr>
      </w:pPr>
      <w:r w:rsidRPr="0063119B">
        <w:rPr>
          <w:szCs w:val="22"/>
          <w:lang w:val="es-ES"/>
        </w:rPr>
        <w:t xml:space="preserve">C/ C, 12-14 Pol. </w:t>
      </w:r>
      <w:proofErr w:type="spellStart"/>
      <w:r w:rsidRPr="0063119B">
        <w:rPr>
          <w:szCs w:val="22"/>
          <w:lang w:val="es-ES"/>
        </w:rPr>
        <w:t>Ind</w:t>
      </w:r>
      <w:proofErr w:type="spellEnd"/>
      <w:r w:rsidRPr="0063119B">
        <w:rPr>
          <w:szCs w:val="22"/>
          <w:lang w:val="es-ES"/>
        </w:rPr>
        <w:t xml:space="preserve">. </w:t>
      </w:r>
      <w:r w:rsidRPr="0063119B">
        <w:rPr>
          <w:szCs w:val="22"/>
        </w:rPr>
        <w:t>Zona Franca,</w:t>
      </w:r>
    </w:p>
    <w:p w14:paraId="6BFD6A71" w14:textId="77777777" w:rsidR="00190C61" w:rsidRPr="0063119B" w:rsidRDefault="00190C61" w:rsidP="00190C61">
      <w:pPr>
        <w:contextualSpacing/>
        <w:rPr>
          <w:szCs w:val="22"/>
        </w:rPr>
      </w:pPr>
      <w:r w:rsidRPr="0063119B">
        <w:rPr>
          <w:szCs w:val="22"/>
        </w:rPr>
        <w:t>08040 Barcelona, Espanha</w:t>
      </w:r>
    </w:p>
    <w:p w14:paraId="73E96E07" w14:textId="77777777" w:rsidR="00190C61" w:rsidRPr="0063119B" w:rsidRDefault="00190C61" w:rsidP="00190C61">
      <w:pPr>
        <w:contextualSpacing/>
        <w:rPr>
          <w:szCs w:val="22"/>
        </w:rPr>
      </w:pPr>
    </w:p>
    <w:p w14:paraId="5D2F01D8" w14:textId="77777777" w:rsidR="00190C61" w:rsidRPr="0063119B" w:rsidRDefault="00190C61" w:rsidP="00190C61">
      <w:pPr>
        <w:rPr>
          <w:noProof/>
          <w:szCs w:val="22"/>
        </w:rPr>
      </w:pPr>
      <w:r w:rsidRPr="0063119B">
        <w:rPr>
          <w:noProof/>
          <w:szCs w:val="22"/>
        </w:rPr>
        <w:t>Accord Healthcare B.V</w:t>
      </w:r>
    </w:p>
    <w:p w14:paraId="6F66ACAF" w14:textId="77777777" w:rsidR="00190C61" w:rsidRPr="0063119B" w:rsidRDefault="00190C61" w:rsidP="00190C61">
      <w:pPr>
        <w:rPr>
          <w:noProof/>
          <w:szCs w:val="22"/>
        </w:rPr>
      </w:pPr>
      <w:r w:rsidRPr="0063119B">
        <w:rPr>
          <w:noProof/>
          <w:szCs w:val="22"/>
        </w:rPr>
        <w:t>Winthontlaan 200, 3526KV Utrecht,</w:t>
      </w:r>
    </w:p>
    <w:p w14:paraId="50FBA105" w14:textId="77777777" w:rsidR="00190C61" w:rsidRPr="0063119B" w:rsidRDefault="00190C61" w:rsidP="00190C61">
      <w:pPr>
        <w:rPr>
          <w:noProof/>
          <w:szCs w:val="22"/>
        </w:rPr>
      </w:pPr>
      <w:r w:rsidRPr="0063119B">
        <w:rPr>
          <w:noProof/>
          <w:szCs w:val="22"/>
        </w:rPr>
        <w:t>Países Baixos</w:t>
      </w:r>
    </w:p>
    <w:p w14:paraId="605D28F0" w14:textId="77777777" w:rsidR="00FB7835" w:rsidRDefault="00FB7835" w:rsidP="00FB7835">
      <w:pPr>
        <w:suppressAutoHyphens/>
        <w:ind w:right="14"/>
        <w:rPr>
          <w:ins w:id="46" w:author="MAH_Review_JV" w:date="2025-08-06T17:13:00Z" w16du:dateUtc="2025-08-06T16:13:00Z"/>
          <w:b/>
          <w:noProof/>
          <w:szCs w:val="22"/>
        </w:rPr>
      </w:pPr>
    </w:p>
    <w:p w14:paraId="7A645833" w14:textId="77777777" w:rsidR="00B969D7" w:rsidRPr="008749C0" w:rsidRDefault="00B969D7" w:rsidP="00B969D7">
      <w:pPr>
        <w:rPr>
          <w:ins w:id="47" w:author="MAH_Review_JV" w:date="2025-08-06T17:13:00Z" w16du:dateUtc="2025-08-06T16:13:00Z"/>
          <w:szCs w:val="22"/>
          <w:lang w:val="en-US"/>
        </w:rPr>
      </w:pPr>
      <w:ins w:id="48" w:author="MAH_Review_JV" w:date="2025-08-06T17:13:00Z" w16du:dateUtc="2025-08-06T16:13:00Z">
        <w:r w:rsidRPr="008749C0">
          <w:rPr>
            <w:szCs w:val="22"/>
            <w:lang w:val="en-US"/>
          </w:rPr>
          <w:t xml:space="preserve">Accord Healthcare single member S.A. </w:t>
        </w:r>
      </w:ins>
    </w:p>
    <w:p w14:paraId="76989097" w14:textId="77777777" w:rsidR="00B969D7" w:rsidRPr="008749C0" w:rsidRDefault="00B969D7" w:rsidP="00B969D7">
      <w:pPr>
        <w:rPr>
          <w:ins w:id="49" w:author="MAH_Review_JV" w:date="2025-08-06T17:13:00Z" w16du:dateUtc="2025-08-06T16:13:00Z"/>
          <w:szCs w:val="22"/>
          <w:lang w:val="en-US"/>
        </w:rPr>
      </w:pPr>
      <w:ins w:id="50" w:author="MAH_Review_JV" w:date="2025-08-06T17:13:00Z" w16du:dateUtc="2025-08-06T16:13:00Z">
        <w:r w:rsidRPr="008749C0">
          <w:rPr>
            <w:szCs w:val="22"/>
            <w:lang w:val="en-US"/>
          </w:rPr>
          <w:t xml:space="preserve">64th Km National Road Athens, </w:t>
        </w:r>
      </w:ins>
    </w:p>
    <w:p w14:paraId="55EFD8A1" w14:textId="77777777" w:rsidR="00B969D7" w:rsidRDefault="00B969D7" w:rsidP="00B969D7">
      <w:pPr>
        <w:rPr>
          <w:ins w:id="51" w:author="MAH_Review_JV" w:date="2025-08-06T17:13:00Z" w16du:dateUtc="2025-08-06T16:13:00Z"/>
          <w:szCs w:val="22"/>
        </w:rPr>
      </w:pPr>
      <w:ins w:id="52" w:author="MAH_Review_JV" w:date="2025-08-06T17:13:00Z" w16du:dateUtc="2025-08-06T16:13:00Z">
        <w:r w:rsidRPr="00F62DEF">
          <w:rPr>
            <w:szCs w:val="22"/>
          </w:rPr>
          <w:t>Lamia, Schimatari, 32009, Gr</w:t>
        </w:r>
        <w:r>
          <w:rPr>
            <w:szCs w:val="22"/>
          </w:rPr>
          <w:t>écia</w:t>
        </w:r>
      </w:ins>
    </w:p>
    <w:p w14:paraId="0F57452F" w14:textId="77777777" w:rsidR="00B969D7" w:rsidRPr="001B6FEC" w:rsidRDefault="00B969D7" w:rsidP="00FB7835">
      <w:pPr>
        <w:suppressAutoHyphens/>
        <w:ind w:right="14"/>
        <w:rPr>
          <w:b/>
          <w:noProof/>
          <w:szCs w:val="22"/>
        </w:rPr>
      </w:pPr>
    </w:p>
    <w:p w14:paraId="70F85D25" w14:textId="77777777" w:rsidR="00FB7835" w:rsidRPr="0063119B" w:rsidRDefault="00FB7835" w:rsidP="00FB7835">
      <w:pPr>
        <w:suppressAutoHyphens/>
        <w:ind w:right="14"/>
        <w:rPr>
          <w:noProof/>
          <w:szCs w:val="22"/>
        </w:rPr>
      </w:pPr>
      <w:r w:rsidRPr="0063119B">
        <w:rPr>
          <w:b/>
          <w:noProof/>
          <w:szCs w:val="22"/>
        </w:rPr>
        <w:t xml:space="preserve">Este folheto foi revisto pela última vez em </w:t>
      </w:r>
    </w:p>
    <w:p w14:paraId="031A4C1B" w14:textId="77777777" w:rsidR="00FB7835" w:rsidRPr="0063119B" w:rsidRDefault="00FB7835" w:rsidP="00FB7835">
      <w:pPr>
        <w:suppressAutoHyphens/>
        <w:ind w:right="14"/>
        <w:rPr>
          <w:noProof/>
          <w:szCs w:val="22"/>
        </w:rPr>
      </w:pPr>
    </w:p>
    <w:p w14:paraId="6E1B9499" w14:textId="469D3749" w:rsidR="006640F5" w:rsidRPr="00C64655" w:rsidRDefault="00FB7835" w:rsidP="006640F5">
      <w:pPr>
        <w:pStyle w:val="BodytextAgency"/>
        <w:rPr>
          <w:rFonts w:ascii="Times New Roman" w:hAnsi="Times New Roman"/>
          <w:bCs/>
          <w:kern w:val="32"/>
          <w:sz w:val="28"/>
          <w:szCs w:val="28"/>
          <w:lang w:val="pt-PT"/>
        </w:rPr>
      </w:pPr>
      <w:r w:rsidRPr="00C64655">
        <w:rPr>
          <w:rFonts w:ascii="Times New Roman" w:hAnsi="Times New Roman"/>
          <w:noProof/>
          <w:sz w:val="22"/>
          <w:szCs w:val="28"/>
          <w:lang w:val="pt-PT"/>
        </w:rPr>
        <w:t xml:space="preserve">Está disponível informação pormenorizada sobre este medicamento no sítio da internet da Agência Europeia de Medicamentos: </w:t>
      </w:r>
      <w:hyperlink r:id="rId30" w:history="1">
        <w:r w:rsidR="003F3B63" w:rsidRPr="00C64655">
          <w:rPr>
            <w:rStyle w:val="Hyperlink"/>
            <w:rFonts w:ascii="Times New Roman" w:hAnsi="Times New Roman"/>
            <w:noProof/>
            <w:sz w:val="22"/>
            <w:szCs w:val="28"/>
            <w:lang w:val="pt-PT"/>
          </w:rPr>
          <w:t>http://www.ema.europa.eu</w:t>
        </w:r>
      </w:hyperlink>
      <w:r w:rsidR="00CD50FE" w:rsidRPr="00C64655">
        <w:rPr>
          <w:rFonts w:ascii="Times New Roman" w:hAnsi="Times New Roman"/>
          <w:noProof/>
          <w:sz w:val="22"/>
          <w:szCs w:val="28"/>
          <w:lang w:val="pt-PT"/>
        </w:rPr>
        <w:t>.</w:t>
      </w:r>
    </w:p>
    <w:sectPr w:rsidR="006640F5" w:rsidRPr="00C64655" w:rsidSect="006562EB">
      <w:footerReference w:type="default" r:id="rId31"/>
      <w:headerReference w:type="first" r:id="rId32"/>
      <w:pgSz w:w="11907" w:h="16840" w:code="9"/>
      <w:pgMar w:top="1134" w:right="1418" w:bottom="1134" w:left="1418" w:header="737" w:footer="73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3CF5B" w14:textId="77777777" w:rsidR="002C7D65" w:rsidRDefault="002C7D65">
      <w:r>
        <w:separator/>
      </w:r>
    </w:p>
  </w:endnote>
  <w:endnote w:type="continuationSeparator" w:id="0">
    <w:p w14:paraId="5F583AA8" w14:textId="77777777" w:rsidR="002C7D65" w:rsidRDefault="002C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31E5" w14:textId="2BED0583" w:rsidR="00F03D43" w:rsidRDefault="00F03D43">
    <w:pPr>
      <w:pStyle w:val="Footer"/>
      <w:jc w:val="center"/>
    </w:pPr>
    <w:r w:rsidRPr="00407009">
      <w:fldChar w:fldCharType="begin"/>
    </w:r>
    <w:r>
      <w:instrText xml:space="preserve"> PAGE   \* MERGEFORMAT </w:instrText>
    </w:r>
    <w:r w:rsidRPr="00407009">
      <w:fldChar w:fldCharType="separate"/>
    </w:r>
    <w:r w:rsidR="00A964A4">
      <w:rPr>
        <w:noProof/>
      </w:rPr>
      <w:t>12</w:t>
    </w:r>
    <w:r w:rsidR="00A964A4">
      <w:rPr>
        <w:noProof/>
      </w:rPr>
      <w:t>8</w:t>
    </w:r>
    <w:r w:rsidRPr="00407009">
      <w:fldChar w:fldCharType="end"/>
    </w:r>
  </w:p>
  <w:p w14:paraId="2D29FB8E" w14:textId="77777777" w:rsidR="00F03D43" w:rsidRDefault="00F0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52F4" w14:textId="77777777" w:rsidR="002C7D65" w:rsidRDefault="002C7D65">
      <w:r>
        <w:separator/>
      </w:r>
    </w:p>
  </w:footnote>
  <w:footnote w:type="continuationSeparator" w:id="0">
    <w:p w14:paraId="722D9FE3" w14:textId="77777777" w:rsidR="002C7D65" w:rsidRDefault="002C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Layout w:type="fixed"/>
      <w:tblLook w:val="0000" w:firstRow="0" w:lastRow="0" w:firstColumn="0" w:lastColumn="0" w:noHBand="0" w:noVBand="0"/>
    </w:tblPr>
    <w:tblGrid>
      <w:gridCol w:w="3261"/>
      <w:gridCol w:w="5812"/>
    </w:tblGrid>
    <w:tr w:rsidR="00F03D43" w14:paraId="5EEA8F92" w14:textId="77777777" w:rsidTr="00AA69EA">
      <w:tc>
        <w:tcPr>
          <w:tcW w:w="3261" w:type="dxa"/>
        </w:tcPr>
        <w:p w14:paraId="3CCBA404" w14:textId="77777777" w:rsidR="00F03D43" w:rsidRDefault="00F03D43">
          <w:pPr>
            <w:pStyle w:val="Header"/>
            <w:ind w:left="176"/>
          </w:pPr>
        </w:p>
      </w:tc>
      <w:tc>
        <w:tcPr>
          <w:tcW w:w="5812" w:type="dxa"/>
        </w:tcPr>
        <w:p w14:paraId="6B600D49" w14:textId="77777777" w:rsidR="00F03D43" w:rsidRDefault="00F03D43">
          <w:pPr>
            <w:pStyle w:val="Header"/>
          </w:pPr>
        </w:p>
      </w:tc>
    </w:tr>
  </w:tbl>
  <w:p w14:paraId="6792BD29" w14:textId="77777777" w:rsidR="00F03D43" w:rsidRDefault="00F03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AB"/>
      </v:shape>
    </w:pict>
  </w:numPicBullet>
  <w:numPicBullet w:numPicBulletId="1">
    <w:pict>
      <v:shape id="_x0000_i1027" type="#_x0000_t75" alt="BT_1000x858px" style="width:15.75pt;height:13.5pt;visibility:visible" o:bullet="t">
        <v:imagedata r:id="rId2" o:title="BT_1000x858px"/>
      </v:shape>
    </w:pict>
  </w:numPicBullet>
  <w:abstractNum w:abstractNumId="0" w15:restartNumberingAfterBreak="0">
    <w:nsid w:val="FFFFFF7C"/>
    <w:multiLevelType w:val="singleLevel"/>
    <w:tmpl w:val="2E166C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90E1B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4DCBE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E8842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C699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10492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AE82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CE8C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68AC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E887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303470"/>
    <w:multiLevelType w:val="hybridMultilevel"/>
    <w:tmpl w:val="1C868C2A"/>
    <w:lvl w:ilvl="0" w:tplc="CB946E9C">
      <w:start w:val="1"/>
      <w:numFmt w:val="bullet"/>
      <w:lvlText w:val="-"/>
      <w:lvlJc w:val="left"/>
      <w:pPr>
        <w:ind w:left="360" w:hanging="360"/>
      </w:pPr>
    </w:lvl>
    <w:lvl w:ilvl="1" w:tplc="D4962594" w:tentative="1">
      <w:start w:val="1"/>
      <w:numFmt w:val="bullet"/>
      <w:lvlText w:val="o"/>
      <w:lvlJc w:val="left"/>
      <w:pPr>
        <w:ind w:left="1080" w:hanging="360"/>
      </w:pPr>
      <w:rPr>
        <w:rFonts w:ascii="Courier New" w:hAnsi="Courier New" w:cs="Courier New" w:hint="default"/>
      </w:rPr>
    </w:lvl>
    <w:lvl w:ilvl="2" w:tplc="EF80A47C" w:tentative="1">
      <w:start w:val="1"/>
      <w:numFmt w:val="bullet"/>
      <w:lvlText w:val=""/>
      <w:lvlJc w:val="left"/>
      <w:pPr>
        <w:ind w:left="1800" w:hanging="360"/>
      </w:pPr>
      <w:rPr>
        <w:rFonts w:ascii="Wingdings" w:hAnsi="Wingdings" w:hint="default"/>
      </w:rPr>
    </w:lvl>
    <w:lvl w:ilvl="3" w:tplc="DB747D2A" w:tentative="1">
      <w:start w:val="1"/>
      <w:numFmt w:val="bullet"/>
      <w:lvlText w:val=""/>
      <w:lvlJc w:val="left"/>
      <w:pPr>
        <w:ind w:left="2520" w:hanging="360"/>
      </w:pPr>
      <w:rPr>
        <w:rFonts w:ascii="Symbol" w:hAnsi="Symbol" w:hint="default"/>
      </w:rPr>
    </w:lvl>
    <w:lvl w:ilvl="4" w:tplc="5358AA32" w:tentative="1">
      <w:start w:val="1"/>
      <w:numFmt w:val="bullet"/>
      <w:lvlText w:val="o"/>
      <w:lvlJc w:val="left"/>
      <w:pPr>
        <w:ind w:left="3240" w:hanging="360"/>
      </w:pPr>
      <w:rPr>
        <w:rFonts w:ascii="Courier New" w:hAnsi="Courier New" w:cs="Courier New" w:hint="default"/>
      </w:rPr>
    </w:lvl>
    <w:lvl w:ilvl="5" w:tplc="B24C9A28" w:tentative="1">
      <w:start w:val="1"/>
      <w:numFmt w:val="bullet"/>
      <w:lvlText w:val=""/>
      <w:lvlJc w:val="left"/>
      <w:pPr>
        <w:ind w:left="3960" w:hanging="360"/>
      </w:pPr>
      <w:rPr>
        <w:rFonts w:ascii="Wingdings" w:hAnsi="Wingdings" w:hint="default"/>
      </w:rPr>
    </w:lvl>
    <w:lvl w:ilvl="6" w:tplc="5636B452" w:tentative="1">
      <w:start w:val="1"/>
      <w:numFmt w:val="bullet"/>
      <w:lvlText w:val=""/>
      <w:lvlJc w:val="left"/>
      <w:pPr>
        <w:ind w:left="4680" w:hanging="360"/>
      </w:pPr>
      <w:rPr>
        <w:rFonts w:ascii="Symbol" w:hAnsi="Symbol" w:hint="default"/>
      </w:rPr>
    </w:lvl>
    <w:lvl w:ilvl="7" w:tplc="618CA0DA" w:tentative="1">
      <w:start w:val="1"/>
      <w:numFmt w:val="bullet"/>
      <w:lvlText w:val="o"/>
      <w:lvlJc w:val="left"/>
      <w:pPr>
        <w:ind w:left="5400" w:hanging="360"/>
      </w:pPr>
      <w:rPr>
        <w:rFonts w:ascii="Courier New" w:hAnsi="Courier New" w:cs="Courier New" w:hint="default"/>
      </w:rPr>
    </w:lvl>
    <w:lvl w:ilvl="8" w:tplc="78EA4B8A" w:tentative="1">
      <w:start w:val="1"/>
      <w:numFmt w:val="bullet"/>
      <w:lvlText w:val=""/>
      <w:lvlJc w:val="left"/>
      <w:pPr>
        <w:ind w:left="6120" w:hanging="360"/>
      </w:pPr>
      <w:rPr>
        <w:rFonts w:ascii="Wingdings" w:hAnsi="Wingdings" w:hint="default"/>
      </w:rPr>
    </w:lvl>
  </w:abstractNum>
  <w:abstractNum w:abstractNumId="12" w15:restartNumberingAfterBreak="0">
    <w:nsid w:val="07377859"/>
    <w:multiLevelType w:val="hybridMultilevel"/>
    <w:tmpl w:val="FDAA2B10"/>
    <w:lvl w:ilvl="0" w:tplc="42DC4886">
      <w:start w:val="14"/>
      <w:numFmt w:val="bullet"/>
      <w:lvlText w:val="-"/>
      <w:lvlJc w:val="left"/>
      <w:pPr>
        <w:ind w:left="720" w:hanging="360"/>
      </w:pPr>
      <w:rPr>
        <w:rFonts w:ascii="Times New Roman" w:eastAsia="SimSun" w:hAnsi="Times New Roman" w:cs="Times New Roman" w:hint="default"/>
      </w:rPr>
    </w:lvl>
    <w:lvl w:ilvl="1" w:tplc="99D4F736" w:tentative="1">
      <w:start w:val="1"/>
      <w:numFmt w:val="bullet"/>
      <w:lvlText w:val="o"/>
      <w:lvlJc w:val="left"/>
      <w:pPr>
        <w:ind w:left="1440" w:hanging="360"/>
      </w:pPr>
      <w:rPr>
        <w:rFonts w:ascii="Courier New" w:hAnsi="Courier New" w:cs="Courier New" w:hint="default"/>
      </w:rPr>
    </w:lvl>
    <w:lvl w:ilvl="2" w:tplc="607CF084" w:tentative="1">
      <w:start w:val="1"/>
      <w:numFmt w:val="bullet"/>
      <w:lvlText w:val=""/>
      <w:lvlJc w:val="left"/>
      <w:pPr>
        <w:ind w:left="2160" w:hanging="360"/>
      </w:pPr>
      <w:rPr>
        <w:rFonts w:ascii="Wingdings" w:hAnsi="Wingdings" w:hint="default"/>
      </w:rPr>
    </w:lvl>
    <w:lvl w:ilvl="3" w:tplc="955A2E10" w:tentative="1">
      <w:start w:val="1"/>
      <w:numFmt w:val="bullet"/>
      <w:lvlText w:val=""/>
      <w:lvlJc w:val="left"/>
      <w:pPr>
        <w:ind w:left="2880" w:hanging="360"/>
      </w:pPr>
      <w:rPr>
        <w:rFonts w:ascii="Symbol" w:hAnsi="Symbol" w:hint="default"/>
      </w:rPr>
    </w:lvl>
    <w:lvl w:ilvl="4" w:tplc="A620A1B2" w:tentative="1">
      <w:start w:val="1"/>
      <w:numFmt w:val="bullet"/>
      <w:lvlText w:val="o"/>
      <w:lvlJc w:val="left"/>
      <w:pPr>
        <w:ind w:left="3600" w:hanging="360"/>
      </w:pPr>
      <w:rPr>
        <w:rFonts w:ascii="Courier New" w:hAnsi="Courier New" w:cs="Courier New" w:hint="default"/>
      </w:rPr>
    </w:lvl>
    <w:lvl w:ilvl="5" w:tplc="CA6C2CA6" w:tentative="1">
      <w:start w:val="1"/>
      <w:numFmt w:val="bullet"/>
      <w:lvlText w:val=""/>
      <w:lvlJc w:val="left"/>
      <w:pPr>
        <w:ind w:left="4320" w:hanging="360"/>
      </w:pPr>
      <w:rPr>
        <w:rFonts w:ascii="Wingdings" w:hAnsi="Wingdings" w:hint="default"/>
      </w:rPr>
    </w:lvl>
    <w:lvl w:ilvl="6" w:tplc="59082306" w:tentative="1">
      <w:start w:val="1"/>
      <w:numFmt w:val="bullet"/>
      <w:lvlText w:val=""/>
      <w:lvlJc w:val="left"/>
      <w:pPr>
        <w:ind w:left="5040" w:hanging="360"/>
      </w:pPr>
      <w:rPr>
        <w:rFonts w:ascii="Symbol" w:hAnsi="Symbol" w:hint="default"/>
      </w:rPr>
    </w:lvl>
    <w:lvl w:ilvl="7" w:tplc="1D86FFC0" w:tentative="1">
      <w:start w:val="1"/>
      <w:numFmt w:val="bullet"/>
      <w:lvlText w:val="o"/>
      <w:lvlJc w:val="left"/>
      <w:pPr>
        <w:ind w:left="5760" w:hanging="360"/>
      </w:pPr>
      <w:rPr>
        <w:rFonts w:ascii="Courier New" w:hAnsi="Courier New" w:cs="Courier New" w:hint="default"/>
      </w:rPr>
    </w:lvl>
    <w:lvl w:ilvl="8" w:tplc="2DF0D26A" w:tentative="1">
      <w:start w:val="1"/>
      <w:numFmt w:val="bullet"/>
      <w:lvlText w:val=""/>
      <w:lvlJc w:val="left"/>
      <w:pPr>
        <w:ind w:left="6480" w:hanging="360"/>
      </w:pPr>
      <w:rPr>
        <w:rFonts w:ascii="Wingdings" w:hAnsi="Wingdings" w:hint="default"/>
      </w:rPr>
    </w:lvl>
  </w:abstractNum>
  <w:abstractNum w:abstractNumId="13" w15:restartNumberingAfterBreak="0">
    <w:nsid w:val="085307CF"/>
    <w:multiLevelType w:val="hybridMultilevel"/>
    <w:tmpl w:val="9B7A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DC2BCB"/>
    <w:multiLevelType w:val="hybridMultilevel"/>
    <w:tmpl w:val="88D49278"/>
    <w:lvl w:ilvl="0" w:tplc="A0EE66E4">
      <w:start w:val="14"/>
      <w:numFmt w:val="bullet"/>
      <w:lvlText w:val="-"/>
      <w:lvlJc w:val="left"/>
      <w:pPr>
        <w:ind w:left="525" w:hanging="360"/>
      </w:pPr>
      <w:rPr>
        <w:rFonts w:ascii="Times New Roman" w:eastAsia="SimSun" w:hAnsi="Times New Roman" w:cs="Times New Roman" w:hint="default"/>
      </w:rPr>
    </w:lvl>
    <w:lvl w:ilvl="1" w:tplc="D8E6A3A4" w:tentative="1">
      <w:start w:val="1"/>
      <w:numFmt w:val="bullet"/>
      <w:lvlText w:val="o"/>
      <w:lvlJc w:val="left"/>
      <w:pPr>
        <w:ind w:left="1245" w:hanging="360"/>
      </w:pPr>
      <w:rPr>
        <w:rFonts w:ascii="Courier New" w:hAnsi="Courier New" w:cs="Courier New" w:hint="default"/>
      </w:rPr>
    </w:lvl>
    <w:lvl w:ilvl="2" w:tplc="74009CB8" w:tentative="1">
      <w:start w:val="1"/>
      <w:numFmt w:val="bullet"/>
      <w:lvlText w:val=""/>
      <w:lvlJc w:val="left"/>
      <w:pPr>
        <w:ind w:left="1965" w:hanging="360"/>
      </w:pPr>
      <w:rPr>
        <w:rFonts w:ascii="Wingdings" w:hAnsi="Wingdings" w:hint="default"/>
      </w:rPr>
    </w:lvl>
    <w:lvl w:ilvl="3" w:tplc="E3FA6B1E" w:tentative="1">
      <w:start w:val="1"/>
      <w:numFmt w:val="bullet"/>
      <w:lvlText w:val=""/>
      <w:lvlJc w:val="left"/>
      <w:pPr>
        <w:ind w:left="2685" w:hanging="360"/>
      </w:pPr>
      <w:rPr>
        <w:rFonts w:ascii="Symbol" w:hAnsi="Symbol" w:hint="default"/>
      </w:rPr>
    </w:lvl>
    <w:lvl w:ilvl="4" w:tplc="C712ADF0" w:tentative="1">
      <w:start w:val="1"/>
      <w:numFmt w:val="bullet"/>
      <w:lvlText w:val="o"/>
      <w:lvlJc w:val="left"/>
      <w:pPr>
        <w:ind w:left="3405" w:hanging="360"/>
      </w:pPr>
      <w:rPr>
        <w:rFonts w:ascii="Courier New" w:hAnsi="Courier New" w:cs="Courier New" w:hint="default"/>
      </w:rPr>
    </w:lvl>
    <w:lvl w:ilvl="5" w:tplc="5554E58C" w:tentative="1">
      <w:start w:val="1"/>
      <w:numFmt w:val="bullet"/>
      <w:lvlText w:val=""/>
      <w:lvlJc w:val="left"/>
      <w:pPr>
        <w:ind w:left="4125" w:hanging="360"/>
      </w:pPr>
      <w:rPr>
        <w:rFonts w:ascii="Wingdings" w:hAnsi="Wingdings" w:hint="default"/>
      </w:rPr>
    </w:lvl>
    <w:lvl w:ilvl="6" w:tplc="BEC8A7C6" w:tentative="1">
      <w:start w:val="1"/>
      <w:numFmt w:val="bullet"/>
      <w:lvlText w:val=""/>
      <w:lvlJc w:val="left"/>
      <w:pPr>
        <w:ind w:left="4845" w:hanging="360"/>
      </w:pPr>
      <w:rPr>
        <w:rFonts w:ascii="Symbol" w:hAnsi="Symbol" w:hint="default"/>
      </w:rPr>
    </w:lvl>
    <w:lvl w:ilvl="7" w:tplc="D7DA886C" w:tentative="1">
      <w:start w:val="1"/>
      <w:numFmt w:val="bullet"/>
      <w:lvlText w:val="o"/>
      <w:lvlJc w:val="left"/>
      <w:pPr>
        <w:ind w:left="5565" w:hanging="360"/>
      </w:pPr>
      <w:rPr>
        <w:rFonts w:ascii="Courier New" w:hAnsi="Courier New" w:cs="Courier New" w:hint="default"/>
      </w:rPr>
    </w:lvl>
    <w:lvl w:ilvl="8" w:tplc="2B943F8E" w:tentative="1">
      <w:start w:val="1"/>
      <w:numFmt w:val="bullet"/>
      <w:lvlText w:val=""/>
      <w:lvlJc w:val="left"/>
      <w:pPr>
        <w:ind w:left="6285" w:hanging="360"/>
      </w:pPr>
      <w:rPr>
        <w:rFonts w:ascii="Wingdings" w:hAnsi="Wingdings" w:hint="default"/>
      </w:rPr>
    </w:lvl>
  </w:abstractNum>
  <w:abstractNum w:abstractNumId="15" w15:restartNumberingAfterBreak="0">
    <w:nsid w:val="0ECF4781"/>
    <w:multiLevelType w:val="hybridMultilevel"/>
    <w:tmpl w:val="2AEADED4"/>
    <w:lvl w:ilvl="0" w:tplc="FC5E35FC">
      <w:numFmt w:val="bullet"/>
      <w:lvlText w:val="-"/>
      <w:lvlJc w:val="left"/>
      <w:pPr>
        <w:tabs>
          <w:tab w:val="num" w:pos="2247"/>
        </w:tabs>
        <w:ind w:left="2247" w:hanging="567"/>
      </w:pPr>
      <w:rPr>
        <w:rFonts w:ascii="Arial" w:eastAsia="Times New Roman" w:hAnsi="Arial" w:hint="default"/>
        <w:sz w:val="16"/>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6" w15:restartNumberingAfterBreak="0">
    <w:nsid w:val="0FD47645"/>
    <w:multiLevelType w:val="hybridMultilevel"/>
    <w:tmpl w:val="27FE85A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3323D8"/>
    <w:multiLevelType w:val="hybridMultilevel"/>
    <w:tmpl w:val="8758C0A6"/>
    <w:lvl w:ilvl="0" w:tplc="95AECEDA">
      <w:start w:val="1"/>
      <w:numFmt w:val="bullet"/>
      <w:lvlText w:val=""/>
      <w:lvlJc w:val="left"/>
      <w:pPr>
        <w:tabs>
          <w:tab w:val="num" w:pos="720"/>
        </w:tabs>
        <w:ind w:left="720" w:hanging="360"/>
      </w:pPr>
      <w:rPr>
        <w:rFonts w:ascii="Symbol" w:hAnsi="Symbol" w:hint="default"/>
      </w:rPr>
    </w:lvl>
    <w:lvl w:ilvl="1" w:tplc="0B9EECA4" w:tentative="1">
      <w:start w:val="1"/>
      <w:numFmt w:val="bullet"/>
      <w:lvlText w:val="o"/>
      <w:lvlJc w:val="left"/>
      <w:pPr>
        <w:tabs>
          <w:tab w:val="num" w:pos="1440"/>
        </w:tabs>
        <w:ind w:left="1440" w:hanging="360"/>
      </w:pPr>
      <w:rPr>
        <w:rFonts w:ascii="Courier New" w:hAnsi="Courier New" w:cs="Courier New" w:hint="default"/>
      </w:rPr>
    </w:lvl>
    <w:lvl w:ilvl="2" w:tplc="FFD2C63E" w:tentative="1">
      <w:start w:val="1"/>
      <w:numFmt w:val="bullet"/>
      <w:lvlText w:val=""/>
      <w:lvlJc w:val="left"/>
      <w:pPr>
        <w:tabs>
          <w:tab w:val="num" w:pos="2160"/>
        </w:tabs>
        <w:ind w:left="2160" w:hanging="360"/>
      </w:pPr>
      <w:rPr>
        <w:rFonts w:ascii="Wingdings" w:hAnsi="Wingdings" w:hint="default"/>
      </w:rPr>
    </w:lvl>
    <w:lvl w:ilvl="3" w:tplc="D9E6E1A0" w:tentative="1">
      <w:start w:val="1"/>
      <w:numFmt w:val="bullet"/>
      <w:lvlText w:val=""/>
      <w:lvlJc w:val="left"/>
      <w:pPr>
        <w:tabs>
          <w:tab w:val="num" w:pos="2880"/>
        </w:tabs>
        <w:ind w:left="2880" w:hanging="360"/>
      </w:pPr>
      <w:rPr>
        <w:rFonts w:ascii="Symbol" w:hAnsi="Symbol" w:hint="default"/>
      </w:rPr>
    </w:lvl>
    <w:lvl w:ilvl="4" w:tplc="4072AB7A" w:tentative="1">
      <w:start w:val="1"/>
      <w:numFmt w:val="bullet"/>
      <w:lvlText w:val="o"/>
      <w:lvlJc w:val="left"/>
      <w:pPr>
        <w:tabs>
          <w:tab w:val="num" w:pos="3600"/>
        </w:tabs>
        <w:ind w:left="3600" w:hanging="360"/>
      </w:pPr>
      <w:rPr>
        <w:rFonts w:ascii="Courier New" w:hAnsi="Courier New" w:cs="Courier New" w:hint="default"/>
      </w:rPr>
    </w:lvl>
    <w:lvl w:ilvl="5" w:tplc="178EF11E" w:tentative="1">
      <w:start w:val="1"/>
      <w:numFmt w:val="bullet"/>
      <w:lvlText w:val=""/>
      <w:lvlJc w:val="left"/>
      <w:pPr>
        <w:tabs>
          <w:tab w:val="num" w:pos="4320"/>
        </w:tabs>
        <w:ind w:left="4320" w:hanging="360"/>
      </w:pPr>
      <w:rPr>
        <w:rFonts w:ascii="Wingdings" w:hAnsi="Wingdings" w:hint="default"/>
      </w:rPr>
    </w:lvl>
    <w:lvl w:ilvl="6" w:tplc="C4ACB5C0" w:tentative="1">
      <w:start w:val="1"/>
      <w:numFmt w:val="bullet"/>
      <w:lvlText w:val=""/>
      <w:lvlJc w:val="left"/>
      <w:pPr>
        <w:tabs>
          <w:tab w:val="num" w:pos="5040"/>
        </w:tabs>
        <w:ind w:left="5040" w:hanging="360"/>
      </w:pPr>
      <w:rPr>
        <w:rFonts w:ascii="Symbol" w:hAnsi="Symbol" w:hint="default"/>
      </w:rPr>
    </w:lvl>
    <w:lvl w:ilvl="7" w:tplc="2F82E656" w:tentative="1">
      <w:start w:val="1"/>
      <w:numFmt w:val="bullet"/>
      <w:lvlText w:val="o"/>
      <w:lvlJc w:val="left"/>
      <w:pPr>
        <w:tabs>
          <w:tab w:val="num" w:pos="5760"/>
        </w:tabs>
        <w:ind w:left="5760" w:hanging="360"/>
      </w:pPr>
      <w:rPr>
        <w:rFonts w:ascii="Courier New" w:hAnsi="Courier New" w:cs="Courier New" w:hint="default"/>
      </w:rPr>
    </w:lvl>
    <w:lvl w:ilvl="8" w:tplc="2EC835F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356214"/>
    <w:multiLevelType w:val="hybridMultilevel"/>
    <w:tmpl w:val="A39AD536"/>
    <w:lvl w:ilvl="0" w:tplc="FC5E35FC">
      <w:numFmt w:val="bullet"/>
      <w:lvlText w:val="-"/>
      <w:lvlJc w:val="left"/>
      <w:pPr>
        <w:tabs>
          <w:tab w:val="num" w:pos="567"/>
        </w:tabs>
        <w:ind w:left="567" w:hanging="567"/>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B45F70"/>
    <w:multiLevelType w:val="hybridMultilevel"/>
    <w:tmpl w:val="9ED847D6"/>
    <w:lvl w:ilvl="0" w:tplc="38A68B52">
      <w:start w:val="4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850721E"/>
    <w:multiLevelType w:val="hybridMultilevel"/>
    <w:tmpl w:val="D40C774C"/>
    <w:lvl w:ilvl="0" w:tplc="04070005">
      <w:start w:val="1"/>
      <w:numFmt w:val="bullet"/>
      <w:lvlText w:val=""/>
      <w:lvlJc w:val="left"/>
      <w:pPr>
        <w:ind w:left="927" w:hanging="360"/>
      </w:pPr>
      <w:rPr>
        <w:rFonts w:ascii="Wingdings" w:hAnsi="Wingdings"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1" w15:restartNumberingAfterBreak="0">
    <w:nsid w:val="187E5D75"/>
    <w:multiLevelType w:val="hybridMultilevel"/>
    <w:tmpl w:val="8D42B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008E3"/>
    <w:multiLevelType w:val="hybridMultilevel"/>
    <w:tmpl w:val="3A30C9CC"/>
    <w:lvl w:ilvl="0" w:tplc="39E6BCD4">
      <w:start w:val="1"/>
      <w:numFmt w:val="bullet"/>
      <w:lvlText w:val=""/>
      <w:lvlJc w:val="left"/>
      <w:pPr>
        <w:ind w:left="720" w:hanging="360"/>
      </w:pPr>
      <w:rPr>
        <w:rFonts w:ascii="Symbol" w:hAnsi="Symbol" w:hint="default"/>
      </w:rPr>
    </w:lvl>
    <w:lvl w:ilvl="1" w:tplc="881C23BA" w:tentative="1">
      <w:start w:val="1"/>
      <w:numFmt w:val="bullet"/>
      <w:lvlText w:val="o"/>
      <w:lvlJc w:val="left"/>
      <w:pPr>
        <w:ind w:left="1440" w:hanging="360"/>
      </w:pPr>
      <w:rPr>
        <w:rFonts w:ascii="Courier New" w:hAnsi="Courier New" w:cs="Courier New" w:hint="default"/>
      </w:rPr>
    </w:lvl>
    <w:lvl w:ilvl="2" w:tplc="00E0EC6A" w:tentative="1">
      <w:start w:val="1"/>
      <w:numFmt w:val="bullet"/>
      <w:lvlText w:val=""/>
      <w:lvlJc w:val="left"/>
      <w:pPr>
        <w:ind w:left="2160" w:hanging="360"/>
      </w:pPr>
      <w:rPr>
        <w:rFonts w:ascii="Wingdings" w:hAnsi="Wingdings" w:hint="default"/>
      </w:rPr>
    </w:lvl>
    <w:lvl w:ilvl="3" w:tplc="1C0C4B3A" w:tentative="1">
      <w:start w:val="1"/>
      <w:numFmt w:val="bullet"/>
      <w:lvlText w:val=""/>
      <w:lvlJc w:val="left"/>
      <w:pPr>
        <w:ind w:left="2880" w:hanging="360"/>
      </w:pPr>
      <w:rPr>
        <w:rFonts w:ascii="Symbol" w:hAnsi="Symbol" w:hint="default"/>
      </w:rPr>
    </w:lvl>
    <w:lvl w:ilvl="4" w:tplc="4D4A8894" w:tentative="1">
      <w:start w:val="1"/>
      <w:numFmt w:val="bullet"/>
      <w:lvlText w:val="o"/>
      <w:lvlJc w:val="left"/>
      <w:pPr>
        <w:ind w:left="3600" w:hanging="360"/>
      </w:pPr>
      <w:rPr>
        <w:rFonts w:ascii="Courier New" w:hAnsi="Courier New" w:cs="Courier New" w:hint="default"/>
      </w:rPr>
    </w:lvl>
    <w:lvl w:ilvl="5" w:tplc="134EFD20" w:tentative="1">
      <w:start w:val="1"/>
      <w:numFmt w:val="bullet"/>
      <w:lvlText w:val=""/>
      <w:lvlJc w:val="left"/>
      <w:pPr>
        <w:ind w:left="4320" w:hanging="360"/>
      </w:pPr>
      <w:rPr>
        <w:rFonts w:ascii="Wingdings" w:hAnsi="Wingdings" w:hint="default"/>
      </w:rPr>
    </w:lvl>
    <w:lvl w:ilvl="6" w:tplc="6A5E1C32" w:tentative="1">
      <w:start w:val="1"/>
      <w:numFmt w:val="bullet"/>
      <w:lvlText w:val=""/>
      <w:lvlJc w:val="left"/>
      <w:pPr>
        <w:ind w:left="5040" w:hanging="360"/>
      </w:pPr>
      <w:rPr>
        <w:rFonts w:ascii="Symbol" w:hAnsi="Symbol" w:hint="default"/>
      </w:rPr>
    </w:lvl>
    <w:lvl w:ilvl="7" w:tplc="271227F4" w:tentative="1">
      <w:start w:val="1"/>
      <w:numFmt w:val="bullet"/>
      <w:lvlText w:val="o"/>
      <w:lvlJc w:val="left"/>
      <w:pPr>
        <w:ind w:left="5760" w:hanging="360"/>
      </w:pPr>
      <w:rPr>
        <w:rFonts w:ascii="Courier New" w:hAnsi="Courier New" w:cs="Courier New" w:hint="default"/>
      </w:rPr>
    </w:lvl>
    <w:lvl w:ilvl="8" w:tplc="1EA610B8" w:tentative="1">
      <w:start w:val="1"/>
      <w:numFmt w:val="bullet"/>
      <w:lvlText w:val=""/>
      <w:lvlJc w:val="left"/>
      <w:pPr>
        <w:ind w:left="6480" w:hanging="360"/>
      </w:pPr>
      <w:rPr>
        <w:rFonts w:ascii="Wingdings" w:hAnsi="Wingdings" w:hint="default"/>
      </w:rPr>
    </w:lvl>
  </w:abstractNum>
  <w:abstractNum w:abstractNumId="23" w15:restartNumberingAfterBreak="0">
    <w:nsid w:val="1DE04033"/>
    <w:multiLevelType w:val="hybridMultilevel"/>
    <w:tmpl w:val="6D12E8D4"/>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EF1BC3"/>
    <w:multiLevelType w:val="hybridMultilevel"/>
    <w:tmpl w:val="8A74F66E"/>
    <w:lvl w:ilvl="0" w:tplc="C6A685C8">
      <w:start w:val="1"/>
      <w:numFmt w:val="bullet"/>
      <w:lvlText w:val=""/>
      <w:lvlJc w:val="left"/>
      <w:pPr>
        <w:tabs>
          <w:tab w:val="num" w:pos="783"/>
        </w:tabs>
        <w:ind w:left="783" w:hanging="360"/>
      </w:pPr>
      <w:rPr>
        <w:rFonts w:ascii="Symbol" w:hAnsi="Symbol" w:hint="default"/>
      </w:rPr>
    </w:lvl>
    <w:lvl w:ilvl="1" w:tplc="DCDA398E" w:tentative="1">
      <w:start w:val="1"/>
      <w:numFmt w:val="bullet"/>
      <w:lvlText w:val="o"/>
      <w:lvlJc w:val="left"/>
      <w:pPr>
        <w:tabs>
          <w:tab w:val="num" w:pos="1503"/>
        </w:tabs>
        <w:ind w:left="1503" w:hanging="360"/>
      </w:pPr>
      <w:rPr>
        <w:rFonts w:ascii="Courier New" w:hAnsi="Courier New" w:cs="Courier New" w:hint="default"/>
      </w:rPr>
    </w:lvl>
    <w:lvl w:ilvl="2" w:tplc="69B60B50" w:tentative="1">
      <w:start w:val="1"/>
      <w:numFmt w:val="bullet"/>
      <w:lvlText w:val=""/>
      <w:lvlJc w:val="left"/>
      <w:pPr>
        <w:tabs>
          <w:tab w:val="num" w:pos="2223"/>
        </w:tabs>
        <w:ind w:left="2223" w:hanging="360"/>
      </w:pPr>
      <w:rPr>
        <w:rFonts w:ascii="Wingdings" w:hAnsi="Wingdings" w:hint="default"/>
      </w:rPr>
    </w:lvl>
    <w:lvl w:ilvl="3" w:tplc="4880D6EE" w:tentative="1">
      <w:start w:val="1"/>
      <w:numFmt w:val="bullet"/>
      <w:lvlText w:val=""/>
      <w:lvlJc w:val="left"/>
      <w:pPr>
        <w:tabs>
          <w:tab w:val="num" w:pos="2943"/>
        </w:tabs>
        <w:ind w:left="2943" w:hanging="360"/>
      </w:pPr>
      <w:rPr>
        <w:rFonts w:ascii="Symbol" w:hAnsi="Symbol" w:hint="default"/>
      </w:rPr>
    </w:lvl>
    <w:lvl w:ilvl="4" w:tplc="03D69F4C" w:tentative="1">
      <w:start w:val="1"/>
      <w:numFmt w:val="bullet"/>
      <w:lvlText w:val="o"/>
      <w:lvlJc w:val="left"/>
      <w:pPr>
        <w:tabs>
          <w:tab w:val="num" w:pos="3663"/>
        </w:tabs>
        <w:ind w:left="3663" w:hanging="360"/>
      </w:pPr>
      <w:rPr>
        <w:rFonts w:ascii="Courier New" w:hAnsi="Courier New" w:cs="Courier New" w:hint="default"/>
      </w:rPr>
    </w:lvl>
    <w:lvl w:ilvl="5" w:tplc="9CD63D68" w:tentative="1">
      <w:start w:val="1"/>
      <w:numFmt w:val="bullet"/>
      <w:lvlText w:val=""/>
      <w:lvlJc w:val="left"/>
      <w:pPr>
        <w:tabs>
          <w:tab w:val="num" w:pos="4383"/>
        </w:tabs>
        <w:ind w:left="4383" w:hanging="360"/>
      </w:pPr>
      <w:rPr>
        <w:rFonts w:ascii="Wingdings" w:hAnsi="Wingdings" w:hint="default"/>
      </w:rPr>
    </w:lvl>
    <w:lvl w:ilvl="6" w:tplc="3E04852C" w:tentative="1">
      <w:start w:val="1"/>
      <w:numFmt w:val="bullet"/>
      <w:lvlText w:val=""/>
      <w:lvlJc w:val="left"/>
      <w:pPr>
        <w:tabs>
          <w:tab w:val="num" w:pos="5103"/>
        </w:tabs>
        <w:ind w:left="5103" w:hanging="360"/>
      </w:pPr>
      <w:rPr>
        <w:rFonts w:ascii="Symbol" w:hAnsi="Symbol" w:hint="default"/>
      </w:rPr>
    </w:lvl>
    <w:lvl w:ilvl="7" w:tplc="7EF03794" w:tentative="1">
      <w:start w:val="1"/>
      <w:numFmt w:val="bullet"/>
      <w:lvlText w:val="o"/>
      <w:lvlJc w:val="left"/>
      <w:pPr>
        <w:tabs>
          <w:tab w:val="num" w:pos="5823"/>
        </w:tabs>
        <w:ind w:left="5823" w:hanging="360"/>
      </w:pPr>
      <w:rPr>
        <w:rFonts w:ascii="Courier New" w:hAnsi="Courier New" w:cs="Courier New" w:hint="default"/>
      </w:rPr>
    </w:lvl>
    <w:lvl w:ilvl="8" w:tplc="78F4BCC8"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1FC578F7"/>
    <w:multiLevelType w:val="hybridMultilevel"/>
    <w:tmpl w:val="144E6BF0"/>
    <w:lvl w:ilvl="0" w:tplc="FC5E35FC">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3C87595"/>
    <w:multiLevelType w:val="hybridMultilevel"/>
    <w:tmpl w:val="35ECFE24"/>
    <w:lvl w:ilvl="0" w:tplc="FFFFFFFF">
      <w:start w:val="1"/>
      <w:numFmt w:val="bullet"/>
      <w:lvlText w:val="-"/>
      <w:lvlJc w:val="left"/>
      <w:pPr>
        <w:ind w:left="720" w:hanging="360"/>
      </w:p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2FDA09DD"/>
    <w:multiLevelType w:val="hybridMultilevel"/>
    <w:tmpl w:val="0C441162"/>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FFA4EE0"/>
    <w:multiLevelType w:val="hybridMultilevel"/>
    <w:tmpl w:val="5B2646FC"/>
    <w:lvl w:ilvl="0" w:tplc="FC5E35FC">
      <w:numFmt w:val="bullet"/>
      <w:lvlText w:val="-"/>
      <w:lvlJc w:val="left"/>
      <w:pPr>
        <w:ind w:left="720" w:hanging="360"/>
      </w:pPr>
      <w:rPr>
        <w:rFonts w:ascii="Arial" w:eastAsia="Times New Roman"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34821829"/>
    <w:multiLevelType w:val="hybridMultilevel"/>
    <w:tmpl w:val="2EC478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39F53A7D"/>
    <w:multiLevelType w:val="hybridMultilevel"/>
    <w:tmpl w:val="37F893EA"/>
    <w:lvl w:ilvl="0" w:tplc="0AD6F756">
      <w:start w:val="1"/>
      <w:numFmt w:val="bullet"/>
      <w:lvlText w:val=""/>
      <w:lvlPicBulletId w:val="1"/>
      <w:lvlJc w:val="left"/>
      <w:pPr>
        <w:tabs>
          <w:tab w:val="num" w:pos="720"/>
        </w:tabs>
        <w:ind w:left="720" w:hanging="360"/>
      </w:pPr>
      <w:rPr>
        <w:rFonts w:ascii="Symbol" w:hAnsi="Symbol" w:hint="default"/>
      </w:rPr>
    </w:lvl>
    <w:lvl w:ilvl="1" w:tplc="1ED4F5B2" w:tentative="1">
      <w:start w:val="1"/>
      <w:numFmt w:val="bullet"/>
      <w:lvlText w:val=""/>
      <w:lvlJc w:val="left"/>
      <w:pPr>
        <w:tabs>
          <w:tab w:val="num" w:pos="1440"/>
        </w:tabs>
        <w:ind w:left="1440" w:hanging="360"/>
      </w:pPr>
      <w:rPr>
        <w:rFonts w:ascii="Symbol" w:hAnsi="Symbol" w:hint="default"/>
      </w:rPr>
    </w:lvl>
    <w:lvl w:ilvl="2" w:tplc="6AD86750" w:tentative="1">
      <w:start w:val="1"/>
      <w:numFmt w:val="bullet"/>
      <w:lvlText w:val=""/>
      <w:lvlJc w:val="left"/>
      <w:pPr>
        <w:tabs>
          <w:tab w:val="num" w:pos="2160"/>
        </w:tabs>
        <w:ind w:left="2160" w:hanging="360"/>
      </w:pPr>
      <w:rPr>
        <w:rFonts w:ascii="Symbol" w:hAnsi="Symbol" w:hint="default"/>
      </w:rPr>
    </w:lvl>
    <w:lvl w:ilvl="3" w:tplc="D4D0E9C0" w:tentative="1">
      <w:start w:val="1"/>
      <w:numFmt w:val="bullet"/>
      <w:lvlText w:val=""/>
      <w:lvlJc w:val="left"/>
      <w:pPr>
        <w:tabs>
          <w:tab w:val="num" w:pos="2880"/>
        </w:tabs>
        <w:ind w:left="2880" w:hanging="360"/>
      </w:pPr>
      <w:rPr>
        <w:rFonts w:ascii="Symbol" w:hAnsi="Symbol" w:hint="default"/>
      </w:rPr>
    </w:lvl>
    <w:lvl w:ilvl="4" w:tplc="0E7E7A18" w:tentative="1">
      <w:start w:val="1"/>
      <w:numFmt w:val="bullet"/>
      <w:lvlText w:val=""/>
      <w:lvlJc w:val="left"/>
      <w:pPr>
        <w:tabs>
          <w:tab w:val="num" w:pos="3600"/>
        </w:tabs>
        <w:ind w:left="3600" w:hanging="360"/>
      </w:pPr>
      <w:rPr>
        <w:rFonts w:ascii="Symbol" w:hAnsi="Symbol" w:hint="default"/>
      </w:rPr>
    </w:lvl>
    <w:lvl w:ilvl="5" w:tplc="796C986C" w:tentative="1">
      <w:start w:val="1"/>
      <w:numFmt w:val="bullet"/>
      <w:lvlText w:val=""/>
      <w:lvlJc w:val="left"/>
      <w:pPr>
        <w:tabs>
          <w:tab w:val="num" w:pos="4320"/>
        </w:tabs>
        <w:ind w:left="4320" w:hanging="360"/>
      </w:pPr>
      <w:rPr>
        <w:rFonts w:ascii="Symbol" w:hAnsi="Symbol" w:hint="default"/>
      </w:rPr>
    </w:lvl>
    <w:lvl w:ilvl="6" w:tplc="033C77D6" w:tentative="1">
      <w:start w:val="1"/>
      <w:numFmt w:val="bullet"/>
      <w:lvlText w:val=""/>
      <w:lvlJc w:val="left"/>
      <w:pPr>
        <w:tabs>
          <w:tab w:val="num" w:pos="5040"/>
        </w:tabs>
        <w:ind w:left="5040" w:hanging="360"/>
      </w:pPr>
      <w:rPr>
        <w:rFonts w:ascii="Symbol" w:hAnsi="Symbol" w:hint="default"/>
      </w:rPr>
    </w:lvl>
    <w:lvl w:ilvl="7" w:tplc="C1C05420" w:tentative="1">
      <w:start w:val="1"/>
      <w:numFmt w:val="bullet"/>
      <w:lvlText w:val=""/>
      <w:lvlJc w:val="left"/>
      <w:pPr>
        <w:tabs>
          <w:tab w:val="num" w:pos="5760"/>
        </w:tabs>
        <w:ind w:left="5760" w:hanging="360"/>
      </w:pPr>
      <w:rPr>
        <w:rFonts w:ascii="Symbol" w:hAnsi="Symbol" w:hint="default"/>
      </w:rPr>
    </w:lvl>
    <w:lvl w:ilvl="8" w:tplc="BE1A889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3D00746C"/>
    <w:multiLevelType w:val="hybridMultilevel"/>
    <w:tmpl w:val="8D825AEC"/>
    <w:lvl w:ilvl="0" w:tplc="FC5E35FC">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5D3010"/>
    <w:multiLevelType w:val="hybridMultilevel"/>
    <w:tmpl w:val="3740EB6E"/>
    <w:lvl w:ilvl="0" w:tplc="3B36D55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D93C37"/>
    <w:multiLevelType w:val="hybridMultilevel"/>
    <w:tmpl w:val="7D7EB28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E3588F"/>
    <w:multiLevelType w:val="hybridMultilevel"/>
    <w:tmpl w:val="01B8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474000"/>
    <w:multiLevelType w:val="hybridMultilevel"/>
    <w:tmpl w:val="7CD43F6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6" w15:restartNumberingAfterBreak="0">
    <w:nsid w:val="49F16824"/>
    <w:multiLevelType w:val="hybridMultilevel"/>
    <w:tmpl w:val="D6CE379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E32D6C"/>
    <w:multiLevelType w:val="hybridMultilevel"/>
    <w:tmpl w:val="8174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D03F6E"/>
    <w:multiLevelType w:val="hybridMultilevel"/>
    <w:tmpl w:val="5A92E610"/>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8B34AB"/>
    <w:multiLevelType w:val="hybridMultilevel"/>
    <w:tmpl w:val="5C76A3E8"/>
    <w:lvl w:ilvl="0" w:tplc="04090003">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5A5E1F86"/>
    <w:multiLevelType w:val="hybridMultilevel"/>
    <w:tmpl w:val="B8ECB30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F1086B"/>
    <w:multiLevelType w:val="hybridMultilevel"/>
    <w:tmpl w:val="2FEAA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D467DA5"/>
    <w:multiLevelType w:val="hybridMultilevel"/>
    <w:tmpl w:val="0FE2C92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970D29"/>
    <w:multiLevelType w:val="hybridMultilevel"/>
    <w:tmpl w:val="1C24E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5E23BE"/>
    <w:multiLevelType w:val="hybridMultilevel"/>
    <w:tmpl w:val="C60667F0"/>
    <w:lvl w:ilvl="0" w:tplc="D2A0D49A">
      <w:start w:val="2"/>
      <w:numFmt w:val="decimal"/>
      <w:lvlText w:val="%1."/>
      <w:lvlJc w:val="left"/>
      <w:pPr>
        <w:tabs>
          <w:tab w:val="num" w:pos="570"/>
        </w:tabs>
        <w:ind w:left="57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DE95AD2"/>
    <w:multiLevelType w:val="hybridMultilevel"/>
    <w:tmpl w:val="0700EB06"/>
    <w:lvl w:ilvl="0" w:tplc="81BEC36A">
      <w:start w:val="1"/>
      <w:numFmt w:val="bullet"/>
      <w:lvlText w:val=""/>
      <w:lvlJc w:val="left"/>
      <w:pPr>
        <w:ind w:left="720" w:hanging="360"/>
      </w:pPr>
      <w:rPr>
        <w:rFonts w:ascii="Symbol" w:hAnsi="Symbol" w:hint="default"/>
      </w:rPr>
    </w:lvl>
    <w:lvl w:ilvl="1" w:tplc="2B62C9B0" w:tentative="1">
      <w:start w:val="1"/>
      <w:numFmt w:val="bullet"/>
      <w:lvlText w:val="o"/>
      <w:lvlJc w:val="left"/>
      <w:pPr>
        <w:ind w:left="1440" w:hanging="360"/>
      </w:pPr>
      <w:rPr>
        <w:rFonts w:ascii="Courier New" w:hAnsi="Courier New" w:cs="Courier New" w:hint="default"/>
      </w:rPr>
    </w:lvl>
    <w:lvl w:ilvl="2" w:tplc="1576B1B6" w:tentative="1">
      <w:start w:val="1"/>
      <w:numFmt w:val="bullet"/>
      <w:lvlText w:val=""/>
      <w:lvlJc w:val="left"/>
      <w:pPr>
        <w:ind w:left="2160" w:hanging="360"/>
      </w:pPr>
      <w:rPr>
        <w:rFonts w:ascii="Wingdings" w:hAnsi="Wingdings" w:hint="default"/>
      </w:rPr>
    </w:lvl>
    <w:lvl w:ilvl="3" w:tplc="21FE7E4A" w:tentative="1">
      <w:start w:val="1"/>
      <w:numFmt w:val="bullet"/>
      <w:lvlText w:val=""/>
      <w:lvlJc w:val="left"/>
      <w:pPr>
        <w:ind w:left="2880" w:hanging="360"/>
      </w:pPr>
      <w:rPr>
        <w:rFonts w:ascii="Symbol" w:hAnsi="Symbol" w:hint="default"/>
      </w:rPr>
    </w:lvl>
    <w:lvl w:ilvl="4" w:tplc="80828AF4" w:tentative="1">
      <w:start w:val="1"/>
      <w:numFmt w:val="bullet"/>
      <w:lvlText w:val="o"/>
      <w:lvlJc w:val="left"/>
      <w:pPr>
        <w:ind w:left="3600" w:hanging="360"/>
      </w:pPr>
      <w:rPr>
        <w:rFonts w:ascii="Courier New" w:hAnsi="Courier New" w:cs="Courier New" w:hint="default"/>
      </w:rPr>
    </w:lvl>
    <w:lvl w:ilvl="5" w:tplc="4820447E" w:tentative="1">
      <w:start w:val="1"/>
      <w:numFmt w:val="bullet"/>
      <w:lvlText w:val=""/>
      <w:lvlJc w:val="left"/>
      <w:pPr>
        <w:ind w:left="4320" w:hanging="360"/>
      </w:pPr>
      <w:rPr>
        <w:rFonts w:ascii="Wingdings" w:hAnsi="Wingdings" w:hint="default"/>
      </w:rPr>
    </w:lvl>
    <w:lvl w:ilvl="6" w:tplc="EF124694" w:tentative="1">
      <w:start w:val="1"/>
      <w:numFmt w:val="bullet"/>
      <w:lvlText w:val=""/>
      <w:lvlJc w:val="left"/>
      <w:pPr>
        <w:ind w:left="5040" w:hanging="360"/>
      </w:pPr>
      <w:rPr>
        <w:rFonts w:ascii="Symbol" w:hAnsi="Symbol" w:hint="default"/>
      </w:rPr>
    </w:lvl>
    <w:lvl w:ilvl="7" w:tplc="0BAC0BDC" w:tentative="1">
      <w:start w:val="1"/>
      <w:numFmt w:val="bullet"/>
      <w:lvlText w:val="o"/>
      <w:lvlJc w:val="left"/>
      <w:pPr>
        <w:ind w:left="5760" w:hanging="360"/>
      </w:pPr>
      <w:rPr>
        <w:rFonts w:ascii="Courier New" w:hAnsi="Courier New" w:cs="Courier New" w:hint="default"/>
      </w:rPr>
    </w:lvl>
    <w:lvl w:ilvl="8" w:tplc="3544BF22" w:tentative="1">
      <w:start w:val="1"/>
      <w:numFmt w:val="bullet"/>
      <w:lvlText w:val=""/>
      <w:lvlJc w:val="left"/>
      <w:pPr>
        <w:ind w:left="6480" w:hanging="360"/>
      </w:pPr>
      <w:rPr>
        <w:rFonts w:ascii="Wingdings" w:hAnsi="Wingdings" w:hint="default"/>
      </w:rPr>
    </w:lvl>
  </w:abstractNum>
  <w:abstractNum w:abstractNumId="46" w15:restartNumberingAfterBreak="0">
    <w:nsid w:val="6E64300D"/>
    <w:multiLevelType w:val="hybridMultilevel"/>
    <w:tmpl w:val="583203A6"/>
    <w:lvl w:ilvl="0" w:tplc="32AC68B2">
      <w:start w:val="1"/>
      <w:numFmt w:val="bullet"/>
      <w:lvlText w:val=""/>
      <w:lvlPicBulletId w:val="1"/>
      <w:lvlJc w:val="left"/>
      <w:pPr>
        <w:tabs>
          <w:tab w:val="num" w:pos="720"/>
        </w:tabs>
        <w:ind w:left="720" w:hanging="360"/>
      </w:pPr>
      <w:rPr>
        <w:rFonts w:ascii="Symbol" w:hAnsi="Symbol" w:hint="default"/>
      </w:rPr>
    </w:lvl>
    <w:lvl w:ilvl="1" w:tplc="D55266FC" w:tentative="1">
      <w:start w:val="1"/>
      <w:numFmt w:val="bullet"/>
      <w:lvlText w:val=""/>
      <w:lvlJc w:val="left"/>
      <w:pPr>
        <w:tabs>
          <w:tab w:val="num" w:pos="1440"/>
        </w:tabs>
        <w:ind w:left="1440" w:hanging="360"/>
      </w:pPr>
      <w:rPr>
        <w:rFonts w:ascii="Symbol" w:hAnsi="Symbol" w:hint="default"/>
      </w:rPr>
    </w:lvl>
    <w:lvl w:ilvl="2" w:tplc="659C8280" w:tentative="1">
      <w:start w:val="1"/>
      <w:numFmt w:val="bullet"/>
      <w:lvlText w:val=""/>
      <w:lvlJc w:val="left"/>
      <w:pPr>
        <w:tabs>
          <w:tab w:val="num" w:pos="2160"/>
        </w:tabs>
        <w:ind w:left="2160" w:hanging="360"/>
      </w:pPr>
      <w:rPr>
        <w:rFonts w:ascii="Symbol" w:hAnsi="Symbol" w:hint="default"/>
      </w:rPr>
    </w:lvl>
    <w:lvl w:ilvl="3" w:tplc="CE3EB550" w:tentative="1">
      <w:start w:val="1"/>
      <w:numFmt w:val="bullet"/>
      <w:lvlText w:val=""/>
      <w:lvlJc w:val="left"/>
      <w:pPr>
        <w:tabs>
          <w:tab w:val="num" w:pos="2880"/>
        </w:tabs>
        <w:ind w:left="2880" w:hanging="360"/>
      </w:pPr>
      <w:rPr>
        <w:rFonts w:ascii="Symbol" w:hAnsi="Symbol" w:hint="default"/>
      </w:rPr>
    </w:lvl>
    <w:lvl w:ilvl="4" w:tplc="3FFC0A38" w:tentative="1">
      <w:start w:val="1"/>
      <w:numFmt w:val="bullet"/>
      <w:lvlText w:val=""/>
      <w:lvlJc w:val="left"/>
      <w:pPr>
        <w:tabs>
          <w:tab w:val="num" w:pos="3600"/>
        </w:tabs>
        <w:ind w:left="3600" w:hanging="360"/>
      </w:pPr>
      <w:rPr>
        <w:rFonts w:ascii="Symbol" w:hAnsi="Symbol" w:hint="default"/>
      </w:rPr>
    </w:lvl>
    <w:lvl w:ilvl="5" w:tplc="4A1C9CB8" w:tentative="1">
      <w:start w:val="1"/>
      <w:numFmt w:val="bullet"/>
      <w:lvlText w:val=""/>
      <w:lvlJc w:val="left"/>
      <w:pPr>
        <w:tabs>
          <w:tab w:val="num" w:pos="4320"/>
        </w:tabs>
        <w:ind w:left="4320" w:hanging="360"/>
      </w:pPr>
      <w:rPr>
        <w:rFonts w:ascii="Symbol" w:hAnsi="Symbol" w:hint="default"/>
      </w:rPr>
    </w:lvl>
    <w:lvl w:ilvl="6" w:tplc="CAA838AC" w:tentative="1">
      <w:start w:val="1"/>
      <w:numFmt w:val="bullet"/>
      <w:lvlText w:val=""/>
      <w:lvlJc w:val="left"/>
      <w:pPr>
        <w:tabs>
          <w:tab w:val="num" w:pos="5040"/>
        </w:tabs>
        <w:ind w:left="5040" w:hanging="360"/>
      </w:pPr>
      <w:rPr>
        <w:rFonts w:ascii="Symbol" w:hAnsi="Symbol" w:hint="default"/>
      </w:rPr>
    </w:lvl>
    <w:lvl w:ilvl="7" w:tplc="A0D80CFE" w:tentative="1">
      <w:start w:val="1"/>
      <w:numFmt w:val="bullet"/>
      <w:lvlText w:val=""/>
      <w:lvlJc w:val="left"/>
      <w:pPr>
        <w:tabs>
          <w:tab w:val="num" w:pos="5760"/>
        </w:tabs>
        <w:ind w:left="5760" w:hanging="360"/>
      </w:pPr>
      <w:rPr>
        <w:rFonts w:ascii="Symbol" w:hAnsi="Symbol" w:hint="default"/>
      </w:rPr>
    </w:lvl>
    <w:lvl w:ilvl="8" w:tplc="E064EADC"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6F0D1EDF"/>
    <w:multiLevelType w:val="hybridMultilevel"/>
    <w:tmpl w:val="7E8C68B0"/>
    <w:lvl w:ilvl="0" w:tplc="7730F096">
      <w:start w:val="1"/>
      <w:numFmt w:val="bullet"/>
      <w:lvlText w:val=""/>
      <w:lvlJc w:val="left"/>
      <w:pPr>
        <w:ind w:left="720" w:hanging="360"/>
      </w:pPr>
      <w:rPr>
        <w:rFonts w:ascii="Symbol" w:hAnsi="Symbol" w:hint="default"/>
        <w:color w:val="auto"/>
      </w:rPr>
    </w:lvl>
    <w:lvl w:ilvl="1" w:tplc="6CE2779C" w:tentative="1">
      <w:start w:val="1"/>
      <w:numFmt w:val="bullet"/>
      <w:lvlText w:val="o"/>
      <w:lvlJc w:val="left"/>
      <w:pPr>
        <w:ind w:left="1440" w:hanging="360"/>
      </w:pPr>
      <w:rPr>
        <w:rFonts w:ascii="Courier New" w:hAnsi="Courier New" w:cs="Courier New" w:hint="default"/>
      </w:rPr>
    </w:lvl>
    <w:lvl w:ilvl="2" w:tplc="3D7062E6" w:tentative="1">
      <w:start w:val="1"/>
      <w:numFmt w:val="bullet"/>
      <w:lvlText w:val=""/>
      <w:lvlJc w:val="left"/>
      <w:pPr>
        <w:ind w:left="2160" w:hanging="360"/>
      </w:pPr>
      <w:rPr>
        <w:rFonts w:ascii="Wingdings" w:hAnsi="Wingdings" w:hint="default"/>
      </w:rPr>
    </w:lvl>
    <w:lvl w:ilvl="3" w:tplc="6B74D188" w:tentative="1">
      <w:start w:val="1"/>
      <w:numFmt w:val="bullet"/>
      <w:lvlText w:val=""/>
      <w:lvlJc w:val="left"/>
      <w:pPr>
        <w:ind w:left="2880" w:hanging="360"/>
      </w:pPr>
      <w:rPr>
        <w:rFonts w:ascii="Symbol" w:hAnsi="Symbol" w:hint="default"/>
      </w:rPr>
    </w:lvl>
    <w:lvl w:ilvl="4" w:tplc="CD1679D8" w:tentative="1">
      <w:start w:val="1"/>
      <w:numFmt w:val="bullet"/>
      <w:lvlText w:val="o"/>
      <w:lvlJc w:val="left"/>
      <w:pPr>
        <w:ind w:left="3600" w:hanging="360"/>
      </w:pPr>
      <w:rPr>
        <w:rFonts w:ascii="Courier New" w:hAnsi="Courier New" w:cs="Courier New" w:hint="default"/>
      </w:rPr>
    </w:lvl>
    <w:lvl w:ilvl="5" w:tplc="CDD86FAE" w:tentative="1">
      <w:start w:val="1"/>
      <w:numFmt w:val="bullet"/>
      <w:lvlText w:val=""/>
      <w:lvlJc w:val="left"/>
      <w:pPr>
        <w:ind w:left="4320" w:hanging="360"/>
      </w:pPr>
      <w:rPr>
        <w:rFonts w:ascii="Wingdings" w:hAnsi="Wingdings" w:hint="default"/>
      </w:rPr>
    </w:lvl>
    <w:lvl w:ilvl="6" w:tplc="00A2BADA" w:tentative="1">
      <w:start w:val="1"/>
      <w:numFmt w:val="bullet"/>
      <w:lvlText w:val=""/>
      <w:lvlJc w:val="left"/>
      <w:pPr>
        <w:ind w:left="5040" w:hanging="360"/>
      </w:pPr>
      <w:rPr>
        <w:rFonts w:ascii="Symbol" w:hAnsi="Symbol" w:hint="default"/>
      </w:rPr>
    </w:lvl>
    <w:lvl w:ilvl="7" w:tplc="B3B25194" w:tentative="1">
      <w:start w:val="1"/>
      <w:numFmt w:val="bullet"/>
      <w:lvlText w:val="o"/>
      <w:lvlJc w:val="left"/>
      <w:pPr>
        <w:ind w:left="5760" w:hanging="360"/>
      </w:pPr>
      <w:rPr>
        <w:rFonts w:ascii="Courier New" w:hAnsi="Courier New" w:cs="Courier New" w:hint="default"/>
      </w:rPr>
    </w:lvl>
    <w:lvl w:ilvl="8" w:tplc="107EF3D2" w:tentative="1">
      <w:start w:val="1"/>
      <w:numFmt w:val="bullet"/>
      <w:lvlText w:val=""/>
      <w:lvlJc w:val="left"/>
      <w:pPr>
        <w:ind w:left="6480" w:hanging="360"/>
      </w:pPr>
      <w:rPr>
        <w:rFonts w:ascii="Wingdings" w:hAnsi="Wingdings" w:hint="default"/>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6625BF"/>
    <w:multiLevelType w:val="hybridMultilevel"/>
    <w:tmpl w:val="7AEC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CD7ED4"/>
    <w:multiLevelType w:val="hybridMultilevel"/>
    <w:tmpl w:val="9E4C4892"/>
    <w:lvl w:ilvl="0" w:tplc="99C4728E">
      <w:start w:val="1"/>
      <w:numFmt w:val="bullet"/>
      <w:lvlText w:val=""/>
      <w:lvlPicBulletId w:val="1"/>
      <w:lvlJc w:val="left"/>
      <w:pPr>
        <w:tabs>
          <w:tab w:val="num" w:pos="720"/>
        </w:tabs>
        <w:ind w:left="720" w:hanging="360"/>
      </w:pPr>
      <w:rPr>
        <w:rFonts w:ascii="Symbol" w:hAnsi="Symbol" w:hint="default"/>
      </w:rPr>
    </w:lvl>
    <w:lvl w:ilvl="1" w:tplc="3988742C" w:tentative="1">
      <w:start w:val="1"/>
      <w:numFmt w:val="bullet"/>
      <w:lvlText w:val=""/>
      <w:lvlJc w:val="left"/>
      <w:pPr>
        <w:tabs>
          <w:tab w:val="num" w:pos="1440"/>
        </w:tabs>
        <w:ind w:left="1440" w:hanging="360"/>
      </w:pPr>
      <w:rPr>
        <w:rFonts w:ascii="Symbol" w:hAnsi="Symbol" w:hint="default"/>
      </w:rPr>
    </w:lvl>
    <w:lvl w:ilvl="2" w:tplc="1DB618A6" w:tentative="1">
      <w:start w:val="1"/>
      <w:numFmt w:val="bullet"/>
      <w:lvlText w:val=""/>
      <w:lvlJc w:val="left"/>
      <w:pPr>
        <w:tabs>
          <w:tab w:val="num" w:pos="2160"/>
        </w:tabs>
        <w:ind w:left="2160" w:hanging="360"/>
      </w:pPr>
      <w:rPr>
        <w:rFonts w:ascii="Symbol" w:hAnsi="Symbol" w:hint="default"/>
      </w:rPr>
    </w:lvl>
    <w:lvl w:ilvl="3" w:tplc="E8B4FB80" w:tentative="1">
      <w:start w:val="1"/>
      <w:numFmt w:val="bullet"/>
      <w:lvlText w:val=""/>
      <w:lvlJc w:val="left"/>
      <w:pPr>
        <w:tabs>
          <w:tab w:val="num" w:pos="2880"/>
        </w:tabs>
        <w:ind w:left="2880" w:hanging="360"/>
      </w:pPr>
      <w:rPr>
        <w:rFonts w:ascii="Symbol" w:hAnsi="Symbol" w:hint="default"/>
      </w:rPr>
    </w:lvl>
    <w:lvl w:ilvl="4" w:tplc="1F12452C" w:tentative="1">
      <w:start w:val="1"/>
      <w:numFmt w:val="bullet"/>
      <w:lvlText w:val=""/>
      <w:lvlJc w:val="left"/>
      <w:pPr>
        <w:tabs>
          <w:tab w:val="num" w:pos="3600"/>
        </w:tabs>
        <w:ind w:left="3600" w:hanging="360"/>
      </w:pPr>
      <w:rPr>
        <w:rFonts w:ascii="Symbol" w:hAnsi="Symbol" w:hint="default"/>
      </w:rPr>
    </w:lvl>
    <w:lvl w:ilvl="5" w:tplc="3134DE52" w:tentative="1">
      <w:start w:val="1"/>
      <w:numFmt w:val="bullet"/>
      <w:lvlText w:val=""/>
      <w:lvlJc w:val="left"/>
      <w:pPr>
        <w:tabs>
          <w:tab w:val="num" w:pos="4320"/>
        </w:tabs>
        <w:ind w:left="4320" w:hanging="360"/>
      </w:pPr>
      <w:rPr>
        <w:rFonts w:ascii="Symbol" w:hAnsi="Symbol" w:hint="default"/>
      </w:rPr>
    </w:lvl>
    <w:lvl w:ilvl="6" w:tplc="6D840418" w:tentative="1">
      <w:start w:val="1"/>
      <w:numFmt w:val="bullet"/>
      <w:lvlText w:val=""/>
      <w:lvlJc w:val="left"/>
      <w:pPr>
        <w:tabs>
          <w:tab w:val="num" w:pos="5040"/>
        </w:tabs>
        <w:ind w:left="5040" w:hanging="360"/>
      </w:pPr>
      <w:rPr>
        <w:rFonts w:ascii="Symbol" w:hAnsi="Symbol" w:hint="default"/>
      </w:rPr>
    </w:lvl>
    <w:lvl w:ilvl="7" w:tplc="719ABE22" w:tentative="1">
      <w:start w:val="1"/>
      <w:numFmt w:val="bullet"/>
      <w:lvlText w:val=""/>
      <w:lvlJc w:val="left"/>
      <w:pPr>
        <w:tabs>
          <w:tab w:val="num" w:pos="5760"/>
        </w:tabs>
        <w:ind w:left="5760" w:hanging="360"/>
      </w:pPr>
      <w:rPr>
        <w:rFonts w:ascii="Symbol" w:hAnsi="Symbol" w:hint="default"/>
      </w:rPr>
    </w:lvl>
    <w:lvl w:ilvl="8" w:tplc="AD5AFA9E"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57B4982"/>
    <w:multiLevelType w:val="hybridMultilevel"/>
    <w:tmpl w:val="A6CC8214"/>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5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3" w15:restartNumberingAfterBreak="0">
    <w:nsid w:val="7DFD1D3D"/>
    <w:multiLevelType w:val="hybridMultilevel"/>
    <w:tmpl w:val="C55ABC66"/>
    <w:lvl w:ilvl="0" w:tplc="002ABE4C">
      <w:start w:val="1"/>
      <w:numFmt w:val="bullet"/>
      <w:lvlText w:val=""/>
      <w:lvlJc w:val="left"/>
      <w:pPr>
        <w:ind w:left="2421" w:hanging="360"/>
      </w:pPr>
      <w:rPr>
        <w:rFonts w:ascii="Wingdings" w:hAnsi="Wingdings" w:hint="default"/>
      </w:rPr>
    </w:lvl>
    <w:lvl w:ilvl="1" w:tplc="1B0AB0D8" w:tentative="1">
      <w:start w:val="1"/>
      <w:numFmt w:val="bullet"/>
      <w:lvlText w:val="o"/>
      <w:lvlJc w:val="left"/>
      <w:pPr>
        <w:ind w:left="3141" w:hanging="360"/>
      </w:pPr>
      <w:rPr>
        <w:rFonts w:ascii="Courier New" w:hAnsi="Courier New" w:cs="Courier New" w:hint="default"/>
      </w:rPr>
    </w:lvl>
    <w:lvl w:ilvl="2" w:tplc="E3720FEC" w:tentative="1">
      <w:start w:val="1"/>
      <w:numFmt w:val="bullet"/>
      <w:lvlText w:val=""/>
      <w:lvlJc w:val="left"/>
      <w:pPr>
        <w:ind w:left="3861" w:hanging="360"/>
      </w:pPr>
      <w:rPr>
        <w:rFonts w:ascii="Wingdings" w:hAnsi="Wingdings" w:hint="default"/>
      </w:rPr>
    </w:lvl>
    <w:lvl w:ilvl="3" w:tplc="2DEADF32" w:tentative="1">
      <w:start w:val="1"/>
      <w:numFmt w:val="bullet"/>
      <w:lvlText w:val=""/>
      <w:lvlJc w:val="left"/>
      <w:pPr>
        <w:ind w:left="4581" w:hanging="360"/>
      </w:pPr>
      <w:rPr>
        <w:rFonts w:ascii="Symbol" w:hAnsi="Symbol" w:hint="default"/>
      </w:rPr>
    </w:lvl>
    <w:lvl w:ilvl="4" w:tplc="2B7E009A" w:tentative="1">
      <w:start w:val="1"/>
      <w:numFmt w:val="bullet"/>
      <w:lvlText w:val="o"/>
      <w:lvlJc w:val="left"/>
      <w:pPr>
        <w:ind w:left="5301" w:hanging="360"/>
      </w:pPr>
      <w:rPr>
        <w:rFonts w:ascii="Courier New" w:hAnsi="Courier New" w:cs="Courier New" w:hint="default"/>
      </w:rPr>
    </w:lvl>
    <w:lvl w:ilvl="5" w:tplc="8920119A" w:tentative="1">
      <w:start w:val="1"/>
      <w:numFmt w:val="bullet"/>
      <w:lvlText w:val=""/>
      <w:lvlJc w:val="left"/>
      <w:pPr>
        <w:ind w:left="6021" w:hanging="360"/>
      </w:pPr>
      <w:rPr>
        <w:rFonts w:ascii="Wingdings" w:hAnsi="Wingdings" w:hint="default"/>
      </w:rPr>
    </w:lvl>
    <w:lvl w:ilvl="6" w:tplc="B994E44A" w:tentative="1">
      <w:start w:val="1"/>
      <w:numFmt w:val="bullet"/>
      <w:lvlText w:val=""/>
      <w:lvlJc w:val="left"/>
      <w:pPr>
        <w:ind w:left="6741" w:hanging="360"/>
      </w:pPr>
      <w:rPr>
        <w:rFonts w:ascii="Symbol" w:hAnsi="Symbol" w:hint="default"/>
      </w:rPr>
    </w:lvl>
    <w:lvl w:ilvl="7" w:tplc="A48C2FF0" w:tentative="1">
      <w:start w:val="1"/>
      <w:numFmt w:val="bullet"/>
      <w:lvlText w:val="o"/>
      <w:lvlJc w:val="left"/>
      <w:pPr>
        <w:ind w:left="7461" w:hanging="360"/>
      </w:pPr>
      <w:rPr>
        <w:rFonts w:ascii="Courier New" w:hAnsi="Courier New" w:cs="Courier New" w:hint="default"/>
      </w:rPr>
    </w:lvl>
    <w:lvl w:ilvl="8" w:tplc="6C149D64" w:tentative="1">
      <w:start w:val="1"/>
      <w:numFmt w:val="bullet"/>
      <w:lvlText w:val=""/>
      <w:lvlJc w:val="left"/>
      <w:pPr>
        <w:ind w:left="8181" w:hanging="360"/>
      </w:pPr>
      <w:rPr>
        <w:rFonts w:ascii="Wingdings" w:hAnsi="Wingdings" w:hint="default"/>
      </w:rPr>
    </w:lvl>
  </w:abstractNum>
  <w:abstractNum w:abstractNumId="54" w15:restartNumberingAfterBreak="0">
    <w:nsid w:val="7F9129D9"/>
    <w:multiLevelType w:val="hybridMultilevel"/>
    <w:tmpl w:val="40BE24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72502067">
    <w:abstractNumId w:val="10"/>
    <w:lvlOverride w:ilvl="0">
      <w:lvl w:ilvl="0">
        <w:start w:val="1"/>
        <w:numFmt w:val="bullet"/>
        <w:lvlText w:val="-"/>
        <w:legacy w:legacy="1" w:legacySpace="0" w:legacyIndent="360"/>
        <w:lvlJc w:val="left"/>
        <w:pPr>
          <w:ind w:left="360" w:hanging="360"/>
        </w:pPr>
      </w:lvl>
    </w:lvlOverride>
  </w:num>
  <w:num w:numId="2" w16cid:durableId="1631549398">
    <w:abstractNumId w:val="10"/>
    <w:lvlOverride w:ilvl="0">
      <w:lvl w:ilvl="0">
        <w:start w:val="1"/>
        <w:numFmt w:val="bullet"/>
        <w:lvlText w:val=""/>
        <w:legacy w:legacy="1" w:legacySpace="0" w:legacyIndent="360"/>
        <w:lvlJc w:val="left"/>
        <w:pPr>
          <w:ind w:left="502" w:hanging="360"/>
        </w:pPr>
        <w:rPr>
          <w:rFonts w:ascii="Symbol" w:hAnsi="Symbol" w:hint="default"/>
        </w:rPr>
      </w:lvl>
    </w:lvlOverride>
  </w:num>
  <w:num w:numId="3" w16cid:durableId="380522119">
    <w:abstractNumId w:val="24"/>
  </w:num>
  <w:num w:numId="4" w16cid:durableId="1899823361">
    <w:abstractNumId w:val="17"/>
  </w:num>
  <w:num w:numId="5" w16cid:durableId="393822010">
    <w:abstractNumId w:val="40"/>
  </w:num>
  <w:num w:numId="6" w16cid:durableId="1090154913">
    <w:abstractNumId w:val="11"/>
  </w:num>
  <w:num w:numId="7" w16cid:durableId="1609695698">
    <w:abstractNumId w:val="31"/>
  </w:num>
  <w:num w:numId="8" w16cid:durableId="820469115">
    <w:abstractNumId w:val="26"/>
  </w:num>
  <w:num w:numId="9" w16cid:durableId="1757631818">
    <w:abstractNumId w:val="21"/>
  </w:num>
  <w:num w:numId="10" w16cid:durableId="1982225593">
    <w:abstractNumId w:val="39"/>
  </w:num>
  <w:num w:numId="11" w16cid:durableId="1094937034">
    <w:abstractNumId w:val="45"/>
  </w:num>
  <w:num w:numId="12" w16cid:durableId="2112628807">
    <w:abstractNumId w:val="53"/>
  </w:num>
  <w:num w:numId="13" w16cid:durableId="634675209">
    <w:abstractNumId w:val="47"/>
  </w:num>
  <w:num w:numId="14" w16cid:durableId="1582906768">
    <w:abstractNumId w:val="19"/>
  </w:num>
  <w:num w:numId="15" w16cid:durableId="633365073">
    <w:abstractNumId w:val="41"/>
  </w:num>
  <w:num w:numId="16" w16cid:durableId="1911764330">
    <w:abstractNumId w:val="48"/>
  </w:num>
  <w:num w:numId="17" w16cid:durableId="2094231954">
    <w:abstractNumId w:val="48"/>
  </w:num>
  <w:num w:numId="18" w16cid:durableId="1997225980">
    <w:abstractNumId w:val="43"/>
  </w:num>
  <w:num w:numId="19" w16cid:durableId="1555004213">
    <w:abstractNumId w:val="9"/>
  </w:num>
  <w:num w:numId="20" w16cid:durableId="629169530">
    <w:abstractNumId w:val="15"/>
  </w:num>
  <w:num w:numId="21" w16cid:durableId="1986087074">
    <w:abstractNumId w:val="18"/>
  </w:num>
  <w:num w:numId="22" w16cid:durableId="24602547">
    <w:abstractNumId w:val="20"/>
  </w:num>
  <w:num w:numId="23" w16cid:durableId="782962541">
    <w:abstractNumId w:val="44"/>
  </w:num>
  <w:num w:numId="24" w16cid:durableId="297758127">
    <w:abstractNumId w:val="50"/>
  </w:num>
  <w:num w:numId="25" w16cid:durableId="302008385">
    <w:abstractNumId w:val="30"/>
  </w:num>
  <w:num w:numId="26" w16cid:durableId="133566556">
    <w:abstractNumId w:val="46"/>
  </w:num>
  <w:num w:numId="27" w16cid:durableId="56364139">
    <w:abstractNumId w:val="52"/>
  </w:num>
  <w:num w:numId="28" w16cid:durableId="23790373">
    <w:abstractNumId w:val="49"/>
  </w:num>
  <w:num w:numId="29" w16cid:durableId="1038167134">
    <w:abstractNumId w:val="13"/>
  </w:num>
  <w:num w:numId="30" w16cid:durableId="668680376">
    <w:abstractNumId w:val="32"/>
  </w:num>
  <w:num w:numId="31" w16cid:durableId="485173081">
    <w:abstractNumId w:val="25"/>
  </w:num>
  <w:num w:numId="32" w16cid:durableId="1177308666">
    <w:abstractNumId w:val="27"/>
  </w:num>
  <w:num w:numId="33" w16cid:durableId="1586692334">
    <w:abstractNumId w:val="38"/>
  </w:num>
  <w:num w:numId="34" w16cid:durableId="526017857">
    <w:abstractNumId w:val="23"/>
  </w:num>
  <w:num w:numId="35" w16cid:durableId="933366775">
    <w:abstractNumId w:val="7"/>
  </w:num>
  <w:num w:numId="36" w16cid:durableId="119305842">
    <w:abstractNumId w:val="6"/>
  </w:num>
  <w:num w:numId="37" w16cid:durableId="683822455">
    <w:abstractNumId w:val="5"/>
  </w:num>
  <w:num w:numId="38" w16cid:durableId="1005398208">
    <w:abstractNumId w:val="4"/>
  </w:num>
  <w:num w:numId="39" w16cid:durableId="1488474591">
    <w:abstractNumId w:val="8"/>
  </w:num>
  <w:num w:numId="40" w16cid:durableId="2054187208">
    <w:abstractNumId w:val="3"/>
  </w:num>
  <w:num w:numId="41" w16cid:durableId="1022631890">
    <w:abstractNumId w:val="2"/>
  </w:num>
  <w:num w:numId="42" w16cid:durableId="852375994">
    <w:abstractNumId w:val="1"/>
  </w:num>
  <w:num w:numId="43" w16cid:durableId="1089228000">
    <w:abstractNumId w:val="0"/>
  </w:num>
  <w:num w:numId="44" w16cid:durableId="1613592515">
    <w:abstractNumId w:val="37"/>
  </w:num>
  <w:num w:numId="45" w16cid:durableId="1770464743">
    <w:abstractNumId w:val="34"/>
  </w:num>
  <w:num w:numId="46" w16cid:durableId="656569835">
    <w:abstractNumId w:val="22"/>
  </w:num>
  <w:num w:numId="47" w16cid:durableId="584808109">
    <w:abstractNumId w:val="14"/>
  </w:num>
  <w:num w:numId="48" w16cid:durableId="1460149423">
    <w:abstractNumId w:val="12"/>
  </w:num>
  <w:num w:numId="49" w16cid:durableId="1318806446">
    <w:abstractNumId w:val="16"/>
  </w:num>
  <w:num w:numId="50" w16cid:durableId="1141924266">
    <w:abstractNumId w:val="42"/>
  </w:num>
  <w:num w:numId="51" w16cid:durableId="1395620724">
    <w:abstractNumId w:val="33"/>
  </w:num>
  <w:num w:numId="52" w16cid:durableId="1013843603">
    <w:abstractNumId w:val="36"/>
  </w:num>
  <w:num w:numId="53" w16cid:durableId="1085764576">
    <w:abstractNumId w:val="35"/>
  </w:num>
  <w:num w:numId="54" w16cid:durableId="1211382394">
    <w:abstractNumId w:val="28"/>
  </w:num>
  <w:num w:numId="55" w16cid:durableId="611400807">
    <w:abstractNumId w:val="29"/>
  </w:num>
  <w:num w:numId="56" w16cid:durableId="437916974">
    <w:abstractNumId w:val="54"/>
  </w:num>
  <w:num w:numId="57" w16cid:durableId="1571650943">
    <w:abstractNumId w:val="5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_Review_JV">
    <w15:presenceInfo w15:providerId="None" w15:userId="MAH_Review_J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style="mso-wrap-style:none" fill="f" fillcolor="white" stroke="f">
      <v:fill color="white" on="f"/>
      <v:stroke on="f"/>
      <v:textbox style="mso-fit-shape-to-text:t"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9061A"/>
    <w:rsid w:val="0000008A"/>
    <w:rsid w:val="00000D9B"/>
    <w:rsid w:val="000010D8"/>
    <w:rsid w:val="0000164F"/>
    <w:rsid w:val="0000303F"/>
    <w:rsid w:val="0000385D"/>
    <w:rsid w:val="0000492E"/>
    <w:rsid w:val="00004943"/>
    <w:rsid w:val="00005361"/>
    <w:rsid w:val="000056B8"/>
    <w:rsid w:val="0000575B"/>
    <w:rsid w:val="00006A1B"/>
    <w:rsid w:val="00006D73"/>
    <w:rsid w:val="0001035D"/>
    <w:rsid w:val="00010CF5"/>
    <w:rsid w:val="00011411"/>
    <w:rsid w:val="0001192C"/>
    <w:rsid w:val="00011A9C"/>
    <w:rsid w:val="00013249"/>
    <w:rsid w:val="00013B66"/>
    <w:rsid w:val="00013E0B"/>
    <w:rsid w:val="000141E3"/>
    <w:rsid w:val="000149A1"/>
    <w:rsid w:val="000151B1"/>
    <w:rsid w:val="000153AA"/>
    <w:rsid w:val="000156C7"/>
    <w:rsid w:val="00015AD9"/>
    <w:rsid w:val="00015CBE"/>
    <w:rsid w:val="00016089"/>
    <w:rsid w:val="00016132"/>
    <w:rsid w:val="0001656A"/>
    <w:rsid w:val="00016A4A"/>
    <w:rsid w:val="0001749A"/>
    <w:rsid w:val="00017529"/>
    <w:rsid w:val="00017D6A"/>
    <w:rsid w:val="00020537"/>
    <w:rsid w:val="000218C0"/>
    <w:rsid w:val="0002195D"/>
    <w:rsid w:val="00021B0B"/>
    <w:rsid w:val="0002366F"/>
    <w:rsid w:val="00024043"/>
    <w:rsid w:val="00024577"/>
    <w:rsid w:val="00024644"/>
    <w:rsid w:val="000246DD"/>
    <w:rsid w:val="00024A21"/>
    <w:rsid w:val="00024AAC"/>
    <w:rsid w:val="000256E5"/>
    <w:rsid w:val="00025B60"/>
    <w:rsid w:val="00026CA1"/>
    <w:rsid w:val="0003013B"/>
    <w:rsid w:val="000303AF"/>
    <w:rsid w:val="00030CC7"/>
    <w:rsid w:val="00031047"/>
    <w:rsid w:val="000316ED"/>
    <w:rsid w:val="00031B62"/>
    <w:rsid w:val="00033125"/>
    <w:rsid w:val="0003401D"/>
    <w:rsid w:val="00034953"/>
    <w:rsid w:val="00034972"/>
    <w:rsid w:val="000353F2"/>
    <w:rsid w:val="00035533"/>
    <w:rsid w:val="00035B24"/>
    <w:rsid w:val="00035BEF"/>
    <w:rsid w:val="0003644F"/>
    <w:rsid w:val="0003747E"/>
    <w:rsid w:val="000374D4"/>
    <w:rsid w:val="00040081"/>
    <w:rsid w:val="00040C41"/>
    <w:rsid w:val="000412A7"/>
    <w:rsid w:val="00041937"/>
    <w:rsid w:val="00042025"/>
    <w:rsid w:val="0004258D"/>
    <w:rsid w:val="00042775"/>
    <w:rsid w:val="0004444B"/>
    <w:rsid w:val="00045030"/>
    <w:rsid w:val="0004609C"/>
    <w:rsid w:val="000466B3"/>
    <w:rsid w:val="00046DB8"/>
    <w:rsid w:val="000472FF"/>
    <w:rsid w:val="000479AF"/>
    <w:rsid w:val="0005088C"/>
    <w:rsid w:val="00050A02"/>
    <w:rsid w:val="00051253"/>
    <w:rsid w:val="0005176D"/>
    <w:rsid w:val="000520B8"/>
    <w:rsid w:val="00052178"/>
    <w:rsid w:val="00052956"/>
    <w:rsid w:val="000536F1"/>
    <w:rsid w:val="00053F35"/>
    <w:rsid w:val="0005463D"/>
    <w:rsid w:val="000551CE"/>
    <w:rsid w:val="0005765C"/>
    <w:rsid w:val="000600D5"/>
    <w:rsid w:val="00060310"/>
    <w:rsid w:val="00060B8E"/>
    <w:rsid w:val="00061192"/>
    <w:rsid w:val="00061E15"/>
    <w:rsid w:val="000622E8"/>
    <w:rsid w:val="00062696"/>
    <w:rsid w:val="00062EA1"/>
    <w:rsid w:val="00063090"/>
    <w:rsid w:val="00063BF5"/>
    <w:rsid w:val="000640EC"/>
    <w:rsid w:val="000647E7"/>
    <w:rsid w:val="000651BB"/>
    <w:rsid w:val="00065B4F"/>
    <w:rsid w:val="00065CD2"/>
    <w:rsid w:val="00065CE1"/>
    <w:rsid w:val="00066E18"/>
    <w:rsid w:val="000672D7"/>
    <w:rsid w:val="00067898"/>
    <w:rsid w:val="00067981"/>
    <w:rsid w:val="00067BE0"/>
    <w:rsid w:val="00071543"/>
    <w:rsid w:val="00071A5C"/>
    <w:rsid w:val="00071D74"/>
    <w:rsid w:val="00072EF3"/>
    <w:rsid w:val="000731A6"/>
    <w:rsid w:val="00073A2D"/>
    <w:rsid w:val="000741CC"/>
    <w:rsid w:val="000746C9"/>
    <w:rsid w:val="00074AA9"/>
    <w:rsid w:val="00075965"/>
    <w:rsid w:val="0007596C"/>
    <w:rsid w:val="000759AB"/>
    <w:rsid w:val="0007618E"/>
    <w:rsid w:val="00076A00"/>
    <w:rsid w:val="00076B3A"/>
    <w:rsid w:val="00076B72"/>
    <w:rsid w:val="00077097"/>
    <w:rsid w:val="00077381"/>
    <w:rsid w:val="000779FD"/>
    <w:rsid w:val="00077C1D"/>
    <w:rsid w:val="00077E46"/>
    <w:rsid w:val="0008039C"/>
    <w:rsid w:val="00080C5E"/>
    <w:rsid w:val="00081D10"/>
    <w:rsid w:val="00081F77"/>
    <w:rsid w:val="000822A4"/>
    <w:rsid w:val="000822CE"/>
    <w:rsid w:val="00082508"/>
    <w:rsid w:val="000831A4"/>
    <w:rsid w:val="0008359D"/>
    <w:rsid w:val="00083E72"/>
    <w:rsid w:val="0008447B"/>
    <w:rsid w:val="00084D33"/>
    <w:rsid w:val="00085237"/>
    <w:rsid w:val="000863E5"/>
    <w:rsid w:val="00087545"/>
    <w:rsid w:val="00087AB5"/>
    <w:rsid w:val="00091B44"/>
    <w:rsid w:val="00091C1A"/>
    <w:rsid w:val="000925C4"/>
    <w:rsid w:val="0009282B"/>
    <w:rsid w:val="000931FE"/>
    <w:rsid w:val="00093D0D"/>
    <w:rsid w:val="00094055"/>
    <w:rsid w:val="00095268"/>
    <w:rsid w:val="00095F85"/>
    <w:rsid w:val="000961D2"/>
    <w:rsid w:val="0009626C"/>
    <w:rsid w:val="000962C7"/>
    <w:rsid w:val="00096AB2"/>
    <w:rsid w:val="00097074"/>
    <w:rsid w:val="000976EA"/>
    <w:rsid w:val="00097AE0"/>
    <w:rsid w:val="00097CD6"/>
    <w:rsid w:val="00097FB9"/>
    <w:rsid w:val="000A1116"/>
    <w:rsid w:val="000A2C87"/>
    <w:rsid w:val="000A37C7"/>
    <w:rsid w:val="000A3DB5"/>
    <w:rsid w:val="000A3E24"/>
    <w:rsid w:val="000A4037"/>
    <w:rsid w:val="000A4219"/>
    <w:rsid w:val="000A48D1"/>
    <w:rsid w:val="000A5287"/>
    <w:rsid w:val="000A57E2"/>
    <w:rsid w:val="000A59E3"/>
    <w:rsid w:val="000A7597"/>
    <w:rsid w:val="000A7F6E"/>
    <w:rsid w:val="000B05E1"/>
    <w:rsid w:val="000B12EE"/>
    <w:rsid w:val="000B293C"/>
    <w:rsid w:val="000B2CB9"/>
    <w:rsid w:val="000B3858"/>
    <w:rsid w:val="000B47B6"/>
    <w:rsid w:val="000B4BA3"/>
    <w:rsid w:val="000B5143"/>
    <w:rsid w:val="000B5782"/>
    <w:rsid w:val="000B649C"/>
    <w:rsid w:val="000B7480"/>
    <w:rsid w:val="000B7751"/>
    <w:rsid w:val="000B7C82"/>
    <w:rsid w:val="000C03A0"/>
    <w:rsid w:val="000C0542"/>
    <w:rsid w:val="000C0D1F"/>
    <w:rsid w:val="000C0F50"/>
    <w:rsid w:val="000C247F"/>
    <w:rsid w:val="000C2F6A"/>
    <w:rsid w:val="000C3740"/>
    <w:rsid w:val="000C422C"/>
    <w:rsid w:val="000C4B74"/>
    <w:rsid w:val="000C506D"/>
    <w:rsid w:val="000C55B9"/>
    <w:rsid w:val="000C5BFD"/>
    <w:rsid w:val="000C5D99"/>
    <w:rsid w:val="000C69F2"/>
    <w:rsid w:val="000C6FCB"/>
    <w:rsid w:val="000D0FBF"/>
    <w:rsid w:val="000D1403"/>
    <w:rsid w:val="000D1BF6"/>
    <w:rsid w:val="000D25BA"/>
    <w:rsid w:val="000D2684"/>
    <w:rsid w:val="000D2AEE"/>
    <w:rsid w:val="000D3046"/>
    <w:rsid w:val="000D3CDF"/>
    <w:rsid w:val="000D3D9E"/>
    <w:rsid w:val="000D3F6D"/>
    <w:rsid w:val="000D4F25"/>
    <w:rsid w:val="000D501B"/>
    <w:rsid w:val="000D5ADD"/>
    <w:rsid w:val="000D5BA1"/>
    <w:rsid w:val="000D5BC8"/>
    <w:rsid w:val="000D5EF8"/>
    <w:rsid w:val="000D61B5"/>
    <w:rsid w:val="000D6D7C"/>
    <w:rsid w:val="000D778C"/>
    <w:rsid w:val="000D79F1"/>
    <w:rsid w:val="000D7B09"/>
    <w:rsid w:val="000D7CE8"/>
    <w:rsid w:val="000E0161"/>
    <w:rsid w:val="000E0E46"/>
    <w:rsid w:val="000E1323"/>
    <w:rsid w:val="000E1458"/>
    <w:rsid w:val="000E1DCF"/>
    <w:rsid w:val="000E4459"/>
    <w:rsid w:val="000E46B1"/>
    <w:rsid w:val="000E50F9"/>
    <w:rsid w:val="000E5393"/>
    <w:rsid w:val="000E588D"/>
    <w:rsid w:val="000E5B7D"/>
    <w:rsid w:val="000E6180"/>
    <w:rsid w:val="000E65E6"/>
    <w:rsid w:val="000E6B77"/>
    <w:rsid w:val="000E6F51"/>
    <w:rsid w:val="000F013B"/>
    <w:rsid w:val="000F0355"/>
    <w:rsid w:val="000F1C90"/>
    <w:rsid w:val="000F1EB3"/>
    <w:rsid w:val="000F2E5F"/>
    <w:rsid w:val="000F4101"/>
    <w:rsid w:val="000F427C"/>
    <w:rsid w:val="000F46BC"/>
    <w:rsid w:val="000F51AE"/>
    <w:rsid w:val="000F5278"/>
    <w:rsid w:val="000F651D"/>
    <w:rsid w:val="000F6DD2"/>
    <w:rsid w:val="000F6FA1"/>
    <w:rsid w:val="000F75C6"/>
    <w:rsid w:val="00100888"/>
    <w:rsid w:val="00101547"/>
    <w:rsid w:val="00101D49"/>
    <w:rsid w:val="00103650"/>
    <w:rsid w:val="00103958"/>
    <w:rsid w:val="001049F1"/>
    <w:rsid w:val="00104B9D"/>
    <w:rsid w:val="00104DA6"/>
    <w:rsid w:val="00106176"/>
    <w:rsid w:val="00106E01"/>
    <w:rsid w:val="00107F2F"/>
    <w:rsid w:val="001101E3"/>
    <w:rsid w:val="0011089C"/>
    <w:rsid w:val="00110F99"/>
    <w:rsid w:val="0011156B"/>
    <w:rsid w:val="00111653"/>
    <w:rsid w:val="001119B3"/>
    <w:rsid w:val="00111AB4"/>
    <w:rsid w:val="00111C2A"/>
    <w:rsid w:val="001130A3"/>
    <w:rsid w:val="001131CA"/>
    <w:rsid w:val="0011342A"/>
    <w:rsid w:val="00113BC4"/>
    <w:rsid w:val="00113DF9"/>
    <w:rsid w:val="001141F7"/>
    <w:rsid w:val="0011430E"/>
    <w:rsid w:val="00114BD2"/>
    <w:rsid w:val="0011605C"/>
    <w:rsid w:val="00117AFA"/>
    <w:rsid w:val="00117C04"/>
    <w:rsid w:val="00117D9A"/>
    <w:rsid w:val="001212A4"/>
    <w:rsid w:val="00121A49"/>
    <w:rsid w:val="00121B2E"/>
    <w:rsid w:val="00121F84"/>
    <w:rsid w:val="001224DA"/>
    <w:rsid w:val="00122AA2"/>
    <w:rsid w:val="001231DD"/>
    <w:rsid w:val="00123388"/>
    <w:rsid w:val="001233C8"/>
    <w:rsid w:val="00123579"/>
    <w:rsid w:val="001236FE"/>
    <w:rsid w:val="0012399E"/>
    <w:rsid w:val="00123A39"/>
    <w:rsid w:val="00123A9D"/>
    <w:rsid w:val="00123B0B"/>
    <w:rsid w:val="00123C23"/>
    <w:rsid w:val="00123C7B"/>
    <w:rsid w:val="00124028"/>
    <w:rsid w:val="001240F0"/>
    <w:rsid w:val="00124A9D"/>
    <w:rsid w:val="00125348"/>
    <w:rsid w:val="00125932"/>
    <w:rsid w:val="00125BCB"/>
    <w:rsid w:val="00126084"/>
    <w:rsid w:val="00126354"/>
    <w:rsid w:val="001273FA"/>
    <w:rsid w:val="0012759D"/>
    <w:rsid w:val="001302EA"/>
    <w:rsid w:val="0013096D"/>
    <w:rsid w:val="00130C84"/>
    <w:rsid w:val="00131235"/>
    <w:rsid w:val="0013126F"/>
    <w:rsid w:val="00131437"/>
    <w:rsid w:val="00131538"/>
    <w:rsid w:val="00131AF2"/>
    <w:rsid w:val="0013214F"/>
    <w:rsid w:val="00132897"/>
    <w:rsid w:val="00132BA7"/>
    <w:rsid w:val="00132E38"/>
    <w:rsid w:val="001330BE"/>
    <w:rsid w:val="00133335"/>
    <w:rsid w:val="00133645"/>
    <w:rsid w:val="00134EF4"/>
    <w:rsid w:val="001353A0"/>
    <w:rsid w:val="001356C1"/>
    <w:rsid w:val="0013633A"/>
    <w:rsid w:val="0013753D"/>
    <w:rsid w:val="001377DA"/>
    <w:rsid w:val="00137FC7"/>
    <w:rsid w:val="00140763"/>
    <w:rsid w:val="00140A72"/>
    <w:rsid w:val="00140E91"/>
    <w:rsid w:val="0014162F"/>
    <w:rsid w:val="001419B2"/>
    <w:rsid w:val="00141CB8"/>
    <w:rsid w:val="001421E2"/>
    <w:rsid w:val="00142CFC"/>
    <w:rsid w:val="0014305D"/>
    <w:rsid w:val="0014401E"/>
    <w:rsid w:val="00144531"/>
    <w:rsid w:val="001447C5"/>
    <w:rsid w:val="00144DA6"/>
    <w:rsid w:val="0014510B"/>
    <w:rsid w:val="0014515B"/>
    <w:rsid w:val="00145B36"/>
    <w:rsid w:val="0014678B"/>
    <w:rsid w:val="00147247"/>
    <w:rsid w:val="001472DA"/>
    <w:rsid w:val="00147D40"/>
    <w:rsid w:val="00147E2F"/>
    <w:rsid w:val="00150500"/>
    <w:rsid w:val="00150615"/>
    <w:rsid w:val="001507A0"/>
    <w:rsid w:val="00151F8B"/>
    <w:rsid w:val="001537A0"/>
    <w:rsid w:val="00153803"/>
    <w:rsid w:val="00153EAC"/>
    <w:rsid w:val="00154026"/>
    <w:rsid w:val="001541BC"/>
    <w:rsid w:val="00155E9B"/>
    <w:rsid w:val="00156499"/>
    <w:rsid w:val="00157583"/>
    <w:rsid w:val="00160025"/>
    <w:rsid w:val="0016015C"/>
    <w:rsid w:val="00162E42"/>
    <w:rsid w:val="00162F6C"/>
    <w:rsid w:val="00163281"/>
    <w:rsid w:val="00163596"/>
    <w:rsid w:val="00163C52"/>
    <w:rsid w:val="00163D50"/>
    <w:rsid w:val="00164B57"/>
    <w:rsid w:val="00164C6E"/>
    <w:rsid w:val="00164E78"/>
    <w:rsid w:val="00164EE2"/>
    <w:rsid w:val="00165481"/>
    <w:rsid w:val="0016554E"/>
    <w:rsid w:val="0016556E"/>
    <w:rsid w:val="001658DC"/>
    <w:rsid w:val="00166009"/>
    <w:rsid w:val="0016625F"/>
    <w:rsid w:val="00166787"/>
    <w:rsid w:val="00166A13"/>
    <w:rsid w:val="00166D46"/>
    <w:rsid w:val="001679D0"/>
    <w:rsid w:val="0017034F"/>
    <w:rsid w:val="00170614"/>
    <w:rsid w:val="00171335"/>
    <w:rsid w:val="00171977"/>
    <w:rsid w:val="00171C21"/>
    <w:rsid w:val="00171E96"/>
    <w:rsid w:val="00172599"/>
    <w:rsid w:val="00172AFF"/>
    <w:rsid w:val="00173CF2"/>
    <w:rsid w:val="00174176"/>
    <w:rsid w:val="001746EA"/>
    <w:rsid w:val="00174EAE"/>
    <w:rsid w:val="0017538E"/>
    <w:rsid w:val="00176FFC"/>
    <w:rsid w:val="001777DE"/>
    <w:rsid w:val="00180758"/>
    <w:rsid w:val="00180B06"/>
    <w:rsid w:val="001815F8"/>
    <w:rsid w:val="00181854"/>
    <w:rsid w:val="00181D24"/>
    <w:rsid w:val="00181E5B"/>
    <w:rsid w:val="00183CB3"/>
    <w:rsid w:val="0018469E"/>
    <w:rsid w:val="00184C39"/>
    <w:rsid w:val="00184C85"/>
    <w:rsid w:val="00184D98"/>
    <w:rsid w:val="00185E98"/>
    <w:rsid w:val="001863C0"/>
    <w:rsid w:val="001864F6"/>
    <w:rsid w:val="00186506"/>
    <w:rsid w:val="001866A2"/>
    <w:rsid w:val="00186966"/>
    <w:rsid w:val="00187112"/>
    <w:rsid w:val="001878CA"/>
    <w:rsid w:val="00190A7D"/>
    <w:rsid w:val="00190C01"/>
    <w:rsid w:val="00190C61"/>
    <w:rsid w:val="00191206"/>
    <w:rsid w:val="001914A3"/>
    <w:rsid w:val="001918A1"/>
    <w:rsid w:val="00191F73"/>
    <w:rsid w:val="0019250D"/>
    <w:rsid w:val="00192DF0"/>
    <w:rsid w:val="0019305D"/>
    <w:rsid w:val="001937BA"/>
    <w:rsid w:val="001942E9"/>
    <w:rsid w:val="00194AA4"/>
    <w:rsid w:val="001951CF"/>
    <w:rsid w:val="001955F6"/>
    <w:rsid w:val="00195D44"/>
    <w:rsid w:val="001966EF"/>
    <w:rsid w:val="001966F7"/>
    <w:rsid w:val="001968CF"/>
    <w:rsid w:val="00196F4D"/>
    <w:rsid w:val="00197364"/>
    <w:rsid w:val="00197692"/>
    <w:rsid w:val="00197A0B"/>
    <w:rsid w:val="001A0340"/>
    <w:rsid w:val="001A0581"/>
    <w:rsid w:val="001A0595"/>
    <w:rsid w:val="001A08F7"/>
    <w:rsid w:val="001A0C2C"/>
    <w:rsid w:val="001A0F83"/>
    <w:rsid w:val="001A1DC5"/>
    <w:rsid w:val="001A27FC"/>
    <w:rsid w:val="001A4D61"/>
    <w:rsid w:val="001A4D76"/>
    <w:rsid w:val="001A5819"/>
    <w:rsid w:val="001A610D"/>
    <w:rsid w:val="001A65D8"/>
    <w:rsid w:val="001A6A72"/>
    <w:rsid w:val="001A6DB9"/>
    <w:rsid w:val="001A6F2C"/>
    <w:rsid w:val="001A7377"/>
    <w:rsid w:val="001B0380"/>
    <w:rsid w:val="001B16AD"/>
    <w:rsid w:val="001B1A92"/>
    <w:rsid w:val="001B2F3B"/>
    <w:rsid w:val="001B319C"/>
    <w:rsid w:val="001B38D6"/>
    <w:rsid w:val="001B4AE6"/>
    <w:rsid w:val="001B4BDA"/>
    <w:rsid w:val="001B5A45"/>
    <w:rsid w:val="001B5AE3"/>
    <w:rsid w:val="001B6BB3"/>
    <w:rsid w:val="001B6D6D"/>
    <w:rsid w:val="001B6FEC"/>
    <w:rsid w:val="001B7699"/>
    <w:rsid w:val="001B78BA"/>
    <w:rsid w:val="001B7D02"/>
    <w:rsid w:val="001B7EF7"/>
    <w:rsid w:val="001C0020"/>
    <w:rsid w:val="001C01E2"/>
    <w:rsid w:val="001C09A3"/>
    <w:rsid w:val="001C0D7B"/>
    <w:rsid w:val="001C249B"/>
    <w:rsid w:val="001C2E19"/>
    <w:rsid w:val="001C3EB7"/>
    <w:rsid w:val="001C4797"/>
    <w:rsid w:val="001C489D"/>
    <w:rsid w:val="001C61C0"/>
    <w:rsid w:val="001C62C3"/>
    <w:rsid w:val="001C6ED5"/>
    <w:rsid w:val="001C763A"/>
    <w:rsid w:val="001C76C1"/>
    <w:rsid w:val="001C772A"/>
    <w:rsid w:val="001D008F"/>
    <w:rsid w:val="001D0892"/>
    <w:rsid w:val="001D0D9A"/>
    <w:rsid w:val="001D0FB1"/>
    <w:rsid w:val="001D0FC8"/>
    <w:rsid w:val="001D18A3"/>
    <w:rsid w:val="001D206C"/>
    <w:rsid w:val="001D20CD"/>
    <w:rsid w:val="001D2980"/>
    <w:rsid w:val="001D2BB4"/>
    <w:rsid w:val="001D3AE3"/>
    <w:rsid w:val="001D3C72"/>
    <w:rsid w:val="001D5BDD"/>
    <w:rsid w:val="001D64C2"/>
    <w:rsid w:val="001D6A1D"/>
    <w:rsid w:val="001D6BDF"/>
    <w:rsid w:val="001D6D6D"/>
    <w:rsid w:val="001D71B0"/>
    <w:rsid w:val="001D7978"/>
    <w:rsid w:val="001E001A"/>
    <w:rsid w:val="001E038D"/>
    <w:rsid w:val="001E06BB"/>
    <w:rsid w:val="001E0A7F"/>
    <w:rsid w:val="001E18C3"/>
    <w:rsid w:val="001E1D05"/>
    <w:rsid w:val="001E1F8E"/>
    <w:rsid w:val="001E219F"/>
    <w:rsid w:val="001E28F4"/>
    <w:rsid w:val="001E2AF5"/>
    <w:rsid w:val="001E2AFD"/>
    <w:rsid w:val="001E2C11"/>
    <w:rsid w:val="001E2E99"/>
    <w:rsid w:val="001E3135"/>
    <w:rsid w:val="001E32FE"/>
    <w:rsid w:val="001E4D6A"/>
    <w:rsid w:val="001E5C0D"/>
    <w:rsid w:val="001E66A3"/>
    <w:rsid w:val="001E7277"/>
    <w:rsid w:val="001E7916"/>
    <w:rsid w:val="001F0014"/>
    <w:rsid w:val="001F0221"/>
    <w:rsid w:val="001F078E"/>
    <w:rsid w:val="001F0AD3"/>
    <w:rsid w:val="001F0C63"/>
    <w:rsid w:val="001F0D28"/>
    <w:rsid w:val="001F10F8"/>
    <w:rsid w:val="001F1BAE"/>
    <w:rsid w:val="001F2A02"/>
    <w:rsid w:val="001F341E"/>
    <w:rsid w:val="001F403F"/>
    <w:rsid w:val="001F4510"/>
    <w:rsid w:val="001F5477"/>
    <w:rsid w:val="001F5E94"/>
    <w:rsid w:val="001F628D"/>
    <w:rsid w:val="001F63D9"/>
    <w:rsid w:val="001F6C10"/>
    <w:rsid w:val="001F6C61"/>
    <w:rsid w:val="001F77F3"/>
    <w:rsid w:val="001F7D02"/>
    <w:rsid w:val="00200CBD"/>
    <w:rsid w:val="00201435"/>
    <w:rsid w:val="00203C69"/>
    <w:rsid w:val="00204254"/>
    <w:rsid w:val="0020489B"/>
    <w:rsid w:val="0020492E"/>
    <w:rsid w:val="00205158"/>
    <w:rsid w:val="0020574B"/>
    <w:rsid w:val="00206221"/>
    <w:rsid w:val="00206E71"/>
    <w:rsid w:val="00206E7B"/>
    <w:rsid w:val="00207C38"/>
    <w:rsid w:val="00207D7E"/>
    <w:rsid w:val="002127E5"/>
    <w:rsid w:val="0021302F"/>
    <w:rsid w:val="0021327D"/>
    <w:rsid w:val="002134D7"/>
    <w:rsid w:val="002149F7"/>
    <w:rsid w:val="00215DC7"/>
    <w:rsid w:val="00215EBA"/>
    <w:rsid w:val="002160EF"/>
    <w:rsid w:val="00216109"/>
    <w:rsid w:val="00216222"/>
    <w:rsid w:val="0021684D"/>
    <w:rsid w:val="00216E4B"/>
    <w:rsid w:val="002178DC"/>
    <w:rsid w:val="0021794D"/>
    <w:rsid w:val="002179C9"/>
    <w:rsid w:val="00220114"/>
    <w:rsid w:val="002202A1"/>
    <w:rsid w:val="00220CF8"/>
    <w:rsid w:val="00220DCD"/>
    <w:rsid w:val="002219A1"/>
    <w:rsid w:val="00222CB7"/>
    <w:rsid w:val="00223013"/>
    <w:rsid w:val="00223F5A"/>
    <w:rsid w:val="00224252"/>
    <w:rsid w:val="00224589"/>
    <w:rsid w:val="00224BEC"/>
    <w:rsid w:val="002253AE"/>
    <w:rsid w:val="002254C2"/>
    <w:rsid w:val="002258E8"/>
    <w:rsid w:val="0022633C"/>
    <w:rsid w:val="002264F0"/>
    <w:rsid w:val="002267B5"/>
    <w:rsid w:val="00226BAA"/>
    <w:rsid w:val="002276FF"/>
    <w:rsid w:val="00227825"/>
    <w:rsid w:val="00227E20"/>
    <w:rsid w:val="002300E2"/>
    <w:rsid w:val="00230B4E"/>
    <w:rsid w:val="00230D21"/>
    <w:rsid w:val="00231768"/>
    <w:rsid w:val="00232B34"/>
    <w:rsid w:val="002332A4"/>
    <w:rsid w:val="0023347F"/>
    <w:rsid w:val="0023360A"/>
    <w:rsid w:val="00234312"/>
    <w:rsid w:val="002355C4"/>
    <w:rsid w:val="00235F7A"/>
    <w:rsid w:val="00236022"/>
    <w:rsid w:val="00236A2C"/>
    <w:rsid w:val="00240178"/>
    <w:rsid w:val="00240206"/>
    <w:rsid w:val="002402D2"/>
    <w:rsid w:val="002403A4"/>
    <w:rsid w:val="0024081D"/>
    <w:rsid w:val="00240C8E"/>
    <w:rsid w:val="00240D13"/>
    <w:rsid w:val="0024267F"/>
    <w:rsid w:val="002436E7"/>
    <w:rsid w:val="00243B06"/>
    <w:rsid w:val="00244203"/>
    <w:rsid w:val="00244954"/>
    <w:rsid w:val="0024614F"/>
    <w:rsid w:val="0024621A"/>
    <w:rsid w:val="00246C70"/>
    <w:rsid w:val="00246E20"/>
    <w:rsid w:val="00246F53"/>
    <w:rsid w:val="002476EB"/>
    <w:rsid w:val="00247C8D"/>
    <w:rsid w:val="002500A1"/>
    <w:rsid w:val="0025122B"/>
    <w:rsid w:val="0025123A"/>
    <w:rsid w:val="0025137F"/>
    <w:rsid w:val="0025199E"/>
    <w:rsid w:val="0025228E"/>
    <w:rsid w:val="00253074"/>
    <w:rsid w:val="002531A7"/>
    <w:rsid w:val="002539EA"/>
    <w:rsid w:val="00257771"/>
    <w:rsid w:val="00257EE9"/>
    <w:rsid w:val="00260536"/>
    <w:rsid w:val="00260B98"/>
    <w:rsid w:val="00260F01"/>
    <w:rsid w:val="00261101"/>
    <w:rsid w:val="00261E07"/>
    <w:rsid w:val="002628CA"/>
    <w:rsid w:val="00262A41"/>
    <w:rsid w:val="00262C20"/>
    <w:rsid w:val="002632F9"/>
    <w:rsid w:val="00263931"/>
    <w:rsid w:val="002639A7"/>
    <w:rsid w:val="0026404F"/>
    <w:rsid w:val="00264408"/>
    <w:rsid w:val="00264748"/>
    <w:rsid w:val="0026631E"/>
    <w:rsid w:val="00266781"/>
    <w:rsid w:val="0026718D"/>
    <w:rsid w:val="0026724F"/>
    <w:rsid w:val="002679B9"/>
    <w:rsid w:val="00267E4E"/>
    <w:rsid w:val="00270385"/>
    <w:rsid w:val="002703B2"/>
    <w:rsid w:val="00270758"/>
    <w:rsid w:val="002710F2"/>
    <w:rsid w:val="00271ACF"/>
    <w:rsid w:val="00271B05"/>
    <w:rsid w:val="00272746"/>
    <w:rsid w:val="00272CC9"/>
    <w:rsid w:val="00272EF6"/>
    <w:rsid w:val="00273279"/>
    <w:rsid w:val="002737CE"/>
    <w:rsid w:val="00273C17"/>
    <w:rsid w:val="00273D6D"/>
    <w:rsid w:val="00273E0F"/>
    <w:rsid w:val="002745C4"/>
    <w:rsid w:val="002746A5"/>
    <w:rsid w:val="0027471F"/>
    <w:rsid w:val="00274775"/>
    <w:rsid w:val="00274FF8"/>
    <w:rsid w:val="00275438"/>
    <w:rsid w:val="002757C8"/>
    <w:rsid w:val="002801F3"/>
    <w:rsid w:val="00280296"/>
    <w:rsid w:val="002802FD"/>
    <w:rsid w:val="00281103"/>
    <w:rsid w:val="00281274"/>
    <w:rsid w:val="002817D5"/>
    <w:rsid w:val="002819E4"/>
    <w:rsid w:val="0028216D"/>
    <w:rsid w:val="00282332"/>
    <w:rsid w:val="002829AA"/>
    <w:rsid w:val="00282D32"/>
    <w:rsid w:val="002838CD"/>
    <w:rsid w:val="00283CD7"/>
    <w:rsid w:val="002852E1"/>
    <w:rsid w:val="00285954"/>
    <w:rsid w:val="002869EF"/>
    <w:rsid w:val="00286ACA"/>
    <w:rsid w:val="00286D92"/>
    <w:rsid w:val="0028707D"/>
    <w:rsid w:val="002870A4"/>
    <w:rsid w:val="0028765D"/>
    <w:rsid w:val="00290E05"/>
    <w:rsid w:val="00290F0D"/>
    <w:rsid w:val="002913D8"/>
    <w:rsid w:val="002917BD"/>
    <w:rsid w:val="00291F3E"/>
    <w:rsid w:val="00292217"/>
    <w:rsid w:val="00292674"/>
    <w:rsid w:val="00293313"/>
    <w:rsid w:val="002935BE"/>
    <w:rsid w:val="00294525"/>
    <w:rsid w:val="00294846"/>
    <w:rsid w:val="00294A11"/>
    <w:rsid w:val="00294DB5"/>
    <w:rsid w:val="00295D01"/>
    <w:rsid w:val="002960B9"/>
    <w:rsid w:val="00296A89"/>
    <w:rsid w:val="00297A9D"/>
    <w:rsid w:val="002A006C"/>
    <w:rsid w:val="002A108A"/>
    <w:rsid w:val="002A190E"/>
    <w:rsid w:val="002A1D83"/>
    <w:rsid w:val="002A4766"/>
    <w:rsid w:val="002A4B45"/>
    <w:rsid w:val="002A541F"/>
    <w:rsid w:val="002A558D"/>
    <w:rsid w:val="002A5C11"/>
    <w:rsid w:val="002A68DC"/>
    <w:rsid w:val="002A69C4"/>
    <w:rsid w:val="002A6E28"/>
    <w:rsid w:val="002A7194"/>
    <w:rsid w:val="002A7412"/>
    <w:rsid w:val="002A757F"/>
    <w:rsid w:val="002A7834"/>
    <w:rsid w:val="002B00CB"/>
    <w:rsid w:val="002B0D04"/>
    <w:rsid w:val="002B217E"/>
    <w:rsid w:val="002B2400"/>
    <w:rsid w:val="002B273D"/>
    <w:rsid w:val="002B39B7"/>
    <w:rsid w:val="002B4C0A"/>
    <w:rsid w:val="002B55ED"/>
    <w:rsid w:val="002B5D0A"/>
    <w:rsid w:val="002B5FBC"/>
    <w:rsid w:val="002B6877"/>
    <w:rsid w:val="002B7458"/>
    <w:rsid w:val="002B77C3"/>
    <w:rsid w:val="002B77F3"/>
    <w:rsid w:val="002B7CB2"/>
    <w:rsid w:val="002C0A7B"/>
    <w:rsid w:val="002C2D2A"/>
    <w:rsid w:val="002C3013"/>
    <w:rsid w:val="002C3645"/>
    <w:rsid w:val="002C368A"/>
    <w:rsid w:val="002C3CCD"/>
    <w:rsid w:val="002C3E18"/>
    <w:rsid w:val="002C45EE"/>
    <w:rsid w:val="002C4800"/>
    <w:rsid w:val="002C4D0C"/>
    <w:rsid w:val="002C5CD0"/>
    <w:rsid w:val="002C62F9"/>
    <w:rsid w:val="002C68B2"/>
    <w:rsid w:val="002C6B1E"/>
    <w:rsid w:val="002C6CDA"/>
    <w:rsid w:val="002C77E0"/>
    <w:rsid w:val="002C7D65"/>
    <w:rsid w:val="002D0660"/>
    <w:rsid w:val="002D0953"/>
    <w:rsid w:val="002D0BBB"/>
    <w:rsid w:val="002D0F1F"/>
    <w:rsid w:val="002D226F"/>
    <w:rsid w:val="002D289A"/>
    <w:rsid w:val="002D2918"/>
    <w:rsid w:val="002D2965"/>
    <w:rsid w:val="002D2974"/>
    <w:rsid w:val="002D2AE5"/>
    <w:rsid w:val="002D3104"/>
    <w:rsid w:val="002D384E"/>
    <w:rsid w:val="002D3E09"/>
    <w:rsid w:val="002D4148"/>
    <w:rsid w:val="002D49F5"/>
    <w:rsid w:val="002D5BDD"/>
    <w:rsid w:val="002D7628"/>
    <w:rsid w:val="002D7AC1"/>
    <w:rsid w:val="002E005D"/>
    <w:rsid w:val="002E099B"/>
    <w:rsid w:val="002E1F71"/>
    <w:rsid w:val="002E21D2"/>
    <w:rsid w:val="002E26DF"/>
    <w:rsid w:val="002E2B0F"/>
    <w:rsid w:val="002E2D68"/>
    <w:rsid w:val="002E3481"/>
    <w:rsid w:val="002E3A2A"/>
    <w:rsid w:val="002E3BF9"/>
    <w:rsid w:val="002E4B52"/>
    <w:rsid w:val="002E5E0A"/>
    <w:rsid w:val="002E6C26"/>
    <w:rsid w:val="002E731B"/>
    <w:rsid w:val="002F01C4"/>
    <w:rsid w:val="002F068D"/>
    <w:rsid w:val="002F13C2"/>
    <w:rsid w:val="002F1674"/>
    <w:rsid w:val="002F17B1"/>
    <w:rsid w:val="002F1B7F"/>
    <w:rsid w:val="002F3928"/>
    <w:rsid w:val="002F4A3F"/>
    <w:rsid w:val="002F4FE5"/>
    <w:rsid w:val="002F5386"/>
    <w:rsid w:val="002F5460"/>
    <w:rsid w:val="002F5919"/>
    <w:rsid w:val="002F5D71"/>
    <w:rsid w:val="002F6AD4"/>
    <w:rsid w:val="002F71BA"/>
    <w:rsid w:val="002F71DE"/>
    <w:rsid w:val="002F743B"/>
    <w:rsid w:val="002F78AD"/>
    <w:rsid w:val="002F7E84"/>
    <w:rsid w:val="003011DB"/>
    <w:rsid w:val="0030169E"/>
    <w:rsid w:val="003025C5"/>
    <w:rsid w:val="00302F03"/>
    <w:rsid w:val="0030435B"/>
    <w:rsid w:val="00304CCE"/>
    <w:rsid w:val="00304E56"/>
    <w:rsid w:val="00306DEC"/>
    <w:rsid w:val="00307207"/>
    <w:rsid w:val="00307706"/>
    <w:rsid w:val="00307880"/>
    <w:rsid w:val="00310B31"/>
    <w:rsid w:val="00311FF5"/>
    <w:rsid w:val="003127A3"/>
    <w:rsid w:val="003131E7"/>
    <w:rsid w:val="003138D7"/>
    <w:rsid w:val="00313D8F"/>
    <w:rsid w:val="00314A6E"/>
    <w:rsid w:val="00314F21"/>
    <w:rsid w:val="003158A8"/>
    <w:rsid w:val="00315EE4"/>
    <w:rsid w:val="00316810"/>
    <w:rsid w:val="003171DD"/>
    <w:rsid w:val="003178A3"/>
    <w:rsid w:val="00317E0C"/>
    <w:rsid w:val="00317EE7"/>
    <w:rsid w:val="00320129"/>
    <w:rsid w:val="00320623"/>
    <w:rsid w:val="00320A7D"/>
    <w:rsid w:val="00320D5F"/>
    <w:rsid w:val="00322100"/>
    <w:rsid w:val="0032236C"/>
    <w:rsid w:val="00322C84"/>
    <w:rsid w:val="00323181"/>
    <w:rsid w:val="003233C0"/>
    <w:rsid w:val="00324953"/>
    <w:rsid w:val="00325947"/>
    <w:rsid w:val="00326084"/>
    <w:rsid w:val="00327513"/>
    <w:rsid w:val="00327846"/>
    <w:rsid w:val="0033041F"/>
    <w:rsid w:val="0033059D"/>
    <w:rsid w:val="003307E9"/>
    <w:rsid w:val="003311FD"/>
    <w:rsid w:val="003318F1"/>
    <w:rsid w:val="00331D76"/>
    <w:rsid w:val="00332068"/>
    <w:rsid w:val="00332402"/>
    <w:rsid w:val="003324E8"/>
    <w:rsid w:val="00332557"/>
    <w:rsid w:val="003339AC"/>
    <w:rsid w:val="00333F37"/>
    <w:rsid w:val="003345A8"/>
    <w:rsid w:val="00334722"/>
    <w:rsid w:val="00334B6B"/>
    <w:rsid w:val="00334E20"/>
    <w:rsid w:val="003362F2"/>
    <w:rsid w:val="00337111"/>
    <w:rsid w:val="00340338"/>
    <w:rsid w:val="0034039E"/>
    <w:rsid w:val="0034092A"/>
    <w:rsid w:val="003412E2"/>
    <w:rsid w:val="003439E2"/>
    <w:rsid w:val="003442E5"/>
    <w:rsid w:val="00344862"/>
    <w:rsid w:val="00345491"/>
    <w:rsid w:val="00345924"/>
    <w:rsid w:val="003459F9"/>
    <w:rsid w:val="00345AB3"/>
    <w:rsid w:val="00345E01"/>
    <w:rsid w:val="003462AA"/>
    <w:rsid w:val="003463B0"/>
    <w:rsid w:val="00346504"/>
    <w:rsid w:val="00346E7F"/>
    <w:rsid w:val="00347A76"/>
    <w:rsid w:val="00347D30"/>
    <w:rsid w:val="003501A5"/>
    <w:rsid w:val="0035039F"/>
    <w:rsid w:val="00350C51"/>
    <w:rsid w:val="003513B1"/>
    <w:rsid w:val="0035252A"/>
    <w:rsid w:val="0035255D"/>
    <w:rsid w:val="00352934"/>
    <w:rsid w:val="00353165"/>
    <w:rsid w:val="003535BA"/>
    <w:rsid w:val="00353B4D"/>
    <w:rsid w:val="00353CA7"/>
    <w:rsid w:val="00354214"/>
    <w:rsid w:val="003544FD"/>
    <w:rsid w:val="00354C74"/>
    <w:rsid w:val="00354E36"/>
    <w:rsid w:val="003551BB"/>
    <w:rsid w:val="00355473"/>
    <w:rsid w:val="003556A6"/>
    <w:rsid w:val="00356539"/>
    <w:rsid w:val="003565EA"/>
    <w:rsid w:val="00356CAB"/>
    <w:rsid w:val="003572FD"/>
    <w:rsid w:val="00357FF5"/>
    <w:rsid w:val="0036021B"/>
    <w:rsid w:val="0036217B"/>
    <w:rsid w:val="00362969"/>
    <w:rsid w:val="00362978"/>
    <w:rsid w:val="00362BC0"/>
    <w:rsid w:val="00364019"/>
    <w:rsid w:val="00364408"/>
    <w:rsid w:val="0036498D"/>
    <w:rsid w:val="00364F41"/>
    <w:rsid w:val="0036534C"/>
    <w:rsid w:val="003658B3"/>
    <w:rsid w:val="00365E1A"/>
    <w:rsid w:val="00366692"/>
    <w:rsid w:val="00366A5E"/>
    <w:rsid w:val="00366B23"/>
    <w:rsid w:val="00366E6A"/>
    <w:rsid w:val="0037054F"/>
    <w:rsid w:val="00370830"/>
    <w:rsid w:val="00371C08"/>
    <w:rsid w:val="00373088"/>
    <w:rsid w:val="0037439A"/>
    <w:rsid w:val="00374EAA"/>
    <w:rsid w:val="0037518B"/>
    <w:rsid w:val="003752F4"/>
    <w:rsid w:val="00375302"/>
    <w:rsid w:val="0037536A"/>
    <w:rsid w:val="00375A58"/>
    <w:rsid w:val="00376E9E"/>
    <w:rsid w:val="00377694"/>
    <w:rsid w:val="00377739"/>
    <w:rsid w:val="003800C2"/>
    <w:rsid w:val="003804A8"/>
    <w:rsid w:val="003804C7"/>
    <w:rsid w:val="003809E6"/>
    <w:rsid w:val="00380D79"/>
    <w:rsid w:val="003813F1"/>
    <w:rsid w:val="00381458"/>
    <w:rsid w:val="0038153D"/>
    <w:rsid w:val="00381FF9"/>
    <w:rsid w:val="003823EC"/>
    <w:rsid w:val="00382CF4"/>
    <w:rsid w:val="003835FD"/>
    <w:rsid w:val="00383802"/>
    <w:rsid w:val="0038472A"/>
    <w:rsid w:val="00385523"/>
    <w:rsid w:val="003858C6"/>
    <w:rsid w:val="00386339"/>
    <w:rsid w:val="003869F2"/>
    <w:rsid w:val="00387B25"/>
    <w:rsid w:val="00390935"/>
    <w:rsid w:val="003914C9"/>
    <w:rsid w:val="00392553"/>
    <w:rsid w:val="00392EA8"/>
    <w:rsid w:val="00393EFC"/>
    <w:rsid w:val="00393F7E"/>
    <w:rsid w:val="003941DB"/>
    <w:rsid w:val="003942A2"/>
    <w:rsid w:val="00394BA1"/>
    <w:rsid w:val="00394D5E"/>
    <w:rsid w:val="0039502F"/>
    <w:rsid w:val="00395A12"/>
    <w:rsid w:val="00395B1C"/>
    <w:rsid w:val="00395FB1"/>
    <w:rsid w:val="0039650A"/>
    <w:rsid w:val="00396861"/>
    <w:rsid w:val="0039694F"/>
    <w:rsid w:val="00397514"/>
    <w:rsid w:val="00397521"/>
    <w:rsid w:val="003A100F"/>
    <w:rsid w:val="003A1FD1"/>
    <w:rsid w:val="003A25D2"/>
    <w:rsid w:val="003A266F"/>
    <w:rsid w:val="003A28A9"/>
    <w:rsid w:val="003A296C"/>
    <w:rsid w:val="003A2E51"/>
    <w:rsid w:val="003A3307"/>
    <w:rsid w:val="003A4D39"/>
    <w:rsid w:val="003A5AEB"/>
    <w:rsid w:val="003A60BA"/>
    <w:rsid w:val="003A6553"/>
    <w:rsid w:val="003A6E98"/>
    <w:rsid w:val="003A7A13"/>
    <w:rsid w:val="003A7A96"/>
    <w:rsid w:val="003B03D4"/>
    <w:rsid w:val="003B1163"/>
    <w:rsid w:val="003B14EF"/>
    <w:rsid w:val="003B1697"/>
    <w:rsid w:val="003B18DC"/>
    <w:rsid w:val="003B18FF"/>
    <w:rsid w:val="003B1919"/>
    <w:rsid w:val="003B1DF0"/>
    <w:rsid w:val="003B2440"/>
    <w:rsid w:val="003B2582"/>
    <w:rsid w:val="003B28FF"/>
    <w:rsid w:val="003B40EB"/>
    <w:rsid w:val="003B4A33"/>
    <w:rsid w:val="003B4C9E"/>
    <w:rsid w:val="003B5F86"/>
    <w:rsid w:val="003B6EA3"/>
    <w:rsid w:val="003B76CE"/>
    <w:rsid w:val="003B7EC7"/>
    <w:rsid w:val="003C011F"/>
    <w:rsid w:val="003C019A"/>
    <w:rsid w:val="003C0D27"/>
    <w:rsid w:val="003C1A07"/>
    <w:rsid w:val="003C1DFC"/>
    <w:rsid w:val="003C3163"/>
    <w:rsid w:val="003C3397"/>
    <w:rsid w:val="003C3ED5"/>
    <w:rsid w:val="003C4117"/>
    <w:rsid w:val="003C4442"/>
    <w:rsid w:val="003C4A97"/>
    <w:rsid w:val="003C514A"/>
    <w:rsid w:val="003C53A3"/>
    <w:rsid w:val="003C53DB"/>
    <w:rsid w:val="003C589E"/>
    <w:rsid w:val="003C7BD6"/>
    <w:rsid w:val="003C7F56"/>
    <w:rsid w:val="003D01B4"/>
    <w:rsid w:val="003D0238"/>
    <w:rsid w:val="003D049B"/>
    <w:rsid w:val="003D0B29"/>
    <w:rsid w:val="003D1C93"/>
    <w:rsid w:val="003D2215"/>
    <w:rsid w:val="003D2788"/>
    <w:rsid w:val="003D2D93"/>
    <w:rsid w:val="003D33DA"/>
    <w:rsid w:val="003D381F"/>
    <w:rsid w:val="003D3E88"/>
    <w:rsid w:val="003D3FD8"/>
    <w:rsid w:val="003D4188"/>
    <w:rsid w:val="003D4CE2"/>
    <w:rsid w:val="003D54F3"/>
    <w:rsid w:val="003D5BF0"/>
    <w:rsid w:val="003D6175"/>
    <w:rsid w:val="003D673E"/>
    <w:rsid w:val="003D6B7D"/>
    <w:rsid w:val="003D71B8"/>
    <w:rsid w:val="003E06CA"/>
    <w:rsid w:val="003E0742"/>
    <w:rsid w:val="003E079F"/>
    <w:rsid w:val="003E16D0"/>
    <w:rsid w:val="003E1D5A"/>
    <w:rsid w:val="003E3C8D"/>
    <w:rsid w:val="003E4C31"/>
    <w:rsid w:val="003E55CC"/>
    <w:rsid w:val="003E5BC8"/>
    <w:rsid w:val="003E6735"/>
    <w:rsid w:val="003E77CE"/>
    <w:rsid w:val="003E791A"/>
    <w:rsid w:val="003E7920"/>
    <w:rsid w:val="003F0623"/>
    <w:rsid w:val="003F0B7A"/>
    <w:rsid w:val="003F0F23"/>
    <w:rsid w:val="003F11FE"/>
    <w:rsid w:val="003F19D1"/>
    <w:rsid w:val="003F1ED0"/>
    <w:rsid w:val="003F2576"/>
    <w:rsid w:val="003F3B63"/>
    <w:rsid w:val="003F4A41"/>
    <w:rsid w:val="003F4E19"/>
    <w:rsid w:val="003F505A"/>
    <w:rsid w:val="003F5974"/>
    <w:rsid w:val="003F5AFE"/>
    <w:rsid w:val="003F61D5"/>
    <w:rsid w:val="003F6596"/>
    <w:rsid w:val="003F771D"/>
    <w:rsid w:val="003F7749"/>
    <w:rsid w:val="003F7ABE"/>
    <w:rsid w:val="00401617"/>
    <w:rsid w:val="00401C9E"/>
    <w:rsid w:val="00402021"/>
    <w:rsid w:val="0040302D"/>
    <w:rsid w:val="004031BE"/>
    <w:rsid w:val="00404234"/>
    <w:rsid w:val="004043B2"/>
    <w:rsid w:val="00405186"/>
    <w:rsid w:val="004059A4"/>
    <w:rsid w:val="00405B4B"/>
    <w:rsid w:val="00405C14"/>
    <w:rsid w:val="00405C1E"/>
    <w:rsid w:val="004075A4"/>
    <w:rsid w:val="0041055C"/>
    <w:rsid w:val="0041068F"/>
    <w:rsid w:val="00411161"/>
    <w:rsid w:val="00411999"/>
    <w:rsid w:val="004119EC"/>
    <w:rsid w:val="00411D4E"/>
    <w:rsid w:val="00411FF2"/>
    <w:rsid w:val="00412769"/>
    <w:rsid w:val="00412ECE"/>
    <w:rsid w:val="00413179"/>
    <w:rsid w:val="0041335B"/>
    <w:rsid w:val="004144A2"/>
    <w:rsid w:val="004145FC"/>
    <w:rsid w:val="00415880"/>
    <w:rsid w:val="0041642A"/>
    <w:rsid w:val="00416CB2"/>
    <w:rsid w:val="0041748F"/>
    <w:rsid w:val="00417496"/>
    <w:rsid w:val="00417DAE"/>
    <w:rsid w:val="00420715"/>
    <w:rsid w:val="00420C04"/>
    <w:rsid w:val="0042106B"/>
    <w:rsid w:val="004212D9"/>
    <w:rsid w:val="00421A53"/>
    <w:rsid w:val="00421BDF"/>
    <w:rsid w:val="00422A37"/>
    <w:rsid w:val="00423560"/>
    <w:rsid w:val="00423E48"/>
    <w:rsid w:val="00425016"/>
    <w:rsid w:val="00425287"/>
    <w:rsid w:val="00425C9E"/>
    <w:rsid w:val="00426117"/>
    <w:rsid w:val="0042697E"/>
    <w:rsid w:val="00426B45"/>
    <w:rsid w:val="004270D5"/>
    <w:rsid w:val="004302C5"/>
    <w:rsid w:val="00430BC9"/>
    <w:rsid w:val="0043248B"/>
    <w:rsid w:val="00432FD1"/>
    <w:rsid w:val="004331C5"/>
    <w:rsid w:val="004333E4"/>
    <w:rsid w:val="00433ABA"/>
    <w:rsid w:val="00434107"/>
    <w:rsid w:val="00434376"/>
    <w:rsid w:val="00434A11"/>
    <w:rsid w:val="00435208"/>
    <w:rsid w:val="00435553"/>
    <w:rsid w:val="00435604"/>
    <w:rsid w:val="004357DE"/>
    <w:rsid w:val="00435998"/>
    <w:rsid w:val="0043618B"/>
    <w:rsid w:val="00437410"/>
    <w:rsid w:val="0043749B"/>
    <w:rsid w:val="00437761"/>
    <w:rsid w:val="00437F97"/>
    <w:rsid w:val="00440324"/>
    <w:rsid w:val="0044083F"/>
    <w:rsid w:val="00440AB9"/>
    <w:rsid w:val="0044179F"/>
    <w:rsid w:val="00441806"/>
    <w:rsid w:val="00441C15"/>
    <w:rsid w:val="00441EA2"/>
    <w:rsid w:val="004423D0"/>
    <w:rsid w:val="00442D21"/>
    <w:rsid w:val="0044301C"/>
    <w:rsid w:val="004432B1"/>
    <w:rsid w:val="004435BB"/>
    <w:rsid w:val="00443838"/>
    <w:rsid w:val="004439A3"/>
    <w:rsid w:val="00443A19"/>
    <w:rsid w:val="00443BAA"/>
    <w:rsid w:val="0044465D"/>
    <w:rsid w:val="00444CFF"/>
    <w:rsid w:val="00444E3E"/>
    <w:rsid w:val="004451DF"/>
    <w:rsid w:val="00445450"/>
    <w:rsid w:val="00445513"/>
    <w:rsid w:val="0044560B"/>
    <w:rsid w:val="00446036"/>
    <w:rsid w:val="0044639A"/>
    <w:rsid w:val="0044661A"/>
    <w:rsid w:val="00446873"/>
    <w:rsid w:val="00447613"/>
    <w:rsid w:val="00447E22"/>
    <w:rsid w:val="004510C9"/>
    <w:rsid w:val="00451177"/>
    <w:rsid w:val="00451C31"/>
    <w:rsid w:val="00452127"/>
    <w:rsid w:val="00452362"/>
    <w:rsid w:val="0045259D"/>
    <w:rsid w:val="00452F25"/>
    <w:rsid w:val="004538AC"/>
    <w:rsid w:val="0045392E"/>
    <w:rsid w:val="0045397A"/>
    <w:rsid w:val="00453DA7"/>
    <w:rsid w:val="004547CA"/>
    <w:rsid w:val="00454F54"/>
    <w:rsid w:val="0045515D"/>
    <w:rsid w:val="004554B6"/>
    <w:rsid w:val="0045567F"/>
    <w:rsid w:val="00456949"/>
    <w:rsid w:val="00456C0A"/>
    <w:rsid w:val="0045787A"/>
    <w:rsid w:val="00457936"/>
    <w:rsid w:val="00457CE9"/>
    <w:rsid w:val="00457EF8"/>
    <w:rsid w:val="00460E01"/>
    <w:rsid w:val="004615DA"/>
    <w:rsid w:val="00461BE0"/>
    <w:rsid w:val="004621F5"/>
    <w:rsid w:val="00462F55"/>
    <w:rsid w:val="00464138"/>
    <w:rsid w:val="00464278"/>
    <w:rsid w:val="00464FDC"/>
    <w:rsid w:val="0046533F"/>
    <w:rsid w:val="00465D14"/>
    <w:rsid w:val="00466293"/>
    <w:rsid w:val="00466677"/>
    <w:rsid w:val="00467E52"/>
    <w:rsid w:val="00470474"/>
    <w:rsid w:val="004706B1"/>
    <w:rsid w:val="00470CB1"/>
    <w:rsid w:val="00470EB5"/>
    <w:rsid w:val="00472C6E"/>
    <w:rsid w:val="00472FEA"/>
    <w:rsid w:val="00473C16"/>
    <w:rsid w:val="00475EF4"/>
    <w:rsid w:val="004766DA"/>
    <w:rsid w:val="0047695B"/>
    <w:rsid w:val="00480146"/>
    <w:rsid w:val="00480E10"/>
    <w:rsid w:val="00481C11"/>
    <w:rsid w:val="00482AA3"/>
    <w:rsid w:val="00482C6F"/>
    <w:rsid w:val="00482C9F"/>
    <w:rsid w:val="004832FF"/>
    <w:rsid w:val="004857E3"/>
    <w:rsid w:val="00485ADC"/>
    <w:rsid w:val="00485C06"/>
    <w:rsid w:val="00486B16"/>
    <w:rsid w:val="0048780D"/>
    <w:rsid w:val="00487AED"/>
    <w:rsid w:val="00487F72"/>
    <w:rsid w:val="00490175"/>
    <w:rsid w:val="004901FB"/>
    <w:rsid w:val="00491D4E"/>
    <w:rsid w:val="00491F5D"/>
    <w:rsid w:val="00492294"/>
    <w:rsid w:val="00492403"/>
    <w:rsid w:val="00492B13"/>
    <w:rsid w:val="0049396C"/>
    <w:rsid w:val="00493A33"/>
    <w:rsid w:val="00493DD4"/>
    <w:rsid w:val="004944FE"/>
    <w:rsid w:val="0049529E"/>
    <w:rsid w:val="00496473"/>
    <w:rsid w:val="00496656"/>
    <w:rsid w:val="00496B07"/>
    <w:rsid w:val="004971FD"/>
    <w:rsid w:val="004975D5"/>
    <w:rsid w:val="00497A9D"/>
    <w:rsid w:val="00497C52"/>
    <w:rsid w:val="00497CBF"/>
    <w:rsid w:val="00497F22"/>
    <w:rsid w:val="004A0586"/>
    <w:rsid w:val="004A0763"/>
    <w:rsid w:val="004A07D0"/>
    <w:rsid w:val="004A1073"/>
    <w:rsid w:val="004A1116"/>
    <w:rsid w:val="004A13F9"/>
    <w:rsid w:val="004A16D3"/>
    <w:rsid w:val="004A1B07"/>
    <w:rsid w:val="004A24BC"/>
    <w:rsid w:val="004A2E36"/>
    <w:rsid w:val="004A3177"/>
    <w:rsid w:val="004A3205"/>
    <w:rsid w:val="004A3877"/>
    <w:rsid w:val="004A3F02"/>
    <w:rsid w:val="004A470C"/>
    <w:rsid w:val="004A61A4"/>
    <w:rsid w:val="004A6656"/>
    <w:rsid w:val="004A688C"/>
    <w:rsid w:val="004A76E9"/>
    <w:rsid w:val="004A7AB4"/>
    <w:rsid w:val="004A7EC4"/>
    <w:rsid w:val="004B0105"/>
    <w:rsid w:val="004B071B"/>
    <w:rsid w:val="004B0B7A"/>
    <w:rsid w:val="004B12A2"/>
    <w:rsid w:val="004B166B"/>
    <w:rsid w:val="004B1C63"/>
    <w:rsid w:val="004B1CD7"/>
    <w:rsid w:val="004B1FB8"/>
    <w:rsid w:val="004B2A16"/>
    <w:rsid w:val="004B2B02"/>
    <w:rsid w:val="004B3A27"/>
    <w:rsid w:val="004B40EA"/>
    <w:rsid w:val="004B4364"/>
    <w:rsid w:val="004B4602"/>
    <w:rsid w:val="004B5540"/>
    <w:rsid w:val="004B5BBD"/>
    <w:rsid w:val="004B5C39"/>
    <w:rsid w:val="004B64ED"/>
    <w:rsid w:val="004B69CA"/>
    <w:rsid w:val="004B7C4E"/>
    <w:rsid w:val="004B7E81"/>
    <w:rsid w:val="004C085E"/>
    <w:rsid w:val="004C0DBF"/>
    <w:rsid w:val="004C11A2"/>
    <w:rsid w:val="004C11F5"/>
    <w:rsid w:val="004C1A74"/>
    <w:rsid w:val="004C1E23"/>
    <w:rsid w:val="004C216B"/>
    <w:rsid w:val="004C2AE2"/>
    <w:rsid w:val="004C2EB1"/>
    <w:rsid w:val="004C32BA"/>
    <w:rsid w:val="004C3497"/>
    <w:rsid w:val="004C3BC2"/>
    <w:rsid w:val="004C484B"/>
    <w:rsid w:val="004C506B"/>
    <w:rsid w:val="004C6A51"/>
    <w:rsid w:val="004C70A9"/>
    <w:rsid w:val="004C719A"/>
    <w:rsid w:val="004C7650"/>
    <w:rsid w:val="004D1019"/>
    <w:rsid w:val="004D1964"/>
    <w:rsid w:val="004D1CEE"/>
    <w:rsid w:val="004D25CC"/>
    <w:rsid w:val="004D29FF"/>
    <w:rsid w:val="004D2E22"/>
    <w:rsid w:val="004D33BA"/>
    <w:rsid w:val="004D4EB9"/>
    <w:rsid w:val="004D4F87"/>
    <w:rsid w:val="004D59F2"/>
    <w:rsid w:val="004D6342"/>
    <w:rsid w:val="004D6C35"/>
    <w:rsid w:val="004D6FED"/>
    <w:rsid w:val="004D799C"/>
    <w:rsid w:val="004D7C05"/>
    <w:rsid w:val="004D7EFC"/>
    <w:rsid w:val="004E0185"/>
    <w:rsid w:val="004E040F"/>
    <w:rsid w:val="004E188D"/>
    <w:rsid w:val="004E2759"/>
    <w:rsid w:val="004E2894"/>
    <w:rsid w:val="004E3E0D"/>
    <w:rsid w:val="004E410E"/>
    <w:rsid w:val="004E4212"/>
    <w:rsid w:val="004E5E84"/>
    <w:rsid w:val="004E6319"/>
    <w:rsid w:val="004E6716"/>
    <w:rsid w:val="004E6FE4"/>
    <w:rsid w:val="004E7D98"/>
    <w:rsid w:val="004F0094"/>
    <w:rsid w:val="004F04CB"/>
    <w:rsid w:val="004F0D72"/>
    <w:rsid w:val="004F0D9E"/>
    <w:rsid w:val="004F1599"/>
    <w:rsid w:val="004F30D2"/>
    <w:rsid w:val="004F334B"/>
    <w:rsid w:val="004F3ED1"/>
    <w:rsid w:val="004F4B5E"/>
    <w:rsid w:val="004F58A1"/>
    <w:rsid w:val="004F5A5C"/>
    <w:rsid w:val="004F6352"/>
    <w:rsid w:val="004F688D"/>
    <w:rsid w:val="004F72D4"/>
    <w:rsid w:val="004F75E6"/>
    <w:rsid w:val="004F7D7D"/>
    <w:rsid w:val="00500342"/>
    <w:rsid w:val="0050062B"/>
    <w:rsid w:val="0050195A"/>
    <w:rsid w:val="00501C24"/>
    <w:rsid w:val="00501ECB"/>
    <w:rsid w:val="00502067"/>
    <w:rsid w:val="00502575"/>
    <w:rsid w:val="00502DED"/>
    <w:rsid w:val="00503E9D"/>
    <w:rsid w:val="005055C8"/>
    <w:rsid w:val="0050665B"/>
    <w:rsid w:val="00506697"/>
    <w:rsid w:val="00506A70"/>
    <w:rsid w:val="00506FD1"/>
    <w:rsid w:val="00507E14"/>
    <w:rsid w:val="005107CC"/>
    <w:rsid w:val="00510D5A"/>
    <w:rsid w:val="00511F22"/>
    <w:rsid w:val="00513F33"/>
    <w:rsid w:val="0051410B"/>
    <w:rsid w:val="00514C42"/>
    <w:rsid w:val="0051522B"/>
    <w:rsid w:val="00515A9A"/>
    <w:rsid w:val="00515EF6"/>
    <w:rsid w:val="0051606C"/>
    <w:rsid w:val="005162DD"/>
    <w:rsid w:val="00516969"/>
    <w:rsid w:val="005170AA"/>
    <w:rsid w:val="00520083"/>
    <w:rsid w:val="00520AC0"/>
    <w:rsid w:val="005213F3"/>
    <w:rsid w:val="00521CFA"/>
    <w:rsid w:val="00522691"/>
    <w:rsid w:val="00522B00"/>
    <w:rsid w:val="0052300B"/>
    <w:rsid w:val="0052325C"/>
    <w:rsid w:val="00523BB1"/>
    <w:rsid w:val="00523F55"/>
    <w:rsid w:val="005242D8"/>
    <w:rsid w:val="0052453D"/>
    <w:rsid w:val="00524548"/>
    <w:rsid w:val="005250BA"/>
    <w:rsid w:val="005252A8"/>
    <w:rsid w:val="0052614A"/>
    <w:rsid w:val="005268D0"/>
    <w:rsid w:val="0052712A"/>
    <w:rsid w:val="005300DD"/>
    <w:rsid w:val="00530B81"/>
    <w:rsid w:val="00531BE1"/>
    <w:rsid w:val="0053270B"/>
    <w:rsid w:val="00532D1B"/>
    <w:rsid w:val="00532D63"/>
    <w:rsid w:val="00533263"/>
    <w:rsid w:val="005332AD"/>
    <w:rsid w:val="005334CF"/>
    <w:rsid w:val="005347B3"/>
    <w:rsid w:val="0053515C"/>
    <w:rsid w:val="005354FD"/>
    <w:rsid w:val="0053597B"/>
    <w:rsid w:val="005362E3"/>
    <w:rsid w:val="005369A7"/>
    <w:rsid w:val="00537631"/>
    <w:rsid w:val="00537EBF"/>
    <w:rsid w:val="0054008B"/>
    <w:rsid w:val="005402CD"/>
    <w:rsid w:val="00540B8B"/>
    <w:rsid w:val="00542421"/>
    <w:rsid w:val="005424C7"/>
    <w:rsid w:val="0054287D"/>
    <w:rsid w:val="00543634"/>
    <w:rsid w:val="00543D65"/>
    <w:rsid w:val="00543FE2"/>
    <w:rsid w:val="005450DB"/>
    <w:rsid w:val="00546024"/>
    <w:rsid w:val="005460B4"/>
    <w:rsid w:val="005460F3"/>
    <w:rsid w:val="005464CE"/>
    <w:rsid w:val="0054678E"/>
    <w:rsid w:val="00546B5B"/>
    <w:rsid w:val="00546C91"/>
    <w:rsid w:val="00546D46"/>
    <w:rsid w:val="005477ED"/>
    <w:rsid w:val="00547ECC"/>
    <w:rsid w:val="005500AB"/>
    <w:rsid w:val="0055019D"/>
    <w:rsid w:val="00550C56"/>
    <w:rsid w:val="00551079"/>
    <w:rsid w:val="00551A12"/>
    <w:rsid w:val="0055317D"/>
    <w:rsid w:val="0055361F"/>
    <w:rsid w:val="005553EE"/>
    <w:rsid w:val="00555D3F"/>
    <w:rsid w:val="00555FCC"/>
    <w:rsid w:val="00556694"/>
    <w:rsid w:val="005568E4"/>
    <w:rsid w:val="00556EA0"/>
    <w:rsid w:val="00556FF7"/>
    <w:rsid w:val="00557251"/>
    <w:rsid w:val="0055779E"/>
    <w:rsid w:val="00557F97"/>
    <w:rsid w:val="00560D86"/>
    <w:rsid w:val="0056140C"/>
    <w:rsid w:val="0056168C"/>
    <w:rsid w:val="00561F5A"/>
    <w:rsid w:val="00561F70"/>
    <w:rsid w:val="00562FA5"/>
    <w:rsid w:val="005633AA"/>
    <w:rsid w:val="00563BA7"/>
    <w:rsid w:val="0056474E"/>
    <w:rsid w:val="0056614C"/>
    <w:rsid w:val="00566526"/>
    <w:rsid w:val="0056664B"/>
    <w:rsid w:val="00567192"/>
    <w:rsid w:val="005702E1"/>
    <w:rsid w:val="00570839"/>
    <w:rsid w:val="00571689"/>
    <w:rsid w:val="00571E38"/>
    <w:rsid w:val="00571E4E"/>
    <w:rsid w:val="00571E95"/>
    <w:rsid w:val="005720EA"/>
    <w:rsid w:val="00572D24"/>
    <w:rsid w:val="0057355E"/>
    <w:rsid w:val="00573B75"/>
    <w:rsid w:val="005746E3"/>
    <w:rsid w:val="00574A16"/>
    <w:rsid w:val="0057565A"/>
    <w:rsid w:val="005762CE"/>
    <w:rsid w:val="005766C4"/>
    <w:rsid w:val="005766DE"/>
    <w:rsid w:val="005766F3"/>
    <w:rsid w:val="0057679E"/>
    <w:rsid w:val="00577897"/>
    <w:rsid w:val="005778B4"/>
    <w:rsid w:val="00577C72"/>
    <w:rsid w:val="00577DDA"/>
    <w:rsid w:val="0058061E"/>
    <w:rsid w:val="00580771"/>
    <w:rsid w:val="0058109F"/>
    <w:rsid w:val="005810BE"/>
    <w:rsid w:val="005813B4"/>
    <w:rsid w:val="00581493"/>
    <w:rsid w:val="005818B5"/>
    <w:rsid w:val="00581E1D"/>
    <w:rsid w:val="00582217"/>
    <w:rsid w:val="00582807"/>
    <w:rsid w:val="0058326D"/>
    <w:rsid w:val="00583406"/>
    <w:rsid w:val="005836BB"/>
    <w:rsid w:val="00583B48"/>
    <w:rsid w:val="00583E6D"/>
    <w:rsid w:val="0058424C"/>
    <w:rsid w:val="0058583F"/>
    <w:rsid w:val="00585C2D"/>
    <w:rsid w:val="00586E8E"/>
    <w:rsid w:val="00587470"/>
    <w:rsid w:val="0058751A"/>
    <w:rsid w:val="00587BB8"/>
    <w:rsid w:val="005902C9"/>
    <w:rsid w:val="005903F1"/>
    <w:rsid w:val="00590DF7"/>
    <w:rsid w:val="00590DFD"/>
    <w:rsid w:val="00591027"/>
    <w:rsid w:val="00591876"/>
    <w:rsid w:val="00592D51"/>
    <w:rsid w:val="00592E70"/>
    <w:rsid w:val="00593EF7"/>
    <w:rsid w:val="00594036"/>
    <w:rsid w:val="00594A28"/>
    <w:rsid w:val="00596048"/>
    <w:rsid w:val="00596276"/>
    <w:rsid w:val="0059696E"/>
    <w:rsid w:val="00597B1E"/>
    <w:rsid w:val="005A0158"/>
    <w:rsid w:val="005A06A6"/>
    <w:rsid w:val="005A1274"/>
    <w:rsid w:val="005A142D"/>
    <w:rsid w:val="005A2A8A"/>
    <w:rsid w:val="005A2F1E"/>
    <w:rsid w:val="005A4ADE"/>
    <w:rsid w:val="005A5D7D"/>
    <w:rsid w:val="005A6FC6"/>
    <w:rsid w:val="005A78C3"/>
    <w:rsid w:val="005B0608"/>
    <w:rsid w:val="005B08FB"/>
    <w:rsid w:val="005B09D9"/>
    <w:rsid w:val="005B0A99"/>
    <w:rsid w:val="005B14A2"/>
    <w:rsid w:val="005B1595"/>
    <w:rsid w:val="005B1BBA"/>
    <w:rsid w:val="005B1C7B"/>
    <w:rsid w:val="005B307E"/>
    <w:rsid w:val="005B3D51"/>
    <w:rsid w:val="005B3FEA"/>
    <w:rsid w:val="005B4247"/>
    <w:rsid w:val="005B5318"/>
    <w:rsid w:val="005B5347"/>
    <w:rsid w:val="005B5459"/>
    <w:rsid w:val="005B5DB7"/>
    <w:rsid w:val="005B5EF4"/>
    <w:rsid w:val="005B67D8"/>
    <w:rsid w:val="005B6DC9"/>
    <w:rsid w:val="005B6F0D"/>
    <w:rsid w:val="005B70CB"/>
    <w:rsid w:val="005B7F33"/>
    <w:rsid w:val="005C015C"/>
    <w:rsid w:val="005C100A"/>
    <w:rsid w:val="005C12AB"/>
    <w:rsid w:val="005C12B5"/>
    <w:rsid w:val="005C159F"/>
    <w:rsid w:val="005C1663"/>
    <w:rsid w:val="005C2792"/>
    <w:rsid w:val="005C2B61"/>
    <w:rsid w:val="005C3854"/>
    <w:rsid w:val="005C38A2"/>
    <w:rsid w:val="005C3BFE"/>
    <w:rsid w:val="005C3C93"/>
    <w:rsid w:val="005C5209"/>
    <w:rsid w:val="005C6271"/>
    <w:rsid w:val="005C64F6"/>
    <w:rsid w:val="005C66DC"/>
    <w:rsid w:val="005C68DA"/>
    <w:rsid w:val="005C6F60"/>
    <w:rsid w:val="005C7155"/>
    <w:rsid w:val="005C7299"/>
    <w:rsid w:val="005C7817"/>
    <w:rsid w:val="005C7870"/>
    <w:rsid w:val="005D04E0"/>
    <w:rsid w:val="005D0691"/>
    <w:rsid w:val="005D1AB3"/>
    <w:rsid w:val="005D1BC3"/>
    <w:rsid w:val="005D1D20"/>
    <w:rsid w:val="005D2334"/>
    <w:rsid w:val="005D252E"/>
    <w:rsid w:val="005D40B5"/>
    <w:rsid w:val="005D44DC"/>
    <w:rsid w:val="005D5E40"/>
    <w:rsid w:val="005D6299"/>
    <w:rsid w:val="005D6422"/>
    <w:rsid w:val="005D676A"/>
    <w:rsid w:val="005D6950"/>
    <w:rsid w:val="005D6EB1"/>
    <w:rsid w:val="005D7528"/>
    <w:rsid w:val="005D7639"/>
    <w:rsid w:val="005D7D84"/>
    <w:rsid w:val="005E0464"/>
    <w:rsid w:val="005E20A5"/>
    <w:rsid w:val="005E462E"/>
    <w:rsid w:val="005E4B82"/>
    <w:rsid w:val="005E4BBE"/>
    <w:rsid w:val="005E57C6"/>
    <w:rsid w:val="005E63AB"/>
    <w:rsid w:val="005E6C4B"/>
    <w:rsid w:val="005E7788"/>
    <w:rsid w:val="005E7F88"/>
    <w:rsid w:val="005F00EC"/>
    <w:rsid w:val="005F0A70"/>
    <w:rsid w:val="005F12E4"/>
    <w:rsid w:val="005F1DC5"/>
    <w:rsid w:val="005F4D0B"/>
    <w:rsid w:val="005F51EF"/>
    <w:rsid w:val="005F5271"/>
    <w:rsid w:val="005F5CAF"/>
    <w:rsid w:val="005F5E5E"/>
    <w:rsid w:val="005F5E74"/>
    <w:rsid w:val="005F6FAD"/>
    <w:rsid w:val="005F7218"/>
    <w:rsid w:val="005F72A7"/>
    <w:rsid w:val="005F7DC4"/>
    <w:rsid w:val="00600004"/>
    <w:rsid w:val="00600C49"/>
    <w:rsid w:val="00601824"/>
    <w:rsid w:val="00601B5A"/>
    <w:rsid w:val="00601E11"/>
    <w:rsid w:val="00601EE2"/>
    <w:rsid w:val="00601FE5"/>
    <w:rsid w:val="00602597"/>
    <w:rsid w:val="00602630"/>
    <w:rsid w:val="00603674"/>
    <w:rsid w:val="00603744"/>
    <w:rsid w:val="00603978"/>
    <w:rsid w:val="00604E27"/>
    <w:rsid w:val="0060677F"/>
    <w:rsid w:val="00606E52"/>
    <w:rsid w:val="00607DE4"/>
    <w:rsid w:val="0061080A"/>
    <w:rsid w:val="00611772"/>
    <w:rsid w:val="00611926"/>
    <w:rsid w:val="006122D0"/>
    <w:rsid w:val="006125BA"/>
    <w:rsid w:val="00613170"/>
    <w:rsid w:val="0061330D"/>
    <w:rsid w:val="006138C9"/>
    <w:rsid w:val="00613CD3"/>
    <w:rsid w:val="006140FF"/>
    <w:rsid w:val="006149BC"/>
    <w:rsid w:val="00614CA7"/>
    <w:rsid w:val="006156F5"/>
    <w:rsid w:val="006161DD"/>
    <w:rsid w:val="006163F4"/>
    <w:rsid w:val="00616DC3"/>
    <w:rsid w:val="00617DDA"/>
    <w:rsid w:val="006200B4"/>
    <w:rsid w:val="006207DB"/>
    <w:rsid w:val="00621E09"/>
    <w:rsid w:val="00621FE5"/>
    <w:rsid w:val="006220E6"/>
    <w:rsid w:val="00622657"/>
    <w:rsid w:val="00622C54"/>
    <w:rsid w:val="00623D01"/>
    <w:rsid w:val="00623E87"/>
    <w:rsid w:val="006249D7"/>
    <w:rsid w:val="00624FF7"/>
    <w:rsid w:val="006258F5"/>
    <w:rsid w:val="00626137"/>
    <w:rsid w:val="00626414"/>
    <w:rsid w:val="0062673A"/>
    <w:rsid w:val="00626DF9"/>
    <w:rsid w:val="006272C8"/>
    <w:rsid w:val="006272D3"/>
    <w:rsid w:val="00627449"/>
    <w:rsid w:val="00627512"/>
    <w:rsid w:val="0063017F"/>
    <w:rsid w:val="00630A13"/>
    <w:rsid w:val="00630C1B"/>
    <w:rsid w:val="00630E5E"/>
    <w:rsid w:val="0063119B"/>
    <w:rsid w:val="00631845"/>
    <w:rsid w:val="00631E60"/>
    <w:rsid w:val="0063357F"/>
    <w:rsid w:val="00633739"/>
    <w:rsid w:val="00634437"/>
    <w:rsid w:val="006346AA"/>
    <w:rsid w:val="00634DBD"/>
    <w:rsid w:val="00635129"/>
    <w:rsid w:val="006358A9"/>
    <w:rsid w:val="00636F97"/>
    <w:rsid w:val="006372E1"/>
    <w:rsid w:val="006379EF"/>
    <w:rsid w:val="006401A5"/>
    <w:rsid w:val="00640834"/>
    <w:rsid w:val="00640C10"/>
    <w:rsid w:val="00640DE8"/>
    <w:rsid w:val="00641000"/>
    <w:rsid w:val="00641391"/>
    <w:rsid w:val="00641B93"/>
    <w:rsid w:val="00642848"/>
    <w:rsid w:val="00642C78"/>
    <w:rsid w:val="006431CD"/>
    <w:rsid w:val="00643E27"/>
    <w:rsid w:val="00643E28"/>
    <w:rsid w:val="0064462F"/>
    <w:rsid w:val="00644B46"/>
    <w:rsid w:val="00645B95"/>
    <w:rsid w:val="00646683"/>
    <w:rsid w:val="00647700"/>
    <w:rsid w:val="00647E07"/>
    <w:rsid w:val="006501D5"/>
    <w:rsid w:val="00650AF1"/>
    <w:rsid w:val="00650E57"/>
    <w:rsid w:val="00650E8C"/>
    <w:rsid w:val="00651577"/>
    <w:rsid w:val="0065289D"/>
    <w:rsid w:val="00652B3C"/>
    <w:rsid w:val="00652EAD"/>
    <w:rsid w:val="00653525"/>
    <w:rsid w:val="00653D75"/>
    <w:rsid w:val="00654D4F"/>
    <w:rsid w:val="00655703"/>
    <w:rsid w:val="00655D6E"/>
    <w:rsid w:val="006562EB"/>
    <w:rsid w:val="006568D5"/>
    <w:rsid w:val="00656C24"/>
    <w:rsid w:val="00656CE5"/>
    <w:rsid w:val="00656E54"/>
    <w:rsid w:val="00657438"/>
    <w:rsid w:val="00657C84"/>
    <w:rsid w:val="006600FA"/>
    <w:rsid w:val="00660478"/>
    <w:rsid w:val="00660A0E"/>
    <w:rsid w:val="00661945"/>
    <w:rsid w:val="006619A7"/>
    <w:rsid w:val="00661F1A"/>
    <w:rsid w:val="00663065"/>
    <w:rsid w:val="00663928"/>
    <w:rsid w:val="006640F5"/>
    <w:rsid w:val="006661F5"/>
    <w:rsid w:val="006670CD"/>
    <w:rsid w:val="00667528"/>
    <w:rsid w:val="006677E0"/>
    <w:rsid w:val="0066783C"/>
    <w:rsid w:val="00667B90"/>
    <w:rsid w:val="006703B3"/>
    <w:rsid w:val="006704B1"/>
    <w:rsid w:val="0067053F"/>
    <w:rsid w:val="00670CAB"/>
    <w:rsid w:val="00671311"/>
    <w:rsid w:val="00671D6A"/>
    <w:rsid w:val="00672CA3"/>
    <w:rsid w:val="006733A7"/>
    <w:rsid w:val="00673B39"/>
    <w:rsid w:val="00673CAA"/>
    <w:rsid w:val="00674552"/>
    <w:rsid w:val="00674690"/>
    <w:rsid w:val="00674A0E"/>
    <w:rsid w:val="006751A4"/>
    <w:rsid w:val="00675855"/>
    <w:rsid w:val="0067641A"/>
    <w:rsid w:val="00676EB2"/>
    <w:rsid w:val="00677502"/>
    <w:rsid w:val="0067778C"/>
    <w:rsid w:val="00680166"/>
    <w:rsid w:val="00680AB6"/>
    <w:rsid w:val="00680E49"/>
    <w:rsid w:val="00680EB7"/>
    <w:rsid w:val="00681482"/>
    <w:rsid w:val="006819DB"/>
    <w:rsid w:val="00681AF6"/>
    <w:rsid w:val="00681EEA"/>
    <w:rsid w:val="00682300"/>
    <w:rsid w:val="00682880"/>
    <w:rsid w:val="00684883"/>
    <w:rsid w:val="0068497E"/>
    <w:rsid w:val="00684B7D"/>
    <w:rsid w:val="00684E89"/>
    <w:rsid w:val="006850C0"/>
    <w:rsid w:val="0068574D"/>
    <w:rsid w:val="006877B5"/>
    <w:rsid w:val="00687BD2"/>
    <w:rsid w:val="00687E76"/>
    <w:rsid w:val="00690165"/>
    <w:rsid w:val="00690701"/>
    <w:rsid w:val="00690B87"/>
    <w:rsid w:val="00690EF1"/>
    <w:rsid w:val="00691116"/>
    <w:rsid w:val="00692657"/>
    <w:rsid w:val="00692D5D"/>
    <w:rsid w:val="0069495D"/>
    <w:rsid w:val="00694A45"/>
    <w:rsid w:val="00695A53"/>
    <w:rsid w:val="00695C2B"/>
    <w:rsid w:val="00695C9D"/>
    <w:rsid w:val="00696768"/>
    <w:rsid w:val="00696C93"/>
    <w:rsid w:val="00697054"/>
    <w:rsid w:val="006978B3"/>
    <w:rsid w:val="00697ED5"/>
    <w:rsid w:val="006A06C2"/>
    <w:rsid w:val="006A1030"/>
    <w:rsid w:val="006A13A4"/>
    <w:rsid w:val="006A1FCB"/>
    <w:rsid w:val="006A28A3"/>
    <w:rsid w:val="006A2A4B"/>
    <w:rsid w:val="006A2B2F"/>
    <w:rsid w:val="006A2C34"/>
    <w:rsid w:val="006A2CEB"/>
    <w:rsid w:val="006A360C"/>
    <w:rsid w:val="006A37FB"/>
    <w:rsid w:val="006A48B7"/>
    <w:rsid w:val="006A5786"/>
    <w:rsid w:val="006A646D"/>
    <w:rsid w:val="006A6D82"/>
    <w:rsid w:val="006A7913"/>
    <w:rsid w:val="006A7CCF"/>
    <w:rsid w:val="006B004D"/>
    <w:rsid w:val="006B05F2"/>
    <w:rsid w:val="006B0611"/>
    <w:rsid w:val="006B0C80"/>
    <w:rsid w:val="006B10B3"/>
    <w:rsid w:val="006B18DE"/>
    <w:rsid w:val="006B2067"/>
    <w:rsid w:val="006B311D"/>
    <w:rsid w:val="006B331E"/>
    <w:rsid w:val="006B3691"/>
    <w:rsid w:val="006B3A92"/>
    <w:rsid w:val="006B4342"/>
    <w:rsid w:val="006B4F94"/>
    <w:rsid w:val="006B52D3"/>
    <w:rsid w:val="006B5633"/>
    <w:rsid w:val="006B65EC"/>
    <w:rsid w:val="006B6743"/>
    <w:rsid w:val="006B6A21"/>
    <w:rsid w:val="006B6DD9"/>
    <w:rsid w:val="006B7440"/>
    <w:rsid w:val="006B77A4"/>
    <w:rsid w:val="006C0385"/>
    <w:rsid w:val="006C044D"/>
    <w:rsid w:val="006C0F23"/>
    <w:rsid w:val="006C1663"/>
    <w:rsid w:val="006C2C6A"/>
    <w:rsid w:val="006C394A"/>
    <w:rsid w:val="006C48B0"/>
    <w:rsid w:val="006C5C9F"/>
    <w:rsid w:val="006C5CAD"/>
    <w:rsid w:val="006C67A4"/>
    <w:rsid w:val="006C6D77"/>
    <w:rsid w:val="006C72EB"/>
    <w:rsid w:val="006D010A"/>
    <w:rsid w:val="006D0FAB"/>
    <w:rsid w:val="006D12FA"/>
    <w:rsid w:val="006D13DC"/>
    <w:rsid w:val="006D1666"/>
    <w:rsid w:val="006D1668"/>
    <w:rsid w:val="006D1EF6"/>
    <w:rsid w:val="006D2317"/>
    <w:rsid w:val="006D25EF"/>
    <w:rsid w:val="006D2D45"/>
    <w:rsid w:val="006D2FA6"/>
    <w:rsid w:val="006D3081"/>
    <w:rsid w:val="006D32A7"/>
    <w:rsid w:val="006D39DC"/>
    <w:rsid w:val="006D3AF1"/>
    <w:rsid w:val="006D3D76"/>
    <w:rsid w:val="006D411B"/>
    <w:rsid w:val="006D4DDD"/>
    <w:rsid w:val="006D4E37"/>
    <w:rsid w:val="006D52FE"/>
    <w:rsid w:val="006D55A6"/>
    <w:rsid w:val="006D5794"/>
    <w:rsid w:val="006D6050"/>
    <w:rsid w:val="006D68E3"/>
    <w:rsid w:val="006D6CBA"/>
    <w:rsid w:val="006E0079"/>
    <w:rsid w:val="006E024E"/>
    <w:rsid w:val="006E028D"/>
    <w:rsid w:val="006E1010"/>
    <w:rsid w:val="006E160F"/>
    <w:rsid w:val="006E1E6E"/>
    <w:rsid w:val="006E1F64"/>
    <w:rsid w:val="006E2C08"/>
    <w:rsid w:val="006E309E"/>
    <w:rsid w:val="006E31DD"/>
    <w:rsid w:val="006E34C8"/>
    <w:rsid w:val="006E3EC8"/>
    <w:rsid w:val="006E5043"/>
    <w:rsid w:val="006E5169"/>
    <w:rsid w:val="006E5509"/>
    <w:rsid w:val="006E5784"/>
    <w:rsid w:val="006E73B3"/>
    <w:rsid w:val="006E75B5"/>
    <w:rsid w:val="006E78E0"/>
    <w:rsid w:val="006E7BFA"/>
    <w:rsid w:val="006F07E6"/>
    <w:rsid w:val="006F099E"/>
    <w:rsid w:val="006F0B8B"/>
    <w:rsid w:val="006F1602"/>
    <w:rsid w:val="006F19E3"/>
    <w:rsid w:val="006F22A7"/>
    <w:rsid w:val="006F23FD"/>
    <w:rsid w:val="006F2490"/>
    <w:rsid w:val="006F2A6C"/>
    <w:rsid w:val="006F2EC1"/>
    <w:rsid w:val="006F32F7"/>
    <w:rsid w:val="006F3A67"/>
    <w:rsid w:val="006F444A"/>
    <w:rsid w:val="006F4A63"/>
    <w:rsid w:val="006F4CB9"/>
    <w:rsid w:val="006F505B"/>
    <w:rsid w:val="006F5B0E"/>
    <w:rsid w:val="006F5D8A"/>
    <w:rsid w:val="006F62D3"/>
    <w:rsid w:val="006F639D"/>
    <w:rsid w:val="006F75BD"/>
    <w:rsid w:val="007015C9"/>
    <w:rsid w:val="00701787"/>
    <w:rsid w:val="0070250E"/>
    <w:rsid w:val="00702809"/>
    <w:rsid w:val="007033C6"/>
    <w:rsid w:val="007034BF"/>
    <w:rsid w:val="00703A8B"/>
    <w:rsid w:val="00704323"/>
    <w:rsid w:val="00704840"/>
    <w:rsid w:val="00704F10"/>
    <w:rsid w:val="00705DA7"/>
    <w:rsid w:val="00706079"/>
    <w:rsid w:val="007069F5"/>
    <w:rsid w:val="00706C90"/>
    <w:rsid w:val="00706D20"/>
    <w:rsid w:val="00706D47"/>
    <w:rsid w:val="00710189"/>
    <w:rsid w:val="007111D0"/>
    <w:rsid w:val="00711C88"/>
    <w:rsid w:val="00711F49"/>
    <w:rsid w:val="0071229A"/>
    <w:rsid w:val="007125DC"/>
    <w:rsid w:val="007126EC"/>
    <w:rsid w:val="007127A1"/>
    <w:rsid w:val="0071299D"/>
    <w:rsid w:val="00712DBF"/>
    <w:rsid w:val="007140D5"/>
    <w:rsid w:val="00714107"/>
    <w:rsid w:val="0071421C"/>
    <w:rsid w:val="0071433D"/>
    <w:rsid w:val="0071450F"/>
    <w:rsid w:val="00714EC3"/>
    <w:rsid w:val="007158E7"/>
    <w:rsid w:val="00715E11"/>
    <w:rsid w:val="007163CF"/>
    <w:rsid w:val="0071657A"/>
    <w:rsid w:val="00716735"/>
    <w:rsid w:val="0071690E"/>
    <w:rsid w:val="00716A41"/>
    <w:rsid w:val="00716BA1"/>
    <w:rsid w:val="00717495"/>
    <w:rsid w:val="00720170"/>
    <w:rsid w:val="007207A3"/>
    <w:rsid w:val="00720900"/>
    <w:rsid w:val="00720BE4"/>
    <w:rsid w:val="00720F8F"/>
    <w:rsid w:val="007214C7"/>
    <w:rsid w:val="0072202E"/>
    <w:rsid w:val="0072416C"/>
    <w:rsid w:val="0072442B"/>
    <w:rsid w:val="00725C5F"/>
    <w:rsid w:val="007266C7"/>
    <w:rsid w:val="007268E3"/>
    <w:rsid w:val="00726A08"/>
    <w:rsid w:val="00726C17"/>
    <w:rsid w:val="007309F4"/>
    <w:rsid w:val="0073111E"/>
    <w:rsid w:val="007318D0"/>
    <w:rsid w:val="00731ADE"/>
    <w:rsid w:val="00731DCA"/>
    <w:rsid w:val="007321EB"/>
    <w:rsid w:val="007322A4"/>
    <w:rsid w:val="00732858"/>
    <w:rsid w:val="00732A2F"/>
    <w:rsid w:val="00732DDB"/>
    <w:rsid w:val="007335F2"/>
    <w:rsid w:val="00733AAB"/>
    <w:rsid w:val="00733D0B"/>
    <w:rsid w:val="00736803"/>
    <w:rsid w:val="00736C3E"/>
    <w:rsid w:val="00736EFD"/>
    <w:rsid w:val="0073713C"/>
    <w:rsid w:val="007374B4"/>
    <w:rsid w:val="00737E2B"/>
    <w:rsid w:val="0074035A"/>
    <w:rsid w:val="007404B4"/>
    <w:rsid w:val="00740C02"/>
    <w:rsid w:val="00740D34"/>
    <w:rsid w:val="00740D66"/>
    <w:rsid w:val="00741530"/>
    <w:rsid w:val="00742445"/>
    <w:rsid w:val="007425F3"/>
    <w:rsid w:val="00743819"/>
    <w:rsid w:val="00744E67"/>
    <w:rsid w:val="00745082"/>
    <w:rsid w:val="007454A5"/>
    <w:rsid w:val="00745D64"/>
    <w:rsid w:val="00745FAD"/>
    <w:rsid w:val="00746822"/>
    <w:rsid w:val="007516CA"/>
    <w:rsid w:val="0075268D"/>
    <w:rsid w:val="007526AC"/>
    <w:rsid w:val="0075321C"/>
    <w:rsid w:val="00753370"/>
    <w:rsid w:val="00753DDD"/>
    <w:rsid w:val="00754555"/>
    <w:rsid w:val="00754E0E"/>
    <w:rsid w:val="00755DF4"/>
    <w:rsid w:val="00756D43"/>
    <w:rsid w:val="00756D7E"/>
    <w:rsid w:val="0075711E"/>
    <w:rsid w:val="00760401"/>
    <w:rsid w:val="0076085D"/>
    <w:rsid w:val="00761B9B"/>
    <w:rsid w:val="007620FC"/>
    <w:rsid w:val="0076246B"/>
    <w:rsid w:val="00762BF6"/>
    <w:rsid w:val="00763389"/>
    <w:rsid w:val="0076368A"/>
    <w:rsid w:val="0076385B"/>
    <w:rsid w:val="00764EC9"/>
    <w:rsid w:val="0076789D"/>
    <w:rsid w:val="00767D16"/>
    <w:rsid w:val="00767FFE"/>
    <w:rsid w:val="00770A81"/>
    <w:rsid w:val="00771071"/>
    <w:rsid w:val="0077147D"/>
    <w:rsid w:val="007719DD"/>
    <w:rsid w:val="00771C3B"/>
    <w:rsid w:val="00772065"/>
    <w:rsid w:val="007726B1"/>
    <w:rsid w:val="0077276B"/>
    <w:rsid w:val="0077413A"/>
    <w:rsid w:val="0077467B"/>
    <w:rsid w:val="00776856"/>
    <w:rsid w:val="00776978"/>
    <w:rsid w:val="00776E11"/>
    <w:rsid w:val="007779E4"/>
    <w:rsid w:val="00777C74"/>
    <w:rsid w:val="007800AD"/>
    <w:rsid w:val="00780217"/>
    <w:rsid w:val="00780293"/>
    <w:rsid w:val="0078113C"/>
    <w:rsid w:val="0078167A"/>
    <w:rsid w:val="00781EA2"/>
    <w:rsid w:val="007824D9"/>
    <w:rsid w:val="007827F5"/>
    <w:rsid w:val="0078285E"/>
    <w:rsid w:val="00782BA4"/>
    <w:rsid w:val="007830B5"/>
    <w:rsid w:val="007837D8"/>
    <w:rsid w:val="007841BC"/>
    <w:rsid w:val="007841EC"/>
    <w:rsid w:val="00784286"/>
    <w:rsid w:val="00784B81"/>
    <w:rsid w:val="007852CF"/>
    <w:rsid w:val="007860CD"/>
    <w:rsid w:val="0078669F"/>
    <w:rsid w:val="00786AD9"/>
    <w:rsid w:val="007876E6"/>
    <w:rsid w:val="0079166F"/>
    <w:rsid w:val="00791887"/>
    <w:rsid w:val="007920E8"/>
    <w:rsid w:val="00792E06"/>
    <w:rsid w:val="00793A04"/>
    <w:rsid w:val="00793D10"/>
    <w:rsid w:val="00793EB9"/>
    <w:rsid w:val="00793F92"/>
    <w:rsid w:val="00794249"/>
    <w:rsid w:val="00794B90"/>
    <w:rsid w:val="007951E4"/>
    <w:rsid w:val="00796748"/>
    <w:rsid w:val="0079691A"/>
    <w:rsid w:val="007970A7"/>
    <w:rsid w:val="007972CA"/>
    <w:rsid w:val="007974CE"/>
    <w:rsid w:val="007A0DAD"/>
    <w:rsid w:val="007A0E74"/>
    <w:rsid w:val="007A1B81"/>
    <w:rsid w:val="007A21D2"/>
    <w:rsid w:val="007A288B"/>
    <w:rsid w:val="007A30E2"/>
    <w:rsid w:val="007A34AB"/>
    <w:rsid w:val="007A38CD"/>
    <w:rsid w:val="007A3E3C"/>
    <w:rsid w:val="007A5142"/>
    <w:rsid w:val="007A5792"/>
    <w:rsid w:val="007A6D05"/>
    <w:rsid w:val="007A7D6E"/>
    <w:rsid w:val="007B03EE"/>
    <w:rsid w:val="007B04AD"/>
    <w:rsid w:val="007B0988"/>
    <w:rsid w:val="007B0ADE"/>
    <w:rsid w:val="007B159D"/>
    <w:rsid w:val="007B23AE"/>
    <w:rsid w:val="007B33AF"/>
    <w:rsid w:val="007B4070"/>
    <w:rsid w:val="007B4986"/>
    <w:rsid w:val="007B4A7F"/>
    <w:rsid w:val="007B517A"/>
    <w:rsid w:val="007B522B"/>
    <w:rsid w:val="007B567E"/>
    <w:rsid w:val="007B5AF6"/>
    <w:rsid w:val="007B5B39"/>
    <w:rsid w:val="007B5D68"/>
    <w:rsid w:val="007B5FFF"/>
    <w:rsid w:val="007B64F9"/>
    <w:rsid w:val="007B67B7"/>
    <w:rsid w:val="007B75D3"/>
    <w:rsid w:val="007B75F7"/>
    <w:rsid w:val="007C0162"/>
    <w:rsid w:val="007C0343"/>
    <w:rsid w:val="007C045C"/>
    <w:rsid w:val="007C06C3"/>
    <w:rsid w:val="007C2164"/>
    <w:rsid w:val="007C233F"/>
    <w:rsid w:val="007C267B"/>
    <w:rsid w:val="007C2F17"/>
    <w:rsid w:val="007C39F3"/>
    <w:rsid w:val="007C3EFC"/>
    <w:rsid w:val="007C459E"/>
    <w:rsid w:val="007C4FAD"/>
    <w:rsid w:val="007C52E3"/>
    <w:rsid w:val="007C5B86"/>
    <w:rsid w:val="007C5BAC"/>
    <w:rsid w:val="007C5DE0"/>
    <w:rsid w:val="007C632B"/>
    <w:rsid w:val="007C666E"/>
    <w:rsid w:val="007C70B1"/>
    <w:rsid w:val="007C7700"/>
    <w:rsid w:val="007D0507"/>
    <w:rsid w:val="007D09FD"/>
    <w:rsid w:val="007D0C6D"/>
    <w:rsid w:val="007D0F33"/>
    <w:rsid w:val="007D11C1"/>
    <w:rsid w:val="007D1A14"/>
    <w:rsid w:val="007D32F2"/>
    <w:rsid w:val="007D33C8"/>
    <w:rsid w:val="007D373C"/>
    <w:rsid w:val="007D4475"/>
    <w:rsid w:val="007D5C3D"/>
    <w:rsid w:val="007D7A1C"/>
    <w:rsid w:val="007D7F7A"/>
    <w:rsid w:val="007E0118"/>
    <w:rsid w:val="007E081E"/>
    <w:rsid w:val="007E0DB4"/>
    <w:rsid w:val="007E0DE9"/>
    <w:rsid w:val="007E10C5"/>
    <w:rsid w:val="007E13AF"/>
    <w:rsid w:val="007E16AC"/>
    <w:rsid w:val="007E1ED7"/>
    <w:rsid w:val="007E208E"/>
    <w:rsid w:val="007E20AE"/>
    <w:rsid w:val="007E26F4"/>
    <w:rsid w:val="007E2C53"/>
    <w:rsid w:val="007E31B4"/>
    <w:rsid w:val="007E32CD"/>
    <w:rsid w:val="007E3753"/>
    <w:rsid w:val="007E43D4"/>
    <w:rsid w:val="007E5927"/>
    <w:rsid w:val="007E5CD3"/>
    <w:rsid w:val="007E73DD"/>
    <w:rsid w:val="007F020D"/>
    <w:rsid w:val="007F06D8"/>
    <w:rsid w:val="007F0B0F"/>
    <w:rsid w:val="007F0B14"/>
    <w:rsid w:val="007F0BD3"/>
    <w:rsid w:val="007F112A"/>
    <w:rsid w:val="007F15B3"/>
    <w:rsid w:val="007F1E41"/>
    <w:rsid w:val="007F3173"/>
    <w:rsid w:val="007F322C"/>
    <w:rsid w:val="007F3A0B"/>
    <w:rsid w:val="007F3E9D"/>
    <w:rsid w:val="007F5E99"/>
    <w:rsid w:val="007F5F8D"/>
    <w:rsid w:val="007F63B8"/>
    <w:rsid w:val="007F67B7"/>
    <w:rsid w:val="007F6CB0"/>
    <w:rsid w:val="007F7087"/>
    <w:rsid w:val="007F71AF"/>
    <w:rsid w:val="007F74B5"/>
    <w:rsid w:val="007F7716"/>
    <w:rsid w:val="007F7DC2"/>
    <w:rsid w:val="007F7F3F"/>
    <w:rsid w:val="00800A97"/>
    <w:rsid w:val="008014DE"/>
    <w:rsid w:val="00801954"/>
    <w:rsid w:val="008023FF"/>
    <w:rsid w:val="00802550"/>
    <w:rsid w:val="0080389E"/>
    <w:rsid w:val="00803BD0"/>
    <w:rsid w:val="008046D5"/>
    <w:rsid w:val="0080565C"/>
    <w:rsid w:val="008056DA"/>
    <w:rsid w:val="008058EB"/>
    <w:rsid w:val="008069B6"/>
    <w:rsid w:val="008070B7"/>
    <w:rsid w:val="00807AC1"/>
    <w:rsid w:val="00807B19"/>
    <w:rsid w:val="00807D22"/>
    <w:rsid w:val="00810A9F"/>
    <w:rsid w:val="00810B12"/>
    <w:rsid w:val="008121A9"/>
    <w:rsid w:val="008122AC"/>
    <w:rsid w:val="00812B94"/>
    <w:rsid w:val="00813766"/>
    <w:rsid w:val="008143F2"/>
    <w:rsid w:val="0081501A"/>
    <w:rsid w:val="0081514D"/>
    <w:rsid w:val="008152C5"/>
    <w:rsid w:val="00815EF6"/>
    <w:rsid w:val="00816EA5"/>
    <w:rsid w:val="00817948"/>
    <w:rsid w:val="00817F0A"/>
    <w:rsid w:val="00820041"/>
    <w:rsid w:val="008204D3"/>
    <w:rsid w:val="00820551"/>
    <w:rsid w:val="00821A0C"/>
    <w:rsid w:val="00822F6C"/>
    <w:rsid w:val="00823180"/>
    <w:rsid w:val="008246B9"/>
    <w:rsid w:val="008264E9"/>
    <w:rsid w:val="008266C9"/>
    <w:rsid w:val="00826D44"/>
    <w:rsid w:val="008276D8"/>
    <w:rsid w:val="008300D0"/>
    <w:rsid w:val="008304A9"/>
    <w:rsid w:val="00830720"/>
    <w:rsid w:val="0083088B"/>
    <w:rsid w:val="008312D7"/>
    <w:rsid w:val="008317EC"/>
    <w:rsid w:val="00831B8B"/>
    <w:rsid w:val="00832FD9"/>
    <w:rsid w:val="00834309"/>
    <w:rsid w:val="00834E85"/>
    <w:rsid w:val="00834EC6"/>
    <w:rsid w:val="00835276"/>
    <w:rsid w:val="00837686"/>
    <w:rsid w:val="00840137"/>
    <w:rsid w:val="00840565"/>
    <w:rsid w:val="00840CEA"/>
    <w:rsid w:val="00842726"/>
    <w:rsid w:val="00842925"/>
    <w:rsid w:val="00842961"/>
    <w:rsid w:val="00842A4B"/>
    <w:rsid w:val="0084358E"/>
    <w:rsid w:val="00844893"/>
    <w:rsid w:val="008449CD"/>
    <w:rsid w:val="008450A7"/>
    <w:rsid w:val="0084572E"/>
    <w:rsid w:val="0084634C"/>
    <w:rsid w:val="0084663E"/>
    <w:rsid w:val="00846C25"/>
    <w:rsid w:val="00846EC6"/>
    <w:rsid w:val="00847124"/>
    <w:rsid w:val="008472A9"/>
    <w:rsid w:val="00850969"/>
    <w:rsid w:val="00851792"/>
    <w:rsid w:val="008517F5"/>
    <w:rsid w:val="008525AC"/>
    <w:rsid w:val="0085267F"/>
    <w:rsid w:val="00855301"/>
    <w:rsid w:val="00855F38"/>
    <w:rsid w:val="008560EB"/>
    <w:rsid w:val="00856C79"/>
    <w:rsid w:val="00856F7C"/>
    <w:rsid w:val="00857B7B"/>
    <w:rsid w:val="0086001C"/>
    <w:rsid w:val="008601E5"/>
    <w:rsid w:val="00860E27"/>
    <w:rsid w:val="00861E51"/>
    <w:rsid w:val="00863AAF"/>
    <w:rsid w:val="00863FF4"/>
    <w:rsid w:val="00864EAD"/>
    <w:rsid w:val="00865876"/>
    <w:rsid w:val="00865F36"/>
    <w:rsid w:val="00866140"/>
    <w:rsid w:val="00866B62"/>
    <w:rsid w:val="00867EAC"/>
    <w:rsid w:val="00870332"/>
    <w:rsid w:val="008703C0"/>
    <w:rsid w:val="00870879"/>
    <w:rsid w:val="00870E3F"/>
    <w:rsid w:val="008717E1"/>
    <w:rsid w:val="008719F4"/>
    <w:rsid w:val="00871C02"/>
    <w:rsid w:val="00871DDC"/>
    <w:rsid w:val="008720B3"/>
    <w:rsid w:val="0087243C"/>
    <w:rsid w:val="0087258A"/>
    <w:rsid w:val="00872BA8"/>
    <w:rsid w:val="00873227"/>
    <w:rsid w:val="008745AF"/>
    <w:rsid w:val="00874742"/>
    <w:rsid w:val="00874E23"/>
    <w:rsid w:val="00874F79"/>
    <w:rsid w:val="00875B66"/>
    <w:rsid w:val="00877C51"/>
    <w:rsid w:val="00877DB3"/>
    <w:rsid w:val="00881278"/>
    <w:rsid w:val="00881821"/>
    <w:rsid w:val="00882217"/>
    <w:rsid w:val="00882706"/>
    <w:rsid w:val="00882AAB"/>
    <w:rsid w:val="00882FBD"/>
    <w:rsid w:val="00882FFD"/>
    <w:rsid w:val="0088302B"/>
    <w:rsid w:val="00883A30"/>
    <w:rsid w:val="008844C4"/>
    <w:rsid w:val="00884C39"/>
    <w:rsid w:val="00884FB5"/>
    <w:rsid w:val="00885A54"/>
    <w:rsid w:val="00886145"/>
    <w:rsid w:val="00886497"/>
    <w:rsid w:val="00886906"/>
    <w:rsid w:val="00887130"/>
    <w:rsid w:val="008872ED"/>
    <w:rsid w:val="0089002D"/>
    <w:rsid w:val="00890CA8"/>
    <w:rsid w:val="0089135C"/>
    <w:rsid w:val="00892082"/>
    <w:rsid w:val="008921B7"/>
    <w:rsid w:val="0089294A"/>
    <w:rsid w:val="00892CC9"/>
    <w:rsid w:val="00892CFD"/>
    <w:rsid w:val="0089354A"/>
    <w:rsid w:val="00893B16"/>
    <w:rsid w:val="0089486C"/>
    <w:rsid w:val="00896CBF"/>
    <w:rsid w:val="00896FB4"/>
    <w:rsid w:val="008976C4"/>
    <w:rsid w:val="008978BB"/>
    <w:rsid w:val="00897B9C"/>
    <w:rsid w:val="008A0172"/>
    <w:rsid w:val="008A07C8"/>
    <w:rsid w:val="008A1D59"/>
    <w:rsid w:val="008A2552"/>
    <w:rsid w:val="008A3D20"/>
    <w:rsid w:val="008A5560"/>
    <w:rsid w:val="008A5D4D"/>
    <w:rsid w:val="008A62EA"/>
    <w:rsid w:val="008A6476"/>
    <w:rsid w:val="008A6A1D"/>
    <w:rsid w:val="008B08BB"/>
    <w:rsid w:val="008B2038"/>
    <w:rsid w:val="008B2065"/>
    <w:rsid w:val="008B21FE"/>
    <w:rsid w:val="008B246B"/>
    <w:rsid w:val="008B264A"/>
    <w:rsid w:val="008B2ABF"/>
    <w:rsid w:val="008B36DC"/>
    <w:rsid w:val="008B3721"/>
    <w:rsid w:val="008B3762"/>
    <w:rsid w:val="008B37E1"/>
    <w:rsid w:val="008B38DB"/>
    <w:rsid w:val="008B4FFC"/>
    <w:rsid w:val="008B536F"/>
    <w:rsid w:val="008B55DF"/>
    <w:rsid w:val="008B56F7"/>
    <w:rsid w:val="008B5E2F"/>
    <w:rsid w:val="008B5FCF"/>
    <w:rsid w:val="008B6E51"/>
    <w:rsid w:val="008B73C3"/>
    <w:rsid w:val="008B79F3"/>
    <w:rsid w:val="008B7FC9"/>
    <w:rsid w:val="008C1793"/>
    <w:rsid w:val="008C187A"/>
    <w:rsid w:val="008C2060"/>
    <w:rsid w:val="008C2922"/>
    <w:rsid w:val="008C2DC0"/>
    <w:rsid w:val="008C363C"/>
    <w:rsid w:val="008C3E7A"/>
    <w:rsid w:val="008C4A4D"/>
    <w:rsid w:val="008C4CB9"/>
    <w:rsid w:val="008C4E9E"/>
    <w:rsid w:val="008C5982"/>
    <w:rsid w:val="008D01B8"/>
    <w:rsid w:val="008D0333"/>
    <w:rsid w:val="008D07D4"/>
    <w:rsid w:val="008D0C1C"/>
    <w:rsid w:val="008D22FB"/>
    <w:rsid w:val="008D24C7"/>
    <w:rsid w:val="008D2D20"/>
    <w:rsid w:val="008D4C0E"/>
    <w:rsid w:val="008D4D30"/>
    <w:rsid w:val="008D4DCA"/>
    <w:rsid w:val="008D5001"/>
    <w:rsid w:val="008D55C0"/>
    <w:rsid w:val="008D5B02"/>
    <w:rsid w:val="008D6A30"/>
    <w:rsid w:val="008D6CF7"/>
    <w:rsid w:val="008D7D4B"/>
    <w:rsid w:val="008E0F4E"/>
    <w:rsid w:val="008E1999"/>
    <w:rsid w:val="008E2385"/>
    <w:rsid w:val="008E2E2E"/>
    <w:rsid w:val="008E32D3"/>
    <w:rsid w:val="008E36E4"/>
    <w:rsid w:val="008E3C09"/>
    <w:rsid w:val="008E3C2C"/>
    <w:rsid w:val="008E442A"/>
    <w:rsid w:val="008E5046"/>
    <w:rsid w:val="008E57D5"/>
    <w:rsid w:val="008E5DBA"/>
    <w:rsid w:val="008E5E69"/>
    <w:rsid w:val="008E645F"/>
    <w:rsid w:val="008E6C76"/>
    <w:rsid w:val="008E7B66"/>
    <w:rsid w:val="008E7C3D"/>
    <w:rsid w:val="008E7EA4"/>
    <w:rsid w:val="008F05F9"/>
    <w:rsid w:val="008F1028"/>
    <w:rsid w:val="008F1DAE"/>
    <w:rsid w:val="008F2F31"/>
    <w:rsid w:val="008F3BD9"/>
    <w:rsid w:val="008F5481"/>
    <w:rsid w:val="008F585A"/>
    <w:rsid w:val="008F6120"/>
    <w:rsid w:val="008F7933"/>
    <w:rsid w:val="009001A2"/>
    <w:rsid w:val="009009ED"/>
    <w:rsid w:val="00900AC1"/>
    <w:rsid w:val="00901271"/>
    <w:rsid w:val="009017CD"/>
    <w:rsid w:val="00901D77"/>
    <w:rsid w:val="00902E2B"/>
    <w:rsid w:val="00902F8E"/>
    <w:rsid w:val="009030D0"/>
    <w:rsid w:val="00903C50"/>
    <w:rsid w:val="00903F8E"/>
    <w:rsid w:val="00904197"/>
    <w:rsid w:val="00904215"/>
    <w:rsid w:val="009052D3"/>
    <w:rsid w:val="0090615E"/>
    <w:rsid w:val="009064BC"/>
    <w:rsid w:val="00906A6D"/>
    <w:rsid w:val="00907136"/>
    <w:rsid w:val="0090795F"/>
    <w:rsid w:val="0091000B"/>
    <w:rsid w:val="009100C3"/>
    <w:rsid w:val="00911006"/>
    <w:rsid w:val="0091145D"/>
    <w:rsid w:val="00912D32"/>
    <w:rsid w:val="0091377C"/>
    <w:rsid w:val="009139A0"/>
    <w:rsid w:val="00914542"/>
    <w:rsid w:val="009168D6"/>
    <w:rsid w:val="00916C65"/>
    <w:rsid w:val="00916F15"/>
    <w:rsid w:val="009170CC"/>
    <w:rsid w:val="0091721F"/>
    <w:rsid w:val="009208CC"/>
    <w:rsid w:val="009211D6"/>
    <w:rsid w:val="009222DC"/>
    <w:rsid w:val="00923198"/>
    <w:rsid w:val="00923B5E"/>
    <w:rsid w:val="0092470C"/>
    <w:rsid w:val="00925089"/>
    <w:rsid w:val="009252B4"/>
    <w:rsid w:val="0092575A"/>
    <w:rsid w:val="00925F07"/>
    <w:rsid w:val="00927492"/>
    <w:rsid w:val="0093090B"/>
    <w:rsid w:val="00930F52"/>
    <w:rsid w:val="009310E9"/>
    <w:rsid w:val="00932067"/>
    <w:rsid w:val="00932D22"/>
    <w:rsid w:val="00932EC8"/>
    <w:rsid w:val="00932F33"/>
    <w:rsid w:val="0093336E"/>
    <w:rsid w:val="0093461D"/>
    <w:rsid w:val="009346E6"/>
    <w:rsid w:val="0093542F"/>
    <w:rsid w:val="00935F62"/>
    <w:rsid w:val="00936111"/>
    <w:rsid w:val="009361C9"/>
    <w:rsid w:val="0093621E"/>
    <w:rsid w:val="00937BF4"/>
    <w:rsid w:val="00937E98"/>
    <w:rsid w:val="00937F10"/>
    <w:rsid w:val="00937F38"/>
    <w:rsid w:val="00940526"/>
    <w:rsid w:val="0094085A"/>
    <w:rsid w:val="00940D63"/>
    <w:rsid w:val="00942871"/>
    <w:rsid w:val="00942979"/>
    <w:rsid w:val="00942E0F"/>
    <w:rsid w:val="00942F66"/>
    <w:rsid w:val="00943605"/>
    <w:rsid w:val="00943737"/>
    <w:rsid w:val="0094439A"/>
    <w:rsid w:val="0094481C"/>
    <w:rsid w:val="00944B01"/>
    <w:rsid w:val="00944C0F"/>
    <w:rsid w:val="00944CB0"/>
    <w:rsid w:val="00945045"/>
    <w:rsid w:val="009456AB"/>
    <w:rsid w:val="00945D17"/>
    <w:rsid w:val="009464DC"/>
    <w:rsid w:val="00947BFA"/>
    <w:rsid w:val="0095033C"/>
    <w:rsid w:val="00950EB3"/>
    <w:rsid w:val="00951279"/>
    <w:rsid w:val="00951518"/>
    <w:rsid w:val="009515FB"/>
    <w:rsid w:val="009517AC"/>
    <w:rsid w:val="00953C60"/>
    <w:rsid w:val="00953E77"/>
    <w:rsid w:val="009543DC"/>
    <w:rsid w:val="00954780"/>
    <w:rsid w:val="00954E65"/>
    <w:rsid w:val="00954E83"/>
    <w:rsid w:val="00954ECB"/>
    <w:rsid w:val="009552E4"/>
    <w:rsid w:val="009553DD"/>
    <w:rsid w:val="009562AA"/>
    <w:rsid w:val="009563B7"/>
    <w:rsid w:val="0095677D"/>
    <w:rsid w:val="00956AC8"/>
    <w:rsid w:val="00960117"/>
    <w:rsid w:val="009601AB"/>
    <w:rsid w:val="009608F3"/>
    <w:rsid w:val="00960DCD"/>
    <w:rsid w:val="009611FD"/>
    <w:rsid w:val="00961BAF"/>
    <w:rsid w:val="009623DF"/>
    <w:rsid w:val="009625A1"/>
    <w:rsid w:val="00962B5E"/>
    <w:rsid w:val="009630B4"/>
    <w:rsid w:val="0096379B"/>
    <w:rsid w:val="00963A86"/>
    <w:rsid w:val="00963B53"/>
    <w:rsid w:val="00963F28"/>
    <w:rsid w:val="00963F64"/>
    <w:rsid w:val="00964204"/>
    <w:rsid w:val="00964436"/>
    <w:rsid w:val="00964EFE"/>
    <w:rsid w:val="009650CB"/>
    <w:rsid w:val="00965FBC"/>
    <w:rsid w:val="00966DCD"/>
    <w:rsid w:val="00966FFA"/>
    <w:rsid w:val="0096777E"/>
    <w:rsid w:val="009677D7"/>
    <w:rsid w:val="009679B4"/>
    <w:rsid w:val="009710D8"/>
    <w:rsid w:val="0097178D"/>
    <w:rsid w:val="009721AA"/>
    <w:rsid w:val="00972A46"/>
    <w:rsid w:val="0097306C"/>
    <w:rsid w:val="0097361D"/>
    <w:rsid w:val="009739B0"/>
    <w:rsid w:val="00973E01"/>
    <w:rsid w:val="009749F0"/>
    <w:rsid w:val="00974D5C"/>
    <w:rsid w:val="00974D61"/>
    <w:rsid w:val="009750FC"/>
    <w:rsid w:val="00975C2B"/>
    <w:rsid w:val="00976822"/>
    <w:rsid w:val="00977720"/>
    <w:rsid w:val="00977B6C"/>
    <w:rsid w:val="00977C27"/>
    <w:rsid w:val="00980176"/>
    <w:rsid w:val="00981397"/>
    <w:rsid w:val="00981ED0"/>
    <w:rsid w:val="0098291F"/>
    <w:rsid w:val="00982C29"/>
    <w:rsid w:val="00983D22"/>
    <w:rsid w:val="009841AF"/>
    <w:rsid w:val="0098471E"/>
    <w:rsid w:val="00984BDA"/>
    <w:rsid w:val="009851C3"/>
    <w:rsid w:val="0098560E"/>
    <w:rsid w:val="0098657D"/>
    <w:rsid w:val="00986D58"/>
    <w:rsid w:val="00986DCA"/>
    <w:rsid w:val="00986E19"/>
    <w:rsid w:val="0098734F"/>
    <w:rsid w:val="00990763"/>
    <w:rsid w:val="00990DE9"/>
    <w:rsid w:val="0099136F"/>
    <w:rsid w:val="009927D4"/>
    <w:rsid w:val="009934BB"/>
    <w:rsid w:val="00993962"/>
    <w:rsid w:val="009962C0"/>
    <w:rsid w:val="00996938"/>
    <w:rsid w:val="0099731B"/>
    <w:rsid w:val="009975B7"/>
    <w:rsid w:val="00997715"/>
    <w:rsid w:val="009A0DE6"/>
    <w:rsid w:val="009A0EE8"/>
    <w:rsid w:val="009A2622"/>
    <w:rsid w:val="009A2A16"/>
    <w:rsid w:val="009A2D49"/>
    <w:rsid w:val="009A2FED"/>
    <w:rsid w:val="009A3044"/>
    <w:rsid w:val="009A48E2"/>
    <w:rsid w:val="009A4D74"/>
    <w:rsid w:val="009A4E52"/>
    <w:rsid w:val="009A50B6"/>
    <w:rsid w:val="009A546A"/>
    <w:rsid w:val="009A54D9"/>
    <w:rsid w:val="009A56A1"/>
    <w:rsid w:val="009A6227"/>
    <w:rsid w:val="009A64C4"/>
    <w:rsid w:val="009A6836"/>
    <w:rsid w:val="009A6D3B"/>
    <w:rsid w:val="009A6E6E"/>
    <w:rsid w:val="009A7379"/>
    <w:rsid w:val="009A770B"/>
    <w:rsid w:val="009A7789"/>
    <w:rsid w:val="009A7A61"/>
    <w:rsid w:val="009A7EB8"/>
    <w:rsid w:val="009B0279"/>
    <w:rsid w:val="009B0D3B"/>
    <w:rsid w:val="009B1707"/>
    <w:rsid w:val="009B1C1E"/>
    <w:rsid w:val="009B1C28"/>
    <w:rsid w:val="009B2450"/>
    <w:rsid w:val="009B2732"/>
    <w:rsid w:val="009B339D"/>
    <w:rsid w:val="009B4710"/>
    <w:rsid w:val="009B4803"/>
    <w:rsid w:val="009B4C23"/>
    <w:rsid w:val="009B50A0"/>
    <w:rsid w:val="009B52A5"/>
    <w:rsid w:val="009B5619"/>
    <w:rsid w:val="009B5694"/>
    <w:rsid w:val="009B5CDA"/>
    <w:rsid w:val="009B5E75"/>
    <w:rsid w:val="009B6827"/>
    <w:rsid w:val="009B687E"/>
    <w:rsid w:val="009B69DA"/>
    <w:rsid w:val="009B7A55"/>
    <w:rsid w:val="009B7CFF"/>
    <w:rsid w:val="009C0014"/>
    <w:rsid w:val="009C0611"/>
    <w:rsid w:val="009C08DF"/>
    <w:rsid w:val="009C14C5"/>
    <w:rsid w:val="009C1655"/>
    <w:rsid w:val="009C1819"/>
    <w:rsid w:val="009C1965"/>
    <w:rsid w:val="009C21FF"/>
    <w:rsid w:val="009C2308"/>
    <w:rsid w:val="009C2E79"/>
    <w:rsid w:val="009C3101"/>
    <w:rsid w:val="009C3491"/>
    <w:rsid w:val="009C351E"/>
    <w:rsid w:val="009C4537"/>
    <w:rsid w:val="009C4EDC"/>
    <w:rsid w:val="009C50E7"/>
    <w:rsid w:val="009C550A"/>
    <w:rsid w:val="009C6E3F"/>
    <w:rsid w:val="009D0846"/>
    <w:rsid w:val="009D0B7C"/>
    <w:rsid w:val="009D10A4"/>
    <w:rsid w:val="009D16CC"/>
    <w:rsid w:val="009D1811"/>
    <w:rsid w:val="009D24CC"/>
    <w:rsid w:val="009D2DCF"/>
    <w:rsid w:val="009D2FB3"/>
    <w:rsid w:val="009D3603"/>
    <w:rsid w:val="009D396F"/>
    <w:rsid w:val="009D4226"/>
    <w:rsid w:val="009D49CF"/>
    <w:rsid w:val="009D4DB4"/>
    <w:rsid w:val="009D5727"/>
    <w:rsid w:val="009D60DB"/>
    <w:rsid w:val="009D6301"/>
    <w:rsid w:val="009D7096"/>
    <w:rsid w:val="009D72B5"/>
    <w:rsid w:val="009D7490"/>
    <w:rsid w:val="009D7978"/>
    <w:rsid w:val="009D7F02"/>
    <w:rsid w:val="009E0077"/>
    <w:rsid w:val="009E0413"/>
    <w:rsid w:val="009E0B0C"/>
    <w:rsid w:val="009E1721"/>
    <w:rsid w:val="009E17FD"/>
    <w:rsid w:val="009E2E42"/>
    <w:rsid w:val="009E36ED"/>
    <w:rsid w:val="009E3961"/>
    <w:rsid w:val="009E4142"/>
    <w:rsid w:val="009E4B0C"/>
    <w:rsid w:val="009E6D9D"/>
    <w:rsid w:val="009E72F4"/>
    <w:rsid w:val="009E77A8"/>
    <w:rsid w:val="009E7BA8"/>
    <w:rsid w:val="009F00BC"/>
    <w:rsid w:val="009F126A"/>
    <w:rsid w:val="009F1744"/>
    <w:rsid w:val="009F175B"/>
    <w:rsid w:val="009F1952"/>
    <w:rsid w:val="009F22D5"/>
    <w:rsid w:val="009F3B37"/>
    <w:rsid w:val="009F4552"/>
    <w:rsid w:val="009F47D1"/>
    <w:rsid w:val="009F4A24"/>
    <w:rsid w:val="009F4A75"/>
    <w:rsid w:val="009F507B"/>
    <w:rsid w:val="009F517E"/>
    <w:rsid w:val="009F71A1"/>
    <w:rsid w:val="009F7B2E"/>
    <w:rsid w:val="009F7CC6"/>
    <w:rsid w:val="009F7E1D"/>
    <w:rsid w:val="009F7F0C"/>
    <w:rsid w:val="009F7FC4"/>
    <w:rsid w:val="00A0008B"/>
    <w:rsid w:val="00A01024"/>
    <w:rsid w:val="00A02237"/>
    <w:rsid w:val="00A0255C"/>
    <w:rsid w:val="00A02727"/>
    <w:rsid w:val="00A04065"/>
    <w:rsid w:val="00A04322"/>
    <w:rsid w:val="00A0499A"/>
    <w:rsid w:val="00A05D79"/>
    <w:rsid w:val="00A06029"/>
    <w:rsid w:val="00A06283"/>
    <w:rsid w:val="00A06AAE"/>
    <w:rsid w:val="00A06B85"/>
    <w:rsid w:val="00A06B98"/>
    <w:rsid w:val="00A06C46"/>
    <w:rsid w:val="00A06F43"/>
    <w:rsid w:val="00A06F7D"/>
    <w:rsid w:val="00A0746E"/>
    <w:rsid w:val="00A10054"/>
    <w:rsid w:val="00A102B3"/>
    <w:rsid w:val="00A10368"/>
    <w:rsid w:val="00A10B2E"/>
    <w:rsid w:val="00A10C16"/>
    <w:rsid w:val="00A12891"/>
    <w:rsid w:val="00A1330F"/>
    <w:rsid w:val="00A13414"/>
    <w:rsid w:val="00A13541"/>
    <w:rsid w:val="00A13640"/>
    <w:rsid w:val="00A13E39"/>
    <w:rsid w:val="00A14134"/>
    <w:rsid w:val="00A1434F"/>
    <w:rsid w:val="00A14A02"/>
    <w:rsid w:val="00A156E0"/>
    <w:rsid w:val="00A1752D"/>
    <w:rsid w:val="00A17B2C"/>
    <w:rsid w:val="00A17F1D"/>
    <w:rsid w:val="00A17FE3"/>
    <w:rsid w:val="00A202DD"/>
    <w:rsid w:val="00A20842"/>
    <w:rsid w:val="00A21460"/>
    <w:rsid w:val="00A2172E"/>
    <w:rsid w:val="00A21F34"/>
    <w:rsid w:val="00A22849"/>
    <w:rsid w:val="00A22E7F"/>
    <w:rsid w:val="00A2451C"/>
    <w:rsid w:val="00A24953"/>
    <w:rsid w:val="00A24BB0"/>
    <w:rsid w:val="00A24F86"/>
    <w:rsid w:val="00A252E4"/>
    <w:rsid w:val="00A256C2"/>
    <w:rsid w:val="00A27A6C"/>
    <w:rsid w:val="00A300CE"/>
    <w:rsid w:val="00A3012F"/>
    <w:rsid w:val="00A30300"/>
    <w:rsid w:val="00A30E8C"/>
    <w:rsid w:val="00A30F63"/>
    <w:rsid w:val="00A310F5"/>
    <w:rsid w:val="00A320E0"/>
    <w:rsid w:val="00A323E0"/>
    <w:rsid w:val="00A32A6D"/>
    <w:rsid w:val="00A32F42"/>
    <w:rsid w:val="00A33436"/>
    <w:rsid w:val="00A3386E"/>
    <w:rsid w:val="00A34AC7"/>
    <w:rsid w:val="00A353B5"/>
    <w:rsid w:val="00A35716"/>
    <w:rsid w:val="00A35BCA"/>
    <w:rsid w:val="00A35F2F"/>
    <w:rsid w:val="00A360EA"/>
    <w:rsid w:val="00A36DE8"/>
    <w:rsid w:val="00A373FE"/>
    <w:rsid w:val="00A37B5A"/>
    <w:rsid w:val="00A4011F"/>
    <w:rsid w:val="00A407A9"/>
    <w:rsid w:val="00A40867"/>
    <w:rsid w:val="00A418E8"/>
    <w:rsid w:val="00A41D23"/>
    <w:rsid w:val="00A41E92"/>
    <w:rsid w:val="00A43028"/>
    <w:rsid w:val="00A43303"/>
    <w:rsid w:val="00A43A76"/>
    <w:rsid w:val="00A44C31"/>
    <w:rsid w:val="00A451FB"/>
    <w:rsid w:val="00A4560F"/>
    <w:rsid w:val="00A45848"/>
    <w:rsid w:val="00A45DEC"/>
    <w:rsid w:val="00A45F60"/>
    <w:rsid w:val="00A46045"/>
    <w:rsid w:val="00A46905"/>
    <w:rsid w:val="00A46C70"/>
    <w:rsid w:val="00A47119"/>
    <w:rsid w:val="00A4742F"/>
    <w:rsid w:val="00A47A12"/>
    <w:rsid w:val="00A47A14"/>
    <w:rsid w:val="00A50003"/>
    <w:rsid w:val="00A505BF"/>
    <w:rsid w:val="00A5142E"/>
    <w:rsid w:val="00A51F5F"/>
    <w:rsid w:val="00A5292D"/>
    <w:rsid w:val="00A52F2B"/>
    <w:rsid w:val="00A530F9"/>
    <w:rsid w:val="00A533A9"/>
    <w:rsid w:val="00A534A4"/>
    <w:rsid w:val="00A53B7F"/>
    <w:rsid w:val="00A541D4"/>
    <w:rsid w:val="00A544D6"/>
    <w:rsid w:val="00A549AF"/>
    <w:rsid w:val="00A56C3E"/>
    <w:rsid w:val="00A5713A"/>
    <w:rsid w:val="00A5734E"/>
    <w:rsid w:val="00A60032"/>
    <w:rsid w:val="00A6074B"/>
    <w:rsid w:val="00A6087C"/>
    <w:rsid w:val="00A6092F"/>
    <w:rsid w:val="00A61392"/>
    <w:rsid w:val="00A61B32"/>
    <w:rsid w:val="00A6210E"/>
    <w:rsid w:val="00A6235C"/>
    <w:rsid w:val="00A63D91"/>
    <w:rsid w:val="00A648A1"/>
    <w:rsid w:val="00A65509"/>
    <w:rsid w:val="00A65700"/>
    <w:rsid w:val="00A66BA7"/>
    <w:rsid w:val="00A6725C"/>
    <w:rsid w:val="00A67591"/>
    <w:rsid w:val="00A6762A"/>
    <w:rsid w:val="00A67A9F"/>
    <w:rsid w:val="00A70294"/>
    <w:rsid w:val="00A70401"/>
    <w:rsid w:val="00A706A6"/>
    <w:rsid w:val="00A70D27"/>
    <w:rsid w:val="00A71DC4"/>
    <w:rsid w:val="00A71E89"/>
    <w:rsid w:val="00A73707"/>
    <w:rsid w:val="00A743FD"/>
    <w:rsid w:val="00A74673"/>
    <w:rsid w:val="00A74824"/>
    <w:rsid w:val="00A756CD"/>
    <w:rsid w:val="00A76E6A"/>
    <w:rsid w:val="00A77340"/>
    <w:rsid w:val="00A77475"/>
    <w:rsid w:val="00A776B8"/>
    <w:rsid w:val="00A77982"/>
    <w:rsid w:val="00A77B5A"/>
    <w:rsid w:val="00A803BD"/>
    <w:rsid w:val="00A80C50"/>
    <w:rsid w:val="00A811B2"/>
    <w:rsid w:val="00A813E5"/>
    <w:rsid w:val="00A8149B"/>
    <w:rsid w:val="00A816CB"/>
    <w:rsid w:val="00A81913"/>
    <w:rsid w:val="00A81A65"/>
    <w:rsid w:val="00A820BC"/>
    <w:rsid w:val="00A82450"/>
    <w:rsid w:val="00A82673"/>
    <w:rsid w:val="00A8274C"/>
    <w:rsid w:val="00A82773"/>
    <w:rsid w:val="00A82ECE"/>
    <w:rsid w:val="00A83137"/>
    <w:rsid w:val="00A83837"/>
    <w:rsid w:val="00A84BE2"/>
    <w:rsid w:val="00A84C61"/>
    <w:rsid w:val="00A84C82"/>
    <w:rsid w:val="00A84E2A"/>
    <w:rsid w:val="00A859B9"/>
    <w:rsid w:val="00A865B3"/>
    <w:rsid w:val="00A87ECB"/>
    <w:rsid w:val="00A90498"/>
    <w:rsid w:val="00A905C1"/>
    <w:rsid w:val="00A90621"/>
    <w:rsid w:val="00A90895"/>
    <w:rsid w:val="00A90B26"/>
    <w:rsid w:val="00A9161F"/>
    <w:rsid w:val="00A92037"/>
    <w:rsid w:val="00A9279C"/>
    <w:rsid w:val="00A92A1D"/>
    <w:rsid w:val="00A92C8F"/>
    <w:rsid w:val="00A936B0"/>
    <w:rsid w:val="00A9394A"/>
    <w:rsid w:val="00A9395A"/>
    <w:rsid w:val="00A94406"/>
    <w:rsid w:val="00A95579"/>
    <w:rsid w:val="00A955CA"/>
    <w:rsid w:val="00A9623F"/>
    <w:rsid w:val="00A964A4"/>
    <w:rsid w:val="00A96A3C"/>
    <w:rsid w:val="00A96D79"/>
    <w:rsid w:val="00A96EF5"/>
    <w:rsid w:val="00A97106"/>
    <w:rsid w:val="00A979C7"/>
    <w:rsid w:val="00AA070C"/>
    <w:rsid w:val="00AA0C53"/>
    <w:rsid w:val="00AA0DF1"/>
    <w:rsid w:val="00AA11FE"/>
    <w:rsid w:val="00AA1284"/>
    <w:rsid w:val="00AA14AF"/>
    <w:rsid w:val="00AA217C"/>
    <w:rsid w:val="00AA21AD"/>
    <w:rsid w:val="00AA260F"/>
    <w:rsid w:val="00AA37E3"/>
    <w:rsid w:val="00AA442F"/>
    <w:rsid w:val="00AA4546"/>
    <w:rsid w:val="00AA45D6"/>
    <w:rsid w:val="00AA462F"/>
    <w:rsid w:val="00AA4914"/>
    <w:rsid w:val="00AA4FE1"/>
    <w:rsid w:val="00AA512D"/>
    <w:rsid w:val="00AA53CB"/>
    <w:rsid w:val="00AA5B0C"/>
    <w:rsid w:val="00AA5F47"/>
    <w:rsid w:val="00AA6935"/>
    <w:rsid w:val="00AA69EA"/>
    <w:rsid w:val="00AA746E"/>
    <w:rsid w:val="00AA7B2B"/>
    <w:rsid w:val="00AA7D74"/>
    <w:rsid w:val="00AB1822"/>
    <w:rsid w:val="00AB2F7C"/>
    <w:rsid w:val="00AB33A3"/>
    <w:rsid w:val="00AB35F2"/>
    <w:rsid w:val="00AB54CD"/>
    <w:rsid w:val="00AB54E9"/>
    <w:rsid w:val="00AB59EC"/>
    <w:rsid w:val="00AB5D9C"/>
    <w:rsid w:val="00AB5F59"/>
    <w:rsid w:val="00AB6FF2"/>
    <w:rsid w:val="00AB789D"/>
    <w:rsid w:val="00AB7B99"/>
    <w:rsid w:val="00AC11BD"/>
    <w:rsid w:val="00AC1213"/>
    <w:rsid w:val="00AC1B18"/>
    <w:rsid w:val="00AC2ADD"/>
    <w:rsid w:val="00AC2BCD"/>
    <w:rsid w:val="00AC3BA6"/>
    <w:rsid w:val="00AC3FB2"/>
    <w:rsid w:val="00AC5487"/>
    <w:rsid w:val="00AC6204"/>
    <w:rsid w:val="00AC6A68"/>
    <w:rsid w:val="00AC6AAC"/>
    <w:rsid w:val="00AC6EF1"/>
    <w:rsid w:val="00AC7980"/>
    <w:rsid w:val="00AC7AC8"/>
    <w:rsid w:val="00AD0522"/>
    <w:rsid w:val="00AD1C55"/>
    <w:rsid w:val="00AD25C9"/>
    <w:rsid w:val="00AD279E"/>
    <w:rsid w:val="00AD4121"/>
    <w:rsid w:val="00AD44B6"/>
    <w:rsid w:val="00AD4F52"/>
    <w:rsid w:val="00AD6491"/>
    <w:rsid w:val="00AD73EB"/>
    <w:rsid w:val="00AD748C"/>
    <w:rsid w:val="00AD7D3E"/>
    <w:rsid w:val="00AE050E"/>
    <w:rsid w:val="00AE07DF"/>
    <w:rsid w:val="00AE0D62"/>
    <w:rsid w:val="00AE1501"/>
    <w:rsid w:val="00AE1814"/>
    <w:rsid w:val="00AE25FF"/>
    <w:rsid w:val="00AE2742"/>
    <w:rsid w:val="00AE2FCF"/>
    <w:rsid w:val="00AE3434"/>
    <w:rsid w:val="00AE3DA0"/>
    <w:rsid w:val="00AE4C31"/>
    <w:rsid w:val="00AE4FAA"/>
    <w:rsid w:val="00AE5574"/>
    <w:rsid w:val="00AE5F0E"/>
    <w:rsid w:val="00AE66C3"/>
    <w:rsid w:val="00AE67F6"/>
    <w:rsid w:val="00AE6846"/>
    <w:rsid w:val="00AE6C5A"/>
    <w:rsid w:val="00AE7884"/>
    <w:rsid w:val="00AE78F9"/>
    <w:rsid w:val="00AE7E6E"/>
    <w:rsid w:val="00AF0534"/>
    <w:rsid w:val="00AF126C"/>
    <w:rsid w:val="00AF1580"/>
    <w:rsid w:val="00AF160E"/>
    <w:rsid w:val="00AF266D"/>
    <w:rsid w:val="00AF2A9F"/>
    <w:rsid w:val="00AF36C9"/>
    <w:rsid w:val="00AF3749"/>
    <w:rsid w:val="00AF3ADE"/>
    <w:rsid w:val="00AF3FE3"/>
    <w:rsid w:val="00AF442C"/>
    <w:rsid w:val="00AF49A4"/>
    <w:rsid w:val="00AF50FD"/>
    <w:rsid w:val="00AF5DCD"/>
    <w:rsid w:val="00AF6BA5"/>
    <w:rsid w:val="00AF70C5"/>
    <w:rsid w:val="00AF763F"/>
    <w:rsid w:val="00AF7C57"/>
    <w:rsid w:val="00B00591"/>
    <w:rsid w:val="00B00B5B"/>
    <w:rsid w:val="00B01755"/>
    <w:rsid w:val="00B025D8"/>
    <w:rsid w:val="00B028BC"/>
    <w:rsid w:val="00B03A77"/>
    <w:rsid w:val="00B04453"/>
    <w:rsid w:val="00B0603C"/>
    <w:rsid w:val="00B06231"/>
    <w:rsid w:val="00B06432"/>
    <w:rsid w:val="00B07E0E"/>
    <w:rsid w:val="00B102DE"/>
    <w:rsid w:val="00B10485"/>
    <w:rsid w:val="00B1130D"/>
    <w:rsid w:val="00B1186E"/>
    <w:rsid w:val="00B1253F"/>
    <w:rsid w:val="00B12BD5"/>
    <w:rsid w:val="00B1303C"/>
    <w:rsid w:val="00B1351F"/>
    <w:rsid w:val="00B13B39"/>
    <w:rsid w:val="00B13BE4"/>
    <w:rsid w:val="00B145AB"/>
    <w:rsid w:val="00B14756"/>
    <w:rsid w:val="00B14D49"/>
    <w:rsid w:val="00B14ECA"/>
    <w:rsid w:val="00B16167"/>
    <w:rsid w:val="00B16213"/>
    <w:rsid w:val="00B16E13"/>
    <w:rsid w:val="00B206CE"/>
    <w:rsid w:val="00B20A29"/>
    <w:rsid w:val="00B20E28"/>
    <w:rsid w:val="00B210F6"/>
    <w:rsid w:val="00B212F4"/>
    <w:rsid w:val="00B21774"/>
    <w:rsid w:val="00B2245F"/>
    <w:rsid w:val="00B224F4"/>
    <w:rsid w:val="00B236C2"/>
    <w:rsid w:val="00B23705"/>
    <w:rsid w:val="00B239A6"/>
    <w:rsid w:val="00B23D33"/>
    <w:rsid w:val="00B23D76"/>
    <w:rsid w:val="00B240F0"/>
    <w:rsid w:val="00B243B2"/>
    <w:rsid w:val="00B247AE"/>
    <w:rsid w:val="00B25AAF"/>
    <w:rsid w:val="00B25D0A"/>
    <w:rsid w:val="00B26751"/>
    <w:rsid w:val="00B276CD"/>
    <w:rsid w:val="00B276EA"/>
    <w:rsid w:val="00B27FDD"/>
    <w:rsid w:val="00B3059E"/>
    <w:rsid w:val="00B305D0"/>
    <w:rsid w:val="00B30E75"/>
    <w:rsid w:val="00B310DB"/>
    <w:rsid w:val="00B31556"/>
    <w:rsid w:val="00B316E9"/>
    <w:rsid w:val="00B327F6"/>
    <w:rsid w:val="00B34610"/>
    <w:rsid w:val="00B3465B"/>
    <w:rsid w:val="00B34EAD"/>
    <w:rsid w:val="00B35784"/>
    <w:rsid w:val="00B3659E"/>
    <w:rsid w:val="00B36D96"/>
    <w:rsid w:val="00B36E04"/>
    <w:rsid w:val="00B37008"/>
    <w:rsid w:val="00B374CB"/>
    <w:rsid w:val="00B37D0C"/>
    <w:rsid w:val="00B400CC"/>
    <w:rsid w:val="00B40D23"/>
    <w:rsid w:val="00B418D5"/>
    <w:rsid w:val="00B42120"/>
    <w:rsid w:val="00B42831"/>
    <w:rsid w:val="00B4310D"/>
    <w:rsid w:val="00B4469E"/>
    <w:rsid w:val="00B44898"/>
    <w:rsid w:val="00B456A6"/>
    <w:rsid w:val="00B45762"/>
    <w:rsid w:val="00B45C8F"/>
    <w:rsid w:val="00B463EA"/>
    <w:rsid w:val="00B4644C"/>
    <w:rsid w:val="00B475F7"/>
    <w:rsid w:val="00B47EE8"/>
    <w:rsid w:val="00B50054"/>
    <w:rsid w:val="00B506CE"/>
    <w:rsid w:val="00B50AD0"/>
    <w:rsid w:val="00B50D7F"/>
    <w:rsid w:val="00B51A1D"/>
    <w:rsid w:val="00B52F36"/>
    <w:rsid w:val="00B536CB"/>
    <w:rsid w:val="00B53F3F"/>
    <w:rsid w:val="00B54324"/>
    <w:rsid w:val="00B55135"/>
    <w:rsid w:val="00B55939"/>
    <w:rsid w:val="00B55942"/>
    <w:rsid w:val="00B5707B"/>
    <w:rsid w:val="00B57328"/>
    <w:rsid w:val="00B5753B"/>
    <w:rsid w:val="00B576DB"/>
    <w:rsid w:val="00B57E5A"/>
    <w:rsid w:val="00B57FAE"/>
    <w:rsid w:val="00B60538"/>
    <w:rsid w:val="00B608A8"/>
    <w:rsid w:val="00B60DD5"/>
    <w:rsid w:val="00B61742"/>
    <w:rsid w:val="00B632F4"/>
    <w:rsid w:val="00B6417D"/>
    <w:rsid w:val="00B64265"/>
    <w:rsid w:val="00B648F2"/>
    <w:rsid w:val="00B64CB2"/>
    <w:rsid w:val="00B64DC1"/>
    <w:rsid w:val="00B653CC"/>
    <w:rsid w:val="00B6611B"/>
    <w:rsid w:val="00B67796"/>
    <w:rsid w:val="00B67814"/>
    <w:rsid w:val="00B67DF0"/>
    <w:rsid w:val="00B7064C"/>
    <w:rsid w:val="00B70ADD"/>
    <w:rsid w:val="00B7110E"/>
    <w:rsid w:val="00B71736"/>
    <w:rsid w:val="00B72190"/>
    <w:rsid w:val="00B733DA"/>
    <w:rsid w:val="00B7392C"/>
    <w:rsid w:val="00B73BAF"/>
    <w:rsid w:val="00B74074"/>
    <w:rsid w:val="00B74574"/>
    <w:rsid w:val="00B74914"/>
    <w:rsid w:val="00B74D87"/>
    <w:rsid w:val="00B75E54"/>
    <w:rsid w:val="00B75FE3"/>
    <w:rsid w:val="00B76049"/>
    <w:rsid w:val="00B7616E"/>
    <w:rsid w:val="00B76C41"/>
    <w:rsid w:val="00B76D51"/>
    <w:rsid w:val="00B76DDB"/>
    <w:rsid w:val="00B76E91"/>
    <w:rsid w:val="00B772E0"/>
    <w:rsid w:val="00B77312"/>
    <w:rsid w:val="00B80B33"/>
    <w:rsid w:val="00B80F61"/>
    <w:rsid w:val="00B81071"/>
    <w:rsid w:val="00B81660"/>
    <w:rsid w:val="00B8189D"/>
    <w:rsid w:val="00B8230C"/>
    <w:rsid w:val="00B82531"/>
    <w:rsid w:val="00B82942"/>
    <w:rsid w:val="00B82B0A"/>
    <w:rsid w:val="00B82CC5"/>
    <w:rsid w:val="00B83623"/>
    <w:rsid w:val="00B84387"/>
    <w:rsid w:val="00B84518"/>
    <w:rsid w:val="00B84BF1"/>
    <w:rsid w:val="00B84E15"/>
    <w:rsid w:val="00B86051"/>
    <w:rsid w:val="00B8675C"/>
    <w:rsid w:val="00B86F4A"/>
    <w:rsid w:val="00B87319"/>
    <w:rsid w:val="00B87D65"/>
    <w:rsid w:val="00B908BF"/>
    <w:rsid w:val="00B90A93"/>
    <w:rsid w:val="00B91011"/>
    <w:rsid w:val="00B91303"/>
    <w:rsid w:val="00B91648"/>
    <w:rsid w:val="00B926FC"/>
    <w:rsid w:val="00B945AB"/>
    <w:rsid w:val="00B94886"/>
    <w:rsid w:val="00B94A18"/>
    <w:rsid w:val="00B95205"/>
    <w:rsid w:val="00B957C2"/>
    <w:rsid w:val="00B969D7"/>
    <w:rsid w:val="00B96B2B"/>
    <w:rsid w:val="00B97B2B"/>
    <w:rsid w:val="00BA06F7"/>
    <w:rsid w:val="00BA0AA0"/>
    <w:rsid w:val="00BA11FE"/>
    <w:rsid w:val="00BA146C"/>
    <w:rsid w:val="00BA17A0"/>
    <w:rsid w:val="00BA1B5F"/>
    <w:rsid w:val="00BA1C78"/>
    <w:rsid w:val="00BA1F28"/>
    <w:rsid w:val="00BA27B6"/>
    <w:rsid w:val="00BA2A9A"/>
    <w:rsid w:val="00BA3849"/>
    <w:rsid w:val="00BA3860"/>
    <w:rsid w:val="00BA3EB7"/>
    <w:rsid w:val="00BA4289"/>
    <w:rsid w:val="00BA4C86"/>
    <w:rsid w:val="00BA5760"/>
    <w:rsid w:val="00BA62C1"/>
    <w:rsid w:val="00BA6A95"/>
    <w:rsid w:val="00BA6C89"/>
    <w:rsid w:val="00BA6DE9"/>
    <w:rsid w:val="00BA70F8"/>
    <w:rsid w:val="00BA76BB"/>
    <w:rsid w:val="00BA7F7B"/>
    <w:rsid w:val="00BB04BB"/>
    <w:rsid w:val="00BB07C1"/>
    <w:rsid w:val="00BB08D0"/>
    <w:rsid w:val="00BB2885"/>
    <w:rsid w:val="00BB3388"/>
    <w:rsid w:val="00BB4631"/>
    <w:rsid w:val="00BB4C5D"/>
    <w:rsid w:val="00BB5533"/>
    <w:rsid w:val="00BB5E91"/>
    <w:rsid w:val="00BB6233"/>
    <w:rsid w:val="00BB6ED1"/>
    <w:rsid w:val="00BB72EE"/>
    <w:rsid w:val="00BB7A15"/>
    <w:rsid w:val="00BB7CCE"/>
    <w:rsid w:val="00BC0C00"/>
    <w:rsid w:val="00BC24BE"/>
    <w:rsid w:val="00BC2618"/>
    <w:rsid w:val="00BC2E8C"/>
    <w:rsid w:val="00BC3CDB"/>
    <w:rsid w:val="00BC3DB3"/>
    <w:rsid w:val="00BC42F5"/>
    <w:rsid w:val="00BC43F3"/>
    <w:rsid w:val="00BC4CE8"/>
    <w:rsid w:val="00BC5BFF"/>
    <w:rsid w:val="00BC5C44"/>
    <w:rsid w:val="00BC5EF4"/>
    <w:rsid w:val="00BC6356"/>
    <w:rsid w:val="00BC6871"/>
    <w:rsid w:val="00BC6B03"/>
    <w:rsid w:val="00BC6C40"/>
    <w:rsid w:val="00BC6CDF"/>
    <w:rsid w:val="00BC6D2B"/>
    <w:rsid w:val="00BC7A4A"/>
    <w:rsid w:val="00BC7E41"/>
    <w:rsid w:val="00BD03D5"/>
    <w:rsid w:val="00BD0C23"/>
    <w:rsid w:val="00BD2411"/>
    <w:rsid w:val="00BD24B1"/>
    <w:rsid w:val="00BD270A"/>
    <w:rsid w:val="00BD28EE"/>
    <w:rsid w:val="00BD2B46"/>
    <w:rsid w:val="00BD2E0F"/>
    <w:rsid w:val="00BD2E39"/>
    <w:rsid w:val="00BD303A"/>
    <w:rsid w:val="00BD38DB"/>
    <w:rsid w:val="00BD3A54"/>
    <w:rsid w:val="00BD44CC"/>
    <w:rsid w:val="00BD54EF"/>
    <w:rsid w:val="00BD55AF"/>
    <w:rsid w:val="00BD626F"/>
    <w:rsid w:val="00BD6655"/>
    <w:rsid w:val="00BD69D1"/>
    <w:rsid w:val="00BD6B19"/>
    <w:rsid w:val="00BE0893"/>
    <w:rsid w:val="00BE0CC5"/>
    <w:rsid w:val="00BE213F"/>
    <w:rsid w:val="00BE215C"/>
    <w:rsid w:val="00BE2845"/>
    <w:rsid w:val="00BE2A59"/>
    <w:rsid w:val="00BE32C1"/>
    <w:rsid w:val="00BE3D37"/>
    <w:rsid w:val="00BE4490"/>
    <w:rsid w:val="00BE4EA8"/>
    <w:rsid w:val="00BE519A"/>
    <w:rsid w:val="00BE52C1"/>
    <w:rsid w:val="00BE5C96"/>
    <w:rsid w:val="00BE6C91"/>
    <w:rsid w:val="00BE763C"/>
    <w:rsid w:val="00BE7815"/>
    <w:rsid w:val="00BE7BD1"/>
    <w:rsid w:val="00BE7E03"/>
    <w:rsid w:val="00BF088E"/>
    <w:rsid w:val="00BF0E6B"/>
    <w:rsid w:val="00BF195E"/>
    <w:rsid w:val="00BF21E9"/>
    <w:rsid w:val="00BF2842"/>
    <w:rsid w:val="00BF2A5D"/>
    <w:rsid w:val="00BF2BA7"/>
    <w:rsid w:val="00BF305B"/>
    <w:rsid w:val="00BF348F"/>
    <w:rsid w:val="00BF3805"/>
    <w:rsid w:val="00BF3A72"/>
    <w:rsid w:val="00BF3B4A"/>
    <w:rsid w:val="00BF3BD6"/>
    <w:rsid w:val="00BF4AFA"/>
    <w:rsid w:val="00BF63F9"/>
    <w:rsid w:val="00BF6947"/>
    <w:rsid w:val="00BF6A5F"/>
    <w:rsid w:val="00BF6D98"/>
    <w:rsid w:val="00BF7E37"/>
    <w:rsid w:val="00C00416"/>
    <w:rsid w:val="00C00721"/>
    <w:rsid w:val="00C0085F"/>
    <w:rsid w:val="00C01447"/>
    <w:rsid w:val="00C0156E"/>
    <w:rsid w:val="00C01C3E"/>
    <w:rsid w:val="00C01EDF"/>
    <w:rsid w:val="00C01F09"/>
    <w:rsid w:val="00C026CA"/>
    <w:rsid w:val="00C0270C"/>
    <w:rsid w:val="00C02B94"/>
    <w:rsid w:val="00C03FFF"/>
    <w:rsid w:val="00C041EC"/>
    <w:rsid w:val="00C047BA"/>
    <w:rsid w:val="00C050E0"/>
    <w:rsid w:val="00C058E6"/>
    <w:rsid w:val="00C0628D"/>
    <w:rsid w:val="00C069CE"/>
    <w:rsid w:val="00C06D01"/>
    <w:rsid w:val="00C0715F"/>
    <w:rsid w:val="00C07B74"/>
    <w:rsid w:val="00C115AF"/>
    <w:rsid w:val="00C124FC"/>
    <w:rsid w:val="00C129AC"/>
    <w:rsid w:val="00C129B9"/>
    <w:rsid w:val="00C12C1E"/>
    <w:rsid w:val="00C130BE"/>
    <w:rsid w:val="00C137F0"/>
    <w:rsid w:val="00C13CFB"/>
    <w:rsid w:val="00C142D7"/>
    <w:rsid w:val="00C14682"/>
    <w:rsid w:val="00C14815"/>
    <w:rsid w:val="00C14917"/>
    <w:rsid w:val="00C14A62"/>
    <w:rsid w:val="00C14F33"/>
    <w:rsid w:val="00C1543F"/>
    <w:rsid w:val="00C161DC"/>
    <w:rsid w:val="00C16215"/>
    <w:rsid w:val="00C16724"/>
    <w:rsid w:val="00C1692F"/>
    <w:rsid w:val="00C16E18"/>
    <w:rsid w:val="00C16E1E"/>
    <w:rsid w:val="00C16E6F"/>
    <w:rsid w:val="00C20519"/>
    <w:rsid w:val="00C207E8"/>
    <w:rsid w:val="00C21845"/>
    <w:rsid w:val="00C21D14"/>
    <w:rsid w:val="00C21EB7"/>
    <w:rsid w:val="00C21F60"/>
    <w:rsid w:val="00C220BC"/>
    <w:rsid w:val="00C22453"/>
    <w:rsid w:val="00C23A58"/>
    <w:rsid w:val="00C2490A"/>
    <w:rsid w:val="00C25303"/>
    <w:rsid w:val="00C25473"/>
    <w:rsid w:val="00C25D57"/>
    <w:rsid w:val="00C25E99"/>
    <w:rsid w:val="00C2606C"/>
    <w:rsid w:val="00C26A5B"/>
    <w:rsid w:val="00C270E9"/>
    <w:rsid w:val="00C27118"/>
    <w:rsid w:val="00C27669"/>
    <w:rsid w:val="00C3132C"/>
    <w:rsid w:val="00C3143A"/>
    <w:rsid w:val="00C3285B"/>
    <w:rsid w:val="00C32D35"/>
    <w:rsid w:val="00C32D55"/>
    <w:rsid w:val="00C32E53"/>
    <w:rsid w:val="00C33529"/>
    <w:rsid w:val="00C33D7F"/>
    <w:rsid w:val="00C34956"/>
    <w:rsid w:val="00C34B23"/>
    <w:rsid w:val="00C36789"/>
    <w:rsid w:val="00C36C08"/>
    <w:rsid w:val="00C36E5C"/>
    <w:rsid w:val="00C37C6A"/>
    <w:rsid w:val="00C42F18"/>
    <w:rsid w:val="00C444E3"/>
    <w:rsid w:val="00C44971"/>
    <w:rsid w:val="00C44ADC"/>
    <w:rsid w:val="00C45A55"/>
    <w:rsid w:val="00C45E28"/>
    <w:rsid w:val="00C45F75"/>
    <w:rsid w:val="00C4652C"/>
    <w:rsid w:val="00C4681A"/>
    <w:rsid w:val="00C46CDA"/>
    <w:rsid w:val="00C472F6"/>
    <w:rsid w:val="00C4776E"/>
    <w:rsid w:val="00C50E4B"/>
    <w:rsid w:val="00C51F1A"/>
    <w:rsid w:val="00C51F31"/>
    <w:rsid w:val="00C52B14"/>
    <w:rsid w:val="00C53A43"/>
    <w:rsid w:val="00C54B48"/>
    <w:rsid w:val="00C54E35"/>
    <w:rsid w:val="00C554B8"/>
    <w:rsid w:val="00C55540"/>
    <w:rsid w:val="00C55798"/>
    <w:rsid w:val="00C55B40"/>
    <w:rsid w:val="00C55F5A"/>
    <w:rsid w:val="00C55FC8"/>
    <w:rsid w:val="00C563A4"/>
    <w:rsid w:val="00C567B3"/>
    <w:rsid w:val="00C57451"/>
    <w:rsid w:val="00C575A2"/>
    <w:rsid w:val="00C57EAA"/>
    <w:rsid w:val="00C6028C"/>
    <w:rsid w:val="00C60883"/>
    <w:rsid w:val="00C624E8"/>
    <w:rsid w:val="00C62994"/>
    <w:rsid w:val="00C6316C"/>
    <w:rsid w:val="00C636A8"/>
    <w:rsid w:val="00C64655"/>
    <w:rsid w:val="00C6482B"/>
    <w:rsid w:val="00C64A09"/>
    <w:rsid w:val="00C64CDF"/>
    <w:rsid w:val="00C65752"/>
    <w:rsid w:val="00C659F3"/>
    <w:rsid w:val="00C668CE"/>
    <w:rsid w:val="00C66978"/>
    <w:rsid w:val="00C66A0D"/>
    <w:rsid w:val="00C66F4D"/>
    <w:rsid w:val="00C67033"/>
    <w:rsid w:val="00C67B88"/>
    <w:rsid w:val="00C67C9E"/>
    <w:rsid w:val="00C67E2F"/>
    <w:rsid w:val="00C70001"/>
    <w:rsid w:val="00C71DDA"/>
    <w:rsid w:val="00C72B2D"/>
    <w:rsid w:val="00C73137"/>
    <w:rsid w:val="00C73506"/>
    <w:rsid w:val="00C7421C"/>
    <w:rsid w:val="00C74559"/>
    <w:rsid w:val="00C7492C"/>
    <w:rsid w:val="00C74ADB"/>
    <w:rsid w:val="00C74BB4"/>
    <w:rsid w:val="00C74F46"/>
    <w:rsid w:val="00C7549A"/>
    <w:rsid w:val="00C75AEE"/>
    <w:rsid w:val="00C7637E"/>
    <w:rsid w:val="00C76569"/>
    <w:rsid w:val="00C76C4C"/>
    <w:rsid w:val="00C80648"/>
    <w:rsid w:val="00C80EB6"/>
    <w:rsid w:val="00C8172D"/>
    <w:rsid w:val="00C81F24"/>
    <w:rsid w:val="00C82243"/>
    <w:rsid w:val="00C82BA6"/>
    <w:rsid w:val="00C82D1E"/>
    <w:rsid w:val="00C83367"/>
    <w:rsid w:val="00C83857"/>
    <w:rsid w:val="00C83A3F"/>
    <w:rsid w:val="00C8484D"/>
    <w:rsid w:val="00C84D57"/>
    <w:rsid w:val="00C850D3"/>
    <w:rsid w:val="00C8557F"/>
    <w:rsid w:val="00C85A27"/>
    <w:rsid w:val="00C85F66"/>
    <w:rsid w:val="00C85FCD"/>
    <w:rsid w:val="00C86115"/>
    <w:rsid w:val="00C86901"/>
    <w:rsid w:val="00C86A78"/>
    <w:rsid w:val="00C86C21"/>
    <w:rsid w:val="00C86E3F"/>
    <w:rsid w:val="00C86EFD"/>
    <w:rsid w:val="00C909B6"/>
    <w:rsid w:val="00C91311"/>
    <w:rsid w:val="00C91CDB"/>
    <w:rsid w:val="00C92297"/>
    <w:rsid w:val="00C9251B"/>
    <w:rsid w:val="00C92B39"/>
    <w:rsid w:val="00C92CE0"/>
    <w:rsid w:val="00C92D81"/>
    <w:rsid w:val="00C92E05"/>
    <w:rsid w:val="00C934D3"/>
    <w:rsid w:val="00C93782"/>
    <w:rsid w:val="00C93D01"/>
    <w:rsid w:val="00C94E26"/>
    <w:rsid w:val="00C95175"/>
    <w:rsid w:val="00C9530F"/>
    <w:rsid w:val="00C9556C"/>
    <w:rsid w:val="00C96572"/>
    <w:rsid w:val="00C96D5B"/>
    <w:rsid w:val="00C9743B"/>
    <w:rsid w:val="00C97954"/>
    <w:rsid w:val="00CA05DE"/>
    <w:rsid w:val="00CA0A6C"/>
    <w:rsid w:val="00CA0D2D"/>
    <w:rsid w:val="00CA0E28"/>
    <w:rsid w:val="00CA1951"/>
    <w:rsid w:val="00CA20BC"/>
    <w:rsid w:val="00CA2F64"/>
    <w:rsid w:val="00CA329A"/>
    <w:rsid w:val="00CA329B"/>
    <w:rsid w:val="00CA38F9"/>
    <w:rsid w:val="00CA3934"/>
    <w:rsid w:val="00CA3CD7"/>
    <w:rsid w:val="00CA42FD"/>
    <w:rsid w:val="00CA4525"/>
    <w:rsid w:val="00CA5424"/>
    <w:rsid w:val="00CA5FE3"/>
    <w:rsid w:val="00CA6E79"/>
    <w:rsid w:val="00CB1C13"/>
    <w:rsid w:val="00CB28E7"/>
    <w:rsid w:val="00CB2A5A"/>
    <w:rsid w:val="00CB2A8E"/>
    <w:rsid w:val="00CB2D49"/>
    <w:rsid w:val="00CB30C9"/>
    <w:rsid w:val="00CB35DE"/>
    <w:rsid w:val="00CB4001"/>
    <w:rsid w:val="00CB479C"/>
    <w:rsid w:val="00CB4CFA"/>
    <w:rsid w:val="00CB4DA5"/>
    <w:rsid w:val="00CB4FEA"/>
    <w:rsid w:val="00CB550C"/>
    <w:rsid w:val="00CB69AB"/>
    <w:rsid w:val="00CB7754"/>
    <w:rsid w:val="00CB7B1C"/>
    <w:rsid w:val="00CC0081"/>
    <w:rsid w:val="00CC00E0"/>
    <w:rsid w:val="00CC0C2B"/>
    <w:rsid w:val="00CC0C72"/>
    <w:rsid w:val="00CC14E4"/>
    <w:rsid w:val="00CC1A3A"/>
    <w:rsid w:val="00CC1C70"/>
    <w:rsid w:val="00CC2D39"/>
    <w:rsid w:val="00CC3352"/>
    <w:rsid w:val="00CC3D49"/>
    <w:rsid w:val="00CC45AB"/>
    <w:rsid w:val="00CC4A87"/>
    <w:rsid w:val="00CC500D"/>
    <w:rsid w:val="00CC5420"/>
    <w:rsid w:val="00CC5584"/>
    <w:rsid w:val="00CC5619"/>
    <w:rsid w:val="00CC5B70"/>
    <w:rsid w:val="00CC5F7D"/>
    <w:rsid w:val="00CC6B2F"/>
    <w:rsid w:val="00CC7C0C"/>
    <w:rsid w:val="00CD02FC"/>
    <w:rsid w:val="00CD0587"/>
    <w:rsid w:val="00CD19E6"/>
    <w:rsid w:val="00CD1B38"/>
    <w:rsid w:val="00CD1F30"/>
    <w:rsid w:val="00CD25E5"/>
    <w:rsid w:val="00CD28C2"/>
    <w:rsid w:val="00CD2F3C"/>
    <w:rsid w:val="00CD2FA4"/>
    <w:rsid w:val="00CD3954"/>
    <w:rsid w:val="00CD3C9C"/>
    <w:rsid w:val="00CD3DCA"/>
    <w:rsid w:val="00CD3DF7"/>
    <w:rsid w:val="00CD3E37"/>
    <w:rsid w:val="00CD50FE"/>
    <w:rsid w:val="00CD53A9"/>
    <w:rsid w:val="00CD558A"/>
    <w:rsid w:val="00CD581D"/>
    <w:rsid w:val="00CD587B"/>
    <w:rsid w:val="00CD5A5B"/>
    <w:rsid w:val="00CD609D"/>
    <w:rsid w:val="00CD667C"/>
    <w:rsid w:val="00CD6A6C"/>
    <w:rsid w:val="00CD765E"/>
    <w:rsid w:val="00CE0FD2"/>
    <w:rsid w:val="00CE1307"/>
    <w:rsid w:val="00CE144B"/>
    <w:rsid w:val="00CE1E38"/>
    <w:rsid w:val="00CE26CE"/>
    <w:rsid w:val="00CE3A31"/>
    <w:rsid w:val="00CE4011"/>
    <w:rsid w:val="00CE4D2B"/>
    <w:rsid w:val="00CE6814"/>
    <w:rsid w:val="00CF12D8"/>
    <w:rsid w:val="00CF1993"/>
    <w:rsid w:val="00CF19A7"/>
    <w:rsid w:val="00CF2265"/>
    <w:rsid w:val="00CF24C1"/>
    <w:rsid w:val="00CF2A1E"/>
    <w:rsid w:val="00CF48E9"/>
    <w:rsid w:val="00CF49B4"/>
    <w:rsid w:val="00CF5448"/>
    <w:rsid w:val="00CF5C5E"/>
    <w:rsid w:val="00CF630A"/>
    <w:rsid w:val="00CF642D"/>
    <w:rsid w:val="00CF6AB9"/>
    <w:rsid w:val="00CF7F11"/>
    <w:rsid w:val="00D0217D"/>
    <w:rsid w:val="00D026BC"/>
    <w:rsid w:val="00D031E5"/>
    <w:rsid w:val="00D03218"/>
    <w:rsid w:val="00D034C4"/>
    <w:rsid w:val="00D03670"/>
    <w:rsid w:val="00D03B29"/>
    <w:rsid w:val="00D03C40"/>
    <w:rsid w:val="00D042EF"/>
    <w:rsid w:val="00D04399"/>
    <w:rsid w:val="00D0449B"/>
    <w:rsid w:val="00D04F13"/>
    <w:rsid w:val="00D04F66"/>
    <w:rsid w:val="00D0514D"/>
    <w:rsid w:val="00D051B5"/>
    <w:rsid w:val="00D05AE7"/>
    <w:rsid w:val="00D05E73"/>
    <w:rsid w:val="00D05EEC"/>
    <w:rsid w:val="00D06265"/>
    <w:rsid w:val="00D06319"/>
    <w:rsid w:val="00D077C6"/>
    <w:rsid w:val="00D1085F"/>
    <w:rsid w:val="00D10DE7"/>
    <w:rsid w:val="00D1150D"/>
    <w:rsid w:val="00D117D3"/>
    <w:rsid w:val="00D11B1E"/>
    <w:rsid w:val="00D11FB3"/>
    <w:rsid w:val="00D122C0"/>
    <w:rsid w:val="00D1231D"/>
    <w:rsid w:val="00D12AF0"/>
    <w:rsid w:val="00D12F25"/>
    <w:rsid w:val="00D132FD"/>
    <w:rsid w:val="00D144A8"/>
    <w:rsid w:val="00D14688"/>
    <w:rsid w:val="00D15440"/>
    <w:rsid w:val="00D15525"/>
    <w:rsid w:val="00D15A9D"/>
    <w:rsid w:val="00D15FE6"/>
    <w:rsid w:val="00D1622E"/>
    <w:rsid w:val="00D175F0"/>
    <w:rsid w:val="00D22C71"/>
    <w:rsid w:val="00D23020"/>
    <w:rsid w:val="00D23659"/>
    <w:rsid w:val="00D2515A"/>
    <w:rsid w:val="00D25A4F"/>
    <w:rsid w:val="00D25E0C"/>
    <w:rsid w:val="00D26520"/>
    <w:rsid w:val="00D2676B"/>
    <w:rsid w:val="00D26A79"/>
    <w:rsid w:val="00D27130"/>
    <w:rsid w:val="00D27168"/>
    <w:rsid w:val="00D27BE5"/>
    <w:rsid w:val="00D305DE"/>
    <w:rsid w:val="00D30B99"/>
    <w:rsid w:val="00D30F45"/>
    <w:rsid w:val="00D31526"/>
    <w:rsid w:val="00D31881"/>
    <w:rsid w:val="00D3249D"/>
    <w:rsid w:val="00D328B1"/>
    <w:rsid w:val="00D329C8"/>
    <w:rsid w:val="00D32BE6"/>
    <w:rsid w:val="00D33079"/>
    <w:rsid w:val="00D34766"/>
    <w:rsid w:val="00D349EA"/>
    <w:rsid w:val="00D34E5F"/>
    <w:rsid w:val="00D3507F"/>
    <w:rsid w:val="00D361AE"/>
    <w:rsid w:val="00D36FD8"/>
    <w:rsid w:val="00D37045"/>
    <w:rsid w:val="00D37962"/>
    <w:rsid w:val="00D40229"/>
    <w:rsid w:val="00D404FB"/>
    <w:rsid w:val="00D4089C"/>
    <w:rsid w:val="00D409C8"/>
    <w:rsid w:val="00D409F1"/>
    <w:rsid w:val="00D40E93"/>
    <w:rsid w:val="00D41EB1"/>
    <w:rsid w:val="00D41EDC"/>
    <w:rsid w:val="00D4213D"/>
    <w:rsid w:val="00D42C0F"/>
    <w:rsid w:val="00D43BEF"/>
    <w:rsid w:val="00D446AE"/>
    <w:rsid w:val="00D460A1"/>
    <w:rsid w:val="00D46D85"/>
    <w:rsid w:val="00D46DA8"/>
    <w:rsid w:val="00D46E21"/>
    <w:rsid w:val="00D46F62"/>
    <w:rsid w:val="00D47230"/>
    <w:rsid w:val="00D47418"/>
    <w:rsid w:val="00D4751C"/>
    <w:rsid w:val="00D47BDA"/>
    <w:rsid w:val="00D47D08"/>
    <w:rsid w:val="00D47E2C"/>
    <w:rsid w:val="00D5057E"/>
    <w:rsid w:val="00D50EE2"/>
    <w:rsid w:val="00D517EA"/>
    <w:rsid w:val="00D520E4"/>
    <w:rsid w:val="00D535DB"/>
    <w:rsid w:val="00D549ED"/>
    <w:rsid w:val="00D54BB3"/>
    <w:rsid w:val="00D54C3C"/>
    <w:rsid w:val="00D55DA2"/>
    <w:rsid w:val="00D56434"/>
    <w:rsid w:val="00D569BC"/>
    <w:rsid w:val="00D56AF3"/>
    <w:rsid w:val="00D56BCC"/>
    <w:rsid w:val="00D56F59"/>
    <w:rsid w:val="00D56F8F"/>
    <w:rsid w:val="00D57EBB"/>
    <w:rsid w:val="00D6027D"/>
    <w:rsid w:val="00D609B0"/>
    <w:rsid w:val="00D627D6"/>
    <w:rsid w:val="00D634E8"/>
    <w:rsid w:val="00D63D11"/>
    <w:rsid w:val="00D64302"/>
    <w:rsid w:val="00D64F59"/>
    <w:rsid w:val="00D654C3"/>
    <w:rsid w:val="00D66349"/>
    <w:rsid w:val="00D66DD9"/>
    <w:rsid w:val="00D6714A"/>
    <w:rsid w:val="00D678F0"/>
    <w:rsid w:val="00D701F0"/>
    <w:rsid w:val="00D712C9"/>
    <w:rsid w:val="00D713B4"/>
    <w:rsid w:val="00D71BB4"/>
    <w:rsid w:val="00D71C08"/>
    <w:rsid w:val="00D71C2E"/>
    <w:rsid w:val="00D71D28"/>
    <w:rsid w:val="00D733A1"/>
    <w:rsid w:val="00D73537"/>
    <w:rsid w:val="00D736AA"/>
    <w:rsid w:val="00D743DE"/>
    <w:rsid w:val="00D75192"/>
    <w:rsid w:val="00D753EC"/>
    <w:rsid w:val="00D762FA"/>
    <w:rsid w:val="00D7643C"/>
    <w:rsid w:val="00D7666C"/>
    <w:rsid w:val="00D77184"/>
    <w:rsid w:val="00D772CA"/>
    <w:rsid w:val="00D7749F"/>
    <w:rsid w:val="00D77B93"/>
    <w:rsid w:val="00D77E1C"/>
    <w:rsid w:val="00D8064B"/>
    <w:rsid w:val="00D8079A"/>
    <w:rsid w:val="00D8079C"/>
    <w:rsid w:val="00D80C76"/>
    <w:rsid w:val="00D80F2F"/>
    <w:rsid w:val="00D81393"/>
    <w:rsid w:val="00D816AD"/>
    <w:rsid w:val="00D81C0D"/>
    <w:rsid w:val="00D82726"/>
    <w:rsid w:val="00D82850"/>
    <w:rsid w:val="00D82B3A"/>
    <w:rsid w:val="00D82EBD"/>
    <w:rsid w:val="00D838DB"/>
    <w:rsid w:val="00D84721"/>
    <w:rsid w:val="00D84A24"/>
    <w:rsid w:val="00D84B46"/>
    <w:rsid w:val="00D86349"/>
    <w:rsid w:val="00D86AD3"/>
    <w:rsid w:val="00D872B5"/>
    <w:rsid w:val="00D874CB"/>
    <w:rsid w:val="00D911F6"/>
    <w:rsid w:val="00D91517"/>
    <w:rsid w:val="00D918E8"/>
    <w:rsid w:val="00D9193D"/>
    <w:rsid w:val="00D9207D"/>
    <w:rsid w:val="00D925CD"/>
    <w:rsid w:val="00D93C19"/>
    <w:rsid w:val="00D94410"/>
    <w:rsid w:val="00D94FC1"/>
    <w:rsid w:val="00D94FDF"/>
    <w:rsid w:val="00D96C1D"/>
    <w:rsid w:val="00D96CF6"/>
    <w:rsid w:val="00D976BE"/>
    <w:rsid w:val="00D976F9"/>
    <w:rsid w:val="00D9773D"/>
    <w:rsid w:val="00D97A55"/>
    <w:rsid w:val="00D97B27"/>
    <w:rsid w:val="00DA0504"/>
    <w:rsid w:val="00DA06F1"/>
    <w:rsid w:val="00DA0EB3"/>
    <w:rsid w:val="00DA1119"/>
    <w:rsid w:val="00DA13B6"/>
    <w:rsid w:val="00DA35A9"/>
    <w:rsid w:val="00DA3F02"/>
    <w:rsid w:val="00DA4193"/>
    <w:rsid w:val="00DA427C"/>
    <w:rsid w:val="00DA4426"/>
    <w:rsid w:val="00DA4E02"/>
    <w:rsid w:val="00DA5AD9"/>
    <w:rsid w:val="00DA63DE"/>
    <w:rsid w:val="00DA6697"/>
    <w:rsid w:val="00DA6AAF"/>
    <w:rsid w:val="00DA7EE0"/>
    <w:rsid w:val="00DB02C3"/>
    <w:rsid w:val="00DB0302"/>
    <w:rsid w:val="00DB08F7"/>
    <w:rsid w:val="00DB1D3D"/>
    <w:rsid w:val="00DB215D"/>
    <w:rsid w:val="00DB218F"/>
    <w:rsid w:val="00DB2E06"/>
    <w:rsid w:val="00DB331F"/>
    <w:rsid w:val="00DB34E0"/>
    <w:rsid w:val="00DB3586"/>
    <w:rsid w:val="00DB3EE0"/>
    <w:rsid w:val="00DB436B"/>
    <w:rsid w:val="00DB48C7"/>
    <w:rsid w:val="00DB4E2C"/>
    <w:rsid w:val="00DB59AB"/>
    <w:rsid w:val="00DB5E06"/>
    <w:rsid w:val="00DB6896"/>
    <w:rsid w:val="00DB6C0E"/>
    <w:rsid w:val="00DB70DC"/>
    <w:rsid w:val="00DB79A8"/>
    <w:rsid w:val="00DB7CD1"/>
    <w:rsid w:val="00DB7D18"/>
    <w:rsid w:val="00DB7E45"/>
    <w:rsid w:val="00DC018A"/>
    <w:rsid w:val="00DC0ED0"/>
    <w:rsid w:val="00DC0FAF"/>
    <w:rsid w:val="00DC125E"/>
    <w:rsid w:val="00DC1A8C"/>
    <w:rsid w:val="00DC26C4"/>
    <w:rsid w:val="00DC3353"/>
    <w:rsid w:val="00DC3827"/>
    <w:rsid w:val="00DC3BFB"/>
    <w:rsid w:val="00DC3DFC"/>
    <w:rsid w:val="00DC44A1"/>
    <w:rsid w:val="00DC45D1"/>
    <w:rsid w:val="00DC4BF5"/>
    <w:rsid w:val="00DC578B"/>
    <w:rsid w:val="00DC5909"/>
    <w:rsid w:val="00DC599C"/>
    <w:rsid w:val="00DC5F96"/>
    <w:rsid w:val="00DC6928"/>
    <w:rsid w:val="00DC696D"/>
    <w:rsid w:val="00DC749F"/>
    <w:rsid w:val="00DC74C3"/>
    <w:rsid w:val="00DC7C5B"/>
    <w:rsid w:val="00DC7DFC"/>
    <w:rsid w:val="00DD0248"/>
    <w:rsid w:val="00DD1015"/>
    <w:rsid w:val="00DD1C3D"/>
    <w:rsid w:val="00DD25E3"/>
    <w:rsid w:val="00DD279C"/>
    <w:rsid w:val="00DD3BAD"/>
    <w:rsid w:val="00DD4526"/>
    <w:rsid w:val="00DD45D0"/>
    <w:rsid w:val="00DD4823"/>
    <w:rsid w:val="00DD49CC"/>
    <w:rsid w:val="00DD4AA7"/>
    <w:rsid w:val="00DD595C"/>
    <w:rsid w:val="00DD5C01"/>
    <w:rsid w:val="00DD5C81"/>
    <w:rsid w:val="00DD6A30"/>
    <w:rsid w:val="00DD6D62"/>
    <w:rsid w:val="00DD72B9"/>
    <w:rsid w:val="00DD778E"/>
    <w:rsid w:val="00DD77F1"/>
    <w:rsid w:val="00DD79C3"/>
    <w:rsid w:val="00DE0498"/>
    <w:rsid w:val="00DE04B3"/>
    <w:rsid w:val="00DE1943"/>
    <w:rsid w:val="00DE1945"/>
    <w:rsid w:val="00DE2669"/>
    <w:rsid w:val="00DE2BAC"/>
    <w:rsid w:val="00DE356B"/>
    <w:rsid w:val="00DE3924"/>
    <w:rsid w:val="00DE409F"/>
    <w:rsid w:val="00DE460E"/>
    <w:rsid w:val="00DE4D38"/>
    <w:rsid w:val="00DE537C"/>
    <w:rsid w:val="00DE5910"/>
    <w:rsid w:val="00DE5DC8"/>
    <w:rsid w:val="00DE6877"/>
    <w:rsid w:val="00DE6B9B"/>
    <w:rsid w:val="00DE7A12"/>
    <w:rsid w:val="00DE7D95"/>
    <w:rsid w:val="00DE7FD7"/>
    <w:rsid w:val="00DF06BC"/>
    <w:rsid w:val="00DF0842"/>
    <w:rsid w:val="00DF1193"/>
    <w:rsid w:val="00DF1321"/>
    <w:rsid w:val="00DF1501"/>
    <w:rsid w:val="00DF2814"/>
    <w:rsid w:val="00DF3326"/>
    <w:rsid w:val="00DF3A64"/>
    <w:rsid w:val="00DF3E91"/>
    <w:rsid w:val="00DF4D44"/>
    <w:rsid w:val="00DF4D72"/>
    <w:rsid w:val="00DF56F3"/>
    <w:rsid w:val="00DF57E1"/>
    <w:rsid w:val="00DF5999"/>
    <w:rsid w:val="00DF6192"/>
    <w:rsid w:val="00DF6240"/>
    <w:rsid w:val="00DF6353"/>
    <w:rsid w:val="00DF64A7"/>
    <w:rsid w:val="00DF666A"/>
    <w:rsid w:val="00DF7B90"/>
    <w:rsid w:val="00E000CD"/>
    <w:rsid w:val="00E00C84"/>
    <w:rsid w:val="00E00EFB"/>
    <w:rsid w:val="00E01960"/>
    <w:rsid w:val="00E033F6"/>
    <w:rsid w:val="00E04B33"/>
    <w:rsid w:val="00E0523D"/>
    <w:rsid w:val="00E05458"/>
    <w:rsid w:val="00E06130"/>
    <w:rsid w:val="00E061A8"/>
    <w:rsid w:val="00E06E9C"/>
    <w:rsid w:val="00E07D24"/>
    <w:rsid w:val="00E1023B"/>
    <w:rsid w:val="00E105F4"/>
    <w:rsid w:val="00E1063C"/>
    <w:rsid w:val="00E122DA"/>
    <w:rsid w:val="00E12421"/>
    <w:rsid w:val="00E125B4"/>
    <w:rsid w:val="00E12DB6"/>
    <w:rsid w:val="00E1305F"/>
    <w:rsid w:val="00E140DC"/>
    <w:rsid w:val="00E1447B"/>
    <w:rsid w:val="00E145C6"/>
    <w:rsid w:val="00E15C6E"/>
    <w:rsid w:val="00E17C12"/>
    <w:rsid w:val="00E20EF9"/>
    <w:rsid w:val="00E212E4"/>
    <w:rsid w:val="00E21301"/>
    <w:rsid w:val="00E21DAB"/>
    <w:rsid w:val="00E22A10"/>
    <w:rsid w:val="00E2346E"/>
    <w:rsid w:val="00E2355A"/>
    <w:rsid w:val="00E24A7A"/>
    <w:rsid w:val="00E2518D"/>
    <w:rsid w:val="00E25A4D"/>
    <w:rsid w:val="00E25F09"/>
    <w:rsid w:val="00E261CE"/>
    <w:rsid w:val="00E2650B"/>
    <w:rsid w:val="00E2673B"/>
    <w:rsid w:val="00E2689E"/>
    <w:rsid w:val="00E27E54"/>
    <w:rsid w:val="00E307A3"/>
    <w:rsid w:val="00E30E76"/>
    <w:rsid w:val="00E31058"/>
    <w:rsid w:val="00E32568"/>
    <w:rsid w:val="00E329C8"/>
    <w:rsid w:val="00E33714"/>
    <w:rsid w:val="00E33DC1"/>
    <w:rsid w:val="00E344E3"/>
    <w:rsid w:val="00E350A6"/>
    <w:rsid w:val="00E3526F"/>
    <w:rsid w:val="00E3527E"/>
    <w:rsid w:val="00E35465"/>
    <w:rsid w:val="00E35C0A"/>
    <w:rsid w:val="00E364F0"/>
    <w:rsid w:val="00E37B71"/>
    <w:rsid w:val="00E41BB9"/>
    <w:rsid w:val="00E42985"/>
    <w:rsid w:val="00E42E55"/>
    <w:rsid w:val="00E43324"/>
    <w:rsid w:val="00E43700"/>
    <w:rsid w:val="00E44822"/>
    <w:rsid w:val="00E459D2"/>
    <w:rsid w:val="00E4602F"/>
    <w:rsid w:val="00E464C9"/>
    <w:rsid w:val="00E46DDA"/>
    <w:rsid w:val="00E50093"/>
    <w:rsid w:val="00E51DE0"/>
    <w:rsid w:val="00E51E20"/>
    <w:rsid w:val="00E5212C"/>
    <w:rsid w:val="00E524AA"/>
    <w:rsid w:val="00E52B28"/>
    <w:rsid w:val="00E53298"/>
    <w:rsid w:val="00E54ABC"/>
    <w:rsid w:val="00E54CFC"/>
    <w:rsid w:val="00E552C5"/>
    <w:rsid w:val="00E554AF"/>
    <w:rsid w:val="00E55E3F"/>
    <w:rsid w:val="00E560EA"/>
    <w:rsid w:val="00E56306"/>
    <w:rsid w:val="00E563DD"/>
    <w:rsid w:val="00E56A5A"/>
    <w:rsid w:val="00E56B9C"/>
    <w:rsid w:val="00E5766C"/>
    <w:rsid w:val="00E57B35"/>
    <w:rsid w:val="00E60D77"/>
    <w:rsid w:val="00E61076"/>
    <w:rsid w:val="00E62FBA"/>
    <w:rsid w:val="00E63212"/>
    <w:rsid w:val="00E63F0B"/>
    <w:rsid w:val="00E6413C"/>
    <w:rsid w:val="00E64502"/>
    <w:rsid w:val="00E6468D"/>
    <w:rsid w:val="00E65467"/>
    <w:rsid w:val="00E655E1"/>
    <w:rsid w:val="00E671EB"/>
    <w:rsid w:val="00E67300"/>
    <w:rsid w:val="00E67315"/>
    <w:rsid w:val="00E6734B"/>
    <w:rsid w:val="00E67357"/>
    <w:rsid w:val="00E67AC0"/>
    <w:rsid w:val="00E7106A"/>
    <w:rsid w:val="00E71240"/>
    <w:rsid w:val="00E724F3"/>
    <w:rsid w:val="00E72AFB"/>
    <w:rsid w:val="00E73152"/>
    <w:rsid w:val="00E732B0"/>
    <w:rsid w:val="00E7420D"/>
    <w:rsid w:val="00E743CD"/>
    <w:rsid w:val="00E77768"/>
    <w:rsid w:val="00E77BF6"/>
    <w:rsid w:val="00E80475"/>
    <w:rsid w:val="00E80C2E"/>
    <w:rsid w:val="00E80F50"/>
    <w:rsid w:val="00E813B1"/>
    <w:rsid w:val="00E8208D"/>
    <w:rsid w:val="00E82207"/>
    <w:rsid w:val="00E82EB9"/>
    <w:rsid w:val="00E83703"/>
    <w:rsid w:val="00E83C31"/>
    <w:rsid w:val="00E83E0B"/>
    <w:rsid w:val="00E83E40"/>
    <w:rsid w:val="00E844FE"/>
    <w:rsid w:val="00E845C1"/>
    <w:rsid w:val="00E84C8B"/>
    <w:rsid w:val="00E84C8C"/>
    <w:rsid w:val="00E85C32"/>
    <w:rsid w:val="00E86A42"/>
    <w:rsid w:val="00E86E00"/>
    <w:rsid w:val="00E87063"/>
    <w:rsid w:val="00E87197"/>
    <w:rsid w:val="00E87471"/>
    <w:rsid w:val="00E901C8"/>
    <w:rsid w:val="00E9034F"/>
    <w:rsid w:val="00E90ECF"/>
    <w:rsid w:val="00E9130F"/>
    <w:rsid w:val="00E9169B"/>
    <w:rsid w:val="00E91896"/>
    <w:rsid w:val="00E91DDC"/>
    <w:rsid w:val="00E91E5E"/>
    <w:rsid w:val="00E9279A"/>
    <w:rsid w:val="00E92CA1"/>
    <w:rsid w:val="00E93674"/>
    <w:rsid w:val="00E937D6"/>
    <w:rsid w:val="00E93A27"/>
    <w:rsid w:val="00E940A6"/>
    <w:rsid w:val="00E94BDB"/>
    <w:rsid w:val="00E957B5"/>
    <w:rsid w:val="00E95B32"/>
    <w:rsid w:val="00E96191"/>
    <w:rsid w:val="00E96BEA"/>
    <w:rsid w:val="00E97B4E"/>
    <w:rsid w:val="00E97D91"/>
    <w:rsid w:val="00EA04DF"/>
    <w:rsid w:val="00EA0548"/>
    <w:rsid w:val="00EA1C32"/>
    <w:rsid w:val="00EA1E97"/>
    <w:rsid w:val="00EA225F"/>
    <w:rsid w:val="00EA22C4"/>
    <w:rsid w:val="00EA26AD"/>
    <w:rsid w:val="00EA2790"/>
    <w:rsid w:val="00EA298C"/>
    <w:rsid w:val="00EA2BF8"/>
    <w:rsid w:val="00EA30EC"/>
    <w:rsid w:val="00EA3C6C"/>
    <w:rsid w:val="00EA5925"/>
    <w:rsid w:val="00EA5D96"/>
    <w:rsid w:val="00EA6A39"/>
    <w:rsid w:val="00EA6A82"/>
    <w:rsid w:val="00EA718A"/>
    <w:rsid w:val="00EA7415"/>
    <w:rsid w:val="00EB07F0"/>
    <w:rsid w:val="00EB0CBB"/>
    <w:rsid w:val="00EB2F6E"/>
    <w:rsid w:val="00EB31FA"/>
    <w:rsid w:val="00EB4B75"/>
    <w:rsid w:val="00EB5742"/>
    <w:rsid w:val="00EB5E13"/>
    <w:rsid w:val="00EB61DF"/>
    <w:rsid w:val="00EB6C5E"/>
    <w:rsid w:val="00EB6C84"/>
    <w:rsid w:val="00EC0C06"/>
    <w:rsid w:val="00EC138C"/>
    <w:rsid w:val="00EC1456"/>
    <w:rsid w:val="00EC173D"/>
    <w:rsid w:val="00EC2244"/>
    <w:rsid w:val="00EC2248"/>
    <w:rsid w:val="00EC3E1A"/>
    <w:rsid w:val="00EC413E"/>
    <w:rsid w:val="00EC4263"/>
    <w:rsid w:val="00EC4590"/>
    <w:rsid w:val="00EC493E"/>
    <w:rsid w:val="00EC5A12"/>
    <w:rsid w:val="00EC5A29"/>
    <w:rsid w:val="00EC62A1"/>
    <w:rsid w:val="00EC6C31"/>
    <w:rsid w:val="00EC79F4"/>
    <w:rsid w:val="00ED0280"/>
    <w:rsid w:val="00ED055D"/>
    <w:rsid w:val="00ED086D"/>
    <w:rsid w:val="00ED0D6F"/>
    <w:rsid w:val="00ED0F8D"/>
    <w:rsid w:val="00ED1892"/>
    <w:rsid w:val="00ED236B"/>
    <w:rsid w:val="00ED2847"/>
    <w:rsid w:val="00ED2AE6"/>
    <w:rsid w:val="00ED3690"/>
    <w:rsid w:val="00ED3A72"/>
    <w:rsid w:val="00ED64C1"/>
    <w:rsid w:val="00ED65A9"/>
    <w:rsid w:val="00ED6A91"/>
    <w:rsid w:val="00ED6CA4"/>
    <w:rsid w:val="00ED7731"/>
    <w:rsid w:val="00ED79D2"/>
    <w:rsid w:val="00ED7A78"/>
    <w:rsid w:val="00EE143A"/>
    <w:rsid w:val="00EE3793"/>
    <w:rsid w:val="00EE3B07"/>
    <w:rsid w:val="00EE3E90"/>
    <w:rsid w:val="00EE3EE0"/>
    <w:rsid w:val="00EE3FB3"/>
    <w:rsid w:val="00EE42C4"/>
    <w:rsid w:val="00EE48BF"/>
    <w:rsid w:val="00EE4AF0"/>
    <w:rsid w:val="00EE4F77"/>
    <w:rsid w:val="00EE5087"/>
    <w:rsid w:val="00EE5207"/>
    <w:rsid w:val="00EE5E02"/>
    <w:rsid w:val="00EE689A"/>
    <w:rsid w:val="00EE69DA"/>
    <w:rsid w:val="00EE6A69"/>
    <w:rsid w:val="00EE6BBA"/>
    <w:rsid w:val="00EE6F66"/>
    <w:rsid w:val="00EF00F8"/>
    <w:rsid w:val="00EF01B1"/>
    <w:rsid w:val="00EF03B7"/>
    <w:rsid w:val="00EF07D2"/>
    <w:rsid w:val="00EF0F42"/>
    <w:rsid w:val="00EF0FE9"/>
    <w:rsid w:val="00EF1183"/>
    <w:rsid w:val="00EF1704"/>
    <w:rsid w:val="00EF1FAE"/>
    <w:rsid w:val="00EF357C"/>
    <w:rsid w:val="00EF35C4"/>
    <w:rsid w:val="00EF3721"/>
    <w:rsid w:val="00EF419D"/>
    <w:rsid w:val="00EF4BB1"/>
    <w:rsid w:val="00EF57F4"/>
    <w:rsid w:val="00EF6681"/>
    <w:rsid w:val="00EF7163"/>
    <w:rsid w:val="00EF7177"/>
    <w:rsid w:val="00EF7B41"/>
    <w:rsid w:val="00F009F5"/>
    <w:rsid w:val="00F00CF2"/>
    <w:rsid w:val="00F012C0"/>
    <w:rsid w:val="00F0136F"/>
    <w:rsid w:val="00F022B3"/>
    <w:rsid w:val="00F02F32"/>
    <w:rsid w:val="00F030B8"/>
    <w:rsid w:val="00F0359C"/>
    <w:rsid w:val="00F03A07"/>
    <w:rsid w:val="00F03D43"/>
    <w:rsid w:val="00F04A44"/>
    <w:rsid w:val="00F04CE0"/>
    <w:rsid w:val="00F052B7"/>
    <w:rsid w:val="00F055A5"/>
    <w:rsid w:val="00F05838"/>
    <w:rsid w:val="00F05FD3"/>
    <w:rsid w:val="00F06040"/>
    <w:rsid w:val="00F061E4"/>
    <w:rsid w:val="00F06735"/>
    <w:rsid w:val="00F067BD"/>
    <w:rsid w:val="00F06824"/>
    <w:rsid w:val="00F07315"/>
    <w:rsid w:val="00F07985"/>
    <w:rsid w:val="00F1035C"/>
    <w:rsid w:val="00F104BA"/>
    <w:rsid w:val="00F104FB"/>
    <w:rsid w:val="00F10A68"/>
    <w:rsid w:val="00F10CE3"/>
    <w:rsid w:val="00F11227"/>
    <w:rsid w:val="00F112A3"/>
    <w:rsid w:val="00F1182F"/>
    <w:rsid w:val="00F120C5"/>
    <w:rsid w:val="00F12431"/>
    <w:rsid w:val="00F12617"/>
    <w:rsid w:val="00F12B71"/>
    <w:rsid w:val="00F13013"/>
    <w:rsid w:val="00F1315E"/>
    <w:rsid w:val="00F13B93"/>
    <w:rsid w:val="00F13D22"/>
    <w:rsid w:val="00F140DF"/>
    <w:rsid w:val="00F14467"/>
    <w:rsid w:val="00F14721"/>
    <w:rsid w:val="00F14DDC"/>
    <w:rsid w:val="00F14F4A"/>
    <w:rsid w:val="00F15089"/>
    <w:rsid w:val="00F152F2"/>
    <w:rsid w:val="00F156AC"/>
    <w:rsid w:val="00F15D96"/>
    <w:rsid w:val="00F17193"/>
    <w:rsid w:val="00F2024A"/>
    <w:rsid w:val="00F20687"/>
    <w:rsid w:val="00F20A1B"/>
    <w:rsid w:val="00F21324"/>
    <w:rsid w:val="00F2145E"/>
    <w:rsid w:val="00F215B4"/>
    <w:rsid w:val="00F2179A"/>
    <w:rsid w:val="00F22AAF"/>
    <w:rsid w:val="00F241C9"/>
    <w:rsid w:val="00F24367"/>
    <w:rsid w:val="00F2531E"/>
    <w:rsid w:val="00F25737"/>
    <w:rsid w:val="00F25887"/>
    <w:rsid w:val="00F258F0"/>
    <w:rsid w:val="00F266DD"/>
    <w:rsid w:val="00F26E38"/>
    <w:rsid w:val="00F272CD"/>
    <w:rsid w:val="00F275B7"/>
    <w:rsid w:val="00F275E8"/>
    <w:rsid w:val="00F27F3F"/>
    <w:rsid w:val="00F30093"/>
    <w:rsid w:val="00F30488"/>
    <w:rsid w:val="00F31E06"/>
    <w:rsid w:val="00F327D0"/>
    <w:rsid w:val="00F33C96"/>
    <w:rsid w:val="00F33E42"/>
    <w:rsid w:val="00F34558"/>
    <w:rsid w:val="00F34BE0"/>
    <w:rsid w:val="00F35703"/>
    <w:rsid w:val="00F35C79"/>
    <w:rsid w:val="00F361C9"/>
    <w:rsid w:val="00F3647F"/>
    <w:rsid w:val="00F36D01"/>
    <w:rsid w:val="00F4070A"/>
    <w:rsid w:val="00F40D4E"/>
    <w:rsid w:val="00F412BD"/>
    <w:rsid w:val="00F422FA"/>
    <w:rsid w:val="00F425E2"/>
    <w:rsid w:val="00F427F2"/>
    <w:rsid w:val="00F42B81"/>
    <w:rsid w:val="00F435FE"/>
    <w:rsid w:val="00F445DA"/>
    <w:rsid w:val="00F44978"/>
    <w:rsid w:val="00F44CEA"/>
    <w:rsid w:val="00F45087"/>
    <w:rsid w:val="00F455E8"/>
    <w:rsid w:val="00F467F4"/>
    <w:rsid w:val="00F468A7"/>
    <w:rsid w:val="00F468DE"/>
    <w:rsid w:val="00F47506"/>
    <w:rsid w:val="00F4769E"/>
    <w:rsid w:val="00F47839"/>
    <w:rsid w:val="00F47B97"/>
    <w:rsid w:val="00F5102B"/>
    <w:rsid w:val="00F51E61"/>
    <w:rsid w:val="00F52820"/>
    <w:rsid w:val="00F52B9C"/>
    <w:rsid w:val="00F52D8B"/>
    <w:rsid w:val="00F5334B"/>
    <w:rsid w:val="00F5357A"/>
    <w:rsid w:val="00F542FD"/>
    <w:rsid w:val="00F5466F"/>
    <w:rsid w:val="00F55561"/>
    <w:rsid w:val="00F562BC"/>
    <w:rsid w:val="00F5699F"/>
    <w:rsid w:val="00F57467"/>
    <w:rsid w:val="00F5761C"/>
    <w:rsid w:val="00F57713"/>
    <w:rsid w:val="00F57C7C"/>
    <w:rsid w:val="00F60760"/>
    <w:rsid w:val="00F607B0"/>
    <w:rsid w:val="00F6084C"/>
    <w:rsid w:val="00F60FDA"/>
    <w:rsid w:val="00F62ADC"/>
    <w:rsid w:val="00F62D16"/>
    <w:rsid w:val="00F63417"/>
    <w:rsid w:val="00F636DD"/>
    <w:rsid w:val="00F63713"/>
    <w:rsid w:val="00F63EE7"/>
    <w:rsid w:val="00F63FE4"/>
    <w:rsid w:val="00F65A1E"/>
    <w:rsid w:val="00F6669D"/>
    <w:rsid w:val="00F66E12"/>
    <w:rsid w:val="00F66E39"/>
    <w:rsid w:val="00F670C3"/>
    <w:rsid w:val="00F675AB"/>
    <w:rsid w:val="00F67989"/>
    <w:rsid w:val="00F67B32"/>
    <w:rsid w:val="00F67C5E"/>
    <w:rsid w:val="00F701ED"/>
    <w:rsid w:val="00F70596"/>
    <w:rsid w:val="00F709CE"/>
    <w:rsid w:val="00F71184"/>
    <w:rsid w:val="00F71D77"/>
    <w:rsid w:val="00F71F07"/>
    <w:rsid w:val="00F723A9"/>
    <w:rsid w:val="00F728FE"/>
    <w:rsid w:val="00F72E3E"/>
    <w:rsid w:val="00F73211"/>
    <w:rsid w:val="00F732FE"/>
    <w:rsid w:val="00F73429"/>
    <w:rsid w:val="00F73610"/>
    <w:rsid w:val="00F73A77"/>
    <w:rsid w:val="00F73C2E"/>
    <w:rsid w:val="00F73C7B"/>
    <w:rsid w:val="00F74336"/>
    <w:rsid w:val="00F74400"/>
    <w:rsid w:val="00F7468D"/>
    <w:rsid w:val="00F75A9A"/>
    <w:rsid w:val="00F7614F"/>
    <w:rsid w:val="00F7671A"/>
    <w:rsid w:val="00F77696"/>
    <w:rsid w:val="00F8021F"/>
    <w:rsid w:val="00F80867"/>
    <w:rsid w:val="00F80A9D"/>
    <w:rsid w:val="00F81948"/>
    <w:rsid w:val="00F8227C"/>
    <w:rsid w:val="00F824AF"/>
    <w:rsid w:val="00F82770"/>
    <w:rsid w:val="00F82C6C"/>
    <w:rsid w:val="00F82D45"/>
    <w:rsid w:val="00F82DE2"/>
    <w:rsid w:val="00F830F3"/>
    <w:rsid w:val="00F835FE"/>
    <w:rsid w:val="00F84061"/>
    <w:rsid w:val="00F84181"/>
    <w:rsid w:val="00F84E8B"/>
    <w:rsid w:val="00F84FD8"/>
    <w:rsid w:val="00F85A84"/>
    <w:rsid w:val="00F8606B"/>
    <w:rsid w:val="00F86E19"/>
    <w:rsid w:val="00F870FD"/>
    <w:rsid w:val="00F874D9"/>
    <w:rsid w:val="00F87887"/>
    <w:rsid w:val="00F87CD4"/>
    <w:rsid w:val="00F901F0"/>
    <w:rsid w:val="00F9061A"/>
    <w:rsid w:val="00F9065F"/>
    <w:rsid w:val="00F90965"/>
    <w:rsid w:val="00F90D6B"/>
    <w:rsid w:val="00F91215"/>
    <w:rsid w:val="00F91D41"/>
    <w:rsid w:val="00F92367"/>
    <w:rsid w:val="00F924C6"/>
    <w:rsid w:val="00F9298D"/>
    <w:rsid w:val="00F92A9A"/>
    <w:rsid w:val="00F93427"/>
    <w:rsid w:val="00F94642"/>
    <w:rsid w:val="00F967A6"/>
    <w:rsid w:val="00F96C2D"/>
    <w:rsid w:val="00F96F1B"/>
    <w:rsid w:val="00F975BC"/>
    <w:rsid w:val="00FA097D"/>
    <w:rsid w:val="00FA165F"/>
    <w:rsid w:val="00FA171C"/>
    <w:rsid w:val="00FA21DB"/>
    <w:rsid w:val="00FA2BCE"/>
    <w:rsid w:val="00FA317C"/>
    <w:rsid w:val="00FA5331"/>
    <w:rsid w:val="00FA58F0"/>
    <w:rsid w:val="00FA5C45"/>
    <w:rsid w:val="00FA600A"/>
    <w:rsid w:val="00FA6F66"/>
    <w:rsid w:val="00FA76E6"/>
    <w:rsid w:val="00FA7D5D"/>
    <w:rsid w:val="00FA7E2A"/>
    <w:rsid w:val="00FB0077"/>
    <w:rsid w:val="00FB09FF"/>
    <w:rsid w:val="00FB0D7E"/>
    <w:rsid w:val="00FB15ED"/>
    <w:rsid w:val="00FB2427"/>
    <w:rsid w:val="00FB3190"/>
    <w:rsid w:val="00FB3537"/>
    <w:rsid w:val="00FB35DA"/>
    <w:rsid w:val="00FB36A2"/>
    <w:rsid w:val="00FB3CF2"/>
    <w:rsid w:val="00FB4A1E"/>
    <w:rsid w:val="00FB4C47"/>
    <w:rsid w:val="00FB50D4"/>
    <w:rsid w:val="00FB5A94"/>
    <w:rsid w:val="00FB5DC5"/>
    <w:rsid w:val="00FB60A9"/>
    <w:rsid w:val="00FB6301"/>
    <w:rsid w:val="00FB6785"/>
    <w:rsid w:val="00FB6A5B"/>
    <w:rsid w:val="00FB6C6E"/>
    <w:rsid w:val="00FB7430"/>
    <w:rsid w:val="00FB7835"/>
    <w:rsid w:val="00FB7A9C"/>
    <w:rsid w:val="00FB7E10"/>
    <w:rsid w:val="00FC02F7"/>
    <w:rsid w:val="00FC0342"/>
    <w:rsid w:val="00FC042D"/>
    <w:rsid w:val="00FC1616"/>
    <w:rsid w:val="00FC34FD"/>
    <w:rsid w:val="00FC3583"/>
    <w:rsid w:val="00FC3A6C"/>
    <w:rsid w:val="00FC3AC9"/>
    <w:rsid w:val="00FC4152"/>
    <w:rsid w:val="00FC4A0E"/>
    <w:rsid w:val="00FC5EB1"/>
    <w:rsid w:val="00FC61DA"/>
    <w:rsid w:val="00FC6D08"/>
    <w:rsid w:val="00FC77FC"/>
    <w:rsid w:val="00FC7E98"/>
    <w:rsid w:val="00FD10C4"/>
    <w:rsid w:val="00FD14BE"/>
    <w:rsid w:val="00FD1574"/>
    <w:rsid w:val="00FD1E29"/>
    <w:rsid w:val="00FD1F89"/>
    <w:rsid w:val="00FD259F"/>
    <w:rsid w:val="00FD25F5"/>
    <w:rsid w:val="00FD2A17"/>
    <w:rsid w:val="00FD398F"/>
    <w:rsid w:val="00FD43D5"/>
    <w:rsid w:val="00FD4AC4"/>
    <w:rsid w:val="00FD68E8"/>
    <w:rsid w:val="00FD6D48"/>
    <w:rsid w:val="00FD78EE"/>
    <w:rsid w:val="00FD7A4B"/>
    <w:rsid w:val="00FD7C0C"/>
    <w:rsid w:val="00FD7D94"/>
    <w:rsid w:val="00FD7FEE"/>
    <w:rsid w:val="00FE12A1"/>
    <w:rsid w:val="00FE14C4"/>
    <w:rsid w:val="00FE1A52"/>
    <w:rsid w:val="00FE2660"/>
    <w:rsid w:val="00FE2C2E"/>
    <w:rsid w:val="00FE32FB"/>
    <w:rsid w:val="00FE33CD"/>
    <w:rsid w:val="00FE3550"/>
    <w:rsid w:val="00FE3820"/>
    <w:rsid w:val="00FE3F14"/>
    <w:rsid w:val="00FE4B71"/>
    <w:rsid w:val="00FE51DA"/>
    <w:rsid w:val="00FE5A36"/>
    <w:rsid w:val="00FE6C18"/>
    <w:rsid w:val="00FE6F39"/>
    <w:rsid w:val="00FE7381"/>
    <w:rsid w:val="00FE73B1"/>
    <w:rsid w:val="00FE7982"/>
    <w:rsid w:val="00FE7F5C"/>
    <w:rsid w:val="00FF11EF"/>
    <w:rsid w:val="00FF12B5"/>
    <w:rsid w:val="00FF1832"/>
    <w:rsid w:val="00FF2099"/>
    <w:rsid w:val="00FF209B"/>
    <w:rsid w:val="00FF2143"/>
    <w:rsid w:val="00FF243F"/>
    <w:rsid w:val="00FF24F6"/>
    <w:rsid w:val="00FF261B"/>
    <w:rsid w:val="00FF26DC"/>
    <w:rsid w:val="00FF30FE"/>
    <w:rsid w:val="00FF3BCD"/>
    <w:rsid w:val="00FF3ECD"/>
    <w:rsid w:val="00FF42EE"/>
    <w:rsid w:val="00FF56DE"/>
    <w:rsid w:val="00FF572F"/>
    <w:rsid w:val="00FF6E4E"/>
    <w:rsid w:val="00FF7007"/>
    <w:rsid w:val="00FF7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wrap-style:none" fill="f" fillcolor="white" stroke="f">
      <v:fill color="white" on="f"/>
      <v:stroke on="f"/>
      <v:textbox style="mso-fit-shape-to-text:t" inset="0,0,0,0"/>
    </o:shapedefaults>
    <o:shapelayout v:ext="edit">
      <o:idmap v:ext="edit" data="2"/>
    </o:shapelayout>
  </w:shapeDefaults>
  <w:decimalSymbol w:val="."/>
  <w:listSeparator w:val=","/>
  <w14:docId w14:val="7ED37217"/>
  <w15:chartTrackingRefBased/>
  <w15:docId w15:val="{9C5E3C77-3C3A-4C4B-9396-94010E93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72"/>
    <w:rPr>
      <w:sz w:val="22"/>
      <w:lang w:val="pt-PT" w:eastAsia="en-US"/>
    </w:rPr>
  </w:style>
  <w:style w:type="paragraph" w:styleId="Heading1">
    <w:name w:val="heading 1"/>
    <w:basedOn w:val="Normal"/>
    <w:next w:val="Normal"/>
    <w:link w:val="Heading1Char"/>
    <w:qFormat/>
    <w:pPr>
      <w:keepNext/>
      <w:widowControl w:val="0"/>
      <w:tabs>
        <w:tab w:val="left" w:pos="567"/>
      </w:tabs>
      <w:spacing w:before="240" w:after="60" w:line="260" w:lineRule="exact"/>
      <w:outlineLvl w:val="0"/>
    </w:pPr>
    <w:rPr>
      <w:rFonts w:ascii="Helvetica" w:hAnsi="Helvetica"/>
      <w:b/>
      <w:kern w:val="28"/>
      <w:sz w:val="28"/>
      <w:lang w:val="x-none"/>
    </w:rPr>
  </w:style>
  <w:style w:type="paragraph" w:styleId="Heading2">
    <w:name w:val="heading 2"/>
    <w:basedOn w:val="Normal"/>
    <w:next w:val="Normal"/>
    <w:link w:val="Heading2Char"/>
    <w:qFormat/>
    <w:pPr>
      <w:keepNext/>
      <w:suppressAutoHyphens/>
      <w:ind w:right="11"/>
      <w:outlineLvl w:val="1"/>
    </w:pPr>
    <w:rPr>
      <w:b/>
      <w:lang w:val="x-none"/>
    </w:rPr>
  </w:style>
  <w:style w:type="paragraph" w:styleId="Heading3">
    <w:name w:val="heading 3"/>
    <w:basedOn w:val="Normal"/>
    <w:next w:val="Normal"/>
    <w:link w:val="Heading3Char"/>
    <w:qFormat/>
    <w:pPr>
      <w:keepNext/>
      <w:tabs>
        <w:tab w:val="left" w:pos="570"/>
      </w:tabs>
      <w:suppressAutoHyphens/>
      <w:ind w:left="570" w:hanging="570"/>
      <w:jc w:val="both"/>
      <w:outlineLvl w:val="2"/>
    </w:pPr>
    <w:rPr>
      <w:b/>
      <w:lang w:val="x-none"/>
    </w:rPr>
  </w:style>
  <w:style w:type="paragraph" w:styleId="Heading4">
    <w:name w:val="heading 4"/>
    <w:basedOn w:val="Normal"/>
    <w:next w:val="Normal"/>
    <w:link w:val="Heading4Char"/>
    <w:qFormat/>
    <w:pPr>
      <w:keepNext/>
      <w:suppressAutoHyphens/>
      <w:ind w:right="14"/>
      <w:jc w:val="center"/>
      <w:outlineLvl w:val="3"/>
    </w:pPr>
    <w:rPr>
      <w:b/>
      <w:lang w:val="x-none"/>
    </w:rPr>
  </w:style>
  <w:style w:type="paragraph" w:styleId="Heading5">
    <w:name w:val="heading 5"/>
    <w:basedOn w:val="Normal"/>
    <w:next w:val="Normal"/>
    <w:link w:val="Heading5Char"/>
    <w:qFormat/>
    <w:pPr>
      <w:keepNext/>
      <w:suppressAutoHyphens/>
      <w:outlineLvl w:val="4"/>
    </w:pPr>
    <w:rPr>
      <w:b/>
      <w:lang w:val="x-none"/>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qFormat/>
    <w:pPr>
      <w:keepNext/>
      <w:suppressAutoHyphens/>
      <w:ind w:left="567" w:hanging="567"/>
      <w:outlineLvl w:val="7"/>
    </w:pPr>
    <w:rPr>
      <w:i/>
      <w:lang w:val="x-none"/>
    </w:rPr>
  </w:style>
  <w:style w:type="paragraph" w:styleId="Heading9">
    <w:name w:val="heading 9"/>
    <w:basedOn w:val="Normal"/>
    <w:next w:val="Normal"/>
    <w:link w:val="Heading9Char"/>
    <w:qFormat/>
    <w:rsid w:val="00916F15"/>
    <w:pPr>
      <w:keepNext/>
      <w:numPr>
        <w:ilvl w:val="12"/>
      </w:numPr>
      <w:ind w:right="-2"/>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left" w:pos="567"/>
        <w:tab w:val="center" w:pos="4320"/>
        <w:tab w:val="right" w:pos="8640"/>
      </w:tabs>
    </w:pPr>
    <w:rPr>
      <w:rFonts w:ascii="Helvetica" w:hAnsi="Helvetica"/>
      <w:lang w:val="x-none"/>
    </w:rPr>
  </w:style>
  <w:style w:type="paragraph" w:styleId="Footer">
    <w:name w:val="footer"/>
    <w:basedOn w:val="Normal"/>
    <w:link w:val="FooterChar"/>
    <w:uiPriority w:val="99"/>
    <w:pPr>
      <w:widowControl w:val="0"/>
      <w:tabs>
        <w:tab w:val="left" w:pos="567"/>
        <w:tab w:val="center" w:pos="4536"/>
        <w:tab w:val="center" w:pos="8930"/>
      </w:tabs>
    </w:pPr>
    <w:rPr>
      <w:rFonts w:ascii="Helvetica" w:hAnsi="Helvetica"/>
      <w:sz w:val="16"/>
      <w:lang w:val="x-none"/>
    </w:r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styleId="Hyperlink">
    <w:name w:val="Hyperlink"/>
    <w:rPr>
      <w:color w:val="0000FF"/>
      <w:u w:val="single"/>
    </w:rPr>
  </w:style>
  <w:style w:type="paragraph" w:styleId="BlockText">
    <w:name w:val="Block Text"/>
    <w:basedOn w:val="Normal"/>
    <w:pPr>
      <w:tabs>
        <w:tab w:val="left" w:pos="-720"/>
      </w:tabs>
      <w:suppressAutoHyphens/>
      <w:ind w:left="1701" w:right="1126" w:hanging="567"/>
    </w:pPr>
    <w:rPr>
      <w:b/>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sz w:val="16"/>
      <w:szCs w:val="16"/>
      <w:lang w:val="x-none"/>
    </w:rPr>
  </w:style>
  <w:style w:type="table" w:styleId="TableGrid">
    <w:name w:val="Table Grid"/>
    <w:basedOn w:val="TableNormal"/>
    <w:rsid w:val="00E57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7E1C"/>
    <w:pPr>
      <w:widowControl w:val="0"/>
      <w:autoSpaceDE w:val="0"/>
      <w:autoSpaceDN w:val="0"/>
      <w:adjustRightInd w:val="0"/>
    </w:pPr>
    <w:rPr>
      <w:rFonts w:eastAsia="PMingLiU"/>
      <w:color w:val="000000"/>
      <w:sz w:val="24"/>
      <w:szCs w:val="24"/>
      <w:lang w:val="en-US" w:eastAsia="zh-TW"/>
    </w:rPr>
  </w:style>
  <w:style w:type="paragraph" w:customStyle="1" w:styleId="Smalltext120">
    <w:name w:val="Smalltext12:0"/>
    <w:basedOn w:val="Normal"/>
    <w:rsid w:val="00FA171C"/>
    <w:rPr>
      <w:sz w:val="24"/>
      <w:lang w:val="en-US" w:eastAsia="de-DE"/>
    </w:rPr>
  </w:style>
  <w:style w:type="paragraph" w:styleId="CommentSubject">
    <w:name w:val="annotation subject"/>
    <w:basedOn w:val="CommentText"/>
    <w:next w:val="CommentText"/>
    <w:link w:val="CommentSubjectChar"/>
    <w:semiHidden/>
    <w:rsid w:val="003178A3"/>
    <w:rPr>
      <w:b/>
      <w:bCs/>
      <w:lang w:val="x-none"/>
    </w:rPr>
  </w:style>
  <w:style w:type="paragraph" w:customStyle="1" w:styleId="TitleA">
    <w:name w:val="Title A"/>
    <w:basedOn w:val="Normal"/>
    <w:rsid w:val="00572D24"/>
    <w:pPr>
      <w:suppressAutoHyphens/>
      <w:ind w:right="14"/>
      <w:jc w:val="center"/>
    </w:pPr>
    <w:rPr>
      <w:b/>
      <w:noProof/>
      <w:szCs w:val="22"/>
    </w:rPr>
  </w:style>
  <w:style w:type="paragraph" w:customStyle="1" w:styleId="TitleB">
    <w:name w:val="Title B"/>
    <w:basedOn w:val="Normal"/>
    <w:rsid w:val="00572D24"/>
    <w:pPr>
      <w:suppressAutoHyphens/>
      <w:ind w:left="567" w:hanging="567"/>
    </w:pPr>
    <w:rPr>
      <w:b/>
      <w:noProof/>
      <w:color w:val="000000"/>
      <w:szCs w:val="22"/>
    </w:rPr>
  </w:style>
  <w:style w:type="character" w:customStyle="1" w:styleId="CommentTextChar">
    <w:name w:val="Comment Text Char"/>
    <w:link w:val="CommentText"/>
    <w:rsid w:val="00742445"/>
    <w:rPr>
      <w:lang w:val="pt-PT" w:eastAsia="en-US" w:bidi="ar-SA"/>
    </w:rPr>
  </w:style>
  <w:style w:type="paragraph" w:customStyle="1" w:styleId="SdTHeader">
    <w:name w:val="SdT Header"/>
    <w:basedOn w:val="Normal"/>
    <w:rsid w:val="00F70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pPr>
    <w:rPr>
      <w:szCs w:val="24"/>
      <w:lang w:eastAsia="fr-FR"/>
    </w:rPr>
  </w:style>
  <w:style w:type="paragraph" w:customStyle="1" w:styleId="BayerTableRowHeadings">
    <w:name w:val="Bayer Table Row Headings"/>
    <w:basedOn w:val="Normal"/>
    <w:link w:val="BayerTableRowHeadingsZchn"/>
    <w:rsid w:val="00247C8D"/>
    <w:pPr>
      <w:keepNext/>
      <w:widowControl w:val="0"/>
      <w:spacing w:after="120"/>
    </w:pPr>
    <w:rPr>
      <w:lang w:val="en-US"/>
    </w:rPr>
  </w:style>
  <w:style w:type="paragraph" w:customStyle="1" w:styleId="BayerBodyTextFull">
    <w:name w:val="Bayer Body Text Full"/>
    <w:basedOn w:val="Normal"/>
    <w:link w:val="BayerBodyTextFullChar"/>
    <w:qFormat/>
    <w:rsid w:val="00247C8D"/>
    <w:pPr>
      <w:spacing w:before="120" w:after="120"/>
    </w:pPr>
    <w:rPr>
      <w:sz w:val="24"/>
      <w:lang w:val="en-US"/>
    </w:rPr>
  </w:style>
  <w:style w:type="paragraph" w:customStyle="1" w:styleId="BayerTableColumnHeadings">
    <w:name w:val="Bayer Table Column Headings"/>
    <w:basedOn w:val="Normal"/>
    <w:rsid w:val="00247C8D"/>
    <w:pPr>
      <w:jc w:val="center"/>
    </w:pPr>
    <w:rPr>
      <w:b/>
      <w:lang w:val="en-US"/>
    </w:rPr>
  </w:style>
  <w:style w:type="paragraph" w:styleId="NormalWeb">
    <w:name w:val="Normal (Web)"/>
    <w:basedOn w:val="Normal"/>
    <w:uiPriority w:val="99"/>
    <w:rsid w:val="00247C8D"/>
    <w:pPr>
      <w:jc w:val="both"/>
    </w:pPr>
    <w:rPr>
      <w:sz w:val="24"/>
      <w:szCs w:val="24"/>
      <w:lang w:val="de-DE" w:eastAsia="de-DE"/>
    </w:rPr>
  </w:style>
  <w:style w:type="character" w:customStyle="1" w:styleId="BayerBodyTextFullChar">
    <w:name w:val="Bayer Body Text Full Char"/>
    <w:link w:val="BayerBodyTextFull"/>
    <w:locked/>
    <w:rsid w:val="00247C8D"/>
    <w:rPr>
      <w:sz w:val="24"/>
      <w:lang w:val="en-US" w:eastAsia="en-US"/>
    </w:rPr>
  </w:style>
  <w:style w:type="paragraph" w:customStyle="1" w:styleId="Revision1">
    <w:name w:val="Revision1"/>
    <w:hidden/>
    <w:uiPriority w:val="99"/>
    <w:semiHidden/>
    <w:rsid w:val="00247C8D"/>
    <w:rPr>
      <w:sz w:val="22"/>
      <w:lang w:val="pt-PT" w:eastAsia="en-US"/>
    </w:rPr>
  </w:style>
  <w:style w:type="character" w:customStyle="1" w:styleId="ZchnZchn4">
    <w:name w:val="Zchn Zchn4"/>
    <w:semiHidden/>
    <w:rsid w:val="00247C8D"/>
    <w:rPr>
      <w:lang w:val="en-GB" w:eastAsia="en-US" w:bidi="ar-SA"/>
    </w:rPr>
  </w:style>
  <w:style w:type="character" w:customStyle="1" w:styleId="BoldtextinprintedPIonly">
    <w:name w:val="Bold text in printed PI only"/>
    <w:rsid w:val="00247C8D"/>
    <w:rPr>
      <w:b/>
    </w:rPr>
  </w:style>
  <w:style w:type="character" w:customStyle="1" w:styleId="longtext">
    <w:name w:val="long_text"/>
    <w:rsid w:val="00247C8D"/>
  </w:style>
  <w:style w:type="character" w:customStyle="1" w:styleId="Heading1Char">
    <w:name w:val="Heading 1 Char"/>
    <w:link w:val="Heading1"/>
    <w:rsid w:val="00247C8D"/>
    <w:rPr>
      <w:rFonts w:ascii="Helvetica" w:hAnsi="Helvetica"/>
      <w:b/>
      <w:kern w:val="28"/>
      <w:sz w:val="28"/>
      <w:lang w:eastAsia="en-US"/>
    </w:rPr>
  </w:style>
  <w:style w:type="character" w:customStyle="1" w:styleId="Heading2Char">
    <w:name w:val="Heading 2 Char"/>
    <w:link w:val="Heading2"/>
    <w:rsid w:val="00247C8D"/>
    <w:rPr>
      <w:b/>
      <w:sz w:val="22"/>
      <w:lang w:eastAsia="en-US"/>
    </w:rPr>
  </w:style>
  <w:style w:type="character" w:customStyle="1" w:styleId="Heading3Char">
    <w:name w:val="Heading 3 Char"/>
    <w:link w:val="Heading3"/>
    <w:rsid w:val="00247C8D"/>
    <w:rPr>
      <w:b/>
      <w:sz w:val="22"/>
      <w:lang w:eastAsia="en-US"/>
    </w:rPr>
  </w:style>
  <w:style w:type="character" w:customStyle="1" w:styleId="Heading4Char">
    <w:name w:val="Heading 4 Char"/>
    <w:link w:val="Heading4"/>
    <w:rsid w:val="00247C8D"/>
    <w:rPr>
      <w:b/>
      <w:sz w:val="22"/>
      <w:lang w:eastAsia="en-US"/>
    </w:rPr>
  </w:style>
  <w:style w:type="character" w:customStyle="1" w:styleId="Heading5Char">
    <w:name w:val="Heading 5 Char"/>
    <w:link w:val="Heading5"/>
    <w:rsid w:val="00247C8D"/>
    <w:rPr>
      <w:b/>
      <w:sz w:val="22"/>
      <w:lang w:eastAsia="en-US"/>
    </w:rPr>
  </w:style>
  <w:style w:type="character" w:customStyle="1" w:styleId="Heading6Char">
    <w:name w:val="Heading 6 Char"/>
    <w:link w:val="Heading6"/>
    <w:rsid w:val="00247C8D"/>
    <w:rPr>
      <w:i/>
      <w:sz w:val="22"/>
      <w:lang w:val="en-GB" w:eastAsia="en-US"/>
    </w:rPr>
  </w:style>
  <w:style w:type="character" w:customStyle="1" w:styleId="Heading7Char">
    <w:name w:val="Heading 7 Char"/>
    <w:link w:val="Heading7"/>
    <w:rsid w:val="00247C8D"/>
    <w:rPr>
      <w:i/>
      <w:sz w:val="22"/>
      <w:lang w:val="en-GB" w:eastAsia="en-US"/>
    </w:rPr>
  </w:style>
  <w:style w:type="character" w:customStyle="1" w:styleId="Heading8Char">
    <w:name w:val="Heading 8 Char"/>
    <w:link w:val="Heading8"/>
    <w:rsid w:val="00247C8D"/>
    <w:rPr>
      <w:i/>
      <w:sz w:val="22"/>
      <w:lang w:eastAsia="en-US"/>
    </w:rPr>
  </w:style>
  <w:style w:type="character" w:customStyle="1" w:styleId="Heading9Char">
    <w:name w:val="Heading 9 Char"/>
    <w:link w:val="Heading9"/>
    <w:rsid w:val="00247C8D"/>
    <w:rPr>
      <w:b/>
      <w:sz w:val="24"/>
      <w:lang w:eastAsia="en-US"/>
    </w:rPr>
  </w:style>
  <w:style w:type="character" w:customStyle="1" w:styleId="HeaderChar">
    <w:name w:val="Header Char"/>
    <w:link w:val="Header"/>
    <w:uiPriority w:val="99"/>
    <w:rsid w:val="00247C8D"/>
    <w:rPr>
      <w:rFonts w:ascii="Helvetica" w:hAnsi="Helvetica"/>
      <w:sz w:val="22"/>
      <w:lang w:eastAsia="en-US"/>
    </w:rPr>
  </w:style>
  <w:style w:type="character" w:customStyle="1" w:styleId="FooterChar">
    <w:name w:val="Footer Char"/>
    <w:link w:val="Footer"/>
    <w:uiPriority w:val="99"/>
    <w:rsid w:val="00247C8D"/>
    <w:rPr>
      <w:rFonts w:ascii="Helvetica" w:hAnsi="Helvetica"/>
      <w:sz w:val="16"/>
      <w:lang w:eastAsia="en-US"/>
    </w:rPr>
  </w:style>
  <w:style w:type="character" w:customStyle="1" w:styleId="BalloonTextChar">
    <w:name w:val="Balloon Text Char"/>
    <w:link w:val="BalloonText"/>
    <w:semiHidden/>
    <w:rsid w:val="00247C8D"/>
    <w:rPr>
      <w:rFonts w:ascii="Tahoma" w:hAnsi="Tahoma" w:cs="Tahoma"/>
      <w:sz w:val="16"/>
      <w:szCs w:val="16"/>
      <w:lang w:eastAsia="en-US"/>
    </w:rPr>
  </w:style>
  <w:style w:type="character" w:customStyle="1" w:styleId="CommentSubjectChar">
    <w:name w:val="Comment Subject Char"/>
    <w:link w:val="CommentSubject"/>
    <w:semiHidden/>
    <w:rsid w:val="00247C8D"/>
    <w:rPr>
      <w:b/>
      <w:bCs/>
      <w:lang w:eastAsia="en-US"/>
    </w:rPr>
  </w:style>
  <w:style w:type="character" w:styleId="Emphasis">
    <w:name w:val="Emphasis"/>
    <w:qFormat/>
    <w:rsid w:val="00247C8D"/>
    <w:rPr>
      <w:i/>
      <w:iCs/>
    </w:rPr>
  </w:style>
  <w:style w:type="character" w:customStyle="1" w:styleId="hps">
    <w:name w:val="hps"/>
    <w:rsid w:val="005252A8"/>
  </w:style>
  <w:style w:type="paragraph" w:styleId="Caption">
    <w:name w:val="caption"/>
    <w:aliases w:val="Bayer Caption"/>
    <w:basedOn w:val="Normal"/>
    <w:next w:val="Normal"/>
    <w:qFormat/>
    <w:rsid w:val="00EC6C31"/>
    <w:pPr>
      <w:keepNext/>
      <w:spacing w:before="120" w:after="120"/>
      <w:ind w:left="907"/>
    </w:pPr>
    <w:rPr>
      <w:b/>
      <w:lang w:val="en-US"/>
    </w:rPr>
  </w:style>
  <w:style w:type="paragraph" w:customStyle="1" w:styleId="BayerTableFootnote">
    <w:name w:val="Bayer Table Footnote"/>
    <w:basedOn w:val="Normal"/>
    <w:rsid w:val="00EC6C31"/>
    <w:pPr>
      <w:keepNext/>
      <w:widowControl w:val="0"/>
      <w:spacing w:after="120"/>
      <w:ind w:left="360" w:hanging="360"/>
    </w:pPr>
    <w:rPr>
      <w:lang w:val="en-US"/>
    </w:rPr>
  </w:style>
  <w:style w:type="paragraph" w:customStyle="1" w:styleId="BayerTableStyleCentered">
    <w:name w:val="Bayer TableStyle Centered"/>
    <w:basedOn w:val="Normal"/>
    <w:rsid w:val="00EC6C31"/>
    <w:pPr>
      <w:widowControl w:val="0"/>
      <w:spacing w:before="120" w:after="120"/>
      <w:jc w:val="center"/>
    </w:pPr>
    <w:rPr>
      <w:rFonts w:eastAsia="SimSun"/>
      <w:lang w:val="en-US" w:eastAsia="zh-CN"/>
    </w:rPr>
  </w:style>
  <w:style w:type="character" w:customStyle="1" w:styleId="BayerTableRowHeadingsZchn">
    <w:name w:val="Bayer Table Row Headings Zchn"/>
    <w:link w:val="BayerTableRowHeadings"/>
    <w:rsid w:val="00EC6C31"/>
    <w:rPr>
      <w:sz w:val="22"/>
      <w:lang w:val="en-US" w:eastAsia="en-US"/>
    </w:rPr>
  </w:style>
  <w:style w:type="paragraph" w:customStyle="1" w:styleId="EMEAEnBodyText">
    <w:name w:val="EMEA En Body Text"/>
    <w:basedOn w:val="Normal"/>
    <w:rsid w:val="007F7DC2"/>
    <w:pPr>
      <w:spacing w:before="120" w:after="120"/>
      <w:jc w:val="both"/>
    </w:pPr>
    <w:rPr>
      <w:color w:val="000000"/>
      <w:szCs w:val="22"/>
      <w:lang w:val="en-US"/>
    </w:rPr>
  </w:style>
  <w:style w:type="paragraph" w:customStyle="1" w:styleId="berarbeitung1">
    <w:name w:val="Überarbeitung1"/>
    <w:hidden/>
    <w:uiPriority w:val="99"/>
    <w:semiHidden/>
    <w:rsid w:val="004B4364"/>
    <w:rPr>
      <w:sz w:val="22"/>
      <w:lang w:val="pt-PT" w:eastAsia="en-US"/>
    </w:rPr>
  </w:style>
  <w:style w:type="character" w:customStyle="1" w:styleId="atn">
    <w:name w:val="atn"/>
    <w:rsid w:val="00EE5E02"/>
  </w:style>
  <w:style w:type="paragraph" w:customStyle="1" w:styleId="PargrafodaLista1">
    <w:name w:val="Parágrafo da Lista1"/>
    <w:basedOn w:val="Normal"/>
    <w:uiPriority w:val="99"/>
    <w:rsid w:val="00F35C79"/>
    <w:pPr>
      <w:ind w:left="720"/>
    </w:pPr>
    <w:rPr>
      <w:noProof/>
      <w:lang w:val="en-US" w:eastAsia="zh-CN"/>
    </w:rPr>
  </w:style>
  <w:style w:type="paragraph" w:customStyle="1" w:styleId="Reviso1">
    <w:name w:val="Revisão1"/>
    <w:hidden/>
    <w:uiPriority w:val="99"/>
    <w:semiHidden/>
    <w:rsid w:val="00CE26CE"/>
    <w:rPr>
      <w:sz w:val="22"/>
      <w:lang w:val="pt-PT" w:eastAsia="en-US"/>
    </w:rPr>
  </w:style>
  <w:style w:type="paragraph" w:styleId="Revision">
    <w:name w:val="Revision"/>
    <w:hidden/>
    <w:uiPriority w:val="99"/>
    <w:semiHidden/>
    <w:rsid w:val="008D01B8"/>
    <w:rPr>
      <w:sz w:val="22"/>
      <w:lang w:val="pt-PT" w:eastAsia="en-US"/>
    </w:rPr>
  </w:style>
  <w:style w:type="paragraph" w:styleId="ListBullet">
    <w:name w:val="List Bullet"/>
    <w:basedOn w:val="Normal"/>
    <w:rsid w:val="002801F3"/>
    <w:pPr>
      <w:numPr>
        <w:numId w:val="19"/>
      </w:numPr>
      <w:contextualSpacing/>
    </w:pPr>
  </w:style>
  <w:style w:type="paragraph" w:customStyle="1" w:styleId="BayerTRDASectionHeading1">
    <w:name w:val="Bayer TRD_A_Section Heading 1"/>
    <w:basedOn w:val="Heading1"/>
    <w:next w:val="BayerBodyTextFull"/>
    <w:semiHidden/>
    <w:rsid w:val="00430BC9"/>
    <w:pPr>
      <w:widowControl/>
      <w:tabs>
        <w:tab w:val="clear" w:pos="567"/>
        <w:tab w:val="left" w:pos="1134"/>
      </w:tabs>
      <w:spacing w:before="60" w:line="240" w:lineRule="auto"/>
      <w:ind w:left="1134" w:hanging="1134"/>
    </w:pPr>
    <w:rPr>
      <w:rFonts w:ascii="Times New Roman" w:hAnsi="Times New Roman"/>
      <w:sz w:val="24"/>
      <w:lang w:val="en-US"/>
    </w:rPr>
  </w:style>
  <w:style w:type="character" w:customStyle="1" w:styleId="BodytextAgencyChar">
    <w:name w:val="Body text (Agency) Char"/>
    <w:link w:val="BodytextAgency"/>
    <w:locked/>
    <w:rsid w:val="003F3B63"/>
    <w:rPr>
      <w:rFonts w:ascii="Verdana" w:eastAsia="Verdana" w:hAnsi="Verdana"/>
      <w:sz w:val="18"/>
      <w:szCs w:val="18"/>
    </w:rPr>
  </w:style>
  <w:style w:type="paragraph" w:customStyle="1" w:styleId="BodytextAgency">
    <w:name w:val="Body text (Agency)"/>
    <w:basedOn w:val="Normal"/>
    <w:link w:val="BodytextAgencyChar"/>
    <w:qFormat/>
    <w:rsid w:val="003F3B63"/>
    <w:pPr>
      <w:spacing w:after="140" w:line="280" w:lineRule="atLeast"/>
    </w:pPr>
    <w:rPr>
      <w:rFonts w:ascii="Verdana" w:eastAsia="Verdana" w:hAnsi="Verdana"/>
      <w:sz w:val="18"/>
      <w:szCs w:val="18"/>
      <w:lang w:val="en-US"/>
    </w:rPr>
  </w:style>
  <w:style w:type="character" w:customStyle="1" w:styleId="No-numheading3AgencyChar">
    <w:name w:val="No-num heading 3 (Agency) Char"/>
    <w:link w:val="No-numheading3Agency"/>
    <w:locked/>
    <w:rsid w:val="003F3B63"/>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3F3B63"/>
    <w:pPr>
      <w:keepNext/>
      <w:spacing w:before="280" w:after="220"/>
      <w:outlineLvl w:val="2"/>
    </w:pPr>
    <w:rPr>
      <w:rFonts w:ascii="Verdana" w:eastAsia="Verdana" w:hAnsi="Verdana"/>
      <w:b/>
      <w:bCs/>
      <w:kern w:val="32"/>
      <w:szCs w:val="22"/>
      <w:lang w:val="en-US"/>
    </w:rPr>
  </w:style>
  <w:style w:type="paragraph" w:customStyle="1" w:styleId="DraftingNotesAgency">
    <w:name w:val="Drafting Notes (Agency)"/>
    <w:basedOn w:val="Normal"/>
    <w:next w:val="BodytextAgency"/>
    <w:link w:val="DraftingNotesAgencyChar"/>
    <w:rsid w:val="003F3B63"/>
    <w:pPr>
      <w:spacing w:after="140" w:line="280" w:lineRule="atLeast"/>
    </w:pPr>
    <w:rPr>
      <w:rFonts w:ascii="Courier New" w:eastAsia="Verdana" w:hAnsi="Courier New"/>
      <w:i/>
      <w:color w:val="339966"/>
      <w:szCs w:val="18"/>
      <w:lang w:eastAsia="pt-PT" w:bidi="pt-PT"/>
    </w:rPr>
  </w:style>
  <w:style w:type="character" w:customStyle="1" w:styleId="DraftingNotesAgencyChar">
    <w:name w:val="Drafting Notes (Agency) Char"/>
    <w:link w:val="DraftingNotesAgency"/>
    <w:rsid w:val="003F3B63"/>
    <w:rPr>
      <w:rFonts w:ascii="Courier New" w:eastAsia="Verdana" w:hAnsi="Courier New"/>
      <w:i/>
      <w:color w:val="339966"/>
      <w:sz w:val="22"/>
      <w:szCs w:val="18"/>
      <w:lang w:val="pt-PT" w:eastAsia="pt-PT" w:bidi="pt-PT"/>
    </w:rPr>
  </w:style>
  <w:style w:type="paragraph" w:styleId="Bibliography">
    <w:name w:val="Bibliography"/>
    <w:basedOn w:val="Normal"/>
    <w:next w:val="Normal"/>
    <w:uiPriority w:val="37"/>
    <w:semiHidden/>
    <w:unhideWhenUsed/>
    <w:rsid w:val="00B456A6"/>
  </w:style>
  <w:style w:type="paragraph" w:styleId="BodyText">
    <w:name w:val="Body Text"/>
    <w:basedOn w:val="Normal"/>
    <w:link w:val="BodyTextChar"/>
    <w:rsid w:val="00B456A6"/>
    <w:pPr>
      <w:spacing w:after="120"/>
    </w:pPr>
  </w:style>
  <w:style w:type="character" w:customStyle="1" w:styleId="BodyTextChar">
    <w:name w:val="Body Text Char"/>
    <w:link w:val="BodyText"/>
    <w:rsid w:val="00B456A6"/>
    <w:rPr>
      <w:sz w:val="22"/>
      <w:lang w:val="pt-PT" w:eastAsia="en-US"/>
    </w:rPr>
  </w:style>
  <w:style w:type="paragraph" w:styleId="BodyText2">
    <w:name w:val="Body Text 2"/>
    <w:basedOn w:val="Normal"/>
    <w:link w:val="BodyText2Char"/>
    <w:rsid w:val="00B456A6"/>
    <w:pPr>
      <w:spacing w:after="120" w:line="480" w:lineRule="auto"/>
    </w:pPr>
  </w:style>
  <w:style w:type="character" w:customStyle="1" w:styleId="BodyText2Char">
    <w:name w:val="Body Text 2 Char"/>
    <w:link w:val="BodyText2"/>
    <w:rsid w:val="00B456A6"/>
    <w:rPr>
      <w:sz w:val="22"/>
      <w:lang w:val="pt-PT" w:eastAsia="en-US"/>
    </w:rPr>
  </w:style>
  <w:style w:type="paragraph" w:styleId="BodyText3">
    <w:name w:val="Body Text 3"/>
    <w:basedOn w:val="Normal"/>
    <w:link w:val="BodyText3Char"/>
    <w:rsid w:val="00B456A6"/>
    <w:pPr>
      <w:spacing w:after="120"/>
    </w:pPr>
    <w:rPr>
      <w:sz w:val="16"/>
      <w:szCs w:val="16"/>
    </w:rPr>
  </w:style>
  <w:style w:type="character" w:customStyle="1" w:styleId="BodyText3Char">
    <w:name w:val="Body Text 3 Char"/>
    <w:link w:val="BodyText3"/>
    <w:rsid w:val="00B456A6"/>
    <w:rPr>
      <w:sz w:val="16"/>
      <w:szCs w:val="16"/>
      <w:lang w:val="pt-PT" w:eastAsia="en-US"/>
    </w:rPr>
  </w:style>
  <w:style w:type="paragraph" w:styleId="BodyTextFirstIndent">
    <w:name w:val="Body Text First Indent"/>
    <w:basedOn w:val="BodyText"/>
    <w:link w:val="BodyTextFirstIndentChar"/>
    <w:rsid w:val="00B456A6"/>
    <w:pPr>
      <w:ind w:firstLine="210"/>
    </w:pPr>
  </w:style>
  <w:style w:type="character" w:customStyle="1" w:styleId="BodyTextFirstIndentChar">
    <w:name w:val="Body Text First Indent Char"/>
    <w:basedOn w:val="BodyTextChar"/>
    <w:link w:val="BodyTextFirstIndent"/>
    <w:rsid w:val="00B456A6"/>
    <w:rPr>
      <w:sz w:val="22"/>
      <w:lang w:val="pt-PT" w:eastAsia="en-US"/>
    </w:rPr>
  </w:style>
  <w:style w:type="paragraph" w:styleId="BodyTextIndent">
    <w:name w:val="Body Text Indent"/>
    <w:basedOn w:val="Normal"/>
    <w:link w:val="BodyTextIndentChar"/>
    <w:rsid w:val="00B456A6"/>
    <w:pPr>
      <w:spacing w:after="120"/>
      <w:ind w:left="283"/>
    </w:pPr>
  </w:style>
  <w:style w:type="character" w:customStyle="1" w:styleId="BodyTextIndentChar">
    <w:name w:val="Body Text Indent Char"/>
    <w:link w:val="BodyTextIndent"/>
    <w:rsid w:val="00B456A6"/>
    <w:rPr>
      <w:sz w:val="22"/>
      <w:lang w:val="pt-PT" w:eastAsia="en-US"/>
    </w:rPr>
  </w:style>
  <w:style w:type="paragraph" w:styleId="BodyTextFirstIndent2">
    <w:name w:val="Body Text First Indent 2"/>
    <w:basedOn w:val="BodyTextIndent"/>
    <w:link w:val="BodyTextFirstIndent2Char"/>
    <w:rsid w:val="00B456A6"/>
    <w:pPr>
      <w:ind w:firstLine="210"/>
    </w:pPr>
  </w:style>
  <w:style w:type="character" w:customStyle="1" w:styleId="BodyTextFirstIndent2Char">
    <w:name w:val="Body Text First Indent 2 Char"/>
    <w:basedOn w:val="BodyTextIndentChar"/>
    <w:link w:val="BodyTextFirstIndent2"/>
    <w:rsid w:val="00B456A6"/>
    <w:rPr>
      <w:sz w:val="22"/>
      <w:lang w:val="pt-PT" w:eastAsia="en-US"/>
    </w:rPr>
  </w:style>
  <w:style w:type="paragraph" w:styleId="BodyTextIndent2">
    <w:name w:val="Body Text Indent 2"/>
    <w:basedOn w:val="Normal"/>
    <w:link w:val="BodyTextIndent2Char"/>
    <w:rsid w:val="00B456A6"/>
    <w:pPr>
      <w:spacing w:after="120" w:line="480" w:lineRule="auto"/>
      <w:ind w:left="283"/>
    </w:pPr>
  </w:style>
  <w:style w:type="character" w:customStyle="1" w:styleId="BodyTextIndent2Char">
    <w:name w:val="Body Text Indent 2 Char"/>
    <w:link w:val="BodyTextIndent2"/>
    <w:rsid w:val="00B456A6"/>
    <w:rPr>
      <w:sz w:val="22"/>
      <w:lang w:val="pt-PT" w:eastAsia="en-US"/>
    </w:rPr>
  </w:style>
  <w:style w:type="paragraph" w:styleId="BodyTextIndent3">
    <w:name w:val="Body Text Indent 3"/>
    <w:basedOn w:val="Normal"/>
    <w:link w:val="BodyTextIndent3Char"/>
    <w:rsid w:val="00B456A6"/>
    <w:pPr>
      <w:spacing w:after="120"/>
      <w:ind w:left="283"/>
    </w:pPr>
    <w:rPr>
      <w:sz w:val="16"/>
      <w:szCs w:val="16"/>
    </w:rPr>
  </w:style>
  <w:style w:type="character" w:customStyle="1" w:styleId="BodyTextIndent3Char">
    <w:name w:val="Body Text Indent 3 Char"/>
    <w:link w:val="BodyTextIndent3"/>
    <w:rsid w:val="00B456A6"/>
    <w:rPr>
      <w:sz w:val="16"/>
      <w:szCs w:val="16"/>
      <w:lang w:val="pt-PT" w:eastAsia="en-US"/>
    </w:rPr>
  </w:style>
  <w:style w:type="paragraph" w:styleId="Closing">
    <w:name w:val="Closing"/>
    <w:basedOn w:val="Normal"/>
    <w:link w:val="ClosingChar"/>
    <w:rsid w:val="00B456A6"/>
    <w:pPr>
      <w:ind w:left="4252"/>
    </w:pPr>
  </w:style>
  <w:style w:type="character" w:customStyle="1" w:styleId="ClosingChar">
    <w:name w:val="Closing Char"/>
    <w:link w:val="Closing"/>
    <w:rsid w:val="00B456A6"/>
    <w:rPr>
      <w:sz w:val="22"/>
      <w:lang w:val="pt-PT" w:eastAsia="en-US"/>
    </w:rPr>
  </w:style>
  <w:style w:type="paragraph" w:styleId="Date">
    <w:name w:val="Date"/>
    <w:basedOn w:val="Normal"/>
    <w:next w:val="Normal"/>
    <w:link w:val="DateChar"/>
    <w:rsid w:val="00B456A6"/>
  </w:style>
  <w:style w:type="character" w:customStyle="1" w:styleId="DateChar">
    <w:name w:val="Date Char"/>
    <w:link w:val="Date"/>
    <w:rsid w:val="00B456A6"/>
    <w:rPr>
      <w:sz w:val="22"/>
      <w:lang w:val="pt-PT" w:eastAsia="en-US"/>
    </w:rPr>
  </w:style>
  <w:style w:type="paragraph" w:styleId="DocumentMap">
    <w:name w:val="Document Map"/>
    <w:basedOn w:val="Normal"/>
    <w:link w:val="DocumentMapChar"/>
    <w:rsid w:val="00B456A6"/>
    <w:rPr>
      <w:rFonts w:ascii="Tahoma" w:hAnsi="Tahoma" w:cs="Tahoma"/>
      <w:sz w:val="16"/>
      <w:szCs w:val="16"/>
    </w:rPr>
  </w:style>
  <w:style w:type="character" w:customStyle="1" w:styleId="DocumentMapChar">
    <w:name w:val="Document Map Char"/>
    <w:link w:val="DocumentMap"/>
    <w:rsid w:val="00B456A6"/>
    <w:rPr>
      <w:rFonts w:ascii="Tahoma" w:hAnsi="Tahoma" w:cs="Tahoma"/>
      <w:sz w:val="16"/>
      <w:szCs w:val="16"/>
      <w:lang w:val="pt-PT" w:eastAsia="en-US"/>
    </w:rPr>
  </w:style>
  <w:style w:type="paragraph" w:styleId="E-mailSignature">
    <w:name w:val="E-mail Signature"/>
    <w:basedOn w:val="Normal"/>
    <w:link w:val="E-mailSignatureChar"/>
    <w:rsid w:val="00B456A6"/>
  </w:style>
  <w:style w:type="character" w:customStyle="1" w:styleId="E-mailSignatureChar">
    <w:name w:val="E-mail Signature Char"/>
    <w:link w:val="E-mailSignature"/>
    <w:rsid w:val="00B456A6"/>
    <w:rPr>
      <w:sz w:val="22"/>
      <w:lang w:val="pt-PT" w:eastAsia="en-US"/>
    </w:rPr>
  </w:style>
  <w:style w:type="paragraph" w:styleId="EndnoteText">
    <w:name w:val="endnote text"/>
    <w:basedOn w:val="Normal"/>
    <w:link w:val="EndnoteTextChar"/>
    <w:rsid w:val="00B456A6"/>
    <w:rPr>
      <w:sz w:val="20"/>
    </w:rPr>
  </w:style>
  <w:style w:type="character" w:customStyle="1" w:styleId="EndnoteTextChar">
    <w:name w:val="Endnote Text Char"/>
    <w:link w:val="EndnoteText"/>
    <w:rsid w:val="00B456A6"/>
    <w:rPr>
      <w:lang w:val="pt-PT" w:eastAsia="en-US"/>
    </w:rPr>
  </w:style>
  <w:style w:type="paragraph" w:styleId="EnvelopeAddress">
    <w:name w:val="envelope address"/>
    <w:basedOn w:val="Normal"/>
    <w:rsid w:val="00B456A6"/>
    <w:pPr>
      <w:framePr w:w="4320" w:h="2160" w:hRule="exact" w:hSpace="141" w:wrap="auto" w:hAnchor="page" w:xAlign="center" w:yAlign="bottom"/>
      <w:ind w:left="1"/>
    </w:pPr>
    <w:rPr>
      <w:rFonts w:ascii="Cambria" w:hAnsi="Cambria"/>
      <w:sz w:val="24"/>
      <w:szCs w:val="24"/>
    </w:rPr>
  </w:style>
  <w:style w:type="paragraph" w:styleId="EnvelopeReturn">
    <w:name w:val="envelope return"/>
    <w:basedOn w:val="Normal"/>
    <w:rsid w:val="00B456A6"/>
    <w:rPr>
      <w:rFonts w:ascii="Cambria" w:hAnsi="Cambria"/>
      <w:sz w:val="20"/>
    </w:rPr>
  </w:style>
  <w:style w:type="paragraph" w:styleId="FootnoteText">
    <w:name w:val="footnote text"/>
    <w:basedOn w:val="Normal"/>
    <w:link w:val="FootnoteTextChar"/>
    <w:rsid w:val="00B456A6"/>
    <w:rPr>
      <w:sz w:val="20"/>
    </w:rPr>
  </w:style>
  <w:style w:type="character" w:customStyle="1" w:styleId="FootnoteTextChar">
    <w:name w:val="Footnote Text Char"/>
    <w:link w:val="FootnoteText"/>
    <w:rsid w:val="00B456A6"/>
    <w:rPr>
      <w:lang w:val="pt-PT" w:eastAsia="en-US"/>
    </w:rPr>
  </w:style>
  <w:style w:type="paragraph" w:styleId="HTMLAddress">
    <w:name w:val="HTML Address"/>
    <w:basedOn w:val="Normal"/>
    <w:link w:val="HTMLAddressChar"/>
    <w:rsid w:val="00B456A6"/>
    <w:rPr>
      <w:i/>
      <w:iCs/>
    </w:rPr>
  </w:style>
  <w:style w:type="character" w:customStyle="1" w:styleId="HTMLAddressChar">
    <w:name w:val="HTML Address Char"/>
    <w:link w:val="HTMLAddress"/>
    <w:rsid w:val="00B456A6"/>
    <w:rPr>
      <w:i/>
      <w:iCs/>
      <w:sz w:val="22"/>
      <w:lang w:val="pt-PT" w:eastAsia="en-US"/>
    </w:rPr>
  </w:style>
  <w:style w:type="paragraph" w:styleId="HTMLPreformatted">
    <w:name w:val="HTML Preformatted"/>
    <w:basedOn w:val="Normal"/>
    <w:link w:val="HTMLPreformattedChar"/>
    <w:rsid w:val="00B456A6"/>
    <w:rPr>
      <w:rFonts w:ascii="Courier New" w:hAnsi="Courier New" w:cs="Courier New"/>
      <w:sz w:val="20"/>
    </w:rPr>
  </w:style>
  <w:style w:type="character" w:customStyle="1" w:styleId="HTMLPreformattedChar">
    <w:name w:val="HTML Preformatted Char"/>
    <w:link w:val="HTMLPreformatted"/>
    <w:rsid w:val="00B456A6"/>
    <w:rPr>
      <w:rFonts w:ascii="Courier New" w:hAnsi="Courier New" w:cs="Courier New"/>
      <w:lang w:val="pt-PT" w:eastAsia="en-US"/>
    </w:rPr>
  </w:style>
  <w:style w:type="paragraph" w:styleId="Index1">
    <w:name w:val="index 1"/>
    <w:basedOn w:val="Normal"/>
    <w:next w:val="Normal"/>
    <w:autoRedefine/>
    <w:rsid w:val="00B456A6"/>
    <w:pPr>
      <w:ind w:left="220" w:hanging="220"/>
    </w:pPr>
  </w:style>
  <w:style w:type="paragraph" w:styleId="Index2">
    <w:name w:val="index 2"/>
    <w:basedOn w:val="Normal"/>
    <w:next w:val="Normal"/>
    <w:autoRedefine/>
    <w:rsid w:val="00B456A6"/>
    <w:pPr>
      <w:ind w:left="440" w:hanging="220"/>
    </w:pPr>
  </w:style>
  <w:style w:type="paragraph" w:styleId="Index3">
    <w:name w:val="index 3"/>
    <w:basedOn w:val="Normal"/>
    <w:next w:val="Normal"/>
    <w:autoRedefine/>
    <w:rsid w:val="00B456A6"/>
    <w:pPr>
      <w:ind w:left="660" w:hanging="220"/>
    </w:pPr>
  </w:style>
  <w:style w:type="paragraph" w:styleId="Index4">
    <w:name w:val="index 4"/>
    <w:basedOn w:val="Normal"/>
    <w:next w:val="Normal"/>
    <w:autoRedefine/>
    <w:rsid w:val="00B456A6"/>
    <w:pPr>
      <w:ind w:left="880" w:hanging="220"/>
    </w:pPr>
  </w:style>
  <w:style w:type="paragraph" w:styleId="Index5">
    <w:name w:val="index 5"/>
    <w:basedOn w:val="Normal"/>
    <w:next w:val="Normal"/>
    <w:autoRedefine/>
    <w:rsid w:val="00B456A6"/>
    <w:pPr>
      <w:ind w:left="1100" w:hanging="220"/>
    </w:pPr>
  </w:style>
  <w:style w:type="paragraph" w:styleId="Index6">
    <w:name w:val="index 6"/>
    <w:basedOn w:val="Normal"/>
    <w:next w:val="Normal"/>
    <w:autoRedefine/>
    <w:rsid w:val="00B456A6"/>
    <w:pPr>
      <w:ind w:left="1320" w:hanging="220"/>
    </w:pPr>
  </w:style>
  <w:style w:type="paragraph" w:styleId="Index7">
    <w:name w:val="index 7"/>
    <w:basedOn w:val="Normal"/>
    <w:next w:val="Normal"/>
    <w:autoRedefine/>
    <w:rsid w:val="00B456A6"/>
    <w:pPr>
      <w:ind w:left="1540" w:hanging="220"/>
    </w:pPr>
  </w:style>
  <w:style w:type="paragraph" w:styleId="Index8">
    <w:name w:val="index 8"/>
    <w:basedOn w:val="Normal"/>
    <w:next w:val="Normal"/>
    <w:autoRedefine/>
    <w:rsid w:val="00B456A6"/>
    <w:pPr>
      <w:ind w:left="1760" w:hanging="220"/>
    </w:pPr>
  </w:style>
  <w:style w:type="paragraph" w:styleId="Index9">
    <w:name w:val="index 9"/>
    <w:basedOn w:val="Normal"/>
    <w:next w:val="Normal"/>
    <w:autoRedefine/>
    <w:rsid w:val="00B456A6"/>
    <w:pPr>
      <w:ind w:left="1980" w:hanging="220"/>
    </w:pPr>
  </w:style>
  <w:style w:type="paragraph" w:styleId="IndexHeading">
    <w:name w:val="index heading"/>
    <w:basedOn w:val="Normal"/>
    <w:next w:val="Index1"/>
    <w:rsid w:val="00B456A6"/>
    <w:rPr>
      <w:rFonts w:ascii="Cambria" w:hAnsi="Cambria"/>
      <w:b/>
      <w:bCs/>
    </w:rPr>
  </w:style>
  <w:style w:type="paragraph" w:styleId="IntenseQuote">
    <w:name w:val="Intense Quote"/>
    <w:basedOn w:val="Normal"/>
    <w:next w:val="Normal"/>
    <w:link w:val="IntenseQuoteChar"/>
    <w:uiPriority w:val="30"/>
    <w:qFormat/>
    <w:rsid w:val="00B456A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456A6"/>
    <w:rPr>
      <w:b/>
      <w:bCs/>
      <w:i/>
      <w:iCs/>
      <w:color w:val="4F81BD"/>
      <w:sz w:val="22"/>
      <w:lang w:val="pt-PT" w:eastAsia="en-US"/>
    </w:rPr>
  </w:style>
  <w:style w:type="paragraph" w:styleId="List">
    <w:name w:val="List"/>
    <w:basedOn w:val="Normal"/>
    <w:rsid w:val="00B456A6"/>
    <w:pPr>
      <w:ind w:left="283" w:hanging="283"/>
      <w:contextualSpacing/>
    </w:pPr>
  </w:style>
  <w:style w:type="paragraph" w:styleId="List2">
    <w:name w:val="List 2"/>
    <w:basedOn w:val="Normal"/>
    <w:rsid w:val="00B456A6"/>
    <w:pPr>
      <w:ind w:left="566" w:hanging="283"/>
      <w:contextualSpacing/>
    </w:pPr>
  </w:style>
  <w:style w:type="paragraph" w:styleId="List3">
    <w:name w:val="List 3"/>
    <w:basedOn w:val="Normal"/>
    <w:rsid w:val="00B456A6"/>
    <w:pPr>
      <w:ind w:left="849" w:hanging="283"/>
      <w:contextualSpacing/>
    </w:pPr>
  </w:style>
  <w:style w:type="paragraph" w:styleId="List4">
    <w:name w:val="List 4"/>
    <w:basedOn w:val="Normal"/>
    <w:rsid w:val="00B456A6"/>
    <w:pPr>
      <w:ind w:left="1132" w:hanging="283"/>
      <w:contextualSpacing/>
    </w:pPr>
  </w:style>
  <w:style w:type="paragraph" w:styleId="List5">
    <w:name w:val="List 5"/>
    <w:basedOn w:val="Normal"/>
    <w:rsid w:val="00B456A6"/>
    <w:pPr>
      <w:ind w:left="1415" w:hanging="283"/>
      <w:contextualSpacing/>
    </w:pPr>
  </w:style>
  <w:style w:type="paragraph" w:styleId="ListBullet2">
    <w:name w:val="List Bullet 2"/>
    <w:basedOn w:val="Normal"/>
    <w:rsid w:val="00B456A6"/>
    <w:pPr>
      <w:numPr>
        <w:numId w:val="35"/>
      </w:numPr>
      <w:contextualSpacing/>
    </w:pPr>
  </w:style>
  <w:style w:type="paragraph" w:styleId="ListBullet3">
    <w:name w:val="List Bullet 3"/>
    <w:basedOn w:val="Normal"/>
    <w:rsid w:val="00B456A6"/>
    <w:pPr>
      <w:numPr>
        <w:numId w:val="36"/>
      </w:numPr>
      <w:contextualSpacing/>
    </w:pPr>
  </w:style>
  <w:style w:type="paragraph" w:styleId="ListBullet4">
    <w:name w:val="List Bullet 4"/>
    <w:basedOn w:val="Normal"/>
    <w:rsid w:val="00B456A6"/>
    <w:pPr>
      <w:numPr>
        <w:numId w:val="37"/>
      </w:numPr>
      <w:contextualSpacing/>
    </w:pPr>
  </w:style>
  <w:style w:type="paragraph" w:styleId="ListBullet5">
    <w:name w:val="List Bullet 5"/>
    <w:basedOn w:val="Normal"/>
    <w:rsid w:val="00B456A6"/>
    <w:pPr>
      <w:numPr>
        <w:numId w:val="38"/>
      </w:numPr>
      <w:contextualSpacing/>
    </w:pPr>
  </w:style>
  <w:style w:type="paragraph" w:styleId="ListContinue">
    <w:name w:val="List Continue"/>
    <w:basedOn w:val="Normal"/>
    <w:rsid w:val="00B456A6"/>
    <w:pPr>
      <w:spacing w:after="120"/>
      <w:ind w:left="283"/>
      <w:contextualSpacing/>
    </w:pPr>
  </w:style>
  <w:style w:type="paragraph" w:styleId="ListContinue2">
    <w:name w:val="List Continue 2"/>
    <w:basedOn w:val="Normal"/>
    <w:rsid w:val="00B456A6"/>
    <w:pPr>
      <w:spacing w:after="120"/>
      <w:ind w:left="566"/>
      <w:contextualSpacing/>
    </w:pPr>
  </w:style>
  <w:style w:type="paragraph" w:styleId="ListContinue3">
    <w:name w:val="List Continue 3"/>
    <w:basedOn w:val="Normal"/>
    <w:rsid w:val="00B456A6"/>
    <w:pPr>
      <w:spacing w:after="120"/>
      <w:ind w:left="849"/>
      <w:contextualSpacing/>
    </w:pPr>
  </w:style>
  <w:style w:type="paragraph" w:styleId="ListContinue4">
    <w:name w:val="List Continue 4"/>
    <w:basedOn w:val="Normal"/>
    <w:rsid w:val="00B456A6"/>
    <w:pPr>
      <w:spacing w:after="120"/>
      <w:ind w:left="1132"/>
      <w:contextualSpacing/>
    </w:pPr>
  </w:style>
  <w:style w:type="paragraph" w:styleId="ListContinue5">
    <w:name w:val="List Continue 5"/>
    <w:basedOn w:val="Normal"/>
    <w:rsid w:val="00B456A6"/>
    <w:pPr>
      <w:spacing w:after="120"/>
      <w:ind w:left="1415"/>
      <w:contextualSpacing/>
    </w:pPr>
  </w:style>
  <w:style w:type="paragraph" w:styleId="ListNumber">
    <w:name w:val="List Number"/>
    <w:basedOn w:val="Normal"/>
    <w:rsid w:val="00B456A6"/>
    <w:pPr>
      <w:numPr>
        <w:numId w:val="39"/>
      </w:numPr>
      <w:contextualSpacing/>
    </w:pPr>
  </w:style>
  <w:style w:type="paragraph" w:styleId="ListNumber2">
    <w:name w:val="List Number 2"/>
    <w:basedOn w:val="Normal"/>
    <w:rsid w:val="00B456A6"/>
    <w:pPr>
      <w:numPr>
        <w:numId w:val="40"/>
      </w:numPr>
      <w:contextualSpacing/>
    </w:pPr>
  </w:style>
  <w:style w:type="paragraph" w:styleId="ListNumber3">
    <w:name w:val="List Number 3"/>
    <w:basedOn w:val="Normal"/>
    <w:rsid w:val="00B456A6"/>
    <w:pPr>
      <w:numPr>
        <w:numId w:val="41"/>
      </w:numPr>
      <w:contextualSpacing/>
    </w:pPr>
  </w:style>
  <w:style w:type="paragraph" w:styleId="ListNumber4">
    <w:name w:val="List Number 4"/>
    <w:basedOn w:val="Normal"/>
    <w:rsid w:val="00B456A6"/>
    <w:pPr>
      <w:numPr>
        <w:numId w:val="42"/>
      </w:numPr>
      <w:contextualSpacing/>
    </w:pPr>
  </w:style>
  <w:style w:type="paragraph" w:styleId="ListNumber5">
    <w:name w:val="List Number 5"/>
    <w:basedOn w:val="Normal"/>
    <w:rsid w:val="00B456A6"/>
    <w:pPr>
      <w:numPr>
        <w:numId w:val="43"/>
      </w:numPr>
      <w:contextualSpacing/>
    </w:pPr>
  </w:style>
  <w:style w:type="paragraph" w:styleId="ListParagraph">
    <w:name w:val="List Paragraph"/>
    <w:basedOn w:val="Normal"/>
    <w:uiPriority w:val="34"/>
    <w:qFormat/>
    <w:rsid w:val="00B456A6"/>
    <w:pPr>
      <w:ind w:left="708"/>
    </w:pPr>
  </w:style>
  <w:style w:type="paragraph" w:styleId="MacroText">
    <w:name w:val="macro"/>
    <w:link w:val="MacroTextChar"/>
    <w:rsid w:val="00B456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pt-PT" w:eastAsia="en-US"/>
    </w:rPr>
  </w:style>
  <w:style w:type="character" w:customStyle="1" w:styleId="MacroTextChar">
    <w:name w:val="Macro Text Char"/>
    <w:link w:val="MacroText"/>
    <w:rsid w:val="00B456A6"/>
    <w:rPr>
      <w:rFonts w:ascii="Courier New" w:hAnsi="Courier New" w:cs="Courier New"/>
      <w:lang w:val="pt-PT" w:eastAsia="en-US"/>
    </w:rPr>
  </w:style>
  <w:style w:type="paragraph" w:styleId="MessageHeader">
    <w:name w:val="Message Header"/>
    <w:basedOn w:val="Normal"/>
    <w:link w:val="MessageHeaderChar"/>
    <w:rsid w:val="00B456A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456A6"/>
    <w:rPr>
      <w:rFonts w:ascii="Cambria" w:eastAsia="Times New Roman" w:hAnsi="Cambria" w:cs="Times New Roman"/>
      <w:sz w:val="24"/>
      <w:szCs w:val="24"/>
      <w:shd w:val="pct20" w:color="auto" w:fill="auto"/>
      <w:lang w:val="pt-PT" w:eastAsia="en-US"/>
    </w:rPr>
  </w:style>
  <w:style w:type="paragraph" w:styleId="NoSpacing">
    <w:name w:val="No Spacing"/>
    <w:uiPriority w:val="1"/>
    <w:qFormat/>
    <w:rsid w:val="00B456A6"/>
    <w:rPr>
      <w:sz w:val="22"/>
      <w:lang w:val="pt-PT" w:eastAsia="en-US"/>
    </w:rPr>
  </w:style>
  <w:style w:type="paragraph" w:styleId="NormalIndent">
    <w:name w:val="Normal Indent"/>
    <w:basedOn w:val="Normal"/>
    <w:rsid w:val="00B456A6"/>
    <w:pPr>
      <w:ind w:left="708"/>
    </w:pPr>
  </w:style>
  <w:style w:type="paragraph" w:styleId="NoteHeading">
    <w:name w:val="Note Heading"/>
    <w:basedOn w:val="Normal"/>
    <w:next w:val="Normal"/>
    <w:link w:val="NoteHeadingChar"/>
    <w:rsid w:val="00B456A6"/>
  </w:style>
  <w:style w:type="character" w:customStyle="1" w:styleId="NoteHeadingChar">
    <w:name w:val="Note Heading Char"/>
    <w:link w:val="NoteHeading"/>
    <w:rsid w:val="00B456A6"/>
    <w:rPr>
      <w:sz w:val="22"/>
      <w:lang w:val="pt-PT" w:eastAsia="en-US"/>
    </w:rPr>
  </w:style>
  <w:style w:type="paragraph" w:styleId="PlainText">
    <w:name w:val="Plain Text"/>
    <w:basedOn w:val="Normal"/>
    <w:link w:val="PlainTextChar"/>
    <w:rsid w:val="00B456A6"/>
    <w:rPr>
      <w:rFonts w:ascii="Courier New" w:hAnsi="Courier New" w:cs="Courier New"/>
      <w:sz w:val="20"/>
    </w:rPr>
  </w:style>
  <w:style w:type="character" w:customStyle="1" w:styleId="PlainTextChar">
    <w:name w:val="Plain Text Char"/>
    <w:link w:val="PlainText"/>
    <w:rsid w:val="00B456A6"/>
    <w:rPr>
      <w:rFonts w:ascii="Courier New" w:hAnsi="Courier New" w:cs="Courier New"/>
      <w:lang w:val="pt-PT" w:eastAsia="en-US"/>
    </w:rPr>
  </w:style>
  <w:style w:type="paragraph" w:styleId="Quote">
    <w:name w:val="Quote"/>
    <w:basedOn w:val="Normal"/>
    <w:next w:val="Normal"/>
    <w:link w:val="QuoteChar"/>
    <w:uiPriority w:val="29"/>
    <w:qFormat/>
    <w:rsid w:val="00B456A6"/>
    <w:rPr>
      <w:i/>
      <w:iCs/>
      <w:color w:val="000000"/>
    </w:rPr>
  </w:style>
  <w:style w:type="character" w:customStyle="1" w:styleId="QuoteChar">
    <w:name w:val="Quote Char"/>
    <w:link w:val="Quote"/>
    <w:uiPriority w:val="29"/>
    <w:rsid w:val="00B456A6"/>
    <w:rPr>
      <w:i/>
      <w:iCs/>
      <w:color w:val="000000"/>
      <w:sz w:val="22"/>
      <w:lang w:val="pt-PT" w:eastAsia="en-US"/>
    </w:rPr>
  </w:style>
  <w:style w:type="paragraph" w:styleId="Salutation">
    <w:name w:val="Salutation"/>
    <w:basedOn w:val="Normal"/>
    <w:next w:val="Normal"/>
    <w:link w:val="SalutationChar"/>
    <w:rsid w:val="00B456A6"/>
  </w:style>
  <w:style w:type="character" w:customStyle="1" w:styleId="SalutationChar">
    <w:name w:val="Salutation Char"/>
    <w:link w:val="Salutation"/>
    <w:rsid w:val="00B456A6"/>
    <w:rPr>
      <w:sz w:val="22"/>
      <w:lang w:val="pt-PT" w:eastAsia="en-US"/>
    </w:rPr>
  </w:style>
  <w:style w:type="paragraph" w:styleId="Signature">
    <w:name w:val="Signature"/>
    <w:basedOn w:val="Normal"/>
    <w:link w:val="SignatureChar"/>
    <w:rsid w:val="00B456A6"/>
    <w:pPr>
      <w:ind w:left="4252"/>
    </w:pPr>
  </w:style>
  <w:style w:type="character" w:customStyle="1" w:styleId="SignatureChar">
    <w:name w:val="Signature Char"/>
    <w:link w:val="Signature"/>
    <w:rsid w:val="00B456A6"/>
    <w:rPr>
      <w:sz w:val="22"/>
      <w:lang w:val="pt-PT" w:eastAsia="en-US"/>
    </w:rPr>
  </w:style>
  <w:style w:type="paragraph" w:styleId="Subtitle">
    <w:name w:val="Subtitle"/>
    <w:basedOn w:val="Normal"/>
    <w:next w:val="Normal"/>
    <w:link w:val="SubtitleChar"/>
    <w:qFormat/>
    <w:rsid w:val="00B456A6"/>
    <w:pPr>
      <w:spacing w:after="60"/>
      <w:jc w:val="center"/>
      <w:outlineLvl w:val="1"/>
    </w:pPr>
    <w:rPr>
      <w:rFonts w:ascii="Cambria" w:hAnsi="Cambria"/>
      <w:sz w:val="24"/>
      <w:szCs w:val="24"/>
    </w:rPr>
  </w:style>
  <w:style w:type="character" w:customStyle="1" w:styleId="SubtitleChar">
    <w:name w:val="Subtitle Char"/>
    <w:link w:val="Subtitle"/>
    <w:rsid w:val="00B456A6"/>
    <w:rPr>
      <w:rFonts w:ascii="Cambria" w:eastAsia="Times New Roman" w:hAnsi="Cambria" w:cs="Times New Roman"/>
      <w:sz w:val="24"/>
      <w:szCs w:val="24"/>
      <w:lang w:val="pt-PT" w:eastAsia="en-US"/>
    </w:rPr>
  </w:style>
  <w:style w:type="paragraph" w:styleId="TableofAuthorities">
    <w:name w:val="table of authorities"/>
    <w:basedOn w:val="Normal"/>
    <w:next w:val="Normal"/>
    <w:rsid w:val="00B456A6"/>
    <w:pPr>
      <w:ind w:left="220" w:hanging="220"/>
    </w:pPr>
  </w:style>
  <w:style w:type="paragraph" w:styleId="TableofFigures">
    <w:name w:val="table of figures"/>
    <w:basedOn w:val="Normal"/>
    <w:next w:val="Normal"/>
    <w:rsid w:val="00B456A6"/>
  </w:style>
  <w:style w:type="paragraph" w:styleId="Title">
    <w:name w:val="Title"/>
    <w:basedOn w:val="Normal"/>
    <w:next w:val="Normal"/>
    <w:link w:val="TitleChar"/>
    <w:qFormat/>
    <w:rsid w:val="00B456A6"/>
    <w:pPr>
      <w:spacing w:before="240" w:after="60"/>
      <w:jc w:val="center"/>
      <w:outlineLvl w:val="0"/>
    </w:pPr>
    <w:rPr>
      <w:rFonts w:ascii="Cambria" w:hAnsi="Cambria"/>
      <w:b/>
      <w:bCs/>
      <w:kern w:val="28"/>
      <w:sz w:val="32"/>
      <w:szCs w:val="32"/>
    </w:rPr>
  </w:style>
  <w:style w:type="character" w:customStyle="1" w:styleId="TitleChar">
    <w:name w:val="Title Char"/>
    <w:link w:val="Title"/>
    <w:rsid w:val="00B456A6"/>
    <w:rPr>
      <w:rFonts w:ascii="Cambria" w:eastAsia="Times New Roman" w:hAnsi="Cambria" w:cs="Times New Roman"/>
      <w:b/>
      <w:bCs/>
      <w:kern w:val="28"/>
      <w:sz w:val="32"/>
      <w:szCs w:val="32"/>
      <w:lang w:val="pt-PT" w:eastAsia="en-US"/>
    </w:rPr>
  </w:style>
  <w:style w:type="paragraph" w:styleId="TOAHeading">
    <w:name w:val="toa heading"/>
    <w:basedOn w:val="Normal"/>
    <w:next w:val="Normal"/>
    <w:rsid w:val="00B456A6"/>
    <w:pPr>
      <w:spacing w:before="120"/>
    </w:pPr>
    <w:rPr>
      <w:rFonts w:ascii="Cambria" w:hAnsi="Cambria"/>
      <w:b/>
      <w:bCs/>
      <w:sz w:val="24"/>
      <w:szCs w:val="24"/>
    </w:rPr>
  </w:style>
  <w:style w:type="paragraph" w:styleId="TOC1">
    <w:name w:val="toc 1"/>
    <w:basedOn w:val="Normal"/>
    <w:next w:val="Normal"/>
    <w:autoRedefine/>
    <w:rsid w:val="00B456A6"/>
  </w:style>
  <w:style w:type="paragraph" w:styleId="TOC2">
    <w:name w:val="toc 2"/>
    <w:basedOn w:val="Normal"/>
    <w:next w:val="Normal"/>
    <w:autoRedefine/>
    <w:rsid w:val="00B456A6"/>
    <w:pPr>
      <w:ind w:left="220"/>
    </w:pPr>
  </w:style>
  <w:style w:type="paragraph" w:styleId="TOC3">
    <w:name w:val="toc 3"/>
    <w:basedOn w:val="Normal"/>
    <w:next w:val="Normal"/>
    <w:autoRedefine/>
    <w:rsid w:val="00B456A6"/>
    <w:pPr>
      <w:ind w:left="440"/>
    </w:pPr>
  </w:style>
  <w:style w:type="paragraph" w:styleId="TOC4">
    <w:name w:val="toc 4"/>
    <w:basedOn w:val="Normal"/>
    <w:next w:val="Normal"/>
    <w:autoRedefine/>
    <w:rsid w:val="00B456A6"/>
    <w:pPr>
      <w:ind w:left="660"/>
    </w:pPr>
  </w:style>
  <w:style w:type="paragraph" w:styleId="TOC5">
    <w:name w:val="toc 5"/>
    <w:basedOn w:val="Normal"/>
    <w:next w:val="Normal"/>
    <w:autoRedefine/>
    <w:rsid w:val="00B456A6"/>
    <w:pPr>
      <w:ind w:left="880"/>
    </w:pPr>
  </w:style>
  <w:style w:type="paragraph" w:styleId="TOC6">
    <w:name w:val="toc 6"/>
    <w:basedOn w:val="Normal"/>
    <w:next w:val="Normal"/>
    <w:autoRedefine/>
    <w:rsid w:val="00B456A6"/>
    <w:pPr>
      <w:ind w:left="1100"/>
    </w:pPr>
  </w:style>
  <w:style w:type="paragraph" w:styleId="TOC7">
    <w:name w:val="toc 7"/>
    <w:basedOn w:val="Normal"/>
    <w:next w:val="Normal"/>
    <w:autoRedefine/>
    <w:rsid w:val="00B456A6"/>
    <w:pPr>
      <w:ind w:left="1320"/>
    </w:pPr>
  </w:style>
  <w:style w:type="paragraph" w:styleId="TOC8">
    <w:name w:val="toc 8"/>
    <w:basedOn w:val="Normal"/>
    <w:next w:val="Normal"/>
    <w:autoRedefine/>
    <w:rsid w:val="00B456A6"/>
    <w:pPr>
      <w:ind w:left="1540"/>
    </w:pPr>
  </w:style>
  <w:style w:type="paragraph" w:styleId="TOC9">
    <w:name w:val="toc 9"/>
    <w:basedOn w:val="Normal"/>
    <w:next w:val="Normal"/>
    <w:autoRedefine/>
    <w:rsid w:val="00B456A6"/>
    <w:pPr>
      <w:ind w:left="1760"/>
    </w:pPr>
  </w:style>
  <w:style w:type="paragraph" w:styleId="TOCHeading">
    <w:name w:val="TOC Heading"/>
    <w:basedOn w:val="Heading1"/>
    <w:next w:val="Normal"/>
    <w:uiPriority w:val="39"/>
    <w:semiHidden/>
    <w:unhideWhenUsed/>
    <w:qFormat/>
    <w:rsid w:val="00B456A6"/>
    <w:pPr>
      <w:widowControl/>
      <w:tabs>
        <w:tab w:val="clear" w:pos="567"/>
      </w:tabs>
      <w:spacing w:line="240" w:lineRule="auto"/>
      <w:outlineLvl w:val="9"/>
    </w:pPr>
    <w:rPr>
      <w:rFonts w:ascii="Cambria" w:hAnsi="Cambria"/>
      <w:bCs/>
      <w:kern w:val="32"/>
      <w:sz w:val="32"/>
      <w:szCs w:val="32"/>
      <w:lang w:val="pt-PT"/>
    </w:rPr>
  </w:style>
  <w:style w:type="character" w:customStyle="1" w:styleId="shorttext">
    <w:name w:val="short_text"/>
    <w:rsid w:val="00FD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7014">
      <w:bodyDiv w:val="1"/>
      <w:marLeft w:val="0"/>
      <w:marRight w:val="0"/>
      <w:marTop w:val="0"/>
      <w:marBottom w:val="0"/>
      <w:divBdr>
        <w:top w:val="none" w:sz="0" w:space="0" w:color="auto"/>
        <w:left w:val="none" w:sz="0" w:space="0" w:color="auto"/>
        <w:bottom w:val="none" w:sz="0" w:space="0" w:color="auto"/>
        <w:right w:val="none" w:sz="0" w:space="0" w:color="auto"/>
      </w:divBdr>
      <w:divsChild>
        <w:div w:id="141117535">
          <w:marLeft w:val="0"/>
          <w:marRight w:val="0"/>
          <w:marTop w:val="0"/>
          <w:marBottom w:val="0"/>
          <w:divBdr>
            <w:top w:val="none" w:sz="0" w:space="0" w:color="auto"/>
            <w:left w:val="none" w:sz="0" w:space="0" w:color="auto"/>
            <w:bottom w:val="none" w:sz="0" w:space="0" w:color="auto"/>
            <w:right w:val="none" w:sz="0" w:space="0" w:color="auto"/>
          </w:divBdr>
        </w:div>
      </w:divsChild>
    </w:div>
    <w:div w:id="173032543">
      <w:bodyDiv w:val="1"/>
      <w:marLeft w:val="0"/>
      <w:marRight w:val="0"/>
      <w:marTop w:val="0"/>
      <w:marBottom w:val="0"/>
      <w:divBdr>
        <w:top w:val="none" w:sz="0" w:space="0" w:color="auto"/>
        <w:left w:val="none" w:sz="0" w:space="0" w:color="auto"/>
        <w:bottom w:val="none" w:sz="0" w:space="0" w:color="auto"/>
        <w:right w:val="none" w:sz="0" w:space="0" w:color="auto"/>
      </w:divBdr>
      <w:divsChild>
        <w:div w:id="849101018">
          <w:marLeft w:val="0"/>
          <w:marRight w:val="0"/>
          <w:marTop w:val="0"/>
          <w:marBottom w:val="0"/>
          <w:divBdr>
            <w:top w:val="none" w:sz="0" w:space="0" w:color="auto"/>
            <w:left w:val="none" w:sz="0" w:space="0" w:color="auto"/>
            <w:bottom w:val="none" w:sz="0" w:space="0" w:color="auto"/>
            <w:right w:val="none" w:sz="0" w:space="0" w:color="auto"/>
          </w:divBdr>
          <w:divsChild>
            <w:div w:id="967516944">
              <w:marLeft w:val="0"/>
              <w:marRight w:val="0"/>
              <w:marTop w:val="0"/>
              <w:marBottom w:val="0"/>
              <w:divBdr>
                <w:top w:val="none" w:sz="0" w:space="0" w:color="auto"/>
                <w:left w:val="none" w:sz="0" w:space="0" w:color="auto"/>
                <w:bottom w:val="none" w:sz="0" w:space="0" w:color="auto"/>
                <w:right w:val="none" w:sz="0" w:space="0" w:color="auto"/>
              </w:divBdr>
              <w:divsChild>
                <w:div w:id="732191725">
                  <w:marLeft w:val="0"/>
                  <w:marRight w:val="0"/>
                  <w:marTop w:val="0"/>
                  <w:marBottom w:val="0"/>
                  <w:divBdr>
                    <w:top w:val="none" w:sz="0" w:space="0" w:color="auto"/>
                    <w:left w:val="none" w:sz="0" w:space="0" w:color="auto"/>
                    <w:bottom w:val="none" w:sz="0" w:space="0" w:color="auto"/>
                    <w:right w:val="none" w:sz="0" w:space="0" w:color="auto"/>
                  </w:divBdr>
                  <w:divsChild>
                    <w:div w:id="1342051337">
                      <w:marLeft w:val="0"/>
                      <w:marRight w:val="0"/>
                      <w:marTop w:val="0"/>
                      <w:marBottom w:val="0"/>
                      <w:divBdr>
                        <w:top w:val="none" w:sz="0" w:space="0" w:color="auto"/>
                        <w:left w:val="none" w:sz="0" w:space="0" w:color="auto"/>
                        <w:bottom w:val="none" w:sz="0" w:space="0" w:color="auto"/>
                        <w:right w:val="none" w:sz="0" w:space="0" w:color="auto"/>
                      </w:divBdr>
                      <w:divsChild>
                        <w:div w:id="142279649">
                          <w:marLeft w:val="0"/>
                          <w:marRight w:val="0"/>
                          <w:marTop w:val="0"/>
                          <w:marBottom w:val="0"/>
                          <w:divBdr>
                            <w:top w:val="none" w:sz="0" w:space="0" w:color="auto"/>
                            <w:left w:val="none" w:sz="0" w:space="0" w:color="auto"/>
                            <w:bottom w:val="none" w:sz="0" w:space="0" w:color="auto"/>
                            <w:right w:val="none" w:sz="0" w:space="0" w:color="auto"/>
                          </w:divBdr>
                          <w:divsChild>
                            <w:div w:id="2059888280">
                              <w:marLeft w:val="0"/>
                              <w:marRight w:val="0"/>
                              <w:marTop w:val="0"/>
                              <w:marBottom w:val="0"/>
                              <w:divBdr>
                                <w:top w:val="none" w:sz="0" w:space="0" w:color="auto"/>
                                <w:left w:val="none" w:sz="0" w:space="0" w:color="auto"/>
                                <w:bottom w:val="none" w:sz="0" w:space="0" w:color="auto"/>
                                <w:right w:val="none" w:sz="0" w:space="0" w:color="auto"/>
                              </w:divBdr>
                              <w:divsChild>
                                <w:div w:id="1480537612">
                                  <w:marLeft w:val="0"/>
                                  <w:marRight w:val="0"/>
                                  <w:marTop w:val="0"/>
                                  <w:marBottom w:val="0"/>
                                  <w:divBdr>
                                    <w:top w:val="none" w:sz="0" w:space="0" w:color="auto"/>
                                    <w:left w:val="none" w:sz="0" w:space="0" w:color="auto"/>
                                    <w:bottom w:val="none" w:sz="0" w:space="0" w:color="auto"/>
                                    <w:right w:val="none" w:sz="0" w:space="0" w:color="auto"/>
                                  </w:divBdr>
                                  <w:divsChild>
                                    <w:div w:id="1914928853">
                                      <w:marLeft w:val="0"/>
                                      <w:marRight w:val="0"/>
                                      <w:marTop w:val="0"/>
                                      <w:marBottom w:val="0"/>
                                      <w:divBdr>
                                        <w:top w:val="single" w:sz="6" w:space="0" w:color="F5F5F5"/>
                                        <w:left w:val="single" w:sz="6" w:space="0" w:color="F5F5F5"/>
                                        <w:bottom w:val="single" w:sz="6" w:space="0" w:color="F5F5F5"/>
                                        <w:right w:val="single" w:sz="6" w:space="0" w:color="F5F5F5"/>
                                      </w:divBdr>
                                      <w:divsChild>
                                        <w:div w:id="193622203">
                                          <w:marLeft w:val="0"/>
                                          <w:marRight w:val="0"/>
                                          <w:marTop w:val="0"/>
                                          <w:marBottom w:val="0"/>
                                          <w:divBdr>
                                            <w:top w:val="none" w:sz="0" w:space="0" w:color="auto"/>
                                            <w:left w:val="none" w:sz="0" w:space="0" w:color="auto"/>
                                            <w:bottom w:val="none" w:sz="0" w:space="0" w:color="auto"/>
                                            <w:right w:val="none" w:sz="0" w:space="0" w:color="auto"/>
                                          </w:divBdr>
                                          <w:divsChild>
                                            <w:div w:id="4319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508445">
      <w:bodyDiv w:val="1"/>
      <w:marLeft w:val="0"/>
      <w:marRight w:val="0"/>
      <w:marTop w:val="0"/>
      <w:marBottom w:val="0"/>
      <w:divBdr>
        <w:top w:val="none" w:sz="0" w:space="0" w:color="auto"/>
        <w:left w:val="none" w:sz="0" w:space="0" w:color="auto"/>
        <w:bottom w:val="none" w:sz="0" w:space="0" w:color="auto"/>
        <w:right w:val="none" w:sz="0" w:space="0" w:color="auto"/>
      </w:divBdr>
    </w:div>
    <w:div w:id="308479030">
      <w:bodyDiv w:val="1"/>
      <w:marLeft w:val="0"/>
      <w:marRight w:val="0"/>
      <w:marTop w:val="0"/>
      <w:marBottom w:val="0"/>
      <w:divBdr>
        <w:top w:val="none" w:sz="0" w:space="0" w:color="auto"/>
        <w:left w:val="none" w:sz="0" w:space="0" w:color="auto"/>
        <w:bottom w:val="none" w:sz="0" w:space="0" w:color="auto"/>
        <w:right w:val="none" w:sz="0" w:space="0" w:color="auto"/>
      </w:divBdr>
    </w:div>
    <w:div w:id="327445888">
      <w:bodyDiv w:val="1"/>
      <w:marLeft w:val="0"/>
      <w:marRight w:val="0"/>
      <w:marTop w:val="0"/>
      <w:marBottom w:val="0"/>
      <w:divBdr>
        <w:top w:val="none" w:sz="0" w:space="0" w:color="auto"/>
        <w:left w:val="none" w:sz="0" w:space="0" w:color="auto"/>
        <w:bottom w:val="none" w:sz="0" w:space="0" w:color="auto"/>
        <w:right w:val="none" w:sz="0" w:space="0" w:color="auto"/>
      </w:divBdr>
    </w:div>
    <w:div w:id="405686615">
      <w:bodyDiv w:val="1"/>
      <w:marLeft w:val="0"/>
      <w:marRight w:val="0"/>
      <w:marTop w:val="0"/>
      <w:marBottom w:val="0"/>
      <w:divBdr>
        <w:top w:val="none" w:sz="0" w:space="0" w:color="auto"/>
        <w:left w:val="none" w:sz="0" w:space="0" w:color="auto"/>
        <w:bottom w:val="none" w:sz="0" w:space="0" w:color="auto"/>
        <w:right w:val="none" w:sz="0" w:space="0" w:color="auto"/>
      </w:divBdr>
    </w:div>
    <w:div w:id="525295605">
      <w:bodyDiv w:val="1"/>
      <w:marLeft w:val="0"/>
      <w:marRight w:val="0"/>
      <w:marTop w:val="0"/>
      <w:marBottom w:val="0"/>
      <w:divBdr>
        <w:top w:val="none" w:sz="0" w:space="0" w:color="auto"/>
        <w:left w:val="none" w:sz="0" w:space="0" w:color="auto"/>
        <w:bottom w:val="none" w:sz="0" w:space="0" w:color="auto"/>
        <w:right w:val="none" w:sz="0" w:space="0" w:color="auto"/>
      </w:divBdr>
      <w:divsChild>
        <w:div w:id="1101871863">
          <w:marLeft w:val="0"/>
          <w:marRight w:val="0"/>
          <w:marTop w:val="0"/>
          <w:marBottom w:val="0"/>
          <w:divBdr>
            <w:top w:val="none" w:sz="0" w:space="0" w:color="auto"/>
            <w:left w:val="none" w:sz="0" w:space="0" w:color="auto"/>
            <w:bottom w:val="none" w:sz="0" w:space="0" w:color="auto"/>
            <w:right w:val="none" w:sz="0" w:space="0" w:color="auto"/>
          </w:divBdr>
        </w:div>
      </w:divsChild>
    </w:div>
    <w:div w:id="580603969">
      <w:bodyDiv w:val="1"/>
      <w:marLeft w:val="0"/>
      <w:marRight w:val="0"/>
      <w:marTop w:val="0"/>
      <w:marBottom w:val="0"/>
      <w:divBdr>
        <w:top w:val="none" w:sz="0" w:space="0" w:color="auto"/>
        <w:left w:val="none" w:sz="0" w:space="0" w:color="auto"/>
        <w:bottom w:val="none" w:sz="0" w:space="0" w:color="auto"/>
        <w:right w:val="none" w:sz="0" w:space="0" w:color="auto"/>
      </w:divBdr>
      <w:divsChild>
        <w:div w:id="673262191">
          <w:marLeft w:val="0"/>
          <w:marRight w:val="0"/>
          <w:marTop w:val="0"/>
          <w:marBottom w:val="0"/>
          <w:divBdr>
            <w:top w:val="none" w:sz="0" w:space="0" w:color="auto"/>
            <w:left w:val="none" w:sz="0" w:space="0" w:color="auto"/>
            <w:bottom w:val="none" w:sz="0" w:space="0" w:color="auto"/>
            <w:right w:val="none" w:sz="0" w:space="0" w:color="auto"/>
          </w:divBdr>
        </w:div>
        <w:div w:id="958758775">
          <w:marLeft w:val="0"/>
          <w:marRight w:val="0"/>
          <w:marTop w:val="0"/>
          <w:marBottom w:val="0"/>
          <w:divBdr>
            <w:top w:val="none" w:sz="0" w:space="0" w:color="auto"/>
            <w:left w:val="none" w:sz="0" w:space="0" w:color="auto"/>
            <w:bottom w:val="none" w:sz="0" w:space="0" w:color="auto"/>
            <w:right w:val="none" w:sz="0" w:space="0" w:color="auto"/>
          </w:divBdr>
          <w:divsChild>
            <w:div w:id="930236075">
              <w:marLeft w:val="0"/>
              <w:marRight w:val="0"/>
              <w:marTop w:val="0"/>
              <w:marBottom w:val="0"/>
              <w:divBdr>
                <w:top w:val="none" w:sz="0" w:space="0" w:color="auto"/>
                <w:left w:val="none" w:sz="0" w:space="0" w:color="auto"/>
                <w:bottom w:val="none" w:sz="0" w:space="0" w:color="auto"/>
                <w:right w:val="none" w:sz="0" w:space="0" w:color="auto"/>
              </w:divBdr>
              <w:divsChild>
                <w:div w:id="1130586851">
                  <w:marLeft w:val="0"/>
                  <w:marRight w:val="0"/>
                  <w:marTop w:val="0"/>
                  <w:marBottom w:val="0"/>
                  <w:divBdr>
                    <w:top w:val="none" w:sz="0" w:space="0" w:color="auto"/>
                    <w:left w:val="none" w:sz="0" w:space="0" w:color="auto"/>
                    <w:bottom w:val="none" w:sz="0" w:space="0" w:color="auto"/>
                    <w:right w:val="none" w:sz="0" w:space="0" w:color="auto"/>
                  </w:divBdr>
                  <w:divsChild>
                    <w:div w:id="1294017910">
                      <w:marLeft w:val="0"/>
                      <w:marRight w:val="0"/>
                      <w:marTop w:val="0"/>
                      <w:marBottom w:val="0"/>
                      <w:divBdr>
                        <w:top w:val="none" w:sz="0" w:space="0" w:color="auto"/>
                        <w:left w:val="none" w:sz="0" w:space="0" w:color="auto"/>
                        <w:bottom w:val="none" w:sz="0" w:space="0" w:color="auto"/>
                        <w:right w:val="none" w:sz="0" w:space="0" w:color="auto"/>
                      </w:divBdr>
                      <w:divsChild>
                        <w:div w:id="612712304">
                          <w:marLeft w:val="0"/>
                          <w:marRight w:val="0"/>
                          <w:marTop w:val="0"/>
                          <w:marBottom w:val="0"/>
                          <w:divBdr>
                            <w:top w:val="none" w:sz="0" w:space="0" w:color="auto"/>
                            <w:left w:val="none" w:sz="0" w:space="0" w:color="auto"/>
                            <w:bottom w:val="none" w:sz="0" w:space="0" w:color="auto"/>
                            <w:right w:val="none" w:sz="0" w:space="0" w:color="auto"/>
                          </w:divBdr>
                          <w:divsChild>
                            <w:div w:id="20732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77575">
          <w:marLeft w:val="0"/>
          <w:marRight w:val="0"/>
          <w:marTop w:val="0"/>
          <w:marBottom w:val="0"/>
          <w:divBdr>
            <w:top w:val="none" w:sz="0" w:space="0" w:color="auto"/>
            <w:left w:val="none" w:sz="0" w:space="0" w:color="auto"/>
            <w:bottom w:val="none" w:sz="0" w:space="0" w:color="auto"/>
            <w:right w:val="none" w:sz="0" w:space="0" w:color="auto"/>
          </w:divBdr>
          <w:divsChild>
            <w:div w:id="1382435788">
              <w:marLeft w:val="0"/>
              <w:marRight w:val="0"/>
              <w:marTop w:val="0"/>
              <w:marBottom w:val="0"/>
              <w:divBdr>
                <w:top w:val="none" w:sz="0" w:space="0" w:color="auto"/>
                <w:left w:val="none" w:sz="0" w:space="0" w:color="auto"/>
                <w:bottom w:val="none" w:sz="0" w:space="0" w:color="auto"/>
                <w:right w:val="none" w:sz="0" w:space="0" w:color="auto"/>
              </w:divBdr>
              <w:divsChild>
                <w:div w:id="528836757">
                  <w:marLeft w:val="0"/>
                  <w:marRight w:val="0"/>
                  <w:marTop w:val="0"/>
                  <w:marBottom w:val="0"/>
                  <w:divBdr>
                    <w:top w:val="none" w:sz="0" w:space="0" w:color="auto"/>
                    <w:left w:val="none" w:sz="0" w:space="0" w:color="auto"/>
                    <w:bottom w:val="none" w:sz="0" w:space="0" w:color="auto"/>
                    <w:right w:val="none" w:sz="0" w:space="0" w:color="auto"/>
                  </w:divBdr>
                  <w:divsChild>
                    <w:div w:id="1388411743">
                      <w:marLeft w:val="0"/>
                      <w:marRight w:val="0"/>
                      <w:marTop w:val="0"/>
                      <w:marBottom w:val="0"/>
                      <w:divBdr>
                        <w:top w:val="none" w:sz="0" w:space="0" w:color="auto"/>
                        <w:left w:val="none" w:sz="0" w:space="0" w:color="auto"/>
                        <w:bottom w:val="none" w:sz="0" w:space="0" w:color="auto"/>
                        <w:right w:val="none" w:sz="0" w:space="0" w:color="auto"/>
                      </w:divBdr>
                      <w:divsChild>
                        <w:div w:id="17860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275123">
      <w:bodyDiv w:val="1"/>
      <w:marLeft w:val="0"/>
      <w:marRight w:val="0"/>
      <w:marTop w:val="0"/>
      <w:marBottom w:val="0"/>
      <w:divBdr>
        <w:top w:val="none" w:sz="0" w:space="0" w:color="auto"/>
        <w:left w:val="none" w:sz="0" w:space="0" w:color="auto"/>
        <w:bottom w:val="none" w:sz="0" w:space="0" w:color="auto"/>
        <w:right w:val="none" w:sz="0" w:space="0" w:color="auto"/>
      </w:divBdr>
      <w:divsChild>
        <w:div w:id="877477073">
          <w:marLeft w:val="0"/>
          <w:marRight w:val="0"/>
          <w:marTop w:val="0"/>
          <w:marBottom w:val="0"/>
          <w:divBdr>
            <w:top w:val="none" w:sz="0" w:space="0" w:color="auto"/>
            <w:left w:val="none" w:sz="0" w:space="0" w:color="auto"/>
            <w:bottom w:val="none" w:sz="0" w:space="0" w:color="auto"/>
            <w:right w:val="none" w:sz="0" w:space="0" w:color="auto"/>
          </w:divBdr>
        </w:div>
      </w:divsChild>
    </w:div>
    <w:div w:id="773282330">
      <w:bodyDiv w:val="1"/>
      <w:marLeft w:val="0"/>
      <w:marRight w:val="0"/>
      <w:marTop w:val="0"/>
      <w:marBottom w:val="0"/>
      <w:divBdr>
        <w:top w:val="none" w:sz="0" w:space="0" w:color="auto"/>
        <w:left w:val="none" w:sz="0" w:space="0" w:color="auto"/>
        <w:bottom w:val="none" w:sz="0" w:space="0" w:color="auto"/>
        <w:right w:val="none" w:sz="0" w:space="0" w:color="auto"/>
      </w:divBdr>
      <w:divsChild>
        <w:div w:id="2034843583">
          <w:marLeft w:val="0"/>
          <w:marRight w:val="0"/>
          <w:marTop w:val="0"/>
          <w:marBottom w:val="0"/>
          <w:divBdr>
            <w:top w:val="none" w:sz="0" w:space="0" w:color="auto"/>
            <w:left w:val="none" w:sz="0" w:space="0" w:color="auto"/>
            <w:bottom w:val="none" w:sz="0" w:space="0" w:color="auto"/>
            <w:right w:val="none" w:sz="0" w:space="0" w:color="auto"/>
          </w:divBdr>
        </w:div>
      </w:divsChild>
    </w:div>
    <w:div w:id="1154763742">
      <w:bodyDiv w:val="1"/>
      <w:marLeft w:val="0"/>
      <w:marRight w:val="0"/>
      <w:marTop w:val="0"/>
      <w:marBottom w:val="0"/>
      <w:divBdr>
        <w:top w:val="none" w:sz="0" w:space="0" w:color="auto"/>
        <w:left w:val="none" w:sz="0" w:space="0" w:color="auto"/>
        <w:bottom w:val="none" w:sz="0" w:space="0" w:color="auto"/>
        <w:right w:val="none" w:sz="0" w:space="0" w:color="auto"/>
      </w:divBdr>
      <w:divsChild>
        <w:div w:id="1975215523">
          <w:marLeft w:val="0"/>
          <w:marRight w:val="0"/>
          <w:marTop w:val="0"/>
          <w:marBottom w:val="0"/>
          <w:divBdr>
            <w:top w:val="none" w:sz="0" w:space="0" w:color="auto"/>
            <w:left w:val="none" w:sz="0" w:space="0" w:color="auto"/>
            <w:bottom w:val="none" w:sz="0" w:space="0" w:color="auto"/>
            <w:right w:val="none" w:sz="0" w:space="0" w:color="auto"/>
          </w:divBdr>
        </w:div>
      </w:divsChild>
    </w:div>
    <w:div w:id="1165435391">
      <w:bodyDiv w:val="1"/>
      <w:marLeft w:val="0"/>
      <w:marRight w:val="0"/>
      <w:marTop w:val="0"/>
      <w:marBottom w:val="0"/>
      <w:divBdr>
        <w:top w:val="none" w:sz="0" w:space="0" w:color="auto"/>
        <w:left w:val="none" w:sz="0" w:space="0" w:color="auto"/>
        <w:bottom w:val="none" w:sz="0" w:space="0" w:color="auto"/>
        <w:right w:val="none" w:sz="0" w:space="0" w:color="auto"/>
      </w:divBdr>
    </w:div>
    <w:div w:id="1195966684">
      <w:bodyDiv w:val="1"/>
      <w:marLeft w:val="0"/>
      <w:marRight w:val="0"/>
      <w:marTop w:val="0"/>
      <w:marBottom w:val="0"/>
      <w:divBdr>
        <w:top w:val="none" w:sz="0" w:space="0" w:color="auto"/>
        <w:left w:val="none" w:sz="0" w:space="0" w:color="auto"/>
        <w:bottom w:val="none" w:sz="0" w:space="0" w:color="auto"/>
        <w:right w:val="none" w:sz="0" w:space="0" w:color="auto"/>
      </w:divBdr>
      <w:divsChild>
        <w:div w:id="234248063">
          <w:marLeft w:val="0"/>
          <w:marRight w:val="0"/>
          <w:marTop w:val="0"/>
          <w:marBottom w:val="0"/>
          <w:divBdr>
            <w:top w:val="none" w:sz="0" w:space="0" w:color="auto"/>
            <w:left w:val="none" w:sz="0" w:space="0" w:color="auto"/>
            <w:bottom w:val="none" w:sz="0" w:space="0" w:color="auto"/>
            <w:right w:val="none" w:sz="0" w:space="0" w:color="auto"/>
          </w:divBdr>
        </w:div>
        <w:div w:id="1048988202">
          <w:marLeft w:val="0"/>
          <w:marRight w:val="0"/>
          <w:marTop w:val="0"/>
          <w:marBottom w:val="0"/>
          <w:divBdr>
            <w:top w:val="none" w:sz="0" w:space="0" w:color="auto"/>
            <w:left w:val="none" w:sz="0" w:space="0" w:color="auto"/>
            <w:bottom w:val="none" w:sz="0" w:space="0" w:color="auto"/>
            <w:right w:val="none" w:sz="0" w:space="0" w:color="auto"/>
          </w:divBdr>
        </w:div>
        <w:div w:id="1169756477">
          <w:marLeft w:val="0"/>
          <w:marRight w:val="0"/>
          <w:marTop w:val="0"/>
          <w:marBottom w:val="0"/>
          <w:divBdr>
            <w:top w:val="none" w:sz="0" w:space="0" w:color="auto"/>
            <w:left w:val="none" w:sz="0" w:space="0" w:color="auto"/>
            <w:bottom w:val="none" w:sz="0" w:space="0" w:color="auto"/>
            <w:right w:val="none" w:sz="0" w:space="0" w:color="auto"/>
          </w:divBdr>
        </w:div>
        <w:div w:id="1293705057">
          <w:marLeft w:val="0"/>
          <w:marRight w:val="0"/>
          <w:marTop w:val="0"/>
          <w:marBottom w:val="0"/>
          <w:divBdr>
            <w:top w:val="none" w:sz="0" w:space="0" w:color="auto"/>
            <w:left w:val="none" w:sz="0" w:space="0" w:color="auto"/>
            <w:bottom w:val="none" w:sz="0" w:space="0" w:color="auto"/>
            <w:right w:val="none" w:sz="0" w:space="0" w:color="auto"/>
          </w:divBdr>
        </w:div>
      </w:divsChild>
    </w:div>
    <w:div w:id="1312826457">
      <w:bodyDiv w:val="1"/>
      <w:marLeft w:val="0"/>
      <w:marRight w:val="0"/>
      <w:marTop w:val="0"/>
      <w:marBottom w:val="0"/>
      <w:divBdr>
        <w:top w:val="none" w:sz="0" w:space="0" w:color="auto"/>
        <w:left w:val="none" w:sz="0" w:space="0" w:color="auto"/>
        <w:bottom w:val="none" w:sz="0" w:space="0" w:color="auto"/>
        <w:right w:val="none" w:sz="0" w:space="0" w:color="auto"/>
      </w:divBdr>
    </w:div>
    <w:div w:id="1341619222">
      <w:bodyDiv w:val="1"/>
      <w:marLeft w:val="0"/>
      <w:marRight w:val="0"/>
      <w:marTop w:val="0"/>
      <w:marBottom w:val="0"/>
      <w:divBdr>
        <w:top w:val="none" w:sz="0" w:space="0" w:color="auto"/>
        <w:left w:val="none" w:sz="0" w:space="0" w:color="auto"/>
        <w:bottom w:val="none" w:sz="0" w:space="0" w:color="auto"/>
        <w:right w:val="none" w:sz="0" w:space="0" w:color="auto"/>
      </w:divBdr>
      <w:divsChild>
        <w:div w:id="407700567">
          <w:marLeft w:val="0"/>
          <w:marRight w:val="0"/>
          <w:marTop w:val="0"/>
          <w:marBottom w:val="0"/>
          <w:divBdr>
            <w:top w:val="none" w:sz="0" w:space="0" w:color="auto"/>
            <w:left w:val="none" w:sz="0" w:space="0" w:color="auto"/>
            <w:bottom w:val="none" w:sz="0" w:space="0" w:color="auto"/>
            <w:right w:val="none" w:sz="0" w:space="0" w:color="auto"/>
          </w:divBdr>
        </w:div>
        <w:div w:id="1078864025">
          <w:marLeft w:val="0"/>
          <w:marRight w:val="0"/>
          <w:marTop w:val="0"/>
          <w:marBottom w:val="0"/>
          <w:divBdr>
            <w:top w:val="none" w:sz="0" w:space="0" w:color="auto"/>
            <w:left w:val="none" w:sz="0" w:space="0" w:color="auto"/>
            <w:bottom w:val="none" w:sz="0" w:space="0" w:color="auto"/>
            <w:right w:val="none" w:sz="0" w:space="0" w:color="auto"/>
          </w:divBdr>
        </w:div>
        <w:div w:id="1561942688">
          <w:marLeft w:val="0"/>
          <w:marRight w:val="0"/>
          <w:marTop w:val="0"/>
          <w:marBottom w:val="0"/>
          <w:divBdr>
            <w:top w:val="none" w:sz="0" w:space="0" w:color="auto"/>
            <w:left w:val="none" w:sz="0" w:space="0" w:color="auto"/>
            <w:bottom w:val="none" w:sz="0" w:space="0" w:color="auto"/>
            <w:right w:val="none" w:sz="0" w:space="0" w:color="auto"/>
          </w:divBdr>
        </w:div>
        <w:div w:id="1674990346">
          <w:marLeft w:val="0"/>
          <w:marRight w:val="0"/>
          <w:marTop w:val="0"/>
          <w:marBottom w:val="0"/>
          <w:divBdr>
            <w:top w:val="none" w:sz="0" w:space="0" w:color="auto"/>
            <w:left w:val="none" w:sz="0" w:space="0" w:color="auto"/>
            <w:bottom w:val="none" w:sz="0" w:space="0" w:color="auto"/>
            <w:right w:val="none" w:sz="0" w:space="0" w:color="auto"/>
          </w:divBdr>
        </w:div>
        <w:div w:id="1975599935">
          <w:marLeft w:val="0"/>
          <w:marRight w:val="0"/>
          <w:marTop w:val="0"/>
          <w:marBottom w:val="0"/>
          <w:divBdr>
            <w:top w:val="none" w:sz="0" w:space="0" w:color="auto"/>
            <w:left w:val="none" w:sz="0" w:space="0" w:color="auto"/>
            <w:bottom w:val="none" w:sz="0" w:space="0" w:color="auto"/>
            <w:right w:val="none" w:sz="0" w:space="0" w:color="auto"/>
          </w:divBdr>
        </w:div>
      </w:divsChild>
    </w:div>
    <w:div w:id="1410536234">
      <w:bodyDiv w:val="1"/>
      <w:marLeft w:val="0"/>
      <w:marRight w:val="0"/>
      <w:marTop w:val="0"/>
      <w:marBottom w:val="0"/>
      <w:divBdr>
        <w:top w:val="none" w:sz="0" w:space="0" w:color="auto"/>
        <w:left w:val="none" w:sz="0" w:space="0" w:color="auto"/>
        <w:bottom w:val="none" w:sz="0" w:space="0" w:color="auto"/>
        <w:right w:val="none" w:sz="0" w:space="0" w:color="auto"/>
      </w:divBdr>
    </w:div>
    <w:div w:id="1525629899">
      <w:bodyDiv w:val="1"/>
      <w:marLeft w:val="0"/>
      <w:marRight w:val="0"/>
      <w:marTop w:val="0"/>
      <w:marBottom w:val="0"/>
      <w:divBdr>
        <w:top w:val="none" w:sz="0" w:space="0" w:color="auto"/>
        <w:left w:val="none" w:sz="0" w:space="0" w:color="auto"/>
        <w:bottom w:val="none" w:sz="0" w:space="0" w:color="auto"/>
        <w:right w:val="none" w:sz="0" w:space="0" w:color="auto"/>
      </w:divBdr>
    </w:div>
    <w:div w:id="1567187217">
      <w:bodyDiv w:val="1"/>
      <w:marLeft w:val="0"/>
      <w:marRight w:val="0"/>
      <w:marTop w:val="0"/>
      <w:marBottom w:val="0"/>
      <w:divBdr>
        <w:top w:val="none" w:sz="0" w:space="0" w:color="auto"/>
        <w:left w:val="none" w:sz="0" w:space="0" w:color="auto"/>
        <w:bottom w:val="none" w:sz="0" w:space="0" w:color="auto"/>
        <w:right w:val="none" w:sz="0" w:space="0" w:color="auto"/>
      </w:divBdr>
      <w:divsChild>
        <w:div w:id="1652294268">
          <w:marLeft w:val="0"/>
          <w:marRight w:val="0"/>
          <w:marTop w:val="0"/>
          <w:marBottom w:val="0"/>
          <w:divBdr>
            <w:top w:val="none" w:sz="0" w:space="0" w:color="auto"/>
            <w:left w:val="none" w:sz="0" w:space="0" w:color="auto"/>
            <w:bottom w:val="none" w:sz="0" w:space="0" w:color="auto"/>
            <w:right w:val="none" w:sz="0" w:space="0" w:color="auto"/>
          </w:divBdr>
        </w:div>
      </w:divsChild>
    </w:div>
    <w:div w:id="1699155732">
      <w:bodyDiv w:val="1"/>
      <w:marLeft w:val="0"/>
      <w:marRight w:val="0"/>
      <w:marTop w:val="0"/>
      <w:marBottom w:val="0"/>
      <w:divBdr>
        <w:top w:val="none" w:sz="0" w:space="0" w:color="auto"/>
        <w:left w:val="none" w:sz="0" w:space="0" w:color="auto"/>
        <w:bottom w:val="none" w:sz="0" w:space="0" w:color="auto"/>
        <w:right w:val="none" w:sz="0" w:space="0" w:color="auto"/>
      </w:divBdr>
    </w:div>
    <w:div w:id="1729760149">
      <w:bodyDiv w:val="1"/>
      <w:marLeft w:val="0"/>
      <w:marRight w:val="0"/>
      <w:marTop w:val="0"/>
      <w:marBottom w:val="0"/>
      <w:divBdr>
        <w:top w:val="none" w:sz="0" w:space="0" w:color="auto"/>
        <w:left w:val="none" w:sz="0" w:space="0" w:color="auto"/>
        <w:bottom w:val="none" w:sz="0" w:space="0" w:color="auto"/>
        <w:right w:val="none" w:sz="0" w:space="0" w:color="auto"/>
      </w:divBdr>
      <w:divsChild>
        <w:div w:id="1823277225">
          <w:marLeft w:val="0"/>
          <w:marRight w:val="0"/>
          <w:marTop w:val="0"/>
          <w:marBottom w:val="0"/>
          <w:divBdr>
            <w:top w:val="none" w:sz="0" w:space="0" w:color="auto"/>
            <w:left w:val="none" w:sz="0" w:space="0" w:color="auto"/>
            <w:bottom w:val="none" w:sz="0" w:space="0" w:color="auto"/>
            <w:right w:val="none" w:sz="0" w:space="0" w:color="auto"/>
          </w:divBdr>
        </w:div>
      </w:divsChild>
    </w:div>
    <w:div w:id="2081906395">
      <w:bodyDiv w:val="1"/>
      <w:marLeft w:val="0"/>
      <w:marRight w:val="0"/>
      <w:marTop w:val="0"/>
      <w:marBottom w:val="0"/>
      <w:divBdr>
        <w:top w:val="none" w:sz="0" w:space="0" w:color="auto"/>
        <w:left w:val="none" w:sz="0" w:space="0" w:color="auto"/>
        <w:bottom w:val="none" w:sz="0" w:space="0" w:color="auto"/>
        <w:right w:val="none" w:sz="0" w:space="0" w:color="auto"/>
      </w:divBdr>
      <w:divsChild>
        <w:div w:id="229268339">
          <w:marLeft w:val="0"/>
          <w:marRight w:val="0"/>
          <w:marTop w:val="0"/>
          <w:marBottom w:val="0"/>
          <w:divBdr>
            <w:top w:val="none" w:sz="0" w:space="0" w:color="auto"/>
            <w:left w:val="none" w:sz="0" w:space="0" w:color="auto"/>
            <w:bottom w:val="none" w:sz="0" w:space="0" w:color="auto"/>
            <w:right w:val="none" w:sz="0" w:space="0" w:color="auto"/>
          </w:divBdr>
          <w:divsChild>
            <w:div w:id="1974673524">
              <w:marLeft w:val="0"/>
              <w:marRight w:val="0"/>
              <w:marTop w:val="0"/>
              <w:marBottom w:val="0"/>
              <w:divBdr>
                <w:top w:val="none" w:sz="0" w:space="0" w:color="auto"/>
                <w:left w:val="none" w:sz="0" w:space="0" w:color="auto"/>
                <w:bottom w:val="none" w:sz="0" w:space="0" w:color="auto"/>
                <w:right w:val="none" w:sz="0" w:space="0" w:color="auto"/>
              </w:divBdr>
              <w:divsChild>
                <w:div w:id="804007542">
                  <w:marLeft w:val="0"/>
                  <w:marRight w:val="0"/>
                  <w:marTop w:val="0"/>
                  <w:marBottom w:val="0"/>
                  <w:divBdr>
                    <w:top w:val="none" w:sz="0" w:space="0" w:color="auto"/>
                    <w:left w:val="none" w:sz="0" w:space="0" w:color="auto"/>
                    <w:bottom w:val="none" w:sz="0" w:space="0" w:color="auto"/>
                    <w:right w:val="none" w:sz="0" w:space="0" w:color="auto"/>
                  </w:divBdr>
                  <w:divsChild>
                    <w:div w:id="1460026950">
                      <w:marLeft w:val="0"/>
                      <w:marRight w:val="0"/>
                      <w:marTop w:val="0"/>
                      <w:marBottom w:val="0"/>
                      <w:divBdr>
                        <w:top w:val="none" w:sz="0" w:space="0" w:color="auto"/>
                        <w:left w:val="none" w:sz="0" w:space="0" w:color="auto"/>
                        <w:bottom w:val="none" w:sz="0" w:space="0" w:color="auto"/>
                        <w:right w:val="none" w:sz="0" w:space="0" w:color="auto"/>
                      </w:divBdr>
                      <w:divsChild>
                        <w:div w:id="1839686178">
                          <w:marLeft w:val="0"/>
                          <w:marRight w:val="0"/>
                          <w:marTop w:val="0"/>
                          <w:marBottom w:val="0"/>
                          <w:divBdr>
                            <w:top w:val="none" w:sz="0" w:space="0" w:color="auto"/>
                            <w:left w:val="none" w:sz="0" w:space="0" w:color="auto"/>
                            <w:bottom w:val="none" w:sz="0" w:space="0" w:color="auto"/>
                            <w:right w:val="none" w:sz="0" w:space="0" w:color="auto"/>
                          </w:divBdr>
                          <w:divsChild>
                            <w:div w:id="900868375">
                              <w:marLeft w:val="0"/>
                              <w:marRight w:val="0"/>
                              <w:marTop w:val="0"/>
                              <w:marBottom w:val="0"/>
                              <w:divBdr>
                                <w:top w:val="none" w:sz="0" w:space="0" w:color="auto"/>
                                <w:left w:val="none" w:sz="0" w:space="0" w:color="auto"/>
                                <w:bottom w:val="none" w:sz="0" w:space="0" w:color="auto"/>
                                <w:right w:val="none" w:sz="0" w:space="0" w:color="auto"/>
                              </w:divBdr>
                              <w:divsChild>
                                <w:div w:id="652635245">
                                  <w:marLeft w:val="0"/>
                                  <w:marRight w:val="0"/>
                                  <w:marTop w:val="0"/>
                                  <w:marBottom w:val="0"/>
                                  <w:divBdr>
                                    <w:top w:val="none" w:sz="0" w:space="0" w:color="auto"/>
                                    <w:left w:val="none" w:sz="0" w:space="0" w:color="auto"/>
                                    <w:bottom w:val="none" w:sz="0" w:space="0" w:color="auto"/>
                                    <w:right w:val="none" w:sz="0" w:space="0" w:color="auto"/>
                                  </w:divBdr>
                                  <w:divsChild>
                                    <w:div w:id="1205019458">
                                      <w:marLeft w:val="0"/>
                                      <w:marRight w:val="0"/>
                                      <w:marTop w:val="0"/>
                                      <w:marBottom w:val="0"/>
                                      <w:divBdr>
                                        <w:top w:val="single" w:sz="6" w:space="0" w:color="F5F5F5"/>
                                        <w:left w:val="single" w:sz="6" w:space="0" w:color="F5F5F5"/>
                                        <w:bottom w:val="single" w:sz="6" w:space="0" w:color="F5F5F5"/>
                                        <w:right w:val="single" w:sz="6" w:space="0" w:color="F5F5F5"/>
                                      </w:divBdr>
                                      <w:divsChild>
                                        <w:div w:id="1403261912">
                                          <w:marLeft w:val="0"/>
                                          <w:marRight w:val="0"/>
                                          <w:marTop w:val="0"/>
                                          <w:marBottom w:val="0"/>
                                          <w:divBdr>
                                            <w:top w:val="none" w:sz="0" w:space="0" w:color="auto"/>
                                            <w:left w:val="none" w:sz="0" w:space="0" w:color="auto"/>
                                            <w:bottom w:val="none" w:sz="0" w:space="0" w:color="auto"/>
                                            <w:right w:val="none" w:sz="0" w:space="0" w:color="auto"/>
                                          </w:divBdr>
                                          <w:divsChild>
                                            <w:div w:id="6541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hyperlink" Target="http://www.ema.europa.e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ivaroxaban-accord"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hyperlink" Target="http://www.ema.europa.eu/" TargetMode="External"/><Relationship Id="rId28" Type="http://schemas.openxmlformats.org/officeDocument/2006/relationships/hyperlink" Target="http://www.ema.europa.eu/" TargetMode="Externa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hyperlink" Target="http://www.ema.europa.eu"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EMADOC-1700519818-2393179</_dlc_DocId>
    <_dlc_DocIdUrl xmlns="a034c160-bfb7-45f5-8632-2eb7e0508071">
      <Url>https://euema.sharepoint.com/sites/CRM/_layouts/15/DocIdRedir.aspx?ID=EMADOC-1700519818-2393179</Url>
      <Description>EMADOC-1700519818-2393179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DE0CA7-0488-46FC-A81D-7B285224B775}">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purl.org/dc/dcmitype/"/>
  </ds:schemaRefs>
</ds:datastoreItem>
</file>

<file path=customXml/itemProps2.xml><?xml version="1.0" encoding="utf-8"?>
<ds:datastoreItem xmlns:ds="http://schemas.openxmlformats.org/officeDocument/2006/customXml" ds:itemID="{19DAE56C-1503-4EAD-9F48-2728B599B81A}">
  <ds:schemaRefs>
    <ds:schemaRef ds:uri="http://schemas.microsoft.com/sharepoint/v3/contenttype/forms"/>
  </ds:schemaRefs>
</ds:datastoreItem>
</file>

<file path=customXml/itemProps3.xml><?xml version="1.0" encoding="utf-8"?>
<ds:datastoreItem xmlns:ds="http://schemas.openxmlformats.org/officeDocument/2006/customXml" ds:itemID="{813FEB53-937D-46EF-A418-1EFA983B6B4B}"/>
</file>

<file path=customXml/itemProps4.xml><?xml version="1.0" encoding="utf-8"?>
<ds:datastoreItem xmlns:ds="http://schemas.openxmlformats.org/officeDocument/2006/customXml" ds:itemID="{426FBD52-AC10-4244-8E21-3462A3873EBD}">
  <ds:schemaRefs>
    <ds:schemaRef ds:uri="http://schemas.openxmlformats.org/officeDocument/2006/bibliography"/>
  </ds:schemaRefs>
</ds:datastoreItem>
</file>

<file path=customXml/itemProps5.xml><?xml version="1.0" encoding="utf-8"?>
<ds:datastoreItem xmlns:ds="http://schemas.openxmlformats.org/officeDocument/2006/customXml" ds:itemID="{45850AA9-0319-4643-9085-33761F83B0E6}"/>
</file>

<file path=docProps/app.xml><?xml version="1.0" encoding="utf-8"?>
<Properties xmlns="http://schemas.openxmlformats.org/officeDocument/2006/extended-properties" xmlns:vt="http://schemas.openxmlformats.org/officeDocument/2006/docPropsVTypes">
  <Template>Normal.dotm</Template>
  <TotalTime>135</TotalTime>
  <Pages>236</Pages>
  <Words>87830</Words>
  <Characters>494850</Characters>
  <Application>Microsoft Office Word</Application>
  <DocSecurity>0</DocSecurity>
  <Lines>4123</Lines>
  <Paragraphs>1163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Rivaroxaban Accord, INN-rivaroxaban</vt:lpstr>
      <vt:lpstr>Rivaroxaban Accord, INN-rivaroxaban</vt:lpstr>
      <vt:lpstr>Xarelto, INN-rivaroxaban</vt:lpstr>
    </vt:vector>
  </TitlesOfParts>
  <Company/>
  <LinksUpToDate>false</LinksUpToDate>
  <CharactersWithSpaces>581517</CharactersWithSpaces>
  <SharedDoc>false</SharedDoc>
  <HLinks>
    <vt:vector size="108" baseType="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EPAR – Product information - tracked changes</dc:title>
  <dc:subject>EPAR</dc:subject>
  <dc:creator>CHMP</dc:creator>
  <cp:keywords>Rivaroxaban Accord, INN-rivaroxaban</cp:keywords>
  <cp:lastModifiedBy>MAH review_PB</cp:lastModifiedBy>
  <cp:revision>13</cp:revision>
  <cp:lastPrinted>2019-12-10T15:53:00Z</cp:lastPrinted>
  <dcterms:created xsi:type="dcterms:W3CDTF">2022-03-28T15:53:00Z</dcterms:created>
  <dcterms:modified xsi:type="dcterms:W3CDTF">2025-08-13T11:16:00Z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30/03/2007 11:27:14</vt:lpwstr>
  </property>
  <property fmtid="{D5CDD505-2E9C-101B-9397-08002B2CF9AE}" pid="4" name="DM_Creator_Name">
    <vt:lpwstr>Holemarova Zuzana</vt:lpwstr>
  </property>
  <property fmtid="{D5CDD505-2E9C-101B-9397-08002B2CF9AE}" pid="5" name="DM_emea_bcc">
    <vt:lpwstr/>
  </property>
  <property fmtid="{D5CDD505-2E9C-101B-9397-08002B2CF9AE}" pid="6" name="DM_emea_cc">
    <vt:lpwstr/>
  </property>
  <property fmtid="{D5CDD505-2E9C-101B-9397-08002B2CF9AE}" pid="7" name="DM_emea_doc_category">
    <vt:lpwstr>General</vt:lpwstr>
  </property>
  <property fmtid="{D5CDD505-2E9C-101B-9397-08002B2CF9AE}" pid="8" name="DM_emea_doc_lang">
    <vt:lpwstr/>
  </property>
  <property fmtid="{D5CDD505-2E9C-101B-9397-08002B2CF9AE}" pid="9" name="DM_emea_doc_number">
    <vt:lpwstr>148132</vt:lpwstr>
  </property>
  <property fmtid="{D5CDD505-2E9C-101B-9397-08002B2CF9AE}" pid="10" name="DM_emea_doc_ref_id">
    <vt:lpwstr>EMEA/148132/2007</vt:lpwstr>
  </property>
  <property fmtid="{D5CDD505-2E9C-101B-9397-08002B2CF9AE}" pid="11" name="DM_emea_from">
    <vt:lpwstr/>
  </property>
  <property fmtid="{D5CDD505-2E9C-101B-9397-08002B2CF9AE}" pid="12" name="DM_emea_internal_label">
    <vt:lpwstr>EMEA</vt:lpwstr>
  </property>
  <property fmtid="{D5CDD505-2E9C-101B-9397-08002B2CF9AE}" pid="13" name="DM_emea_legal_date">
    <vt:lpwstr>nulldate</vt:lpwstr>
  </property>
  <property fmtid="{D5CDD505-2E9C-101B-9397-08002B2CF9AE}" pid="14" name="DM_emea_meeting_action">
    <vt:lpwstr/>
  </property>
  <property fmtid="{D5CDD505-2E9C-101B-9397-08002B2CF9AE}" pid="15" name="DM_emea_meeting_status">
    <vt:lpwstr/>
  </property>
  <property fmtid="{D5CDD505-2E9C-101B-9397-08002B2CF9AE}" pid="16" name="DM_emea_message_subject">
    <vt:lpwstr/>
  </property>
  <property fmtid="{D5CDD505-2E9C-101B-9397-08002B2CF9AE}" pid="17" name="DM_emea_received_date">
    <vt:lpwstr>nulldate</vt:lpwstr>
  </property>
  <property fmtid="{D5CDD505-2E9C-101B-9397-08002B2CF9AE}" pid="18" name="DM_emea_resp_body">
    <vt:lpwstr/>
  </property>
  <property fmtid="{D5CDD505-2E9C-101B-9397-08002B2CF9AE}" pid="19" name="DM_emea_revision_label">
    <vt:lpwstr/>
  </property>
  <property fmtid="{D5CDD505-2E9C-101B-9397-08002B2CF9AE}" pid="20" name="DM_emea_sent_date">
    <vt:lpwstr>nulldate</vt:lpwstr>
  </property>
  <property fmtid="{D5CDD505-2E9C-101B-9397-08002B2CF9AE}" pid="21" name="DM_emea_to">
    <vt:lpwstr/>
  </property>
  <property fmtid="{D5CDD505-2E9C-101B-9397-08002B2CF9AE}" pid="22" name="DM_emea_year">
    <vt:lpwstr>2007</vt:lpwstr>
  </property>
  <property fmtid="{D5CDD505-2E9C-101B-9397-08002B2CF9AE}" pid="23" name="DM_Keywords">
    <vt:lpwstr/>
  </property>
  <property fmtid="{D5CDD505-2E9C-101B-9397-08002B2CF9AE}" pid="24" name="DM_Language">
    <vt:lpwstr/>
  </property>
  <property fmtid="{D5CDD505-2E9C-101B-9397-08002B2CF9AE}" pid="25" name="DM_Modifer_Name">
    <vt:lpwstr>Holemarova Zuzana</vt:lpwstr>
  </property>
  <property fmtid="{D5CDD505-2E9C-101B-9397-08002B2CF9AE}" pid="26" name="DM_Modified_Date">
    <vt:lpwstr>30/03/2007 11:27:19</vt:lpwstr>
  </property>
  <property fmtid="{D5CDD505-2E9C-101B-9397-08002B2CF9AE}" pid="27" name="DM_Name">
    <vt:lpwstr>H01a PT SPC-II-lab-pl v7.2</vt:lpwstr>
  </property>
  <property fmtid="{D5CDD505-2E9C-101B-9397-08002B2CF9AE}" pid="28" name="DM_Owner">
    <vt:lpwstr>Holemarova Zuzana</vt:lpwstr>
  </property>
  <property fmtid="{D5CDD505-2E9C-101B-9397-08002B2CF9AE}" pid="29" name="DM_Status">
    <vt:lpwstr/>
  </property>
  <property fmtid="{D5CDD505-2E9C-101B-9397-08002B2CF9AE}" pid="30" name="DM_Subject">
    <vt:lpwstr>General-EMEA/148132/2007</vt:lpwstr>
  </property>
  <property fmtid="{D5CDD505-2E9C-101B-9397-08002B2CF9AE}" pid="31" name="DM_Title">
    <vt:lpwstr/>
  </property>
  <property fmtid="{D5CDD505-2E9C-101B-9397-08002B2CF9AE}" pid="32" name="DM_Type">
    <vt:lpwstr>emea_document</vt:lpwstr>
  </property>
  <property fmtid="{D5CDD505-2E9C-101B-9397-08002B2CF9AE}" pid="33" name="DM_Version">
    <vt:lpwstr>0.1, CURRENT, corr 1. Published April 07</vt:lpwstr>
  </property>
  <property fmtid="{D5CDD505-2E9C-101B-9397-08002B2CF9AE}" pid="34" name="MSIP_Label_7f850223-87a8-40c3-9eb2-432606efca2a_Enabled">
    <vt:lpwstr>True</vt:lpwstr>
  </property>
  <property fmtid="{D5CDD505-2E9C-101B-9397-08002B2CF9AE}" pid="35" name="MSIP_Label_7f850223-87a8-40c3-9eb2-432606efca2a_SiteId">
    <vt:lpwstr>fcb2b37b-5da0-466b-9b83-0014b67a7c78</vt:lpwstr>
  </property>
  <property fmtid="{D5CDD505-2E9C-101B-9397-08002B2CF9AE}" pid="36" name="MSIP_Label_7f850223-87a8-40c3-9eb2-432606efca2a_Owner">
    <vt:lpwstr>ana.bico@bayer.com</vt:lpwstr>
  </property>
  <property fmtid="{D5CDD505-2E9C-101B-9397-08002B2CF9AE}" pid="37" name="MSIP_Label_7f850223-87a8-40c3-9eb2-432606efca2a_SetDate">
    <vt:lpwstr>2019-12-10T15:53:37.7067923Z</vt:lpwstr>
  </property>
  <property fmtid="{D5CDD505-2E9C-101B-9397-08002B2CF9AE}" pid="38" name="MSIP_Label_7f850223-87a8-40c3-9eb2-432606efca2a_Name">
    <vt:lpwstr>NO CLASSIFICATION</vt:lpwstr>
  </property>
  <property fmtid="{D5CDD505-2E9C-101B-9397-08002B2CF9AE}" pid="39" name="MSIP_Label_7f850223-87a8-40c3-9eb2-432606efca2a_Application">
    <vt:lpwstr>Microsoft Azure Information Protection</vt:lpwstr>
  </property>
  <property fmtid="{D5CDD505-2E9C-101B-9397-08002B2CF9AE}" pid="40" name="MSIP_Label_7f850223-87a8-40c3-9eb2-432606efca2a_Extended_MSFT_Method">
    <vt:lpwstr>Automatic</vt:lpwstr>
  </property>
  <property fmtid="{D5CDD505-2E9C-101B-9397-08002B2CF9AE}" pid="41" name="MSIP_Label_c8bc0f50-5eee-4eaf-9e55-a16058bd6393_Enabled">
    <vt:lpwstr>true</vt:lpwstr>
  </property>
  <property fmtid="{D5CDD505-2E9C-101B-9397-08002B2CF9AE}" pid="42" name="MSIP_Label_c8bc0f50-5eee-4eaf-9e55-a16058bd6393_SetDate">
    <vt:lpwstr>2023-01-25T11:56:16Z</vt:lpwstr>
  </property>
  <property fmtid="{D5CDD505-2E9C-101B-9397-08002B2CF9AE}" pid="43" name="MSIP_Label_c8bc0f50-5eee-4eaf-9e55-a16058bd6393_Method">
    <vt:lpwstr>Privileged</vt:lpwstr>
  </property>
  <property fmtid="{D5CDD505-2E9C-101B-9397-08002B2CF9AE}" pid="44" name="MSIP_Label_c8bc0f50-5eee-4eaf-9e55-a16058bd6393_Name">
    <vt:lpwstr>Business data</vt:lpwstr>
  </property>
  <property fmtid="{D5CDD505-2E9C-101B-9397-08002B2CF9AE}" pid="45" name="MSIP_Label_c8bc0f50-5eee-4eaf-9e55-a16058bd6393_SiteId">
    <vt:lpwstr>565796f8-44be-4e6f-86bd-5f094ff1fe93</vt:lpwstr>
  </property>
  <property fmtid="{D5CDD505-2E9C-101B-9397-08002B2CF9AE}" pid="46" name="MSIP_Label_c8bc0f50-5eee-4eaf-9e55-a16058bd6393_ActionId">
    <vt:lpwstr>8a6e2355-a38e-44e2-933d-34f7abc71947</vt:lpwstr>
  </property>
  <property fmtid="{D5CDD505-2E9C-101B-9397-08002B2CF9AE}" pid="47" name="MSIP_Label_c8bc0f50-5eee-4eaf-9e55-a16058bd6393_ContentBits">
    <vt:lpwstr>0</vt:lpwstr>
  </property>
  <property fmtid="{D5CDD505-2E9C-101B-9397-08002B2CF9AE}" pid="48" name="ContentTypeId">
    <vt:lpwstr>0x0101000DA6AD19014FF648A49316945EE786F90200176DED4FF78CD74995F64A0F46B59E48</vt:lpwstr>
  </property>
  <property fmtid="{D5CDD505-2E9C-101B-9397-08002B2CF9AE}" pid="49" name="_dlc_DocIdItemGuid">
    <vt:lpwstr>92e677a3-546a-4a7f-a292-fdfe910a1bf0</vt:lpwstr>
  </property>
</Properties>
</file>