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9063"/>
      </w:tblGrid>
      <w:tr w:rsidR="002419EA" w14:paraId="1AA1F264" w14:textId="77777777" w:rsidTr="002419EA">
        <w:tc>
          <w:tcPr>
            <w:tcW w:w="9063" w:type="dxa"/>
          </w:tcPr>
          <w:p w14:paraId="34492BBB" w14:textId="77777777" w:rsidR="002419EA" w:rsidRPr="00220238" w:rsidRDefault="002419EA" w:rsidP="002419EA">
            <w:pPr>
              <w:widowControl w:val="0"/>
              <w:tabs>
                <w:tab w:val="clear" w:pos="567"/>
              </w:tabs>
            </w:pPr>
            <w:r w:rsidRPr="00220238">
              <w:t xml:space="preserve">Este documento é a informação do medicamento aprovada para </w:t>
            </w:r>
            <w:proofErr w:type="spellStart"/>
            <w:r>
              <w:rPr>
                <w:rFonts w:eastAsia="맑은 고딕" w:hint="eastAsia"/>
                <w:lang w:val="en-GB" w:eastAsia="ko-KR"/>
              </w:rPr>
              <w:t>Stoboclo</w:t>
            </w:r>
            <w:proofErr w:type="spellEnd"/>
            <w:r w:rsidRPr="00220238">
              <w:t>, tendo sido destacadas as alterações desde o procedimento anterior que afetam a informação do medicamento (</w:t>
            </w:r>
            <w:r w:rsidRPr="006A20FF">
              <w:rPr>
                <w:lang w:val="en-GB"/>
              </w:rPr>
              <w:t>EMA/N/0000266444</w:t>
            </w:r>
            <w:r w:rsidRPr="00220238">
              <w:t>).</w:t>
            </w:r>
          </w:p>
          <w:p w14:paraId="761F7999" w14:textId="77777777" w:rsidR="002419EA" w:rsidRPr="00220238" w:rsidRDefault="002419EA" w:rsidP="002419EA">
            <w:pPr>
              <w:widowControl w:val="0"/>
              <w:tabs>
                <w:tab w:val="clear" w:pos="567"/>
              </w:tabs>
            </w:pPr>
          </w:p>
          <w:p w14:paraId="2A5BB0FF" w14:textId="3088EC87" w:rsidR="002419EA" w:rsidRDefault="002419EA" w:rsidP="002419EA">
            <w:r w:rsidRPr="00220238">
              <w:t xml:space="preserve">Para mais informações, consultar o sítio da internet da Agência Europeia de Medicamentos: </w:t>
            </w:r>
            <w:r>
              <w:fldChar w:fldCharType="begin"/>
            </w:r>
            <w:r>
              <w:instrText>HYPERLINK "https://www.ema.europa.eu/en/medicines/human/EPAR/stoboclo"</w:instrText>
            </w:r>
            <w:r>
              <w:fldChar w:fldCharType="separate"/>
            </w:r>
            <w:r w:rsidRPr="001C7A7E">
              <w:rPr>
                <w:color w:val="0000FF"/>
                <w:u w:val="single"/>
              </w:rPr>
              <w:t>https://www.ema.europa.eu/en/medicines/human/EPAR/</w:t>
            </w:r>
            <w:r w:rsidRPr="001C7A7E">
              <w:rPr>
                <w:rFonts w:eastAsia="맑은 고딕" w:hint="eastAsia"/>
                <w:color w:val="0000FF"/>
                <w:u w:val="single"/>
                <w:lang w:eastAsia="ko-KR"/>
              </w:rPr>
              <w:t>stoboclo</w:t>
            </w:r>
            <w:r>
              <w:fldChar w:fldCharType="end"/>
            </w:r>
          </w:p>
        </w:tc>
      </w:tr>
    </w:tbl>
    <w:p w14:paraId="6061A441" w14:textId="77777777" w:rsidR="008011D6" w:rsidRPr="00B5050F" w:rsidRDefault="008011D6" w:rsidP="008B4ED7">
      <w:pPr>
        <w:jc w:val="center"/>
      </w:pPr>
    </w:p>
    <w:p w14:paraId="1CE7417C" w14:textId="77777777" w:rsidR="008011D6" w:rsidRPr="00B5050F" w:rsidRDefault="008011D6" w:rsidP="008B4ED7">
      <w:pPr>
        <w:jc w:val="center"/>
      </w:pPr>
    </w:p>
    <w:p w14:paraId="6EC7ECCA" w14:textId="77777777" w:rsidR="008011D6" w:rsidRPr="00B5050F" w:rsidRDefault="008011D6" w:rsidP="008B4ED7">
      <w:pPr>
        <w:jc w:val="center"/>
      </w:pPr>
    </w:p>
    <w:p w14:paraId="06D3EAD0" w14:textId="77777777" w:rsidR="008011D6" w:rsidRPr="00B5050F" w:rsidRDefault="008011D6" w:rsidP="008B4ED7">
      <w:pPr>
        <w:jc w:val="center"/>
      </w:pPr>
    </w:p>
    <w:p w14:paraId="0AE3D08F" w14:textId="77777777" w:rsidR="008011D6" w:rsidRPr="00B5050F" w:rsidRDefault="008011D6" w:rsidP="008B4ED7">
      <w:pPr>
        <w:jc w:val="center"/>
      </w:pPr>
    </w:p>
    <w:p w14:paraId="60C4AAC1" w14:textId="77777777" w:rsidR="008011D6" w:rsidRPr="00B5050F" w:rsidRDefault="008011D6" w:rsidP="008B4ED7">
      <w:pPr>
        <w:jc w:val="center"/>
      </w:pPr>
    </w:p>
    <w:p w14:paraId="73D79FC7" w14:textId="77777777" w:rsidR="008011D6" w:rsidRPr="00B5050F" w:rsidRDefault="008011D6" w:rsidP="008B4ED7">
      <w:pPr>
        <w:jc w:val="center"/>
      </w:pPr>
    </w:p>
    <w:p w14:paraId="32198430" w14:textId="77777777" w:rsidR="008011D6" w:rsidRPr="00B5050F" w:rsidRDefault="008011D6" w:rsidP="008B4ED7">
      <w:pPr>
        <w:jc w:val="center"/>
      </w:pPr>
    </w:p>
    <w:p w14:paraId="17F0F8B0" w14:textId="77777777" w:rsidR="008011D6" w:rsidRPr="00B5050F" w:rsidRDefault="008011D6" w:rsidP="008B4ED7">
      <w:pPr>
        <w:jc w:val="center"/>
        <w:rPr>
          <w:bCs/>
        </w:rPr>
      </w:pPr>
    </w:p>
    <w:p w14:paraId="128123D9" w14:textId="77777777" w:rsidR="008011D6" w:rsidRPr="00B5050F" w:rsidRDefault="008011D6" w:rsidP="008B4ED7">
      <w:pPr>
        <w:jc w:val="center"/>
        <w:rPr>
          <w:bCs/>
        </w:rPr>
      </w:pPr>
    </w:p>
    <w:p w14:paraId="7F49003D" w14:textId="77777777" w:rsidR="008011D6" w:rsidRPr="00B5050F" w:rsidRDefault="008011D6" w:rsidP="008B4ED7">
      <w:pPr>
        <w:jc w:val="center"/>
        <w:rPr>
          <w:bCs/>
        </w:rPr>
      </w:pPr>
    </w:p>
    <w:p w14:paraId="2E9B1E25" w14:textId="77777777" w:rsidR="008011D6" w:rsidRPr="00B5050F" w:rsidRDefault="008011D6" w:rsidP="008B4ED7">
      <w:pPr>
        <w:jc w:val="center"/>
        <w:rPr>
          <w:bCs/>
        </w:rPr>
      </w:pPr>
    </w:p>
    <w:p w14:paraId="0FE04032" w14:textId="77777777" w:rsidR="008011D6" w:rsidRPr="00B5050F" w:rsidRDefault="008011D6" w:rsidP="008B4ED7">
      <w:pPr>
        <w:jc w:val="center"/>
        <w:rPr>
          <w:bCs/>
        </w:rPr>
      </w:pPr>
    </w:p>
    <w:p w14:paraId="290B6DF8" w14:textId="77777777" w:rsidR="008011D6" w:rsidRPr="00B5050F" w:rsidRDefault="008011D6" w:rsidP="008B4ED7">
      <w:pPr>
        <w:jc w:val="center"/>
        <w:rPr>
          <w:bCs/>
        </w:rPr>
      </w:pPr>
    </w:p>
    <w:p w14:paraId="36869896" w14:textId="77777777" w:rsidR="008011D6" w:rsidRPr="00B5050F" w:rsidRDefault="008011D6" w:rsidP="008B4ED7">
      <w:pPr>
        <w:jc w:val="center"/>
        <w:rPr>
          <w:bCs/>
        </w:rPr>
      </w:pPr>
    </w:p>
    <w:p w14:paraId="649895FF" w14:textId="77777777" w:rsidR="008011D6" w:rsidRPr="00B5050F" w:rsidRDefault="008011D6" w:rsidP="008B4ED7">
      <w:pPr>
        <w:jc w:val="center"/>
        <w:rPr>
          <w:bCs/>
        </w:rPr>
      </w:pPr>
    </w:p>
    <w:p w14:paraId="4CBF39DE" w14:textId="77777777" w:rsidR="008011D6" w:rsidRPr="00B5050F" w:rsidRDefault="008011D6" w:rsidP="008B4ED7">
      <w:pPr>
        <w:jc w:val="center"/>
        <w:rPr>
          <w:bCs/>
        </w:rPr>
      </w:pPr>
    </w:p>
    <w:p w14:paraId="5F1BD882" w14:textId="77777777" w:rsidR="008011D6" w:rsidRPr="00B5050F" w:rsidRDefault="008011D6" w:rsidP="008B4ED7">
      <w:pPr>
        <w:jc w:val="center"/>
        <w:rPr>
          <w:bCs/>
        </w:rPr>
      </w:pPr>
    </w:p>
    <w:p w14:paraId="4A4DCB6B" w14:textId="77777777" w:rsidR="008011D6" w:rsidRPr="00B5050F" w:rsidRDefault="008011D6" w:rsidP="008B4ED7">
      <w:pPr>
        <w:jc w:val="center"/>
        <w:rPr>
          <w:bCs/>
        </w:rPr>
      </w:pPr>
    </w:p>
    <w:p w14:paraId="258199B2" w14:textId="77777777" w:rsidR="008011D6" w:rsidRPr="00B5050F" w:rsidRDefault="008011D6" w:rsidP="008B4ED7">
      <w:pPr>
        <w:jc w:val="center"/>
        <w:rPr>
          <w:bCs/>
        </w:rPr>
      </w:pPr>
    </w:p>
    <w:p w14:paraId="77F202A0" w14:textId="77777777" w:rsidR="008011D6" w:rsidRPr="00B5050F" w:rsidRDefault="008011D6" w:rsidP="008B4ED7">
      <w:pPr>
        <w:jc w:val="center"/>
        <w:rPr>
          <w:bCs/>
        </w:rPr>
      </w:pPr>
    </w:p>
    <w:p w14:paraId="1A5BA079" w14:textId="77777777" w:rsidR="008011D6" w:rsidRPr="00B5050F" w:rsidRDefault="008011D6" w:rsidP="008B4ED7">
      <w:pPr>
        <w:jc w:val="center"/>
        <w:rPr>
          <w:bCs/>
        </w:rPr>
      </w:pPr>
    </w:p>
    <w:p w14:paraId="48280E9C" w14:textId="77777777" w:rsidR="008011D6" w:rsidRPr="00B5050F" w:rsidRDefault="008011D6" w:rsidP="008B4ED7">
      <w:pPr>
        <w:jc w:val="center"/>
        <w:rPr>
          <w:bCs/>
        </w:rPr>
      </w:pPr>
    </w:p>
    <w:p w14:paraId="43C5498B" w14:textId="77777777" w:rsidR="008011D6" w:rsidRPr="00B5050F" w:rsidRDefault="008011D6" w:rsidP="008B4ED7">
      <w:pPr>
        <w:jc w:val="center"/>
        <w:rPr>
          <w:b/>
          <w:bCs/>
        </w:rPr>
      </w:pPr>
      <w:r w:rsidRPr="00B5050F">
        <w:rPr>
          <w:b/>
        </w:rPr>
        <w:t>ANEXO I</w:t>
      </w:r>
    </w:p>
    <w:p w14:paraId="02A32F4B" w14:textId="77777777" w:rsidR="008011D6" w:rsidRPr="00B5050F" w:rsidRDefault="008011D6" w:rsidP="008B4ED7">
      <w:pPr>
        <w:jc w:val="center"/>
        <w:rPr>
          <w:bCs/>
        </w:rPr>
      </w:pPr>
    </w:p>
    <w:p w14:paraId="495A02E6" w14:textId="77777777" w:rsidR="008011D6" w:rsidRPr="00B5050F" w:rsidRDefault="008011D6" w:rsidP="00BF5188">
      <w:pPr>
        <w:pStyle w:val="TitleA"/>
      </w:pPr>
      <w:r w:rsidRPr="00B5050F">
        <w:t>RESUMO DAS CARACTERÍSTICAS DO MEDICAMENTO</w:t>
      </w:r>
    </w:p>
    <w:p w14:paraId="1D2E034E" w14:textId="2A66DA09" w:rsidR="00C15D2E" w:rsidRPr="00B5050F" w:rsidRDefault="00677635" w:rsidP="00677635">
      <w:r w:rsidRPr="00B5050F">
        <w:br w:type="page"/>
      </w:r>
      <w:r w:rsidR="0077602B">
        <w:rPr>
          <w:noProof/>
          <w:lang w:eastAsia="pt-PT"/>
        </w:rPr>
        <w:lastRenderedPageBreak/>
        <w:drawing>
          <wp:inline distT="0" distB="0" distL="0" distR="0" wp14:anchorId="47885DE4" wp14:editId="1995FF10">
            <wp:extent cx="203200" cy="165100"/>
            <wp:effectExtent l="0" t="0" r="0" b="0"/>
            <wp:docPr id="1" name="Imagem 1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5D2E" w:rsidRPr="00B5050F">
        <w:t>Este medicamento está sujeito a monitorização adicional. Isto irá permitir a rápida identificação de nova informação de segurança. Pede-se aos profissionais de saúde que notifiquem quaisquer suspeitas de reações adversas. Para saber como notificar reações adversas, ver secção</w:t>
      </w:r>
      <w:r w:rsidR="00F20AC2">
        <w:t> </w:t>
      </w:r>
      <w:r w:rsidR="00C15D2E" w:rsidRPr="00B5050F">
        <w:t>4.8.</w:t>
      </w:r>
    </w:p>
    <w:p w14:paraId="09419856" w14:textId="77777777" w:rsidR="00C15D2E" w:rsidRPr="00B5050F" w:rsidRDefault="00C15D2E" w:rsidP="00677635"/>
    <w:p w14:paraId="347DDC48" w14:textId="77777777" w:rsidR="00C15D2E" w:rsidRPr="00B5050F" w:rsidRDefault="00C15D2E" w:rsidP="00677635"/>
    <w:p w14:paraId="5B78831B" w14:textId="77777777" w:rsidR="00992A6A" w:rsidRPr="00B5050F" w:rsidRDefault="00677635" w:rsidP="00677635">
      <w:r w:rsidRPr="00B5050F">
        <w:rPr>
          <w:b/>
        </w:rPr>
        <w:t>1.</w:t>
      </w:r>
      <w:r w:rsidRPr="00B5050F">
        <w:rPr>
          <w:b/>
        </w:rPr>
        <w:tab/>
        <w:t>NOME DO MEDICAMENTO</w:t>
      </w:r>
    </w:p>
    <w:p w14:paraId="394A918E" w14:textId="77777777" w:rsidR="00992A6A" w:rsidRPr="00B5050F" w:rsidRDefault="00992A6A" w:rsidP="008B4ED7">
      <w:pPr>
        <w:keepNext/>
      </w:pPr>
    </w:p>
    <w:p w14:paraId="7CBEB9E4" w14:textId="3D7DB14A" w:rsidR="00992A6A" w:rsidRPr="00B5050F" w:rsidRDefault="002058E9" w:rsidP="008B4ED7">
      <w:r w:rsidRPr="00B5050F">
        <w:t>Stoboclo</w:t>
      </w:r>
      <w:r w:rsidR="00992A6A" w:rsidRPr="00B5050F">
        <w:t xml:space="preserve"> 60 mg solução injetável em seringa pré</w:t>
      </w:r>
      <w:r w:rsidR="00992A6A" w:rsidRPr="00B5050F">
        <w:noBreakHyphen/>
        <w:t>cheia</w:t>
      </w:r>
    </w:p>
    <w:p w14:paraId="3BEE60B5" w14:textId="77777777" w:rsidR="00BE114A" w:rsidRPr="00B5050F" w:rsidRDefault="00BE114A" w:rsidP="008B4ED7"/>
    <w:p w14:paraId="4300C36A" w14:textId="77777777" w:rsidR="00992A6A" w:rsidRPr="00B5050F" w:rsidRDefault="00992A6A" w:rsidP="008B4ED7"/>
    <w:p w14:paraId="0F55942D" w14:textId="77777777" w:rsidR="00992A6A" w:rsidRPr="00B5050F" w:rsidRDefault="00992A6A" w:rsidP="008B4ED7">
      <w:pPr>
        <w:keepNext/>
        <w:ind w:left="567" w:hanging="567"/>
      </w:pPr>
      <w:r w:rsidRPr="00B5050F">
        <w:rPr>
          <w:b/>
        </w:rPr>
        <w:t>2.</w:t>
      </w:r>
      <w:r w:rsidRPr="00B5050F">
        <w:rPr>
          <w:b/>
        </w:rPr>
        <w:tab/>
        <w:t>COMPOSIÇÃO QUALITATIVA E QUANTITATIVA</w:t>
      </w:r>
    </w:p>
    <w:p w14:paraId="61222D94" w14:textId="77777777" w:rsidR="00992A6A" w:rsidRPr="00B5050F" w:rsidRDefault="00992A6A" w:rsidP="008B4ED7">
      <w:pPr>
        <w:keepNext/>
      </w:pPr>
    </w:p>
    <w:p w14:paraId="773B7F8C" w14:textId="77777777" w:rsidR="00992A6A" w:rsidRPr="00B5050F" w:rsidRDefault="00992A6A" w:rsidP="008B4ED7">
      <w:r w:rsidRPr="00B5050F">
        <w:t>Cada seringa pré</w:t>
      </w:r>
      <w:r w:rsidRPr="00B5050F">
        <w:noBreakHyphen/>
        <w:t>cheia contém 60 mg de denosumab em 1 ml de solução (60 mg/ml).</w:t>
      </w:r>
    </w:p>
    <w:p w14:paraId="40991692" w14:textId="77777777" w:rsidR="004103A2" w:rsidRPr="00B5050F" w:rsidRDefault="004103A2" w:rsidP="008B4ED7"/>
    <w:p w14:paraId="4C03AA7E" w14:textId="77777777" w:rsidR="00992A6A" w:rsidRPr="00B5050F" w:rsidRDefault="00992A6A" w:rsidP="008B4ED7">
      <w:r w:rsidRPr="00B5050F">
        <w:t>Denosumab é um anticorpo IgG2 monoclonal humano produzido numa linha celular de mamíferos (células de ovário de hamster Chinês) por tecnologia de ADN recombinante.</w:t>
      </w:r>
    </w:p>
    <w:p w14:paraId="43B07A3E" w14:textId="77777777" w:rsidR="00992A6A" w:rsidRPr="00B5050F" w:rsidRDefault="00992A6A" w:rsidP="008B4ED7"/>
    <w:p w14:paraId="644E6786" w14:textId="23A64445" w:rsidR="0081033D" w:rsidRPr="00B5050F" w:rsidRDefault="0081033D" w:rsidP="008B4ED7">
      <w:pPr>
        <w:keepNext/>
        <w:rPr>
          <w:u w:val="single"/>
        </w:rPr>
      </w:pPr>
      <w:r w:rsidRPr="00B5050F">
        <w:rPr>
          <w:u w:val="single"/>
        </w:rPr>
        <w:t>Excipiente</w:t>
      </w:r>
      <w:r w:rsidR="001C0983">
        <w:rPr>
          <w:u w:val="single"/>
        </w:rPr>
        <w:t>s</w:t>
      </w:r>
      <w:r w:rsidRPr="00B5050F">
        <w:rPr>
          <w:u w:val="single"/>
        </w:rPr>
        <w:t xml:space="preserve"> com efeito conhecido</w:t>
      </w:r>
    </w:p>
    <w:p w14:paraId="2EE67911" w14:textId="77777777" w:rsidR="00C57400" w:rsidRPr="00B5050F" w:rsidRDefault="00C57400" w:rsidP="008B4ED7">
      <w:pPr>
        <w:keepNext/>
      </w:pPr>
    </w:p>
    <w:p w14:paraId="5ABF3E8A" w14:textId="77777777" w:rsidR="008603DE" w:rsidRPr="00B5050F" w:rsidRDefault="0081033D" w:rsidP="008B4ED7">
      <w:r w:rsidRPr="00B5050F">
        <w:t xml:space="preserve">Este medicamento contém 47 mg de sorbitol </w:t>
      </w:r>
      <w:r w:rsidR="002058E9" w:rsidRPr="00B5050F">
        <w:t xml:space="preserve">(E420) e 0,1 mg de polissorbato 20 (E432) </w:t>
      </w:r>
      <w:r w:rsidRPr="00B5050F">
        <w:t>em cada ml de solução.</w:t>
      </w:r>
    </w:p>
    <w:p w14:paraId="75CF2B44" w14:textId="77777777" w:rsidR="00992A6A" w:rsidRPr="00B5050F" w:rsidRDefault="00992A6A" w:rsidP="008B4ED7"/>
    <w:p w14:paraId="27BBC890" w14:textId="77777777" w:rsidR="00992A6A" w:rsidRPr="00B5050F" w:rsidRDefault="00992A6A" w:rsidP="008B4ED7">
      <w:r w:rsidRPr="00B5050F">
        <w:t>Lista completa de excipientes, ver secção 6.1.</w:t>
      </w:r>
    </w:p>
    <w:p w14:paraId="6A0A15B3" w14:textId="77777777" w:rsidR="00992A6A" w:rsidRPr="00B5050F" w:rsidRDefault="00992A6A" w:rsidP="008B4ED7"/>
    <w:p w14:paraId="1FEF689E" w14:textId="77777777" w:rsidR="00992A6A" w:rsidRPr="00B5050F" w:rsidRDefault="00992A6A" w:rsidP="008B4ED7"/>
    <w:p w14:paraId="3E8D4127" w14:textId="77777777" w:rsidR="00992A6A" w:rsidRPr="00B5050F" w:rsidRDefault="00992A6A" w:rsidP="008B4ED7">
      <w:pPr>
        <w:keepNext/>
        <w:ind w:left="567" w:hanging="567"/>
        <w:rPr>
          <w:b/>
        </w:rPr>
      </w:pPr>
      <w:r w:rsidRPr="00B5050F">
        <w:rPr>
          <w:b/>
        </w:rPr>
        <w:t>3.</w:t>
      </w:r>
      <w:r w:rsidRPr="00B5050F">
        <w:rPr>
          <w:b/>
        </w:rPr>
        <w:tab/>
        <w:t>FORMA FARMACÊUTICA</w:t>
      </w:r>
    </w:p>
    <w:p w14:paraId="4C094125" w14:textId="77777777" w:rsidR="00992A6A" w:rsidRPr="00B5050F" w:rsidRDefault="00992A6A" w:rsidP="008B4ED7">
      <w:pPr>
        <w:keepNext/>
      </w:pPr>
    </w:p>
    <w:p w14:paraId="1A150954" w14:textId="77777777" w:rsidR="00992A6A" w:rsidRPr="00B5050F" w:rsidRDefault="00992A6A" w:rsidP="008B4ED7">
      <w:r w:rsidRPr="00B5050F">
        <w:t>Solução injetável (injetável).</w:t>
      </w:r>
    </w:p>
    <w:p w14:paraId="341389AC" w14:textId="77777777" w:rsidR="00662C55" w:rsidRPr="00B5050F" w:rsidRDefault="00662C55" w:rsidP="008B4ED7"/>
    <w:p w14:paraId="6C956120" w14:textId="79B9CC8A" w:rsidR="008603DE" w:rsidRPr="00B5050F" w:rsidRDefault="00992A6A" w:rsidP="008B4ED7">
      <w:r w:rsidRPr="00B5050F">
        <w:t>Solução límpida, incolor a amarel</w:t>
      </w:r>
      <w:r w:rsidR="009D5BBE">
        <w:t>o-</w:t>
      </w:r>
      <w:r w:rsidR="002058E9" w:rsidRPr="00B5050F">
        <w:t>pálida com pH de 5,2</w:t>
      </w:r>
      <w:r w:rsidRPr="00B5050F">
        <w:t>.</w:t>
      </w:r>
    </w:p>
    <w:p w14:paraId="39BBFA11" w14:textId="77777777" w:rsidR="00992A6A" w:rsidRPr="00B5050F" w:rsidRDefault="00992A6A" w:rsidP="008B4ED7"/>
    <w:p w14:paraId="7B753850" w14:textId="77777777" w:rsidR="004103A2" w:rsidRPr="00B5050F" w:rsidRDefault="004103A2" w:rsidP="008B4ED7"/>
    <w:p w14:paraId="5AFE429B" w14:textId="77777777" w:rsidR="00992A6A" w:rsidRPr="00B5050F" w:rsidRDefault="00531950" w:rsidP="008B4ED7">
      <w:pPr>
        <w:keepNext/>
        <w:ind w:left="567" w:hanging="567"/>
        <w:rPr>
          <w:b/>
        </w:rPr>
      </w:pPr>
      <w:r w:rsidRPr="00B5050F">
        <w:rPr>
          <w:b/>
        </w:rPr>
        <w:t>4.</w:t>
      </w:r>
      <w:r w:rsidRPr="00B5050F">
        <w:rPr>
          <w:b/>
        </w:rPr>
        <w:tab/>
        <w:t>INFORMAÇÕES CLÍNICAS</w:t>
      </w:r>
    </w:p>
    <w:p w14:paraId="674E23BA" w14:textId="77777777" w:rsidR="00992A6A" w:rsidRPr="00B5050F" w:rsidRDefault="00992A6A" w:rsidP="008B4ED7">
      <w:pPr>
        <w:keepNext/>
      </w:pPr>
    </w:p>
    <w:p w14:paraId="3BBD743B" w14:textId="77777777" w:rsidR="00992A6A" w:rsidRPr="00B5050F" w:rsidRDefault="0040061E" w:rsidP="008B4ED7">
      <w:pPr>
        <w:keepNext/>
        <w:tabs>
          <w:tab w:val="clear" w:pos="567"/>
        </w:tabs>
        <w:ind w:left="567" w:hanging="567"/>
        <w:outlineLvl w:val="0"/>
        <w:rPr>
          <w:b/>
        </w:rPr>
      </w:pPr>
      <w:r w:rsidRPr="00B5050F">
        <w:rPr>
          <w:b/>
        </w:rPr>
        <w:t>4.1</w:t>
      </w:r>
      <w:r w:rsidRPr="00B5050F">
        <w:rPr>
          <w:b/>
        </w:rPr>
        <w:tab/>
        <w:t>Indicações terapêuticas</w:t>
      </w:r>
    </w:p>
    <w:p w14:paraId="6E20D738" w14:textId="77777777" w:rsidR="00992A6A" w:rsidRPr="00B5050F" w:rsidRDefault="00992A6A" w:rsidP="008B4ED7">
      <w:pPr>
        <w:keepNext/>
      </w:pPr>
    </w:p>
    <w:p w14:paraId="7CED6CBC" w14:textId="67E8BEA5" w:rsidR="00992A6A" w:rsidRPr="00B5050F" w:rsidRDefault="00992A6A" w:rsidP="008B4ED7">
      <w:r w:rsidRPr="00B5050F">
        <w:t>Tratamento da osteoporose em mulheres na pós</w:t>
      </w:r>
      <w:r w:rsidRPr="00B5050F">
        <w:noBreakHyphen/>
        <w:t>menopausa e em homens com um risco aumentado de fraturas. Em mulheres na pós</w:t>
      </w:r>
      <w:r w:rsidRPr="00B5050F">
        <w:noBreakHyphen/>
        <w:t xml:space="preserve">menopausa </w:t>
      </w:r>
      <w:r w:rsidR="002C40B9" w:rsidRPr="00B5050F">
        <w:t>denosumab</w:t>
      </w:r>
      <w:r w:rsidRPr="00B5050F">
        <w:t xml:space="preserve"> reduz significativamente o risco de fraturas vertebrais, não vertebrais e da anca.</w:t>
      </w:r>
    </w:p>
    <w:p w14:paraId="3B716FFE" w14:textId="77777777" w:rsidR="00992A6A" w:rsidRPr="00B5050F" w:rsidRDefault="00992A6A" w:rsidP="008B4ED7"/>
    <w:p w14:paraId="09E23B51" w14:textId="66E6AB29" w:rsidR="00992A6A" w:rsidRPr="00B5050F" w:rsidRDefault="00992A6A" w:rsidP="008B4ED7">
      <w:r w:rsidRPr="00B5050F">
        <w:t xml:space="preserve">Tratamento da perda óssea associada à ablação hormonal em homens com cancro da próstata com um risco aumentado de fraturas (ver secção 5.1). Nos homens com cancro da próstata a receberem ablação hormonal, </w:t>
      </w:r>
      <w:r w:rsidR="002C40B9" w:rsidRPr="00B5050F">
        <w:t>denosumab</w:t>
      </w:r>
      <w:r w:rsidRPr="00B5050F">
        <w:t xml:space="preserve"> reduz significativamente o risco de fraturas vertebrais.</w:t>
      </w:r>
    </w:p>
    <w:p w14:paraId="470A5650" w14:textId="77777777" w:rsidR="0081033D" w:rsidRPr="00B5050F" w:rsidRDefault="0081033D" w:rsidP="008B4ED7"/>
    <w:p w14:paraId="729E0444" w14:textId="77777777" w:rsidR="0081033D" w:rsidRPr="00B5050F" w:rsidRDefault="0081033D" w:rsidP="008B4ED7">
      <w:r w:rsidRPr="00B5050F">
        <w:t>Tratamento da perda óssea associada a terapêutica adrenocorticosteroide sistémica a longo prazo em doentes adultos com um risco aumentado de fraturas (ver secção 5.1).</w:t>
      </w:r>
    </w:p>
    <w:p w14:paraId="3316904D" w14:textId="77777777" w:rsidR="00992A6A" w:rsidRPr="00B5050F" w:rsidRDefault="00992A6A" w:rsidP="008B4ED7"/>
    <w:p w14:paraId="03AAAD86" w14:textId="77777777" w:rsidR="00992A6A" w:rsidRPr="00B5050F" w:rsidRDefault="0040061E" w:rsidP="008B4ED7">
      <w:pPr>
        <w:keepNext/>
        <w:ind w:left="567" w:hanging="567"/>
        <w:rPr>
          <w:b/>
        </w:rPr>
      </w:pPr>
      <w:r w:rsidRPr="00B5050F">
        <w:rPr>
          <w:b/>
        </w:rPr>
        <w:t>4.2</w:t>
      </w:r>
      <w:r w:rsidRPr="00B5050F">
        <w:rPr>
          <w:b/>
        </w:rPr>
        <w:tab/>
        <w:t>Posologia e modo de administração</w:t>
      </w:r>
    </w:p>
    <w:p w14:paraId="45CF8F19" w14:textId="77777777" w:rsidR="00992A6A" w:rsidRPr="00B5050F" w:rsidRDefault="00992A6A" w:rsidP="008B4ED7">
      <w:pPr>
        <w:keepNext/>
      </w:pPr>
    </w:p>
    <w:p w14:paraId="46B18C5F" w14:textId="77777777" w:rsidR="004439BF" w:rsidRPr="00B5050F" w:rsidRDefault="00992A6A" w:rsidP="008B4ED7">
      <w:pPr>
        <w:keepNext/>
        <w:rPr>
          <w:u w:val="single"/>
        </w:rPr>
      </w:pPr>
      <w:r w:rsidRPr="00B5050F">
        <w:rPr>
          <w:u w:val="single"/>
        </w:rPr>
        <w:t>Posologia</w:t>
      </w:r>
    </w:p>
    <w:p w14:paraId="2462EDA2" w14:textId="77777777" w:rsidR="00992A6A" w:rsidRPr="00B5050F" w:rsidRDefault="00992A6A" w:rsidP="008B4ED7">
      <w:pPr>
        <w:keepNext/>
      </w:pPr>
    </w:p>
    <w:p w14:paraId="02432085" w14:textId="77777777" w:rsidR="00992A6A" w:rsidRPr="00B5050F" w:rsidRDefault="00992A6A" w:rsidP="008B4ED7">
      <w:r w:rsidRPr="00B5050F">
        <w:t>A dose recomendada é de 60 mg de denosumab administrados na forma de uma injeção subcutânea única, uma vez de 6 em 6 meses na coxa, no abdómen ou na parte superior do braço.</w:t>
      </w:r>
    </w:p>
    <w:p w14:paraId="6443386D" w14:textId="77777777" w:rsidR="00992A6A" w:rsidRPr="00B5050F" w:rsidRDefault="00992A6A" w:rsidP="008B4ED7"/>
    <w:p w14:paraId="01D88A97" w14:textId="77777777" w:rsidR="00992A6A" w:rsidRPr="00B5050F" w:rsidRDefault="00992A6A" w:rsidP="008B4ED7">
      <w:r w:rsidRPr="00B5050F">
        <w:t>Os doentes devem receber adequadamente suplementos de cálcio e de vitamina D (ver secção 4.4).</w:t>
      </w:r>
    </w:p>
    <w:p w14:paraId="6B4976EE" w14:textId="77777777" w:rsidR="005D370F" w:rsidRPr="00B5050F" w:rsidRDefault="005D370F" w:rsidP="008B4ED7"/>
    <w:p w14:paraId="7C646B84" w14:textId="3A414153" w:rsidR="005D370F" w:rsidRPr="00B5050F" w:rsidRDefault="005D370F" w:rsidP="008B4ED7">
      <w:r w:rsidRPr="00B5050F">
        <w:t xml:space="preserve">Devem ser entregues aos doentes tratados com </w:t>
      </w:r>
      <w:r w:rsidR="002C40B9" w:rsidRPr="00B5050F">
        <w:t>denosumab</w:t>
      </w:r>
      <w:r w:rsidRPr="00B5050F">
        <w:t xml:space="preserve"> o folheto informativo e o cartão lembrete.</w:t>
      </w:r>
    </w:p>
    <w:p w14:paraId="337D9CD1" w14:textId="77777777" w:rsidR="0025669A" w:rsidRPr="00B5050F" w:rsidRDefault="0025669A" w:rsidP="008B4ED7"/>
    <w:p w14:paraId="74F5CD1F" w14:textId="7473E989" w:rsidR="00CB6286" w:rsidRPr="00B5050F" w:rsidRDefault="00CB6286" w:rsidP="008B4ED7">
      <w:r w:rsidRPr="00B5050F">
        <w:t>Não foi ainda estabelecida uma duração total ótima da terapêutica anti</w:t>
      </w:r>
      <w:r w:rsidR="001667C3">
        <w:t>r</w:t>
      </w:r>
      <w:r w:rsidRPr="00B5050F">
        <w:t>reabsortiva para o tratamento da osteoporose (incluindo denosumab e bifosfonatos). A necessidade de tratamento continuado deve ser reavaliada periodicamente, de forma individualizada para cada doente, com base nos benefícios e potenciais riscos do denosumab, particularmente após 5 ou mais anos de utilização (ver secção 4.4).</w:t>
      </w:r>
    </w:p>
    <w:p w14:paraId="14CB1E3E" w14:textId="77777777" w:rsidR="00992A6A" w:rsidRPr="00B5050F" w:rsidRDefault="00992A6A" w:rsidP="008B4ED7"/>
    <w:p w14:paraId="4F53ED4A" w14:textId="77777777" w:rsidR="00C57400" w:rsidRPr="00B5050F" w:rsidRDefault="00C57400" w:rsidP="008B4ED7">
      <w:pPr>
        <w:keepNext/>
        <w:tabs>
          <w:tab w:val="clear" w:pos="567"/>
        </w:tabs>
        <w:rPr>
          <w:i/>
          <w:iCs/>
        </w:rPr>
      </w:pPr>
      <w:r w:rsidRPr="00B5050F">
        <w:rPr>
          <w:i/>
        </w:rPr>
        <w:t>Idosos (idade ≥ 65)</w:t>
      </w:r>
    </w:p>
    <w:p w14:paraId="61C315A2" w14:textId="77777777" w:rsidR="00C57400" w:rsidRPr="00B5050F" w:rsidRDefault="00C57400" w:rsidP="008B4ED7">
      <w:r w:rsidRPr="00B5050F">
        <w:t>Não é necessário qualquer ajuste da dose nos doentes idosos.</w:t>
      </w:r>
    </w:p>
    <w:p w14:paraId="1421DB52" w14:textId="77777777" w:rsidR="00C57400" w:rsidRPr="00B5050F" w:rsidRDefault="00C57400" w:rsidP="008B4ED7"/>
    <w:p w14:paraId="71E788BE" w14:textId="77777777" w:rsidR="00992A6A" w:rsidRPr="00B5050F" w:rsidRDefault="004439BF" w:rsidP="008B4ED7">
      <w:pPr>
        <w:keepNext/>
        <w:tabs>
          <w:tab w:val="clear" w:pos="567"/>
        </w:tabs>
        <w:rPr>
          <w:i/>
          <w:iCs/>
        </w:rPr>
      </w:pPr>
      <w:r w:rsidRPr="00B5050F">
        <w:rPr>
          <w:i/>
        </w:rPr>
        <w:t>Compromisso renal</w:t>
      </w:r>
    </w:p>
    <w:p w14:paraId="5A75C474" w14:textId="77777777" w:rsidR="00992A6A" w:rsidRPr="00B5050F" w:rsidRDefault="00E22884" w:rsidP="008B4ED7">
      <w:r w:rsidRPr="00B5050F">
        <w:t>Não é necessário fazer ajustes da dose em doentes com compromisso renal (ver secção 4.4 para recomendações relacionadas com a monitorização de cálcio).</w:t>
      </w:r>
    </w:p>
    <w:p w14:paraId="72FE717A" w14:textId="77777777" w:rsidR="00992A6A" w:rsidRPr="00B5050F" w:rsidRDefault="00992A6A" w:rsidP="008B4ED7"/>
    <w:p w14:paraId="26543F45" w14:textId="798A7C4C" w:rsidR="0081033D" w:rsidRPr="00B5050F" w:rsidRDefault="00831A3C" w:rsidP="00B67848">
      <w:r>
        <w:t>Não existem dados disponíveis sobre doentes com terapêutica adrenocorticosteroide sistémica a longo prazo e compromisso renal grave, taxa de filtração glomerular (TFG &lt; 30 ml/min)</w:t>
      </w:r>
      <w:r w:rsidR="0081033D" w:rsidRPr="00B5050F">
        <w:t>.</w:t>
      </w:r>
    </w:p>
    <w:p w14:paraId="090C0DEA" w14:textId="77777777" w:rsidR="0081033D" w:rsidRPr="00B5050F" w:rsidRDefault="0081033D" w:rsidP="008B4ED7"/>
    <w:p w14:paraId="2E7E874D" w14:textId="77777777" w:rsidR="00992A6A" w:rsidRPr="00B5050F" w:rsidRDefault="004439BF" w:rsidP="008B4ED7">
      <w:pPr>
        <w:keepNext/>
        <w:tabs>
          <w:tab w:val="clear" w:pos="567"/>
        </w:tabs>
        <w:rPr>
          <w:i/>
          <w:iCs/>
        </w:rPr>
      </w:pPr>
      <w:r w:rsidRPr="00B5050F">
        <w:rPr>
          <w:i/>
        </w:rPr>
        <w:t>Compromisso hepático</w:t>
      </w:r>
    </w:p>
    <w:p w14:paraId="47195EC7" w14:textId="77777777" w:rsidR="00992A6A" w:rsidRPr="00B5050F" w:rsidRDefault="00992A6A" w:rsidP="008B4ED7">
      <w:r w:rsidRPr="00B5050F">
        <w:t>A segurança e eficácia de denosumab não foram estudadas em doentes com compromisso hepático (ver secção 5.2).</w:t>
      </w:r>
    </w:p>
    <w:p w14:paraId="3355CEE9" w14:textId="77777777" w:rsidR="00992A6A" w:rsidRPr="00B5050F" w:rsidRDefault="00992A6A" w:rsidP="008B4ED7"/>
    <w:p w14:paraId="7DEF9995" w14:textId="77777777" w:rsidR="008603DE" w:rsidRPr="00B5050F" w:rsidRDefault="00992A6A" w:rsidP="008B4ED7">
      <w:pPr>
        <w:keepNext/>
        <w:tabs>
          <w:tab w:val="clear" w:pos="567"/>
        </w:tabs>
        <w:rPr>
          <w:i/>
          <w:iCs/>
        </w:rPr>
      </w:pPr>
      <w:r w:rsidRPr="00B5050F">
        <w:rPr>
          <w:i/>
        </w:rPr>
        <w:t>População pediátrica</w:t>
      </w:r>
    </w:p>
    <w:p w14:paraId="6BE3DA45" w14:textId="50CF79A0" w:rsidR="00BF0C34" w:rsidRPr="00B5050F" w:rsidRDefault="002C40B9" w:rsidP="006050AD">
      <w:r w:rsidRPr="00B5050F">
        <w:t>Stoboclo</w:t>
      </w:r>
      <w:r w:rsidR="00BF0C34" w:rsidRPr="00B5050F">
        <w:t xml:space="preserve"> não deve ser utilizado em crianças com &lt; 18 anos de idade devido a preocupações de segurança relacionadas com hipercalcemia grave, e potencial inibição do crescimento do osso e ausência de erupção dentária (ver secções 4.4 e 5.3). Os dados atualmente disponíveis para crianças de 2 a 17 anos de idade encontram</w:t>
      </w:r>
      <w:r w:rsidR="00BF0C34" w:rsidRPr="00B5050F">
        <w:noBreakHyphen/>
        <w:t>se descritos nas secções 5.1 e 5.2.</w:t>
      </w:r>
    </w:p>
    <w:p w14:paraId="1F396DB3" w14:textId="77777777" w:rsidR="00BF0C34" w:rsidRPr="00B5050F" w:rsidRDefault="00BF0C34" w:rsidP="00BF0C34"/>
    <w:p w14:paraId="79321D67" w14:textId="77777777" w:rsidR="004439BF" w:rsidRPr="00B5050F" w:rsidRDefault="00992A6A" w:rsidP="008B4ED7">
      <w:pPr>
        <w:keepNext/>
        <w:rPr>
          <w:u w:val="single"/>
        </w:rPr>
      </w:pPr>
      <w:r w:rsidRPr="00B5050F">
        <w:rPr>
          <w:u w:val="single"/>
        </w:rPr>
        <w:t>Modo de administração</w:t>
      </w:r>
    </w:p>
    <w:p w14:paraId="129EED29" w14:textId="77777777" w:rsidR="00992A6A" w:rsidRPr="00B5050F" w:rsidRDefault="00992A6A" w:rsidP="008B4ED7">
      <w:pPr>
        <w:keepNext/>
      </w:pPr>
    </w:p>
    <w:p w14:paraId="75FCF15E" w14:textId="77777777" w:rsidR="00C36B40" w:rsidRPr="00B5050F" w:rsidRDefault="00C36B40" w:rsidP="008B4ED7">
      <w:r w:rsidRPr="00B5050F">
        <w:t>Via subcutânea.</w:t>
      </w:r>
    </w:p>
    <w:p w14:paraId="03C49B30" w14:textId="77777777" w:rsidR="00FE1158" w:rsidRPr="00B5050F" w:rsidRDefault="00FE1158" w:rsidP="008B4ED7"/>
    <w:p w14:paraId="2882339E" w14:textId="77777777" w:rsidR="00992A6A" w:rsidRPr="00B5050F" w:rsidRDefault="00992A6A" w:rsidP="008B4ED7">
      <w:r w:rsidRPr="00B5050F">
        <w:t>A administração deve ser efetuada por um indivíduo com formação adequada em técnicas de injeção.</w:t>
      </w:r>
    </w:p>
    <w:p w14:paraId="2602EA33" w14:textId="77777777" w:rsidR="00992A6A" w:rsidRPr="00B5050F" w:rsidRDefault="00992A6A" w:rsidP="008B4ED7"/>
    <w:p w14:paraId="58DF6A09" w14:textId="77777777" w:rsidR="0093094E" w:rsidRPr="00B5050F" w:rsidRDefault="00992A6A" w:rsidP="008B4ED7">
      <w:r w:rsidRPr="00B5050F">
        <w:t>As instruções de utilização, manuseamento e eliminação encontram</w:t>
      </w:r>
      <w:r w:rsidRPr="00B5050F">
        <w:noBreakHyphen/>
        <w:t>se na secção 6.6.</w:t>
      </w:r>
    </w:p>
    <w:p w14:paraId="0DF3CE5D" w14:textId="77777777" w:rsidR="00992A6A" w:rsidRPr="00B5050F" w:rsidRDefault="00992A6A" w:rsidP="008B4ED7"/>
    <w:p w14:paraId="5D407942" w14:textId="77777777" w:rsidR="00992A6A" w:rsidRPr="00B5050F" w:rsidRDefault="00C175EC" w:rsidP="008B4ED7">
      <w:pPr>
        <w:keepNext/>
        <w:ind w:left="567" w:hanging="567"/>
        <w:rPr>
          <w:b/>
        </w:rPr>
      </w:pPr>
      <w:r w:rsidRPr="00B5050F">
        <w:rPr>
          <w:b/>
        </w:rPr>
        <w:t>4.3</w:t>
      </w:r>
      <w:r w:rsidRPr="00B5050F">
        <w:rPr>
          <w:b/>
        </w:rPr>
        <w:tab/>
        <w:t>Contraindicações</w:t>
      </w:r>
    </w:p>
    <w:p w14:paraId="0D78D104" w14:textId="77777777" w:rsidR="004439BF" w:rsidRPr="00B5050F" w:rsidRDefault="004439BF" w:rsidP="008B4ED7">
      <w:pPr>
        <w:keepNext/>
      </w:pPr>
    </w:p>
    <w:p w14:paraId="6EF7397A" w14:textId="77777777" w:rsidR="00992A6A" w:rsidRPr="00B5050F" w:rsidRDefault="004439BF" w:rsidP="008B4ED7">
      <w:r w:rsidRPr="00B5050F">
        <w:t>Hipersensibilidade à substância ativa ou a qualquer um dos excipientes mencionados na secção 6.1.</w:t>
      </w:r>
    </w:p>
    <w:p w14:paraId="1D64F1E9" w14:textId="77777777" w:rsidR="004439BF" w:rsidRPr="00B5050F" w:rsidRDefault="004439BF" w:rsidP="008B4ED7"/>
    <w:p w14:paraId="44A14366" w14:textId="77777777" w:rsidR="00992A6A" w:rsidRPr="00B5050F" w:rsidRDefault="00992A6A" w:rsidP="008B4ED7">
      <w:r w:rsidRPr="00B5050F">
        <w:t>Hipocalcemia (ver secção 4.4).</w:t>
      </w:r>
    </w:p>
    <w:p w14:paraId="79A36C07" w14:textId="77777777" w:rsidR="00992A6A" w:rsidRPr="00B5050F" w:rsidRDefault="00992A6A" w:rsidP="008B4ED7"/>
    <w:p w14:paraId="0D744FCB" w14:textId="77777777" w:rsidR="00992A6A" w:rsidRPr="00B5050F" w:rsidRDefault="00992A6A" w:rsidP="008B4ED7">
      <w:pPr>
        <w:keepNext/>
        <w:ind w:left="567" w:hanging="567"/>
        <w:rPr>
          <w:b/>
        </w:rPr>
      </w:pPr>
      <w:r w:rsidRPr="00B5050F">
        <w:rPr>
          <w:b/>
        </w:rPr>
        <w:t>4.4</w:t>
      </w:r>
      <w:r w:rsidRPr="00B5050F">
        <w:rPr>
          <w:b/>
        </w:rPr>
        <w:tab/>
        <w:t>Advertências e precauções especiais de utilização</w:t>
      </w:r>
    </w:p>
    <w:p w14:paraId="4225CCFA" w14:textId="77777777" w:rsidR="00992A6A" w:rsidRPr="00B5050F" w:rsidRDefault="00992A6A" w:rsidP="008B4ED7">
      <w:pPr>
        <w:keepNext/>
      </w:pPr>
    </w:p>
    <w:p w14:paraId="3F356F6F" w14:textId="77777777" w:rsidR="00AC40D3" w:rsidRPr="00B5050F" w:rsidRDefault="00AC40D3" w:rsidP="00680B23">
      <w:pPr>
        <w:pStyle w:val="Style11ptunderlined"/>
      </w:pPr>
      <w:r w:rsidRPr="00B5050F">
        <w:t>Rastreabilidade</w:t>
      </w:r>
    </w:p>
    <w:p w14:paraId="0000BC49" w14:textId="77777777" w:rsidR="00AC40D3" w:rsidRPr="00B5050F" w:rsidRDefault="00AC40D3" w:rsidP="00E30E15">
      <w:pPr>
        <w:keepNext/>
      </w:pPr>
    </w:p>
    <w:p w14:paraId="3743F085" w14:textId="77777777" w:rsidR="00AC40D3" w:rsidRPr="00B5050F" w:rsidRDefault="00AC40D3" w:rsidP="00E30E15">
      <w:r w:rsidRPr="00B5050F">
        <w:t>De modo a melhorar a rastreabilidade dos medicamentos biológicos, o nome e o número de lote do medicamento administrado devem ser registados de forma clara.</w:t>
      </w:r>
    </w:p>
    <w:p w14:paraId="446EFA68" w14:textId="77777777" w:rsidR="00AC40D3" w:rsidRPr="00B5050F" w:rsidRDefault="00AC40D3" w:rsidP="00E30E15"/>
    <w:p w14:paraId="7089321C" w14:textId="77777777" w:rsidR="00992A6A" w:rsidRPr="00B5050F" w:rsidRDefault="00992A6A" w:rsidP="008B4ED7">
      <w:pPr>
        <w:keepNext/>
        <w:rPr>
          <w:u w:val="single"/>
        </w:rPr>
      </w:pPr>
      <w:r w:rsidRPr="00B5050F">
        <w:rPr>
          <w:u w:val="single"/>
        </w:rPr>
        <w:t>Suplementação com cálcio e vitamina D</w:t>
      </w:r>
    </w:p>
    <w:p w14:paraId="5A543D34" w14:textId="77777777" w:rsidR="00556EDC" w:rsidRPr="00B5050F" w:rsidRDefault="00556EDC" w:rsidP="008B4ED7">
      <w:pPr>
        <w:keepNext/>
      </w:pPr>
    </w:p>
    <w:p w14:paraId="6CBCD66B" w14:textId="77777777" w:rsidR="00992A6A" w:rsidRPr="00B5050F" w:rsidRDefault="00992A6A" w:rsidP="008B4ED7">
      <w:r w:rsidRPr="00B5050F">
        <w:t>Uma ingestão adequada de cálcio e de vitamina D é importante em todos os doentes.</w:t>
      </w:r>
    </w:p>
    <w:p w14:paraId="237AC19B" w14:textId="77777777" w:rsidR="00992A6A" w:rsidRPr="00B5050F" w:rsidRDefault="00992A6A" w:rsidP="008B4ED7"/>
    <w:p w14:paraId="37621F2A" w14:textId="77777777" w:rsidR="00992A6A" w:rsidRPr="00B5050F" w:rsidRDefault="00992A6A" w:rsidP="008B4ED7">
      <w:pPr>
        <w:keepNext/>
        <w:rPr>
          <w:u w:val="single"/>
        </w:rPr>
      </w:pPr>
      <w:r w:rsidRPr="00B5050F">
        <w:rPr>
          <w:u w:val="single"/>
        </w:rPr>
        <w:t>Precauções de utilização</w:t>
      </w:r>
    </w:p>
    <w:p w14:paraId="4A526F84" w14:textId="77777777" w:rsidR="00CD0319" w:rsidRPr="00B5050F" w:rsidRDefault="00CD0319" w:rsidP="008B4ED7">
      <w:pPr>
        <w:keepNext/>
      </w:pPr>
    </w:p>
    <w:p w14:paraId="578CEBF3" w14:textId="77777777" w:rsidR="001D7336" w:rsidRPr="00B5050F" w:rsidRDefault="001D7336" w:rsidP="008B4ED7">
      <w:pPr>
        <w:keepNext/>
        <w:tabs>
          <w:tab w:val="clear" w:pos="567"/>
        </w:tabs>
        <w:rPr>
          <w:i/>
          <w:iCs/>
        </w:rPr>
      </w:pPr>
      <w:r w:rsidRPr="00B5050F">
        <w:rPr>
          <w:i/>
        </w:rPr>
        <w:t>Hipocalcemia</w:t>
      </w:r>
    </w:p>
    <w:p w14:paraId="5444B0AD" w14:textId="77777777" w:rsidR="00E22884" w:rsidRPr="00B5050F" w:rsidRDefault="00941571" w:rsidP="008B4ED7">
      <w:r w:rsidRPr="00B5050F">
        <w:t>É importante identificar os doentes em risco de desenvolver hipocalcemia. A hipocalcemia deve ser corrigida através de uma administração adequada de cálcio e de vitamina D antes de se iniciar a terapêutica. Recomenda</w:t>
      </w:r>
      <w:r w:rsidRPr="00B5050F">
        <w:noBreakHyphen/>
        <w:t xml:space="preserve">se uma monitorização clínica dos valores de cálcio antes de cada dose e nos </w:t>
      </w:r>
      <w:r w:rsidRPr="00B5050F">
        <w:lastRenderedPageBreak/>
        <w:t>doentes com predisposição para a hipocalcemia nas duas semanas após a dose inicial. Se algum doente apresentar quaisquer sintomas suspeitos de hipocalcemia durante o tratamento (ver secção 4.8 sobre sintomas) os valores de cálcio devem ser medidos. Os doentes devem ser encorajados a notificar sintomas indicadores de hipocalcemia.</w:t>
      </w:r>
    </w:p>
    <w:p w14:paraId="6A3AD029" w14:textId="77777777" w:rsidR="00992A6A" w:rsidRPr="00B5050F" w:rsidRDefault="00992A6A" w:rsidP="008B4ED7"/>
    <w:p w14:paraId="6D50A3A3" w14:textId="77777777" w:rsidR="004030F8" w:rsidRPr="00B5050F" w:rsidRDefault="004030F8" w:rsidP="004030F8">
      <w:r w:rsidRPr="00B5050F">
        <w:t>No período pós</w:t>
      </w:r>
      <w:r w:rsidRPr="00B5050F">
        <w:noBreakHyphen/>
        <w:t>comercialização, têm sido notificados acontecimentos de hipocalcemia sintomática grave (que resultam em hospitalizações, acontecimentos potencialmente fatais e casos fatais). Apesar de a maioria dos casos ter ocorrido nas primeiras semanas após o início da terapêutica, estes acontecimentos podem ocorrer mais tarde.</w:t>
      </w:r>
    </w:p>
    <w:p w14:paraId="49A28FE3" w14:textId="77777777" w:rsidR="001C38B9" w:rsidRPr="00B5050F" w:rsidRDefault="001C38B9" w:rsidP="008B4ED7"/>
    <w:p w14:paraId="7C76D20D" w14:textId="77777777" w:rsidR="0081033D" w:rsidRPr="00B5050F" w:rsidRDefault="0081033D" w:rsidP="008B4ED7">
      <w:r w:rsidRPr="00B5050F">
        <w:t>O tratamento concomitante com glucocorticoides é um fator de risco adicional para hipocalcemia.</w:t>
      </w:r>
    </w:p>
    <w:p w14:paraId="75652DB6" w14:textId="77777777" w:rsidR="0081033D" w:rsidRPr="00B5050F" w:rsidRDefault="0081033D" w:rsidP="008B4ED7"/>
    <w:p w14:paraId="45979C06" w14:textId="77777777" w:rsidR="0081033D" w:rsidRPr="00B5050F" w:rsidRDefault="0081033D" w:rsidP="008B4ED7">
      <w:pPr>
        <w:keepNext/>
        <w:tabs>
          <w:tab w:val="clear" w:pos="567"/>
        </w:tabs>
        <w:rPr>
          <w:i/>
          <w:iCs/>
        </w:rPr>
      </w:pPr>
      <w:r w:rsidRPr="00B5050F">
        <w:rPr>
          <w:i/>
        </w:rPr>
        <w:t>Compromisso renal</w:t>
      </w:r>
    </w:p>
    <w:p w14:paraId="64496439" w14:textId="77777777" w:rsidR="0081033D" w:rsidRPr="00B5050F" w:rsidRDefault="0081033D" w:rsidP="008B4ED7">
      <w:r w:rsidRPr="00B5050F">
        <w:t>Os doentes com compromisso renal grave (depuração da creatinina &lt; 30 ml/min) ou em diálise apresentam um risco maior de desenvolver hipocalcemia. Os riscos de desenvolver hipocalcemia e ao mesmo tempo elevação da hormona paratiroideia aumentam com o aumento do nível de compromisso renal. Foram notificados casos graves e fatais. A administração adequada de cálcio, de vitamina D e a monitorização regular dos valores de cálcio é especialmente importante nestes doentes, ver acima.</w:t>
      </w:r>
    </w:p>
    <w:p w14:paraId="6E96DAF0" w14:textId="77777777" w:rsidR="0081033D" w:rsidRPr="00B5050F" w:rsidRDefault="0081033D" w:rsidP="008B4ED7"/>
    <w:p w14:paraId="2C5A092C" w14:textId="77777777" w:rsidR="008603DE" w:rsidRPr="00B5050F" w:rsidRDefault="001D7336" w:rsidP="008B4ED7">
      <w:pPr>
        <w:keepNext/>
        <w:tabs>
          <w:tab w:val="clear" w:pos="567"/>
        </w:tabs>
        <w:rPr>
          <w:i/>
          <w:iCs/>
        </w:rPr>
      </w:pPr>
      <w:r w:rsidRPr="00B5050F">
        <w:rPr>
          <w:i/>
        </w:rPr>
        <w:t>Infeções cutâneas</w:t>
      </w:r>
    </w:p>
    <w:p w14:paraId="151EAAB0" w14:textId="77777777" w:rsidR="00992A6A" w:rsidRPr="00B5050F" w:rsidRDefault="00992A6A" w:rsidP="008B4ED7">
      <w:r w:rsidRPr="00B5050F">
        <w:t>Os doentes a receber denosumab podem desenvolver infeções cutâneas (predominantemente celulite) levando à hospitalização (ver secção 4.8). Os doentes devem ser aconselhados a procurar cuidados médicos imediatos se desenvolverem sinais ou sintomas de celulite.</w:t>
      </w:r>
    </w:p>
    <w:p w14:paraId="5486E346" w14:textId="77777777" w:rsidR="00992A6A" w:rsidRPr="00B5050F" w:rsidRDefault="00992A6A" w:rsidP="008B4ED7"/>
    <w:p w14:paraId="55C9DD41" w14:textId="77777777" w:rsidR="00D5172C" w:rsidRPr="00B5050F" w:rsidRDefault="00D5172C" w:rsidP="008B4ED7">
      <w:pPr>
        <w:keepNext/>
        <w:tabs>
          <w:tab w:val="clear" w:pos="567"/>
        </w:tabs>
        <w:rPr>
          <w:i/>
          <w:iCs/>
        </w:rPr>
      </w:pPr>
      <w:r w:rsidRPr="00B5050F">
        <w:rPr>
          <w:i/>
        </w:rPr>
        <w:t>Osteonecrose da mandíbula (ONM)</w:t>
      </w:r>
    </w:p>
    <w:p w14:paraId="3C39E4E0" w14:textId="4279DF71" w:rsidR="008603DE" w:rsidRPr="00B5050F" w:rsidRDefault="00D5172C" w:rsidP="008B4ED7">
      <w:r w:rsidRPr="00B5050F">
        <w:t xml:space="preserve">A ONM tem sido notificada raramente em doentes a receber </w:t>
      </w:r>
      <w:r w:rsidR="002C40B9" w:rsidRPr="00B5050F">
        <w:t>denosumab</w:t>
      </w:r>
      <w:r w:rsidRPr="00B5050F">
        <w:t xml:space="preserve"> para a osteoporose (ver secção 4.8).</w:t>
      </w:r>
    </w:p>
    <w:p w14:paraId="140E2C2F" w14:textId="77777777" w:rsidR="00415DB2" w:rsidRPr="00B5050F" w:rsidRDefault="00415DB2" w:rsidP="008B4ED7"/>
    <w:p w14:paraId="7EC1D37F" w14:textId="77777777" w:rsidR="008603DE" w:rsidRPr="00B5050F" w:rsidRDefault="00226058" w:rsidP="008B4ED7">
      <w:r w:rsidRPr="00B5050F">
        <w:t>O início do tratamento/novo ciclo de tratamento deve ser adiado em doentes com feridas abertas e não cicatrizadas nos tecidos moles na boca. É recomendada uma avaliação dentária com dentisteria preventiva e uma avaliação individual do benefício</w:t>
      </w:r>
      <w:r w:rsidRPr="00B5050F">
        <w:noBreakHyphen/>
        <w:t>risco antes do tratamento com denosumab em doentes com fatores de risco concomitantes.</w:t>
      </w:r>
    </w:p>
    <w:p w14:paraId="6CDBB9D4" w14:textId="77777777" w:rsidR="00226058" w:rsidRPr="00B5050F" w:rsidRDefault="00226058" w:rsidP="008B4ED7"/>
    <w:p w14:paraId="4474DC3F" w14:textId="77777777" w:rsidR="008603DE" w:rsidRPr="00B5050F" w:rsidRDefault="00226058" w:rsidP="00D16E20">
      <w:pPr>
        <w:keepNext/>
      </w:pPr>
      <w:r w:rsidRPr="00B5050F">
        <w:t>Os seguintes fatores de risco devem ser considerados aquando da avaliação de um doente com risco de desenvolver ONM:</w:t>
      </w:r>
    </w:p>
    <w:p w14:paraId="52323BD2" w14:textId="77777777" w:rsidR="003E24B7" w:rsidRPr="00B5050F" w:rsidRDefault="003E24B7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B5050F">
        <w:t>potência do medicamento que inibe a reabsorção óssea (maior risco para compostos mais potentes), via de administração (maior risco para administração parentérica) e doses cumulativas de terapêutica de reabsorção óssea.</w:t>
      </w:r>
    </w:p>
    <w:p w14:paraId="6C2DC672" w14:textId="77777777" w:rsidR="008603DE" w:rsidRPr="00B5050F" w:rsidRDefault="00226058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B5050F">
        <w:t>cancro, comorbilidades (p. ex., anemia, coagulopatias, infeção), tabagismo.</w:t>
      </w:r>
    </w:p>
    <w:p w14:paraId="3322F77B" w14:textId="77777777" w:rsidR="00226058" w:rsidRPr="00B5050F" w:rsidRDefault="00226058" w:rsidP="00D16E20">
      <w:pPr>
        <w:keepNext/>
        <w:numPr>
          <w:ilvl w:val="0"/>
          <w:numId w:val="54"/>
        </w:numPr>
        <w:tabs>
          <w:tab w:val="clear" w:pos="567"/>
        </w:tabs>
        <w:ind w:left="567" w:hanging="567"/>
      </w:pPr>
      <w:r w:rsidRPr="00B5050F">
        <w:t>terapêuticas concomitantes: corticosteroides, quimioterapia, inibidores da angiogénese, radioterapia da cabeça e pescoço.</w:t>
      </w:r>
    </w:p>
    <w:p w14:paraId="5F7CEB18" w14:textId="77777777" w:rsidR="00226058" w:rsidRPr="00B5050F" w:rsidRDefault="00226058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B5050F">
        <w:t>higiene oral deficiente, doença periodontal, próteses dentárias mal ajustadas, doença dentária pré</w:t>
      </w:r>
      <w:r w:rsidRPr="00B5050F">
        <w:noBreakHyphen/>
        <w:t>existente, procedimentos orais invasivos (p. ex., extrações dentárias).</w:t>
      </w:r>
    </w:p>
    <w:p w14:paraId="5653E783" w14:textId="77777777" w:rsidR="00226058" w:rsidRPr="00B5050F" w:rsidRDefault="00226058" w:rsidP="008B4ED7"/>
    <w:p w14:paraId="6BE566BA" w14:textId="77777777" w:rsidR="00043BA2" w:rsidRPr="00B5050F" w:rsidRDefault="00D5172C" w:rsidP="008B4ED7">
      <w:r w:rsidRPr="00B5050F">
        <w:t xml:space="preserve">Todos os doentes devem ser encorajados a manter boas práticas de higiene oral, efetuar </w:t>
      </w:r>
      <w:r w:rsidRPr="00B5050F">
        <w:rPr>
          <w:i/>
        </w:rPr>
        <w:t>check</w:t>
      </w:r>
      <w:r w:rsidRPr="00B5050F">
        <w:rPr>
          <w:i/>
        </w:rPr>
        <w:noBreakHyphen/>
        <w:t>ups</w:t>
      </w:r>
      <w:r w:rsidRPr="00B5050F">
        <w:t xml:space="preserve"> dentários de rotina e notificar de imediato qualquer sintoma oral como mobilidade dentária, dor ou edema ou não cicatrização de feridas ou supuração durante o tratamento com denosumab. Durante o tratamento, procedimentos orais invasivos devem ser realizados apenas após consideração cuidada e ser evitados próximo da administração com denosumab.</w:t>
      </w:r>
    </w:p>
    <w:p w14:paraId="5AA2DB1D" w14:textId="77777777" w:rsidR="00D5172C" w:rsidRPr="00B5050F" w:rsidRDefault="00D5172C" w:rsidP="008B4ED7"/>
    <w:p w14:paraId="34BCD6F4" w14:textId="77777777" w:rsidR="00D5172C" w:rsidRPr="00B5050F" w:rsidRDefault="00D5172C" w:rsidP="008B4ED7">
      <w:r w:rsidRPr="00B5050F">
        <w:t>O plano de gestão de doentes que desenvolvem ONM deve ser estabelecido em colaboração próxima entre o médico e um dentista ou um cirurgião oral com experiência em ONM. Interrupções temporárias do tratamento devem ser consideradas até a situação estar resolvida e os fatores de risco estarem mitigados sempre que possível.</w:t>
      </w:r>
    </w:p>
    <w:p w14:paraId="4B8F2C4D" w14:textId="77777777" w:rsidR="00BD493B" w:rsidRPr="00B5050F" w:rsidRDefault="00BD493B" w:rsidP="008B4ED7"/>
    <w:p w14:paraId="4EA361C2" w14:textId="77777777" w:rsidR="00E54693" w:rsidRPr="00B5050F" w:rsidRDefault="00E54693" w:rsidP="008B4ED7">
      <w:pPr>
        <w:keepNext/>
        <w:tabs>
          <w:tab w:val="clear" w:pos="567"/>
        </w:tabs>
        <w:rPr>
          <w:i/>
          <w:iCs/>
        </w:rPr>
      </w:pPr>
      <w:r w:rsidRPr="00B5050F">
        <w:rPr>
          <w:i/>
        </w:rPr>
        <w:lastRenderedPageBreak/>
        <w:t>Osteonecrose do canal auditivo externo</w:t>
      </w:r>
    </w:p>
    <w:p w14:paraId="6CEA3CDF" w14:textId="77777777" w:rsidR="00E54693" w:rsidRPr="00B5050F" w:rsidRDefault="00E54693" w:rsidP="008B4ED7">
      <w:r w:rsidRPr="00B5050F">
        <w:t>A osteonecrose do canal auditivo externo tem sido notificada associada à utilização de denosumab. Potenciais fatores de risco para a osteonecrose do canal auditivo externo incluem a utilização de esteroides e quimioterapia e/ou fatores de risco locais como infeção ou trauma. A possibilidade de osteonecrose do canal auditivo externo deve ser considerada em doentes em tratamento com denosumab, que apresentem sintomas do ouvido, incluindo infeções crónicas do ouvido.</w:t>
      </w:r>
    </w:p>
    <w:p w14:paraId="712E1857" w14:textId="77777777" w:rsidR="00E54693" w:rsidRPr="00B5050F" w:rsidRDefault="00E54693" w:rsidP="008B4ED7"/>
    <w:p w14:paraId="1068C003" w14:textId="77777777" w:rsidR="00CD0319" w:rsidRPr="00B5050F" w:rsidRDefault="00CD0319" w:rsidP="008B4ED7">
      <w:pPr>
        <w:keepNext/>
        <w:tabs>
          <w:tab w:val="clear" w:pos="567"/>
        </w:tabs>
        <w:rPr>
          <w:i/>
          <w:iCs/>
        </w:rPr>
      </w:pPr>
      <w:r w:rsidRPr="00B5050F">
        <w:rPr>
          <w:i/>
        </w:rPr>
        <w:t>Fraturas atípicas do fémur</w:t>
      </w:r>
    </w:p>
    <w:p w14:paraId="1D9AF70D" w14:textId="587DD69A" w:rsidR="00CD0319" w:rsidRPr="00B5050F" w:rsidRDefault="00CD0319" w:rsidP="008B4ED7">
      <w:r w:rsidRPr="00B5050F">
        <w:t>Têm sido notificadas fraturas atípicas do fémur em doentes a receber denosumab (ver secção 4.8). As fraturas atípicas do fémur podem ocorrer com um traumatismo ligeiro ou sem traumatismo em regiões femorais subtrocantéricas e diafisárias. Estes acontecimentos são caracterizados por alterações radiográficas específicas. Fraturas atípicas do fémur também têm sido notificadas em doentes com certas comorbilidades (p. ex., deficiência em vitamina D, artrite reumatoide, hipofosfatasia) e com a utilização de certos medicamentos (p. ex., bifosfonatos, glucocorticoides, inibidores da bomba de protões). Estes acontecimentos também ocorreram sem terapêutica anti</w:t>
      </w:r>
      <w:r w:rsidR="00C070AF">
        <w:t>r</w:t>
      </w:r>
      <w:r w:rsidRPr="00B5050F">
        <w:t>reabsortiva. Fraturas semelhantes notificadas em associação com bifosfonatos são frequentemente bilaterais; por isso, o fémur contralateral deve ser examinado nos doentes tratados com denosumab que têm uma fratura estável da diáfise do fémur. A descontinuação do tratamento com denosumab em doentes com suspeita de terem uma fratura atípica do fémur deve ser considerada após avaliação do doente baseada numa avaliação individual do benefício</w:t>
      </w:r>
      <w:r w:rsidRPr="00B5050F">
        <w:noBreakHyphen/>
        <w:t>risco. Durante o tratamento com denosumab, os doentes devem ser aconselhados a notificar dores novas ou atípicas na coxa, anca ou virilha. Os doentes que apresentem estes sintomas devem ser avaliados para uma fratura incompleta do fémur.</w:t>
      </w:r>
    </w:p>
    <w:p w14:paraId="5D047DE5" w14:textId="77777777" w:rsidR="00992A6A" w:rsidRPr="00B5050F" w:rsidRDefault="00992A6A" w:rsidP="008B4ED7"/>
    <w:p w14:paraId="105EA1AC" w14:textId="6E9EC901" w:rsidR="008603DE" w:rsidRPr="00B5050F" w:rsidRDefault="00CB6286" w:rsidP="008B4ED7">
      <w:pPr>
        <w:keepNext/>
        <w:tabs>
          <w:tab w:val="clear" w:pos="567"/>
        </w:tabs>
        <w:rPr>
          <w:i/>
          <w:iCs/>
        </w:rPr>
      </w:pPr>
      <w:r w:rsidRPr="00B5050F">
        <w:rPr>
          <w:i/>
        </w:rPr>
        <w:t>Terapêutica anti</w:t>
      </w:r>
      <w:r w:rsidR="00C070AF">
        <w:rPr>
          <w:i/>
        </w:rPr>
        <w:t>r</w:t>
      </w:r>
      <w:r w:rsidRPr="00B5050F">
        <w:rPr>
          <w:i/>
        </w:rPr>
        <w:t>reabsortiva a longo prazo</w:t>
      </w:r>
    </w:p>
    <w:p w14:paraId="196CF10B" w14:textId="5C921D41" w:rsidR="00CB6286" w:rsidRPr="00B5050F" w:rsidRDefault="00CB6286" w:rsidP="008B4ED7">
      <w:r w:rsidRPr="00B5050F">
        <w:t>A terapêutica anti</w:t>
      </w:r>
      <w:r w:rsidR="00C070AF">
        <w:t>r</w:t>
      </w:r>
      <w:r w:rsidRPr="00B5050F">
        <w:t>reabsortiva a longo prazo (incluindo denosumab e bifosfonatos) pode contribuir para um risco aumentado de reações adversas tais como osteonecrose da mandíbula e fraturas atípicas do fémur, devido a uma supressão significativa da remodelação óssea (ver secção 4.2).</w:t>
      </w:r>
    </w:p>
    <w:p w14:paraId="0367F743" w14:textId="77777777" w:rsidR="00CB6286" w:rsidRPr="00B5050F" w:rsidRDefault="00CB6286" w:rsidP="008B4ED7"/>
    <w:p w14:paraId="468564A9" w14:textId="77777777" w:rsidR="008603DE" w:rsidRPr="00B5050F" w:rsidRDefault="005C47A5" w:rsidP="008B4ED7">
      <w:pPr>
        <w:keepNext/>
        <w:tabs>
          <w:tab w:val="clear" w:pos="567"/>
        </w:tabs>
        <w:rPr>
          <w:i/>
          <w:iCs/>
        </w:rPr>
      </w:pPr>
      <w:r w:rsidRPr="00B5050F">
        <w:rPr>
          <w:i/>
        </w:rPr>
        <w:t>Tratamento concomitante com outros medicamentos contendo denosumab</w:t>
      </w:r>
    </w:p>
    <w:p w14:paraId="06737E64" w14:textId="77777777" w:rsidR="00BF0C34" w:rsidRPr="00B5050F" w:rsidRDefault="00992A6A" w:rsidP="00BF0C34">
      <w:r w:rsidRPr="00B5050F">
        <w:t>Os doentes que estão a ser tratados com denosumab não devem ser tratados concomitantemente com outros medicamentos contendo denosumab (para a prevenção de acontecimentos ósseos em adultos com metástases ósseas de tumores sólidos).</w:t>
      </w:r>
    </w:p>
    <w:p w14:paraId="17C47163" w14:textId="77777777" w:rsidR="004F7580" w:rsidRPr="00B5050F" w:rsidRDefault="004F7580" w:rsidP="00BF0C34"/>
    <w:p w14:paraId="663E9923" w14:textId="77777777" w:rsidR="00BF0C34" w:rsidRPr="00B5050F" w:rsidRDefault="00BF0C34" w:rsidP="00D16E20">
      <w:pPr>
        <w:keepNext/>
        <w:rPr>
          <w:i/>
          <w:iCs/>
        </w:rPr>
      </w:pPr>
      <w:r w:rsidRPr="00B5050F">
        <w:rPr>
          <w:i/>
        </w:rPr>
        <w:t>Hipercalcemia em doentes pediátricos</w:t>
      </w:r>
    </w:p>
    <w:p w14:paraId="0A85BA12" w14:textId="6C79240C" w:rsidR="00BF0C34" w:rsidRPr="00B5050F" w:rsidRDefault="002C40B9" w:rsidP="00BF0C34">
      <w:r w:rsidRPr="00B5050F">
        <w:t>Denosumab</w:t>
      </w:r>
      <w:r w:rsidR="00BF0C34" w:rsidRPr="00B5050F">
        <w:t xml:space="preserve"> não deve ser utilizado em doentes pediátricos (idade &lt; 18). Têm sido notificados casos de hipercalcemia grave. Alguns casos em ensaios clínicos sofreram complicações por lesão renal aguda.</w:t>
      </w:r>
    </w:p>
    <w:p w14:paraId="473FFCA9" w14:textId="77777777" w:rsidR="00C36B40" w:rsidRPr="00B5050F" w:rsidRDefault="00C36B40" w:rsidP="008B4ED7"/>
    <w:p w14:paraId="7CCCBB1A" w14:textId="77777777" w:rsidR="00992A6A" w:rsidRPr="00B5050F" w:rsidRDefault="00992A6A" w:rsidP="008B4ED7">
      <w:pPr>
        <w:keepNext/>
        <w:tabs>
          <w:tab w:val="clear" w:pos="567"/>
        </w:tabs>
        <w:rPr>
          <w:i/>
          <w:iCs/>
        </w:rPr>
      </w:pPr>
      <w:r w:rsidRPr="00B5050F">
        <w:rPr>
          <w:i/>
        </w:rPr>
        <w:t>Advertências para excipientes</w:t>
      </w:r>
    </w:p>
    <w:p w14:paraId="5532E13C" w14:textId="77777777" w:rsidR="0081033D" w:rsidRPr="00B5050F" w:rsidRDefault="0081033D" w:rsidP="008B4ED7">
      <w:r w:rsidRPr="00B5050F">
        <w:t>Este medicamento contém 47 mg de sorbitol em cada ml de solução. Deve</w:t>
      </w:r>
      <w:r w:rsidRPr="00B5050F">
        <w:noBreakHyphen/>
        <w:t>se ter em consideração o efeito aditivo da administração concomitante de produtos contendo sorbitol (ou frutose) e a ingestão de sorbitol (ou frutose) na dieta.</w:t>
      </w:r>
    </w:p>
    <w:p w14:paraId="1BF7A054" w14:textId="77777777" w:rsidR="00992A6A" w:rsidRPr="00B5050F" w:rsidRDefault="00992A6A" w:rsidP="008B4ED7"/>
    <w:p w14:paraId="05CE6EB7" w14:textId="77777777" w:rsidR="00A6016E" w:rsidRPr="00B5050F" w:rsidRDefault="00992A6A" w:rsidP="008B4ED7">
      <w:r w:rsidRPr="00B5050F">
        <w:t>Este medicamento contém menos do que 1 mmol (23 mg) de sódio por 60 mg, ou seja, é praticamente “isento de sódio”.</w:t>
      </w:r>
    </w:p>
    <w:p w14:paraId="5B7A1ECC" w14:textId="77777777" w:rsidR="00992A6A" w:rsidRPr="00B5050F" w:rsidRDefault="00992A6A" w:rsidP="008B4ED7"/>
    <w:p w14:paraId="76FC5A6A" w14:textId="77777777" w:rsidR="002C40B9" w:rsidRPr="00B5050F" w:rsidRDefault="002C40B9" w:rsidP="008B4ED7">
      <w:r w:rsidRPr="00B5050F">
        <w:t>Este medicamento contém 0,1 mg de polissorbato 20 em cada seringa que é equivalente a 0,1 mg/ml. Os polissorbatos podem causar reações alérgicas. Informe o seu médico se tem alguma alergia.</w:t>
      </w:r>
    </w:p>
    <w:p w14:paraId="4A257A56" w14:textId="77777777" w:rsidR="002C40B9" w:rsidRPr="00B5050F" w:rsidRDefault="002C40B9" w:rsidP="008B4ED7"/>
    <w:p w14:paraId="1AD30964" w14:textId="77777777" w:rsidR="008011D6" w:rsidRPr="00B5050F" w:rsidRDefault="008011D6" w:rsidP="008B4ED7">
      <w:pPr>
        <w:keepNext/>
        <w:ind w:left="567" w:hanging="567"/>
        <w:rPr>
          <w:b/>
        </w:rPr>
      </w:pPr>
      <w:r w:rsidRPr="00B5050F">
        <w:rPr>
          <w:b/>
        </w:rPr>
        <w:t>4.5</w:t>
      </w:r>
      <w:r w:rsidRPr="00B5050F">
        <w:rPr>
          <w:b/>
        </w:rPr>
        <w:tab/>
        <w:t>Interações medicamentosas e outras formas de interação</w:t>
      </w:r>
    </w:p>
    <w:p w14:paraId="2D1BF422" w14:textId="77777777" w:rsidR="008011D6" w:rsidRPr="00B5050F" w:rsidRDefault="008011D6" w:rsidP="008B4ED7">
      <w:pPr>
        <w:keepNext/>
      </w:pPr>
    </w:p>
    <w:p w14:paraId="247175AC" w14:textId="77777777" w:rsidR="003B1662" w:rsidRPr="00B5050F" w:rsidRDefault="003B1662" w:rsidP="008B4ED7">
      <w:r w:rsidRPr="00B5050F">
        <w:t>Num estudo de interação, denosumab não afetou a farmacocinética do midazolam, o qual é metabolizado pelo citocromo P450 3A4 (CYP3A4). Isto indica que denosumab não deve alterar a farmacocinética dos medicamentos metabolizados pelo CYP3A4.</w:t>
      </w:r>
    </w:p>
    <w:p w14:paraId="2FBC1F9A" w14:textId="77777777" w:rsidR="008011D6" w:rsidRPr="00B5050F" w:rsidRDefault="008011D6" w:rsidP="008B4ED7"/>
    <w:p w14:paraId="5F1521CC" w14:textId="77777777" w:rsidR="008603DE" w:rsidRPr="00B5050F" w:rsidRDefault="008011D6" w:rsidP="008B4ED7">
      <w:r w:rsidRPr="00B5050F">
        <w:t>Não existem dados clínicos sobre a administração concomitante de denosumab e de terapêutica hormonal de substituição (estrogénios), contudo o potencial de uma interação farmacodinâmica é considerado baixo.</w:t>
      </w:r>
    </w:p>
    <w:p w14:paraId="48BE7A8E" w14:textId="77777777" w:rsidR="008011D6" w:rsidRPr="00B5050F" w:rsidRDefault="008011D6" w:rsidP="008B4ED7"/>
    <w:p w14:paraId="4E70858F" w14:textId="77777777" w:rsidR="008603DE" w:rsidRPr="00B5050F" w:rsidRDefault="008011D6" w:rsidP="008B4ED7">
      <w:r w:rsidRPr="00B5050F">
        <w:t>Com base em dados de um estudo de transição (alendronato para denosumab), a farmacocinética e a farmacodinâmica de denosumab não foram alteradas pela terapêutica anterior com alendronato, em mulheres na pós</w:t>
      </w:r>
      <w:r w:rsidRPr="00B5050F">
        <w:noBreakHyphen/>
        <w:t>menopausa com osteoporose.</w:t>
      </w:r>
    </w:p>
    <w:p w14:paraId="4DC08EF9" w14:textId="77777777" w:rsidR="008011D6" w:rsidRPr="00B5050F" w:rsidRDefault="008011D6" w:rsidP="008B4ED7"/>
    <w:p w14:paraId="6F39BFFE" w14:textId="77777777" w:rsidR="008011D6" w:rsidRPr="00B5050F" w:rsidRDefault="008011D6" w:rsidP="008B4ED7">
      <w:pPr>
        <w:keepNext/>
        <w:ind w:left="567" w:hanging="567"/>
        <w:rPr>
          <w:b/>
        </w:rPr>
      </w:pPr>
      <w:r w:rsidRPr="00B5050F">
        <w:rPr>
          <w:b/>
        </w:rPr>
        <w:t>4.6</w:t>
      </w:r>
      <w:r w:rsidRPr="00B5050F">
        <w:rPr>
          <w:b/>
        </w:rPr>
        <w:tab/>
        <w:t>Fertilidade, gravidez e aleitamento</w:t>
      </w:r>
    </w:p>
    <w:p w14:paraId="158775CD" w14:textId="77777777" w:rsidR="008011D6" w:rsidRPr="00B5050F" w:rsidRDefault="008011D6" w:rsidP="008B4ED7">
      <w:pPr>
        <w:keepNext/>
      </w:pPr>
    </w:p>
    <w:p w14:paraId="08BEFD23" w14:textId="77777777" w:rsidR="008603DE" w:rsidRPr="00B5050F" w:rsidRDefault="00053CE5" w:rsidP="008B4ED7">
      <w:pPr>
        <w:keepNext/>
        <w:rPr>
          <w:u w:val="single"/>
        </w:rPr>
      </w:pPr>
      <w:r w:rsidRPr="00B5050F">
        <w:rPr>
          <w:u w:val="single"/>
        </w:rPr>
        <w:t>Gravidez</w:t>
      </w:r>
    </w:p>
    <w:p w14:paraId="2201DC04" w14:textId="77777777" w:rsidR="001D13A5" w:rsidRPr="00B5050F" w:rsidRDefault="001D13A5" w:rsidP="008B4ED7">
      <w:pPr>
        <w:keepNext/>
      </w:pPr>
    </w:p>
    <w:p w14:paraId="3C62570D" w14:textId="77777777" w:rsidR="007039B1" w:rsidRPr="00B5050F" w:rsidRDefault="007039B1" w:rsidP="008B4ED7">
      <w:r w:rsidRPr="00B5050F">
        <w:t>A quantidade de dados sobre a utilização de denosumab em mulheres grávidas, é limitada ou inexistente. Os estudos em animais revelaram toxicidade reprodutiva (ver secção 5.3).</w:t>
      </w:r>
    </w:p>
    <w:p w14:paraId="23B26025" w14:textId="77777777" w:rsidR="00A517BF" w:rsidRPr="00B5050F" w:rsidRDefault="00A517BF" w:rsidP="008B4ED7"/>
    <w:p w14:paraId="0D1F3DCB" w14:textId="2E7E8EC4" w:rsidR="007039B1" w:rsidRPr="00B5050F" w:rsidRDefault="00B45F4C" w:rsidP="008B4ED7">
      <w:r w:rsidRPr="00B5050F">
        <w:t>Denosumab</w:t>
      </w:r>
      <w:r w:rsidR="007039B1" w:rsidRPr="00B5050F">
        <w:t xml:space="preserve"> não é recomendado durante a gravidez e em mulheres com potencial para engravidar que não utilizam métodos contracetivos. As mulheres devem ser aconselhadas a não engravidar durante e pelo menos 5 meses após tratamento com </w:t>
      </w:r>
      <w:r w:rsidRPr="00B5050F">
        <w:t>denosumab</w:t>
      </w:r>
      <w:r w:rsidR="007039B1" w:rsidRPr="00B5050F">
        <w:t xml:space="preserve">. Quaisquer efeitos de </w:t>
      </w:r>
      <w:r w:rsidRPr="00B5050F">
        <w:t>denosumab</w:t>
      </w:r>
      <w:r w:rsidR="007039B1" w:rsidRPr="00B5050F">
        <w:t xml:space="preserve"> são passíveis de serem maiores durante o segundo e terceiro trimestre de gravidez uma vez que os anticorpos monoclonais são transportados através da placenta de uma forma linear à medida que a gravidez progride, com a maior quantidade a ser transferida durante o terceiro trimestre.</w:t>
      </w:r>
    </w:p>
    <w:p w14:paraId="029239C4" w14:textId="77777777" w:rsidR="007039B1" w:rsidRPr="00B5050F" w:rsidRDefault="007039B1" w:rsidP="008B4ED7"/>
    <w:p w14:paraId="3EBEBD57" w14:textId="77777777" w:rsidR="00053CE5" w:rsidRPr="00B5050F" w:rsidRDefault="00053CE5" w:rsidP="008B4ED7">
      <w:pPr>
        <w:keepNext/>
        <w:rPr>
          <w:u w:val="single"/>
        </w:rPr>
      </w:pPr>
      <w:r w:rsidRPr="00B5050F">
        <w:rPr>
          <w:u w:val="single"/>
        </w:rPr>
        <w:t>Amamentação</w:t>
      </w:r>
    </w:p>
    <w:p w14:paraId="367281BC" w14:textId="77777777" w:rsidR="00071108" w:rsidRPr="00B5050F" w:rsidRDefault="00071108" w:rsidP="008B4ED7">
      <w:pPr>
        <w:keepNext/>
      </w:pPr>
    </w:p>
    <w:p w14:paraId="61E7CC95" w14:textId="1EBB79EE" w:rsidR="00053CE5" w:rsidRPr="00B5050F" w:rsidRDefault="00053CE5" w:rsidP="008B4ED7">
      <w:r w:rsidRPr="00B5050F">
        <w:t>Desconhece</w:t>
      </w:r>
      <w:r w:rsidRPr="00B5050F">
        <w:noBreakHyphen/>
        <w:t xml:space="preserve">se se denosumab é excretado no leite humano. Estudos com ratinhos geneticamente modificados nos quais o RANKL foi desativado através da remoção de genes (um “rato </w:t>
      </w:r>
      <w:r w:rsidRPr="00B5050F">
        <w:rPr>
          <w:i/>
        </w:rPr>
        <w:t>knockout</w:t>
      </w:r>
      <w:r w:rsidRPr="00B5050F">
        <w:t>”) sugerem que a ausência do RANKL (o alvo do denosumab, ver secção 5.1) durante a gravidez pode interferir com a maturação da glândula mamária conduzindo a uma alteração da amamentação no pós</w:t>
      </w:r>
      <w:r w:rsidRPr="00B5050F">
        <w:noBreakHyphen/>
        <w:t xml:space="preserve">parto (ver secção 5.3). Tem de ser tomada uma decisão sobre a descontinuação da amamentação ou a abstenção da terapêutica com </w:t>
      </w:r>
      <w:r w:rsidR="00B45F4C" w:rsidRPr="00B5050F">
        <w:t>denosumab</w:t>
      </w:r>
      <w:r w:rsidRPr="00B5050F">
        <w:t xml:space="preserve"> tendo em conta o benefício da amamentação para o/a recém-nascido/criança e o benefício da terapêutica com </w:t>
      </w:r>
      <w:r w:rsidR="00B45F4C" w:rsidRPr="00B5050F">
        <w:t>denosumab</w:t>
      </w:r>
      <w:r w:rsidRPr="00B5050F">
        <w:t xml:space="preserve"> para a mulher.</w:t>
      </w:r>
    </w:p>
    <w:p w14:paraId="14A04E51" w14:textId="77777777" w:rsidR="00AF18CA" w:rsidRPr="00B5050F" w:rsidRDefault="00AF18CA" w:rsidP="008B4ED7"/>
    <w:p w14:paraId="64E93943" w14:textId="77777777" w:rsidR="008603DE" w:rsidRPr="00B5050F" w:rsidRDefault="008011D6" w:rsidP="008B4ED7">
      <w:pPr>
        <w:keepNext/>
        <w:rPr>
          <w:u w:val="single"/>
        </w:rPr>
      </w:pPr>
      <w:r w:rsidRPr="00B5050F">
        <w:rPr>
          <w:u w:val="single"/>
        </w:rPr>
        <w:t>Fertilidade</w:t>
      </w:r>
    </w:p>
    <w:p w14:paraId="6246B640" w14:textId="77777777" w:rsidR="00071108" w:rsidRPr="00B5050F" w:rsidRDefault="00071108" w:rsidP="008B4ED7">
      <w:pPr>
        <w:keepNext/>
      </w:pPr>
    </w:p>
    <w:p w14:paraId="4DCA9934" w14:textId="77777777" w:rsidR="008011D6" w:rsidRPr="00B5050F" w:rsidRDefault="008011D6" w:rsidP="008B4ED7">
      <w:r w:rsidRPr="00B5050F">
        <w:t>Não existem dados sobre o efeito de denosumab na fertilidade humana. Os estudos em animais não indicam quaisquer efeitos nefastos diretos ou indiretos no que respeita à fertilidade (ver secção 5.3).</w:t>
      </w:r>
    </w:p>
    <w:p w14:paraId="70644591" w14:textId="77777777" w:rsidR="008011D6" w:rsidRPr="00B5050F" w:rsidRDefault="008011D6" w:rsidP="008B4ED7"/>
    <w:p w14:paraId="51CDB82C" w14:textId="77777777" w:rsidR="008011D6" w:rsidRPr="00B5050F" w:rsidRDefault="00C175EC" w:rsidP="008B4ED7">
      <w:pPr>
        <w:keepNext/>
        <w:ind w:left="567" w:hanging="567"/>
        <w:rPr>
          <w:b/>
        </w:rPr>
      </w:pPr>
      <w:r w:rsidRPr="00B5050F">
        <w:rPr>
          <w:b/>
        </w:rPr>
        <w:t>4.7</w:t>
      </w:r>
      <w:r w:rsidRPr="00B5050F">
        <w:rPr>
          <w:b/>
        </w:rPr>
        <w:tab/>
        <w:t>Efeitos sobre a capacidade de conduzir e utilizar máquinas</w:t>
      </w:r>
    </w:p>
    <w:p w14:paraId="5C1F4A6C" w14:textId="77777777" w:rsidR="008011D6" w:rsidRPr="00B5050F" w:rsidRDefault="008011D6" w:rsidP="008B4ED7">
      <w:pPr>
        <w:keepNext/>
      </w:pPr>
    </w:p>
    <w:p w14:paraId="3776F44A" w14:textId="19416C6A" w:rsidR="008603DE" w:rsidRPr="00B5050F" w:rsidRDefault="008011D6" w:rsidP="008B4ED7">
      <w:r w:rsidRPr="00B5050F">
        <w:t xml:space="preserve">Os efeitos de </w:t>
      </w:r>
      <w:r w:rsidR="00B45F4C" w:rsidRPr="00B5050F">
        <w:t>denosumab</w:t>
      </w:r>
      <w:r w:rsidRPr="00B5050F">
        <w:t xml:space="preserve"> sobre a capacidade de conduzir e utilizar máquinas são nulos ou desprezáveis.</w:t>
      </w:r>
    </w:p>
    <w:p w14:paraId="698699AA" w14:textId="77777777" w:rsidR="008011D6" w:rsidRPr="00B5050F" w:rsidRDefault="008011D6" w:rsidP="008B4ED7"/>
    <w:p w14:paraId="6BC20657" w14:textId="77777777" w:rsidR="00992A6A" w:rsidRPr="00B5050F" w:rsidRDefault="00EB1F77" w:rsidP="008B4ED7">
      <w:pPr>
        <w:keepNext/>
        <w:ind w:left="567" w:hanging="567"/>
        <w:rPr>
          <w:b/>
        </w:rPr>
      </w:pPr>
      <w:r w:rsidRPr="00B5050F">
        <w:rPr>
          <w:b/>
        </w:rPr>
        <w:t>4.8</w:t>
      </w:r>
      <w:r w:rsidRPr="00B5050F">
        <w:rPr>
          <w:b/>
        </w:rPr>
        <w:tab/>
        <w:t>Efeitos indesejáveis</w:t>
      </w:r>
    </w:p>
    <w:p w14:paraId="0D7A33EA" w14:textId="77777777" w:rsidR="00992A6A" w:rsidRPr="00B5050F" w:rsidRDefault="00992A6A" w:rsidP="008B4ED7">
      <w:pPr>
        <w:keepNext/>
      </w:pPr>
    </w:p>
    <w:p w14:paraId="242658AC" w14:textId="77777777" w:rsidR="00E317CF" w:rsidRPr="00B5050F" w:rsidRDefault="00E317CF" w:rsidP="008B4ED7">
      <w:pPr>
        <w:keepNext/>
        <w:rPr>
          <w:u w:val="single"/>
        </w:rPr>
      </w:pPr>
      <w:r w:rsidRPr="00B5050F">
        <w:rPr>
          <w:u w:val="single"/>
        </w:rPr>
        <w:t>Resumo do perfil de segurança</w:t>
      </w:r>
    </w:p>
    <w:p w14:paraId="6E248EF4" w14:textId="77777777" w:rsidR="00014F4A" w:rsidRPr="00B5050F" w:rsidRDefault="00014F4A" w:rsidP="008B4ED7">
      <w:pPr>
        <w:keepNext/>
      </w:pPr>
    </w:p>
    <w:p w14:paraId="0B8D29FE" w14:textId="77777777" w:rsidR="00E317CF" w:rsidRPr="00B5050F" w:rsidRDefault="00C9738C" w:rsidP="008B4ED7">
      <w:r w:rsidRPr="00B5050F">
        <w:t>Os eventos indesejáveis mais frequentes com denosumab (observados em mais de um em cada dez doentes) são dor musculosquelética e a dor nas extremidades. Têm sido observados em doentes tratados com denosumab casos pouco frequentes de celulite, casos raros de hipocalcemia, hipersensibilidade, osteonecrose da mandíbula e de fraturas atípicas do fémur (ver secções 4.4 e 4.8 - descrição das reações adversas selecionadas).</w:t>
      </w:r>
    </w:p>
    <w:p w14:paraId="4190B8C9" w14:textId="77777777" w:rsidR="00E317CF" w:rsidRPr="00B5050F" w:rsidRDefault="00E317CF" w:rsidP="008B4ED7"/>
    <w:p w14:paraId="680DC3BE" w14:textId="77777777" w:rsidR="00992A6A" w:rsidRPr="00B5050F" w:rsidRDefault="00992A6A" w:rsidP="008B4ED7">
      <w:pPr>
        <w:keepNext/>
        <w:rPr>
          <w:u w:val="single"/>
        </w:rPr>
      </w:pPr>
      <w:r w:rsidRPr="00B5050F">
        <w:rPr>
          <w:u w:val="single"/>
        </w:rPr>
        <w:t>Lista em tabela das reações adversas</w:t>
      </w:r>
    </w:p>
    <w:p w14:paraId="731B5039" w14:textId="77777777" w:rsidR="001D13A5" w:rsidRPr="00B5050F" w:rsidRDefault="001D13A5" w:rsidP="008B4ED7">
      <w:pPr>
        <w:keepNext/>
      </w:pPr>
    </w:p>
    <w:p w14:paraId="79E192BD" w14:textId="77777777" w:rsidR="00E317CF" w:rsidRPr="00B5050F" w:rsidRDefault="00E317CF" w:rsidP="008B4ED7">
      <w:r w:rsidRPr="00B5050F">
        <w:t>Os dados na tabela 1 descrevem as reações adversas de ensaios clínicos de fase II e III em doentes com osteoporose e com cancro da mama ou da próstata a receber terapêutica de ablação hormonal; e/ou de notificações espontâneas.</w:t>
      </w:r>
    </w:p>
    <w:p w14:paraId="5DC75C90" w14:textId="77777777" w:rsidR="00E317CF" w:rsidRPr="00B5050F" w:rsidRDefault="00E317CF" w:rsidP="008B4ED7"/>
    <w:p w14:paraId="4436DC8D" w14:textId="77777777" w:rsidR="008603DE" w:rsidRPr="00B5050F" w:rsidRDefault="00E317CF" w:rsidP="006050AD">
      <w:r w:rsidRPr="00B5050F">
        <w:t>Utilizou</w:t>
      </w:r>
      <w:r w:rsidRPr="00B5050F">
        <w:noBreakHyphen/>
        <w:t xml:space="preserve">se a seguinte convenção para a classificação das reações adversas (ver tabela 1): muito frequentes (≥ 1/10), frequentes (≥ 1/100, &lt; 1/10), pouco frequentes (≥ 1/1000, &lt; 1/100), raros </w:t>
      </w:r>
      <w:r w:rsidRPr="00B5050F">
        <w:lastRenderedPageBreak/>
        <w:t>(≥ 1/10 000, &lt; 1/1000), muito raros (&lt; 1/10 000) e desconhecido (não pode ser calculado a partir dos dados disponíveis). As reações adversas são apresentadas por ordem decrescente de gravidade em cada grupo de frequências e classe de sistemas de órgãos.</w:t>
      </w:r>
    </w:p>
    <w:p w14:paraId="07B7D7B5" w14:textId="77777777" w:rsidR="00834859" w:rsidRPr="00B5050F" w:rsidRDefault="00834859" w:rsidP="008B4ED7"/>
    <w:p w14:paraId="32DADCFF" w14:textId="77777777" w:rsidR="00E317CF" w:rsidRPr="00B5050F" w:rsidRDefault="00E317CF" w:rsidP="008B4ED7">
      <w:pPr>
        <w:keepNext/>
        <w:rPr>
          <w:b/>
          <w:bCs/>
        </w:rPr>
      </w:pPr>
      <w:r w:rsidRPr="00B5050F">
        <w:rPr>
          <w:b/>
        </w:rPr>
        <w:t>Tabela 1. Reações adversas notificadas em doentes com osteoporose e em doentes com cancro da mama ou da próstata a receber ablação hormonal</w:t>
      </w:r>
    </w:p>
    <w:p w14:paraId="115CFCDB" w14:textId="77777777" w:rsidR="00E317CF" w:rsidRPr="00B5050F" w:rsidRDefault="00E317CF" w:rsidP="008B4ED7">
      <w:pPr>
        <w:keepNext/>
      </w:pPr>
    </w:p>
    <w:tbl>
      <w:tblPr>
        <w:tblW w:w="48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11"/>
        <w:gridCol w:w="2207"/>
        <w:gridCol w:w="3733"/>
      </w:tblGrid>
      <w:tr w:rsidR="005D1ED2" w:rsidRPr="00B5050F" w14:paraId="1437B926" w14:textId="77777777" w:rsidTr="00B0470E">
        <w:trPr>
          <w:cantSplit/>
          <w:trHeight w:val="57"/>
          <w:tblHeader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0559" w14:textId="77777777" w:rsidR="005D1ED2" w:rsidRPr="00B5050F" w:rsidRDefault="005D1ED2" w:rsidP="00B0470E">
            <w:pPr>
              <w:keepNext/>
              <w:rPr>
                <w:rFonts w:eastAsia="MS Mincho"/>
                <w:b/>
              </w:rPr>
            </w:pPr>
            <w:r w:rsidRPr="00B5050F">
              <w:rPr>
                <w:b/>
              </w:rPr>
              <w:t>Classes de sistemas de órgãos segundo a base de dados MedDRA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EC1F" w14:textId="77777777" w:rsidR="005D1ED2" w:rsidRPr="00B5050F" w:rsidRDefault="005D1ED2" w:rsidP="00B0470E">
            <w:pPr>
              <w:keepNext/>
              <w:rPr>
                <w:rFonts w:eastAsia="MS Mincho"/>
                <w:bCs/>
                <w:u w:val="single"/>
              </w:rPr>
            </w:pPr>
            <w:r w:rsidRPr="00B5050F">
              <w:rPr>
                <w:b/>
              </w:rPr>
              <w:t>Categoria de frequência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0AFF" w14:textId="77777777" w:rsidR="005D1ED2" w:rsidRPr="00B5050F" w:rsidRDefault="005D1ED2" w:rsidP="00B0470E">
            <w:pPr>
              <w:keepNext/>
              <w:rPr>
                <w:rFonts w:eastAsia="MS Mincho"/>
                <w:b/>
                <w:bCs/>
              </w:rPr>
            </w:pPr>
            <w:r w:rsidRPr="00B5050F">
              <w:rPr>
                <w:b/>
              </w:rPr>
              <w:t>Reações adversas</w:t>
            </w:r>
          </w:p>
        </w:tc>
      </w:tr>
      <w:tr w:rsidR="005D1ED2" w:rsidRPr="00B5050F" w14:paraId="54C6FA24" w14:textId="77777777" w:rsidTr="00B0470E">
        <w:trPr>
          <w:cantSplit/>
          <w:trHeight w:val="57"/>
        </w:trPr>
        <w:tc>
          <w:tcPr>
            <w:tcW w:w="1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6987C" w14:textId="77777777" w:rsidR="005D1ED2" w:rsidRPr="00B5050F" w:rsidRDefault="005D1ED2" w:rsidP="00B0470E">
            <w:pPr>
              <w:keepNext/>
            </w:pPr>
            <w:r w:rsidRPr="00B5050F">
              <w:t>Infeções e infestações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D490EF" w14:textId="77777777" w:rsidR="005D1ED2" w:rsidRPr="00B5050F" w:rsidRDefault="005D1ED2" w:rsidP="00B0470E">
            <w:r w:rsidRPr="00B5050F">
              <w:t>Frequentes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C8EA08" w14:textId="77777777" w:rsidR="005D1ED2" w:rsidRPr="00B5050F" w:rsidRDefault="005D1ED2" w:rsidP="00B0470E">
            <w:r w:rsidRPr="00B5050F">
              <w:t>Infeção do trato urinário</w:t>
            </w:r>
          </w:p>
        </w:tc>
      </w:tr>
      <w:tr w:rsidR="005D1ED2" w:rsidRPr="00B5050F" w14:paraId="6E6496E5" w14:textId="77777777" w:rsidTr="00B0470E">
        <w:trPr>
          <w:cantSplit/>
          <w:trHeight w:val="57"/>
        </w:trPr>
        <w:tc>
          <w:tcPr>
            <w:tcW w:w="16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70A9F" w14:textId="77777777" w:rsidR="005D1ED2" w:rsidRPr="00B5050F" w:rsidRDefault="005D1ED2" w:rsidP="00B0470E">
            <w:pPr>
              <w:keepNext/>
            </w:pPr>
          </w:p>
        </w:tc>
        <w:tc>
          <w:tcPr>
            <w:tcW w:w="12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F63E9" w14:textId="77777777" w:rsidR="005D1ED2" w:rsidRPr="00B5050F" w:rsidRDefault="005D1ED2" w:rsidP="00B0470E">
            <w:r w:rsidRPr="00B5050F">
              <w:t>Frequentes</w:t>
            </w:r>
          </w:p>
        </w:tc>
        <w:tc>
          <w:tcPr>
            <w:tcW w:w="21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895B9" w14:textId="77777777" w:rsidR="005D1ED2" w:rsidRPr="00B5050F" w:rsidRDefault="005D1ED2" w:rsidP="00B0470E">
            <w:r w:rsidRPr="00B5050F">
              <w:t>Infeção das vias respiratórias superiores</w:t>
            </w:r>
          </w:p>
        </w:tc>
      </w:tr>
      <w:tr w:rsidR="005D1ED2" w:rsidRPr="00B5050F" w14:paraId="485B47D9" w14:textId="77777777" w:rsidTr="00B0470E">
        <w:trPr>
          <w:cantSplit/>
          <w:trHeight w:val="57"/>
        </w:trPr>
        <w:tc>
          <w:tcPr>
            <w:tcW w:w="16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DD457" w14:textId="77777777" w:rsidR="005D1ED2" w:rsidRPr="00B5050F" w:rsidRDefault="005D1ED2" w:rsidP="00B0470E">
            <w:pPr>
              <w:keepNext/>
            </w:pPr>
          </w:p>
        </w:tc>
        <w:tc>
          <w:tcPr>
            <w:tcW w:w="12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C7DEE7" w14:textId="77777777" w:rsidR="005D1ED2" w:rsidRPr="00B5050F" w:rsidRDefault="005D1ED2" w:rsidP="00B0470E">
            <w:r w:rsidRPr="00B5050F">
              <w:t>Pouco frequentes</w:t>
            </w:r>
          </w:p>
        </w:tc>
        <w:tc>
          <w:tcPr>
            <w:tcW w:w="21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BF20D5" w14:textId="77777777" w:rsidR="005D1ED2" w:rsidRPr="00B5050F" w:rsidRDefault="005D1ED2" w:rsidP="00B0470E">
            <w:r w:rsidRPr="00B5050F">
              <w:t>Diverticulite</w:t>
            </w:r>
            <w:r w:rsidRPr="00B5050F">
              <w:rPr>
                <w:vertAlign w:val="superscript"/>
              </w:rPr>
              <w:t>1</w:t>
            </w:r>
          </w:p>
        </w:tc>
      </w:tr>
      <w:tr w:rsidR="005D1ED2" w:rsidRPr="00B5050F" w14:paraId="556490A4" w14:textId="77777777" w:rsidTr="00B0470E">
        <w:trPr>
          <w:cantSplit/>
          <w:trHeight w:val="57"/>
        </w:trPr>
        <w:tc>
          <w:tcPr>
            <w:tcW w:w="16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019B5" w14:textId="77777777" w:rsidR="005D1ED2" w:rsidRPr="00B5050F" w:rsidRDefault="005D1ED2" w:rsidP="00B0470E">
            <w:pPr>
              <w:keepNext/>
            </w:pPr>
          </w:p>
        </w:tc>
        <w:tc>
          <w:tcPr>
            <w:tcW w:w="12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4738B3" w14:textId="77777777" w:rsidR="005D1ED2" w:rsidRPr="00B5050F" w:rsidRDefault="005D1ED2" w:rsidP="00B0470E">
            <w:r w:rsidRPr="00B5050F">
              <w:t>Pouco frequentes</w:t>
            </w:r>
          </w:p>
        </w:tc>
        <w:tc>
          <w:tcPr>
            <w:tcW w:w="21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72649" w14:textId="77777777" w:rsidR="005D1ED2" w:rsidRPr="00B5050F" w:rsidRDefault="005D1ED2" w:rsidP="00B0470E">
            <w:r w:rsidRPr="00B5050F">
              <w:t>Celulite</w:t>
            </w:r>
            <w:r w:rsidRPr="00B5050F">
              <w:rPr>
                <w:vertAlign w:val="superscript"/>
              </w:rPr>
              <w:t>1</w:t>
            </w:r>
          </w:p>
        </w:tc>
      </w:tr>
      <w:tr w:rsidR="005D1ED2" w:rsidRPr="00B5050F" w14:paraId="7F8B0ECC" w14:textId="77777777" w:rsidTr="00B0470E">
        <w:trPr>
          <w:cantSplit/>
          <w:trHeight w:val="57"/>
        </w:trPr>
        <w:tc>
          <w:tcPr>
            <w:tcW w:w="1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C06B" w14:textId="77777777" w:rsidR="005D1ED2" w:rsidRPr="00B5050F" w:rsidRDefault="005D1ED2" w:rsidP="00B0470E">
            <w:pPr>
              <w:keepNext/>
            </w:pPr>
          </w:p>
        </w:tc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7E5F" w14:textId="77777777" w:rsidR="005D1ED2" w:rsidRPr="00B5050F" w:rsidRDefault="005D1ED2" w:rsidP="00B0470E">
            <w:r w:rsidRPr="00B5050F">
              <w:t>Pouco frequentes</w:t>
            </w:r>
          </w:p>
        </w:tc>
        <w:tc>
          <w:tcPr>
            <w:tcW w:w="2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D084" w14:textId="77777777" w:rsidR="005D1ED2" w:rsidRPr="00B5050F" w:rsidRDefault="005D1ED2" w:rsidP="00B0470E">
            <w:r w:rsidRPr="00B5050F">
              <w:t>Infeção do ouvido</w:t>
            </w:r>
          </w:p>
        </w:tc>
      </w:tr>
      <w:tr w:rsidR="005D1ED2" w:rsidRPr="00B5050F" w14:paraId="3FBE2B00" w14:textId="77777777" w:rsidTr="00B0470E">
        <w:trPr>
          <w:cantSplit/>
          <w:trHeight w:val="57"/>
        </w:trPr>
        <w:tc>
          <w:tcPr>
            <w:tcW w:w="1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3A6D1" w14:textId="77777777" w:rsidR="005D1ED2" w:rsidRPr="00B5050F" w:rsidRDefault="005D1ED2" w:rsidP="00B0470E">
            <w:pPr>
              <w:keepNext/>
            </w:pPr>
            <w:r w:rsidRPr="00B5050F">
              <w:t>Doenças do sistema imunitário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E35966" w14:textId="77777777" w:rsidR="005D1ED2" w:rsidRPr="00B5050F" w:rsidRDefault="005D1ED2" w:rsidP="00B0470E">
            <w:r w:rsidRPr="00B5050F">
              <w:t>Raros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E95DBF" w14:textId="77777777" w:rsidR="005D1ED2" w:rsidRPr="00B5050F" w:rsidRDefault="005D1ED2" w:rsidP="00B0470E">
            <w:r w:rsidRPr="00B5050F">
              <w:t>Hipersensibilidade ao medicamento</w:t>
            </w:r>
            <w:r w:rsidRPr="00B5050F">
              <w:rPr>
                <w:vertAlign w:val="superscript"/>
              </w:rPr>
              <w:t>1</w:t>
            </w:r>
          </w:p>
        </w:tc>
      </w:tr>
      <w:tr w:rsidR="005D1ED2" w:rsidRPr="00B5050F" w14:paraId="04CBC989" w14:textId="77777777" w:rsidTr="00B0470E">
        <w:trPr>
          <w:cantSplit/>
          <w:trHeight w:val="57"/>
        </w:trPr>
        <w:tc>
          <w:tcPr>
            <w:tcW w:w="1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64D4" w14:textId="77777777" w:rsidR="005D1ED2" w:rsidRPr="00B5050F" w:rsidRDefault="005D1ED2" w:rsidP="00B0470E">
            <w:pPr>
              <w:keepNext/>
            </w:pPr>
          </w:p>
        </w:tc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244E" w14:textId="77777777" w:rsidR="005D1ED2" w:rsidRPr="00B5050F" w:rsidRDefault="005D1ED2" w:rsidP="00B0470E">
            <w:r w:rsidRPr="00B5050F">
              <w:t>Raros</w:t>
            </w:r>
          </w:p>
        </w:tc>
        <w:tc>
          <w:tcPr>
            <w:tcW w:w="2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B7F4" w14:textId="77777777" w:rsidR="005D1ED2" w:rsidRPr="00B5050F" w:rsidRDefault="005D1ED2" w:rsidP="00B0470E">
            <w:r w:rsidRPr="00B5050F">
              <w:t>Reação anafilática</w:t>
            </w:r>
            <w:r w:rsidRPr="00B5050F">
              <w:rPr>
                <w:vertAlign w:val="superscript"/>
              </w:rPr>
              <w:t>1</w:t>
            </w:r>
          </w:p>
        </w:tc>
      </w:tr>
      <w:tr w:rsidR="005D1ED2" w:rsidRPr="00B5050F" w14:paraId="60A5587B" w14:textId="77777777" w:rsidTr="00B0470E">
        <w:trPr>
          <w:cantSplit/>
          <w:trHeight w:val="57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4199" w14:textId="77777777" w:rsidR="005D1ED2" w:rsidRPr="00B5050F" w:rsidRDefault="005D1ED2" w:rsidP="00B0470E">
            <w:r w:rsidRPr="00B5050F">
              <w:t>Doenças do metabolismo e da nutrição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403C" w14:textId="77777777" w:rsidR="005D1ED2" w:rsidRPr="00B5050F" w:rsidRDefault="005D1ED2" w:rsidP="00B0470E">
            <w:r w:rsidRPr="00B5050F">
              <w:t>Raros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F35F" w14:textId="77777777" w:rsidR="005D1ED2" w:rsidRPr="00B5050F" w:rsidRDefault="005D1ED2" w:rsidP="00B0470E">
            <w:r w:rsidRPr="00B5050F">
              <w:t>Hipocalcemia</w:t>
            </w:r>
            <w:r w:rsidRPr="00B5050F">
              <w:rPr>
                <w:vertAlign w:val="superscript"/>
              </w:rPr>
              <w:t>1</w:t>
            </w:r>
          </w:p>
        </w:tc>
      </w:tr>
      <w:tr w:rsidR="005D1ED2" w:rsidRPr="00B5050F" w14:paraId="294E0C31" w14:textId="77777777" w:rsidTr="00B0470E">
        <w:trPr>
          <w:cantSplit/>
          <w:trHeight w:val="57"/>
        </w:trPr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3FC6" w14:textId="77777777" w:rsidR="005D1ED2" w:rsidRPr="00B5050F" w:rsidRDefault="005D1ED2" w:rsidP="00B0470E">
            <w:r w:rsidRPr="00B5050F">
              <w:t>Doenças do sistema nervoso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67A5" w14:textId="77777777" w:rsidR="005D1ED2" w:rsidRPr="00B5050F" w:rsidRDefault="005D1ED2" w:rsidP="00B0470E">
            <w:r w:rsidRPr="00B5050F">
              <w:t>Frequentes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012E" w14:textId="77777777" w:rsidR="005D1ED2" w:rsidRPr="00B5050F" w:rsidRDefault="005D1ED2" w:rsidP="00B0470E">
            <w:r w:rsidRPr="00B5050F">
              <w:t>Ciática</w:t>
            </w:r>
          </w:p>
        </w:tc>
      </w:tr>
      <w:tr w:rsidR="005D1ED2" w:rsidRPr="00B5050F" w14:paraId="6782113D" w14:textId="77777777" w:rsidTr="00B0470E">
        <w:trPr>
          <w:cantSplit/>
          <w:trHeight w:val="57"/>
        </w:trPr>
        <w:tc>
          <w:tcPr>
            <w:tcW w:w="1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67C68" w14:textId="77777777" w:rsidR="005D1ED2" w:rsidRPr="00B5050F" w:rsidRDefault="005D1ED2" w:rsidP="00B0470E">
            <w:r w:rsidRPr="00B5050F">
              <w:t>Doenças gastrointestinais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4F7BFE" w14:textId="77777777" w:rsidR="005D1ED2" w:rsidRPr="00B5050F" w:rsidRDefault="005D1ED2" w:rsidP="00B0470E">
            <w:r w:rsidRPr="00B5050F">
              <w:t>Frequentes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54B3C9" w14:textId="77777777" w:rsidR="005D1ED2" w:rsidRPr="00B5050F" w:rsidRDefault="005D1ED2" w:rsidP="00B0470E">
            <w:r w:rsidRPr="00B5050F">
              <w:t>Obstipação</w:t>
            </w:r>
          </w:p>
        </w:tc>
      </w:tr>
      <w:tr w:rsidR="005D1ED2" w:rsidRPr="00B5050F" w14:paraId="7AAAE2E9" w14:textId="77777777" w:rsidTr="00B0470E">
        <w:trPr>
          <w:cantSplit/>
          <w:trHeight w:val="57"/>
        </w:trPr>
        <w:tc>
          <w:tcPr>
            <w:tcW w:w="1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4E98" w14:textId="77777777" w:rsidR="005D1ED2" w:rsidRPr="00B5050F" w:rsidRDefault="005D1ED2" w:rsidP="00B0470E"/>
        </w:tc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D33E" w14:textId="77777777" w:rsidR="005D1ED2" w:rsidRPr="00B5050F" w:rsidRDefault="005D1ED2" w:rsidP="00B0470E">
            <w:r w:rsidRPr="00B5050F">
              <w:t>Frequentes</w:t>
            </w:r>
          </w:p>
        </w:tc>
        <w:tc>
          <w:tcPr>
            <w:tcW w:w="2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C9F1" w14:textId="77777777" w:rsidR="005D1ED2" w:rsidRPr="00B5050F" w:rsidRDefault="005D1ED2" w:rsidP="00B0470E">
            <w:r w:rsidRPr="00B5050F">
              <w:t>Desconforto abdominal</w:t>
            </w:r>
          </w:p>
        </w:tc>
      </w:tr>
      <w:tr w:rsidR="005D1ED2" w:rsidRPr="00B5050F" w14:paraId="3EE762A9" w14:textId="77777777" w:rsidTr="00B0470E">
        <w:trPr>
          <w:cantSplit/>
          <w:trHeight w:val="57"/>
        </w:trPr>
        <w:tc>
          <w:tcPr>
            <w:tcW w:w="1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005F9" w14:textId="77777777" w:rsidR="005D1ED2" w:rsidRPr="00B5050F" w:rsidRDefault="005D1ED2" w:rsidP="00B0470E">
            <w:pPr>
              <w:keepNext/>
            </w:pPr>
            <w:r w:rsidRPr="00B5050F">
              <w:t>Afeções dos tecidos cutâneos e subcutâneos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1E8B7" w14:textId="77777777" w:rsidR="005D1ED2" w:rsidRPr="00B5050F" w:rsidRDefault="005D1ED2" w:rsidP="00B0470E">
            <w:pPr>
              <w:keepNext/>
            </w:pPr>
            <w:r w:rsidRPr="00B5050F">
              <w:t>Frequentes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C9845B" w14:textId="77777777" w:rsidR="005D1ED2" w:rsidRPr="00B5050F" w:rsidRDefault="005D1ED2" w:rsidP="00B0470E">
            <w:pPr>
              <w:keepNext/>
            </w:pPr>
            <w:r w:rsidRPr="00B5050F">
              <w:t>Erupção cutânea</w:t>
            </w:r>
          </w:p>
        </w:tc>
      </w:tr>
      <w:tr w:rsidR="005D1ED2" w:rsidRPr="00B5050F" w14:paraId="4E142C83" w14:textId="77777777" w:rsidTr="00B0470E">
        <w:trPr>
          <w:cantSplit/>
          <w:trHeight w:val="57"/>
        </w:trPr>
        <w:tc>
          <w:tcPr>
            <w:tcW w:w="16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0D1CC" w14:textId="77777777" w:rsidR="005D1ED2" w:rsidRPr="00B5050F" w:rsidRDefault="005D1ED2" w:rsidP="00B0470E">
            <w:pPr>
              <w:keepNext/>
            </w:pPr>
          </w:p>
        </w:tc>
        <w:tc>
          <w:tcPr>
            <w:tcW w:w="12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D683B" w14:textId="77777777" w:rsidR="005D1ED2" w:rsidRPr="00B5050F" w:rsidRDefault="005D1ED2" w:rsidP="00B0470E">
            <w:pPr>
              <w:keepNext/>
            </w:pPr>
            <w:r w:rsidRPr="00B5050F">
              <w:t>Frequentes</w:t>
            </w:r>
          </w:p>
        </w:tc>
        <w:tc>
          <w:tcPr>
            <w:tcW w:w="21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49991" w14:textId="77777777" w:rsidR="005D1ED2" w:rsidRPr="00B5050F" w:rsidRDefault="005D1ED2" w:rsidP="00B0470E">
            <w:pPr>
              <w:keepNext/>
            </w:pPr>
            <w:r w:rsidRPr="00B5050F">
              <w:t>Eczema</w:t>
            </w:r>
          </w:p>
        </w:tc>
      </w:tr>
      <w:tr w:rsidR="005D1ED2" w:rsidRPr="00B5050F" w14:paraId="5722D618" w14:textId="77777777" w:rsidTr="00B0470E">
        <w:trPr>
          <w:cantSplit/>
          <w:trHeight w:val="57"/>
        </w:trPr>
        <w:tc>
          <w:tcPr>
            <w:tcW w:w="16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C7973" w14:textId="77777777" w:rsidR="005D1ED2" w:rsidRPr="00B5050F" w:rsidRDefault="005D1ED2" w:rsidP="00B0470E">
            <w:pPr>
              <w:keepNext/>
            </w:pPr>
          </w:p>
        </w:tc>
        <w:tc>
          <w:tcPr>
            <w:tcW w:w="12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CC2524" w14:textId="77777777" w:rsidR="005D1ED2" w:rsidRPr="00B5050F" w:rsidRDefault="005D1ED2" w:rsidP="00B0470E">
            <w:pPr>
              <w:keepNext/>
            </w:pPr>
            <w:r w:rsidRPr="00B5050F">
              <w:t>Frequentes</w:t>
            </w:r>
          </w:p>
        </w:tc>
        <w:tc>
          <w:tcPr>
            <w:tcW w:w="21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9B35E" w14:textId="7DE8E6E3" w:rsidR="005D1ED2" w:rsidRPr="00B5050F" w:rsidRDefault="005D1ED2" w:rsidP="00B0470E">
            <w:pPr>
              <w:keepNext/>
            </w:pPr>
            <w:r w:rsidRPr="00B5050F">
              <w:t>Alop</w:t>
            </w:r>
            <w:r w:rsidR="004929CA">
              <w:t>e</w:t>
            </w:r>
            <w:r w:rsidRPr="00B5050F">
              <w:t>cia</w:t>
            </w:r>
          </w:p>
        </w:tc>
      </w:tr>
      <w:tr w:rsidR="005D1ED2" w:rsidRPr="00B5050F" w14:paraId="0D942B01" w14:textId="77777777" w:rsidTr="00B0470E">
        <w:trPr>
          <w:cantSplit/>
          <w:trHeight w:val="57"/>
        </w:trPr>
        <w:tc>
          <w:tcPr>
            <w:tcW w:w="16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C325B" w14:textId="77777777" w:rsidR="005D1ED2" w:rsidRPr="00B5050F" w:rsidRDefault="005D1ED2" w:rsidP="00B0470E">
            <w:pPr>
              <w:keepNext/>
            </w:pPr>
          </w:p>
        </w:tc>
        <w:tc>
          <w:tcPr>
            <w:tcW w:w="12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A4AC85" w14:textId="77777777" w:rsidR="005D1ED2" w:rsidRPr="00B5050F" w:rsidRDefault="005D1ED2" w:rsidP="00B0470E">
            <w:pPr>
              <w:keepNext/>
            </w:pPr>
            <w:r w:rsidRPr="00B5050F">
              <w:t>Pouco frequentes</w:t>
            </w:r>
          </w:p>
        </w:tc>
        <w:tc>
          <w:tcPr>
            <w:tcW w:w="21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7B2DAE" w14:textId="77777777" w:rsidR="005D1ED2" w:rsidRPr="00B5050F" w:rsidRDefault="005D1ED2" w:rsidP="00B0470E">
            <w:pPr>
              <w:keepNext/>
            </w:pPr>
            <w:r w:rsidRPr="00B5050F">
              <w:t>Erupções medicamentosas liquenóides</w:t>
            </w:r>
            <w:r w:rsidRPr="00B5050F">
              <w:rPr>
                <w:vertAlign w:val="superscript"/>
              </w:rPr>
              <w:t>1</w:t>
            </w:r>
          </w:p>
        </w:tc>
      </w:tr>
      <w:tr w:rsidR="005D1ED2" w:rsidRPr="00B5050F" w14:paraId="05E1062F" w14:textId="77777777" w:rsidTr="00B0470E">
        <w:trPr>
          <w:cantSplit/>
          <w:trHeight w:val="57"/>
        </w:trPr>
        <w:tc>
          <w:tcPr>
            <w:tcW w:w="16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28116" w14:textId="77777777" w:rsidR="005D1ED2" w:rsidRPr="00B5050F" w:rsidRDefault="005D1ED2" w:rsidP="00B0470E">
            <w:pPr>
              <w:keepNext/>
            </w:pPr>
          </w:p>
        </w:tc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D38C" w14:textId="77777777" w:rsidR="005D1ED2" w:rsidRPr="00B5050F" w:rsidRDefault="005D1ED2" w:rsidP="00B0470E">
            <w:pPr>
              <w:keepNext/>
            </w:pPr>
            <w:r w:rsidRPr="00B5050F">
              <w:t>Muito raros</w:t>
            </w:r>
          </w:p>
        </w:tc>
        <w:tc>
          <w:tcPr>
            <w:tcW w:w="2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A8A8" w14:textId="77777777" w:rsidR="005D1ED2" w:rsidRPr="00B5050F" w:rsidRDefault="005D1ED2" w:rsidP="00B0470E">
            <w:pPr>
              <w:keepNext/>
            </w:pPr>
            <w:r w:rsidRPr="00B5050F">
              <w:t>Vasculite por hipersensibilidade</w:t>
            </w:r>
          </w:p>
        </w:tc>
      </w:tr>
      <w:tr w:rsidR="005D1ED2" w:rsidRPr="00B5050F" w14:paraId="2C8B94F4" w14:textId="77777777" w:rsidTr="00B0470E">
        <w:trPr>
          <w:cantSplit/>
          <w:trHeight w:val="57"/>
        </w:trPr>
        <w:tc>
          <w:tcPr>
            <w:tcW w:w="16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6E1B0" w14:textId="77777777" w:rsidR="005D1ED2" w:rsidRPr="00B5050F" w:rsidRDefault="005D1ED2" w:rsidP="00B0470E">
            <w:pPr>
              <w:keepNext/>
            </w:pPr>
            <w:r w:rsidRPr="00B5050F">
              <w:t>Afeções musculosqueléticas e dos tecidos conjuntivos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FCE1A6" w14:textId="77777777" w:rsidR="005D1ED2" w:rsidRPr="00B5050F" w:rsidRDefault="005D1ED2" w:rsidP="00B0470E">
            <w:pPr>
              <w:keepNext/>
            </w:pPr>
            <w:r w:rsidRPr="00B5050F">
              <w:t>Muito frequentes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69666E" w14:textId="77777777" w:rsidR="005D1ED2" w:rsidRPr="00B5050F" w:rsidRDefault="005D1ED2" w:rsidP="00B0470E">
            <w:pPr>
              <w:keepNext/>
            </w:pPr>
            <w:r w:rsidRPr="00B5050F">
              <w:t>Dor nas extremidades</w:t>
            </w:r>
          </w:p>
        </w:tc>
      </w:tr>
      <w:tr w:rsidR="005D1ED2" w:rsidRPr="00B5050F" w14:paraId="2ADC8D54" w14:textId="77777777" w:rsidTr="00B0470E">
        <w:trPr>
          <w:cantSplit/>
          <w:trHeight w:val="57"/>
        </w:trPr>
        <w:tc>
          <w:tcPr>
            <w:tcW w:w="16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E2C63" w14:textId="77777777" w:rsidR="005D1ED2" w:rsidRPr="00B5050F" w:rsidRDefault="005D1ED2" w:rsidP="00B0470E">
            <w:pPr>
              <w:keepNext/>
            </w:pPr>
          </w:p>
        </w:tc>
        <w:tc>
          <w:tcPr>
            <w:tcW w:w="12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979FA" w14:textId="77777777" w:rsidR="005D1ED2" w:rsidRPr="00B5050F" w:rsidRDefault="005D1ED2" w:rsidP="00B0470E">
            <w:pPr>
              <w:keepNext/>
            </w:pPr>
            <w:r w:rsidRPr="00B5050F">
              <w:t>Muito frequentes</w:t>
            </w:r>
          </w:p>
        </w:tc>
        <w:tc>
          <w:tcPr>
            <w:tcW w:w="21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A94583" w14:textId="77777777" w:rsidR="005D1ED2" w:rsidRPr="00B5050F" w:rsidRDefault="005D1ED2" w:rsidP="00B0470E">
            <w:pPr>
              <w:keepNext/>
            </w:pPr>
            <w:r w:rsidRPr="00B5050F">
              <w:t>Dor musculosquelética</w:t>
            </w:r>
            <w:r w:rsidRPr="00B5050F">
              <w:rPr>
                <w:vertAlign w:val="superscript"/>
              </w:rPr>
              <w:t>1</w:t>
            </w:r>
          </w:p>
        </w:tc>
      </w:tr>
      <w:tr w:rsidR="005D1ED2" w:rsidRPr="00B5050F" w14:paraId="3F2D4EEE" w14:textId="77777777" w:rsidTr="00B0470E">
        <w:trPr>
          <w:cantSplit/>
          <w:trHeight w:val="57"/>
        </w:trPr>
        <w:tc>
          <w:tcPr>
            <w:tcW w:w="16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6A814" w14:textId="77777777" w:rsidR="005D1ED2" w:rsidRPr="00B5050F" w:rsidRDefault="005D1ED2" w:rsidP="00B0470E">
            <w:pPr>
              <w:keepNext/>
            </w:pPr>
          </w:p>
        </w:tc>
        <w:tc>
          <w:tcPr>
            <w:tcW w:w="12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AFBED" w14:textId="77777777" w:rsidR="005D1ED2" w:rsidRPr="00B5050F" w:rsidRDefault="005D1ED2" w:rsidP="00B0470E">
            <w:pPr>
              <w:keepNext/>
            </w:pPr>
            <w:r w:rsidRPr="00B5050F">
              <w:t>Raros</w:t>
            </w:r>
          </w:p>
        </w:tc>
        <w:tc>
          <w:tcPr>
            <w:tcW w:w="21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FAC2F" w14:textId="77777777" w:rsidR="005D1ED2" w:rsidRPr="00B5050F" w:rsidRDefault="005D1ED2" w:rsidP="00B0470E">
            <w:pPr>
              <w:keepNext/>
            </w:pPr>
            <w:r w:rsidRPr="00B5050F">
              <w:t>Osteonecrose da mandíbula</w:t>
            </w:r>
            <w:r w:rsidRPr="00B5050F">
              <w:rPr>
                <w:vertAlign w:val="superscript"/>
              </w:rPr>
              <w:t>1</w:t>
            </w:r>
          </w:p>
        </w:tc>
      </w:tr>
      <w:tr w:rsidR="005D1ED2" w:rsidRPr="00B5050F" w14:paraId="41D4AB2E" w14:textId="77777777" w:rsidTr="00B0470E">
        <w:trPr>
          <w:cantSplit/>
          <w:trHeight w:val="57"/>
        </w:trPr>
        <w:tc>
          <w:tcPr>
            <w:tcW w:w="16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9E1B8" w14:textId="77777777" w:rsidR="005D1ED2" w:rsidRPr="00B5050F" w:rsidRDefault="005D1ED2" w:rsidP="00B0470E">
            <w:pPr>
              <w:keepNext/>
            </w:pPr>
          </w:p>
        </w:tc>
        <w:tc>
          <w:tcPr>
            <w:tcW w:w="12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520D7" w14:textId="77777777" w:rsidR="005D1ED2" w:rsidRPr="00B5050F" w:rsidRDefault="005D1ED2" w:rsidP="00B0470E">
            <w:pPr>
              <w:keepNext/>
            </w:pPr>
            <w:r w:rsidRPr="00B5050F">
              <w:t>Raros</w:t>
            </w:r>
          </w:p>
        </w:tc>
        <w:tc>
          <w:tcPr>
            <w:tcW w:w="21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19BF82" w14:textId="77777777" w:rsidR="005D1ED2" w:rsidRPr="00B5050F" w:rsidRDefault="005D1ED2" w:rsidP="00B0470E">
            <w:pPr>
              <w:keepNext/>
            </w:pPr>
            <w:r w:rsidRPr="00B5050F">
              <w:t>Fraturas atípicas do fémur</w:t>
            </w:r>
            <w:r w:rsidRPr="00B5050F">
              <w:rPr>
                <w:vertAlign w:val="superscript"/>
              </w:rPr>
              <w:t>1</w:t>
            </w:r>
          </w:p>
        </w:tc>
      </w:tr>
      <w:tr w:rsidR="005D1ED2" w:rsidRPr="00B5050F" w14:paraId="239CB81D" w14:textId="77777777" w:rsidTr="00B0470E">
        <w:trPr>
          <w:cantSplit/>
          <w:trHeight w:val="57"/>
        </w:trPr>
        <w:tc>
          <w:tcPr>
            <w:tcW w:w="16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CC18" w14:textId="77777777" w:rsidR="005D1ED2" w:rsidRPr="00B5050F" w:rsidRDefault="005D1ED2" w:rsidP="00B0470E">
            <w:pPr>
              <w:keepNext/>
            </w:pPr>
          </w:p>
        </w:tc>
        <w:tc>
          <w:tcPr>
            <w:tcW w:w="12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7A08" w14:textId="77777777" w:rsidR="005D1ED2" w:rsidRPr="00B5050F" w:rsidRDefault="005D1ED2" w:rsidP="00B0470E">
            <w:pPr>
              <w:keepNext/>
            </w:pPr>
            <w:r w:rsidRPr="00B5050F">
              <w:t>Desconhecido</w:t>
            </w:r>
          </w:p>
        </w:tc>
        <w:tc>
          <w:tcPr>
            <w:tcW w:w="2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390F" w14:textId="77777777" w:rsidR="005D1ED2" w:rsidRPr="00B5050F" w:rsidRDefault="005D1ED2" w:rsidP="00B0470E">
            <w:pPr>
              <w:keepNext/>
            </w:pPr>
            <w:r w:rsidRPr="00B5050F">
              <w:t>Osteonecrose do canal auditivo externo</w:t>
            </w:r>
            <w:r w:rsidRPr="00B5050F">
              <w:rPr>
                <w:vertAlign w:val="superscript"/>
              </w:rPr>
              <w:t>2</w:t>
            </w:r>
          </w:p>
        </w:tc>
      </w:tr>
    </w:tbl>
    <w:p w14:paraId="4E4FE4D6" w14:textId="77777777" w:rsidR="00992A6A" w:rsidRPr="00B5050F" w:rsidRDefault="00992A6A" w:rsidP="00C345B1">
      <w:pPr>
        <w:keepNext/>
        <w:rPr>
          <w:sz w:val="20"/>
          <w:szCs w:val="20"/>
        </w:rPr>
      </w:pPr>
      <w:r w:rsidRPr="00B5050F">
        <w:rPr>
          <w:sz w:val="20"/>
          <w:vertAlign w:val="superscript"/>
        </w:rPr>
        <w:t>1</w:t>
      </w:r>
      <w:r w:rsidRPr="00B5050F">
        <w:rPr>
          <w:sz w:val="20"/>
        </w:rPr>
        <w:t xml:space="preserve"> Ver secção Descrição de reações adversas selecionadas.</w:t>
      </w:r>
    </w:p>
    <w:p w14:paraId="6A0AB756" w14:textId="77777777" w:rsidR="008603DE" w:rsidRPr="00B5050F" w:rsidRDefault="00E54693" w:rsidP="00C345B1">
      <w:pPr>
        <w:rPr>
          <w:sz w:val="20"/>
          <w:szCs w:val="20"/>
        </w:rPr>
      </w:pPr>
      <w:r w:rsidRPr="00B5050F">
        <w:rPr>
          <w:sz w:val="20"/>
          <w:vertAlign w:val="superscript"/>
        </w:rPr>
        <w:t>2</w:t>
      </w:r>
      <w:r w:rsidRPr="00B5050F">
        <w:rPr>
          <w:sz w:val="20"/>
        </w:rPr>
        <w:t xml:space="preserve"> Ver secção 4.4.</w:t>
      </w:r>
    </w:p>
    <w:p w14:paraId="38285707" w14:textId="77777777" w:rsidR="00E54693" w:rsidRPr="00B5050F" w:rsidRDefault="00E54693" w:rsidP="008B4ED7">
      <w:pPr>
        <w:pStyle w:val="a9"/>
        <w:rPr>
          <w:sz w:val="22"/>
        </w:rPr>
      </w:pPr>
    </w:p>
    <w:p w14:paraId="7E9F79E3" w14:textId="77777777" w:rsidR="008603DE" w:rsidRPr="00B5050F" w:rsidRDefault="008011D6" w:rsidP="008B4ED7">
      <w:r w:rsidRPr="00B5050F">
        <w:t>Numa análise de dados agrupados de todos os estudos de fase II e de fase III controlados com placebo, foi notificada doença tipo gripal com uma taxa de incidência estimada de 1,2% para denosumab e 0,7% para o placebo. Apesar deste desequilíbrio ter sido identificado na análise de dados agrupados, não foi identificado através de uma análise estratificada.</w:t>
      </w:r>
    </w:p>
    <w:p w14:paraId="4713EB35" w14:textId="77777777" w:rsidR="008011D6" w:rsidRPr="00B5050F" w:rsidRDefault="008011D6" w:rsidP="008B4ED7"/>
    <w:p w14:paraId="62331FE7" w14:textId="77777777" w:rsidR="008011D6" w:rsidRPr="00B5050F" w:rsidRDefault="008011D6" w:rsidP="008B4ED7">
      <w:pPr>
        <w:keepNext/>
        <w:rPr>
          <w:u w:val="single"/>
        </w:rPr>
      </w:pPr>
      <w:r w:rsidRPr="00B5050F">
        <w:rPr>
          <w:u w:val="single"/>
        </w:rPr>
        <w:t>Descrição de reações adversas selecionadas</w:t>
      </w:r>
    </w:p>
    <w:p w14:paraId="5E5BBDFA" w14:textId="77777777" w:rsidR="008011D6" w:rsidRPr="00B5050F" w:rsidRDefault="008011D6" w:rsidP="008B4ED7">
      <w:pPr>
        <w:keepNext/>
      </w:pPr>
    </w:p>
    <w:p w14:paraId="00941097" w14:textId="77777777" w:rsidR="008011D6" w:rsidRPr="00B5050F" w:rsidRDefault="008011D6" w:rsidP="008B4ED7">
      <w:pPr>
        <w:keepNext/>
        <w:tabs>
          <w:tab w:val="clear" w:pos="567"/>
        </w:tabs>
        <w:rPr>
          <w:i/>
          <w:iCs/>
        </w:rPr>
      </w:pPr>
      <w:r w:rsidRPr="00B5050F">
        <w:rPr>
          <w:i/>
        </w:rPr>
        <w:t>Hipocalcemia</w:t>
      </w:r>
    </w:p>
    <w:p w14:paraId="4B4D327E" w14:textId="6AEE7E22" w:rsidR="008603DE" w:rsidRPr="00B5050F" w:rsidRDefault="008011D6" w:rsidP="008B4ED7">
      <w:r w:rsidRPr="00B5050F">
        <w:t>Em dois ensaios clínicos de fase III controlados com placebo em mulheres na pós</w:t>
      </w:r>
      <w:r w:rsidRPr="00B5050F">
        <w:noBreakHyphen/>
        <w:t xml:space="preserve">menopausa com osteoporose, aproximadamente 0,05% (2 em 4.050) dos doentes tiveram diminuições dos valores séricos de cálcio (inferior a 1,88 mmol/l) após a administração de </w:t>
      </w:r>
      <w:r w:rsidR="00B45F4C" w:rsidRPr="00B5050F">
        <w:t>denosumab</w:t>
      </w:r>
      <w:r w:rsidRPr="00B5050F">
        <w:t>. Não foram referidas diminuições dos valores séricos de cálcio (inferior a 1,88 mmol/l) em nenhum dos dois ensaios clínicos de fase III controlados com placebo em doentes a receber ablação hormonal ou no ensaio clínico de fase III controlado com placebo em homens com osteoporose.</w:t>
      </w:r>
    </w:p>
    <w:p w14:paraId="6B96EA1B" w14:textId="77777777" w:rsidR="00CD0319" w:rsidRPr="00B5050F" w:rsidRDefault="00CD0319" w:rsidP="008B4ED7"/>
    <w:p w14:paraId="17A00D6A" w14:textId="77777777" w:rsidR="007B6756" w:rsidRPr="00B5050F" w:rsidRDefault="007B6756" w:rsidP="008B4ED7">
      <w:r w:rsidRPr="00B5050F">
        <w:t>No período pós</w:t>
      </w:r>
      <w:r w:rsidRPr="00B5050F">
        <w:noBreakHyphen/>
        <w:t xml:space="preserve">comercialização, têm sido notificados casos raros de hipocalcemia sintomática grave que resultam em hospitalizações, acontecimentos potencialmente fatais e casos fatais, predominantemente em doentes a receber denosumab com um risco aumentado de hipocalcemia, com a maioria dos casos a ocorrer nas primeiras semanas de início da terapêutica. Exemplos de </w:t>
      </w:r>
      <w:r w:rsidRPr="00B5050F">
        <w:lastRenderedPageBreak/>
        <w:t>manifestações clínicas de hipocalcemia sintomática grave incluem prolongamento do intervalo QT, tetania, convulsões e estado mental alterado (ver secção 4.4). Sintomas de hipocalcemia em estudos clínicos com denosumab incluem parestesias ou rigidez muscular, contração muscular súbita, espasmos ou cãibras musculares.</w:t>
      </w:r>
    </w:p>
    <w:p w14:paraId="722F5BDE" w14:textId="77777777" w:rsidR="008011D6" w:rsidRPr="00B5050F" w:rsidRDefault="008011D6" w:rsidP="008B4ED7"/>
    <w:p w14:paraId="1DE454FA" w14:textId="77777777" w:rsidR="008011D6" w:rsidRPr="00B5050F" w:rsidRDefault="008011D6" w:rsidP="008B4ED7">
      <w:pPr>
        <w:keepNext/>
        <w:tabs>
          <w:tab w:val="clear" w:pos="567"/>
        </w:tabs>
        <w:rPr>
          <w:i/>
          <w:iCs/>
        </w:rPr>
      </w:pPr>
      <w:r w:rsidRPr="00B5050F">
        <w:rPr>
          <w:i/>
        </w:rPr>
        <w:t>Infeções cutâneas</w:t>
      </w:r>
    </w:p>
    <w:p w14:paraId="5B9CC213" w14:textId="37A2DC85" w:rsidR="008011D6" w:rsidRPr="00B5050F" w:rsidRDefault="008011D6" w:rsidP="008B4ED7">
      <w:r w:rsidRPr="00B5050F">
        <w:t>Nos ensaios clínicos de fase III controlados com placebo, a incidência global de infeções cutâneas foi similar nos grupos do placebo e de denosumab: nas mulheres na pós</w:t>
      </w:r>
      <w:r w:rsidRPr="00B5050F">
        <w:noBreakHyphen/>
        <w:t xml:space="preserve">menopausa com osteoporose (placebo [1,2%, 50 em 4.041] </w:t>
      </w:r>
      <w:r w:rsidRPr="00B5050F">
        <w:rPr>
          <w:i/>
        </w:rPr>
        <w:t>versus</w:t>
      </w:r>
      <w:r w:rsidRPr="00B5050F">
        <w:t xml:space="preserve"> </w:t>
      </w:r>
      <w:r w:rsidR="00B0470E" w:rsidRPr="00B5050F">
        <w:t>denosumab</w:t>
      </w:r>
      <w:r w:rsidRPr="00B5050F">
        <w:t xml:space="preserve"> [1,5%, 59 em 4.050]); em homens com osteoporose (placebo [0,8%, 1 em 120] </w:t>
      </w:r>
      <w:r w:rsidRPr="00B5050F">
        <w:rPr>
          <w:i/>
        </w:rPr>
        <w:t>versus</w:t>
      </w:r>
      <w:r w:rsidRPr="00B5050F">
        <w:t xml:space="preserve"> </w:t>
      </w:r>
      <w:r w:rsidR="00B0470E" w:rsidRPr="00B5050F">
        <w:t>denosumab</w:t>
      </w:r>
      <w:r w:rsidRPr="00B5050F">
        <w:t xml:space="preserve"> [0%, 0 em 120]); nos doentes com cancro da mama ou da próstata a receber ablação hormonal (placebo [1,7%, 14 em 845] </w:t>
      </w:r>
      <w:r w:rsidRPr="00B5050F">
        <w:rPr>
          <w:i/>
        </w:rPr>
        <w:t>versus</w:t>
      </w:r>
      <w:r w:rsidRPr="00B5050F">
        <w:t xml:space="preserve"> </w:t>
      </w:r>
      <w:r w:rsidR="00B0470E" w:rsidRPr="00B5050F">
        <w:t>denosumab</w:t>
      </w:r>
      <w:r w:rsidRPr="00B5050F">
        <w:t xml:space="preserve"> [1,4%, 12 em 860]). Foram notificadas infeções cutâneas que conduziram a hospitalização em 0,1% (3 em 4.041) das mulheres na pós</w:t>
      </w:r>
      <w:r w:rsidRPr="00B5050F">
        <w:noBreakHyphen/>
        <w:t xml:space="preserve">menopausa com osteoporose a receber placebo </w:t>
      </w:r>
      <w:r w:rsidRPr="00B5050F">
        <w:rPr>
          <w:i/>
        </w:rPr>
        <w:t>versus</w:t>
      </w:r>
      <w:r w:rsidRPr="00B5050F">
        <w:t xml:space="preserve"> 0,4% (16 em 4.050) das mulheres a receber </w:t>
      </w:r>
      <w:r w:rsidR="00B0470E" w:rsidRPr="00B5050F">
        <w:t>denosumab</w:t>
      </w:r>
      <w:r w:rsidRPr="00B5050F">
        <w:t xml:space="preserve">. Estes casos foram predominantemente de celulite. As infeções cutâneas referidas como reações adversas graves foram similares nos grupos do placebo (0,6%, 5 em 845) e de </w:t>
      </w:r>
      <w:r w:rsidR="00B0470E" w:rsidRPr="00B5050F">
        <w:t>denosumab</w:t>
      </w:r>
      <w:r w:rsidRPr="00B5050F">
        <w:t xml:space="preserve"> (0,6%, 5 em 860) nos estudos com cancro da mama e da próstata.</w:t>
      </w:r>
    </w:p>
    <w:p w14:paraId="27CE4924" w14:textId="77777777" w:rsidR="006606E8" w:rsidRPr="00B5050F" w:rsidRDefault="006606E8" w:rsidP="008B4ED7"/>
    <w:p w14:paraId="2FD8B5AF" w14:textId="77777777" w:rsidR="006606E8" w:rsidRPr="00B5050F" w:rsidRDefault="006606E8" w:rsidP="008B4ED7">
      <w:pPr>
        <w:keepNext/>
        <w:tabs>
          <w:tab w:val="clear" w:pos="567"/>
        </w:tabs>
        <w:rPr>
          <w:i/>
          <w:iCs/>
        </w:rPr>
      </w:pPr>
      <w:r w:rsidRPr="00B5050F">
        <w:rPr>
          <w:i/>
        </w:rPr>
        <w:t>Osteonecrose da mandíbula</w:t>
      </w:r>
    </w:p>
    <w:p w14:paraId="27BEB89E" w14:textId="77777777" w:rsidR="00CB6286" w:rsidRPr="00B5050F" w:rsidRDefault="00BD493B" w:rsidP="008B4ED7">
      <w:r w:rsidRPr="00B5050F">
        <w:t>A ONM tem sido notificada raramente, em 16 doentes, em ensaios clínicos de osteoporose e em doentes com cancro da mama ou da próstata a receber ablação hormonal incluindo um total de 23.148 doentes (ver secção 4.4). Treze destes casos de ONM ocorreram em mulheres na pós</w:t>
      </w:r>
      <w:r w:rsidRPr="00B5050F">
        <w:noBreakHyphen/>
        <w:t>menopausa com osteoporose durante a fase III do ensaio clínico de extensão, após o tratamento com denosumab até 10 anos. A incidência de ONM foi de 0,04% aos 3 anos, 0,06% aos 5 anos e 0,44% aos 10 anos de tratamento com denosumab. O risco de ONM aumentou com a duração da exposição a denosumab.</w:t>
      </w:r>
    </w:p>
    <w:p w14:paraId="5ABD4829" w14:textId="77777777" w:rsidR="00C2322D" w:rsidRPr="00B5050F" w:rsidRDefault="00C2322D" w:rsidP="008B4ED7"/>
    <w:p w14:paraId="2A8620AA" w14:textId="13C75195" w:rsidR="00B0470E" w:rsidRPr="00B5050F" w:rsidRDefault="00D90516" w:rsidP="008B4ED7">
      <w:r>
        <w:t xml:space="preserve">O risco de ONM foi, igualmente, avaliado num estudo de coorte retrospetivo em 76 192 mulheres na pós-menopausa que iniciaram recentemente o tratamento com </w:t>
      </w:r>
      <w:r>
        <w:rPr>
          <w:rFonts w:eastAsia="맑은 고딕" w:hint="eastAsia"/>
          <w:lang w:eastAsia="ko-KR"/>
        </w:rPr>
        <w:t>denosumab</w:t>
      </w:r>
      <w:r>
        <w:t>. A incidência de ONM foi de 0,32% (intervalo de confiança [IC] de 95%: 0,26; 0,39) nas doentes que utilizaram denosumab até 3 anos e de 0,51% (IC 95%: 0,39; 0,65) nas doentes que utilizaram denosumab até 5 anos de seguimento</w:t>
      </w:r>
      <w:r w:rsidR="008679E0" w:rsidRPr="00B5050F">
        <w:t>.</w:t>
      </w:r>
    </w:p>
    <w:p w14:paraId="769FF671" w14:textId="77777777" w:rsidR="00B0470E" w:rsidRPr="00B5050F" w:rsidRDefault="00B0470E" w:rsidP="008B4ED7"/>
    <w:p w14:paraId="71BE4156" w14:textId="77777777" w:rsidR="000675CA" w:rsidRPr="00B5050F" w:rsidRDefault="000675CA" w:rsidP="008B4ED7">
      <w:pPr>
        <w:keepNext/>
        <w:tabs>
          <w:tab w:val="clear" w:pos="567"/>
        </w:tabs>
        <w:rPr>
          <w:i/>
          <w:iCs/>
        </w:rPr>
      </w:pPr>
      <w:r w:rsidRPr="00B5050F">
        <w:rPr>
          <w:i/>
        </w:rPr>
        <w:t>Fraturas atípicas do fémur</w:t>
      </w:r>
    </w:p>
    <w:p w14:paraId="2ADD7CD9" w14:textId="77777777" w:rsidR="000675CA" w:rsidRPr="00B5050F" w:rsidRDefault="000675CA" w:rsidP="008B4ED7">
      <w:r w:rsidRPr="00B5050F">
        <w:t>No programa de ensaios clínicos de osteoporose, foram notificadas raramente fraturas atípicas do fémur em doentes tratados com denosumab (ver secção 4.4).</w:t>
      </w:r>
    </w:p>
    <w:p w14:paraId="0E0B6D5F" w14:textId="77777777" w:rsidR="008011D6" w:rsidRPr="00B5050F" w:rsidRDefault="008011D6" w:rsidP="008B4ED7"/>
    <w:p w14:paraId="676F9580" w14:textId="77777777" w:rsidR="008603DE" w:rsidRPr="00B5050F" w:rsidRDefault="008011D6" w:rsidP="008B4ED7">
      <w:pPr>
        <w:keepNext/>
        <w:tabs>
          <w:tab w:val="clear" w:pos="567"/>
        </w:tabs>
        <w:rPr>
          <w:i/>
          <w:iCs/>
        </w:rPr>
      </w:pPr>
      <w:r w:rsidRPr="00B5050F">
        <w:rPr>
          <w:i/>
        </w:rPr>
        <w:t>Diverticulite</w:t>
      </w:r>
    </w:p>
    <w:p w14:paraId="3EC72DFC" w14:textId="77777777" w:rsidR="008011D6" w:rsidRPr="00B5050F" w:rsidRDefault="008011D6" w:rsidP="00BF0C34">
      <w:r w:rsidRPr="00B5050F">
        <w:t>Num ensaio clínico único de fase III controlado com placebo em doentes com cancro da próstata a receber terapia de privação androgénica (TPA), observou</w:t>
      </w:r>
      <w:r w:rsidRPr="00B5050F">
        <w:noBreakHyphen/>
        <w:t>se um desequilíbrio nos acontecimentos adversos relacionados com a diverticulite (1,2% denosumab, 0% placebo). A incidência de diverticulite foi comparável nos dois grupos de tratamento em mulheres na pós</w:t>
      </w:r>
      <w:r w:rsidRPr="00B5050F">
        <w:noBreakHyphen/>
        <w:t>menopausa ou em homens com osteoporose e em mulheres a receber terapêutica de inibição da aromatase para o cancro da mama não metastizado.</w:t>
      </w:r>
    </w:p>
    <w:p w14:paraId="7A3BF842" w14:textId="77777777" w:rsidR="00992A6A" w:rsidRPr="00B5050F" w:rsidRDefault="00992A6A" w:rsidP="008B4ED7"/>
    <w:p w14:paraId="69AFE267" w14:textId="77777777" w:rsidR="008603DE" w:rsidRPr="00B5050F" w:rsidRDefault="00992A6A" w:rsidP="008B4ED7">
      <w:pPr>
        <w:keepNext/>
        <w:tabs>
          <w:tab w:val="clear" w:pos="567"/>
        </w:tabs>
        <w:rPr>
          <w:i/>
          <w:iCs/>
        </w:rPr>
      </w:pPr>
      <w:r w:rsidRPr="00B5050F">
        <w:rPr>
          <w:i/>
        </w:rPr>
        <w:t>Reações de hipersensibilidade relacionadas com o medicamento</w:t>
      </w:r>
    </w:p>
    <w:p w14:paraId="1B8D6EF3" w14:textId="60918D08" w:rsidR="008603DE" w:rsidRPr="00B5050F" w:rsidRDefault="008A3961" w:rsidP="008B4ED7">
      <w:r w:rsidRPr="00B5050F">
        <w:t>No período pós</w:t>
      </w:r>
      <w:r w:rsidRPr="00B5050F">
        <w:noBreakHyphen/>
        <w:t xml:space="preserve">comercialização, acontecimentos raros de hipersensibilidade ao medicamento, incluindo erupção cutânea, urticária, edema da face, eritema e reações anafiláticas têm sido notificados em doentes a receber </w:t>
      </w:r>
      <w:r w:rsidR="00F124A7" w:rsidRPr="00B5050F">
        <w:t>denosumab</w:t>
      </w:r>
      <w:r w:rsidRPr="00B5050F">
        <w:t>.</w:t>
      </w:r>
    </w:p>
    <w:p w14:paraId="1BE6187A" w14:textId="77777777" w:rsidR="007B6756" w:rsidRPr="00B5050F" w:rsidRDefault="007B6756" w:rsidP="008B4ED7"/>
    <w:p w14:paraId="6545BCA3" w14:textId="77777777" w:rsidR="007B6756" w:rsidRPr="00B5050F" w:rsidRDefault="007B6756" w:rsidP="008B4ED7">
      <w:pPr>
        <w:keepNext/>
        <w:tabs>
          <w:tab w:val="clear" w:pos="567"/>
        </w:tabs>
        <w:rPr>
          <w:i/>
          <w:iCs/>
        </w:rPr>
      </w:pPr>
      <w:r w:rsidRPr="00B5050F">
        <w:rPr>
          <w:i/>
        </w:rPr>
        <w:t>Dor musculosquelética</w:t>
      </w:r>
    </w:p>
    <w:p w14:paraId="3F629B85" w14:textId="4ADC45D2" w:rsidR="007B6756" w:rsidRPr="00B5050F" w:rsidRDefault="007B6756" w:rsidP="008B4ED7">
      <w:r w:rsidRPr="00B5050F">
        <w:t xml:space="preserve">Dor musculosquelética, incluindo casos graves, tem sido notificada em doentes a receber </w:t>
      </w:r>
      <w:r w:rsidR="00984F8D" w:rsidRPr="00B5050F">
        <w:t>denosumab</w:t>
      </w:r>
      <w:r w:rsidRPr="00B5050F">
        <w:t xml:space="preserve"> no período pós</w:t>
      </w:r>
      <w:r w:rsidRPr="00B5050F">
        <w:noBreakHyphen/>
        <w:t>comercialização. Nos ensaios clínicos, a dor musculosquelética foi muito frequente em ambos os grupos, denosumab e placebo. Foi pouco frequente a dor musculosquelética levar à descontinuação do tratamento em estudo.</w:t>
      </w:r>
    </w:p>
    <w:p w14:paraId="44F52325" w14:textId="77777777" w:rsidR="00F41B80" w:rsidRPr="00B5050F" w:rsidRDefault="00F41B80" w:rsidP="008B4ED7"/>
    <w:p w14:paraId="0B521684" w14:textId="7F6F61ED" w:rsidR="00F41B80" w:rsidRPr="00B5050F" w:rsidRDefault="00F41B80" w:rsidP="008B4ED7">
      <w:pPr>
        <w:keepNext/>
        <w:tabs>
          <w:tab w:val="clear" w:pos="567"/>
        </w:tabs>
        <w:rPr>
          <w:i/>
          <w:iCs/>
        </w:rPr>
      </w:pPr>
      <w:r w:rsidRPr="00B5050F">
        <w:rPr>
          <w:i/>
        </w:rPr>
        <w:lastRenderedPageBreak/>
        <w:t xml:space="preserve">Erupções medicamentosas </w:t>
      </w:r>
      <w:r w:rsidR="004929CA" w:rsidRPr="00B5050F">
        <w:rPr>
          <w:i/>
        </w:rPr>
        <w:t>liquenoides</w:t>
      </w:r>
    </w:p>
    <w:p w14:paraId="673671C9" w14:textId="6F0CBCBA" w:rsidR="00F41B80" w:rsidRPr="00B5050F" w:rsidRDefault="00A96BB4" w:rsidP="008B4ED7">
      <w:r w:rsidRPr="00B5050F">
        <w:t xml:space="preserve">Foram notificadas erupções medicamentosas </w:t>
      </w:r>
      <w:r w:rsidR="004929CA" w:rsidRPr="00B5050F">
        <w:t>liquenoides</w:t>
      </w:r>
      <w:r w:rsidRPr="00B5050F">
        <w:t xml:space="preserve"> (p. ex., reações do tipo líquen plano) em doentes no período pós</w:t>
      </w:r>
      <w:r w:rsidRPr="00B5050F">
        <w:noBreakHyphen/>
        <w:t>comercialização.</w:t>
      </w:r>
    </w:p>
    <w:p w14:paraId="2EB80FD3" w14:textId="77777777" w:rsidR="008011D6" w:rsidRPr="00B5050F" w:rsidRDefault="008011D6" w:rsidP="008B4ED7"/>
    <w:p w14:paraId="6643E964" w14:textId="77777777" w:rsidR="008011D6" w:rsidRPr="00B5050F" w:rsidRDefault="008011D6" w:rsidP="008B4ED7">
      <w:pPr>
        <w:keepNext/>
        <w:rPr>
          <w:u w:val="single"/>
        </w:rPr>
      </w:pPr>
      <w:r w:rsidRPr="00B5050F">
        <w:rPr>
          <w:u w:val="single"/>
        </w:rPr>
        <w:t>Outras populações especiais</w:t>
      </w:r>
    </w:p>
    <w:p w14:paraId="565D9611" w14:textId="77777777" w:rsidR="002409B1" w:rsidRPr="00B5050F" w:rsidRDefault="002409B1" w:rsidP="008B4ED7">
      <w:pPr>
        <w:keepNext/>
      </w:pPr>
    </w:p>
    <w:p w14:paraId="5F52E3DD" w14:textId="77777777" w:rsidR="00555733" w:rsidRPr="00B5050F" w:rsidRDefault="00555733" w:rsidP="008B4ED7">
      <w:pPr>
        <w:keepNext/>
        <w:rPr>
          <w:i/>
          <w:iCs/>
        </w:rPr>
      </w:pPr>
      <w:r w:rsidRPr="00B5050F">
        <w:rPr>
          <w:i/>
        </w:rPr>
        <w:t>População pediátrica</w:t>
      </w:r>
    </w:p>
    <w:p w14:paraId="09FC7F63" w14:textId="56B120AF" w:rsidR="00555733" w:rsidRPr="00B5050F" w:rsidRDefault="00984F8D" w:rsidP="00434AA6">
      <w:r w:rsidRPr="00B5050F">
        <w:t>Denosumab</w:t>
      </w:r>
      <w:r w:rsidR="00555733" w:rsidRPr="00B5050F">
        <w:t xml:space="preserve"> não deve ser utilizado em doentes pediátricos (idade &lt; 18). Têm sido notificados casos de hipercalcemia grave (ver secção 5.1). Alguns casos em ensaios clínicos sofreram complicações por lesão renal aguda.</w:t>
      </w:r>
    </w:p>
    <w:p w14:paraId="36AFB43C" w14:textId="77777777" w:rsidR="00555733" w:rsidRPr="00B5050F" w:rsidRDefault="00555733" w:rsidP="008B4ED7">
      <w:pPr>
        <w:keepNext/>
      </w:pPr>
    </w:p>
    <w:p w14:paraId="0DA22F47" w14:textId="77777777" w:rsidR="008603DE" w:rsidRPr="00B5050F" w:rsidRDefault="002409B1" w:rsidP="008B4ED7">
      <w:pPr>
        <w:keepNext/>
        <w:tabs>
          <w:tab w:val="clear" w:pos="567"/>
        </w:tabs>
        <w:rPr>
          <w:i/>
          <w:iCs/>
        </w:rPr>
      </w:pPr>
      <w:r w:rsidRPr="00B5050F">
        <w:rPr>
          <w:i/>
        </w:rPr>
        <w:t>Compromisso renal</w:t>
      </w:r>
    </w:p>
    <w:p w14:paraId="21FC633A" w14:textId="77777777" w:rsidR="008011D6" w:rsidRPr="00B5050F" w:rsidRDefault="008011D6" w:rsidP="008B4ED7">
      <w:r w:rsidRPr="00B5050F">
        <w:t>Em estudos clínicos, os doentes com disfunção renal grave (depuração da creatinina &lt; 30 ml/min) ou em diálise apresentaram um risco maior de desenvolverem hipocalcemia na ausência de suplementação com cálcio. Uma toma adequada de cálcio e de vitamina D é importante em doentes com disfunção renal grave ou em diálise (ver secção 4.4).</w:t>
      </w:r>
    </w:p>
    <w:p w14:paraId="6A7776E5" w14:textId="77777777" w:rsidR="008011D6" w:rsidRPr="00B5050F" w:rsidRDefault="008011D6" w:rsidP="008B4ED7"/>
    <w:p w14:paraId="04190C55" w14:textId="77777777" w:rsidR="00C108F9" w:rsidRPr="00B5050F" w:rsidRDefault="006E32CF" w:rsidP="008B4ED7">
      <w:pPr>
        <w:keepNext/>
        <w:rPr>
          <w:u w:val="single"/>
        </w:rPr>
      </w:pPr>
      <w:r w:rsidRPr="00B5050F">
        <w:rPr>
          <w:u w:val="single"/>
        </w:rPr>
        <w:t>Notificação de suspeitas de reações adversas</w:t>
      </w:r>
    </w:p>
    <w:p w14:paraId="4FFAC3E3" w14:textId="77777777" w:rsidR="006E32CF" w:rsidRPr="00B5050F" w:rsidRDefault="006E32CF" w:rsidP="008B4ED7">
      <w:pPr>
        <w:keepNext/>
        <w:tabs>
          <w:tab w:val="clear" w:pos="567"/>
        </w:tabs>
        <w:autoSpaceDE w:val="0"/>
        <w:autoSpaceDN w:val="0"/>
        <w:adjustRightInd w:val="0"/>
        <w:rPr>
          <w:u w:val="single"/>
          <w:lang w:eastAsia="en-GB"/>
        </w:rPr>
      </w:pPr>
    </w:p>
    <w:p w14:paraId="6239BF58" w14:textId="77777777" w:rsidR="006E32CF" w:rsidRPr="00B5050F" w:rsidRDefault="006E32CF" w:rsidP="008B4ED7">
      <w:r w:rsidRPr="00B5050F">
        <w:t>A notificação de suspeitas de reações adversas após a autorização do medicamento é importante, uma vez que permite uma monitorização contínua da relação benefício</w:t>
      </w:r>
      <w:r w:rsidRPr="00B5050F">
        <w:noBreakHyphen/>
        <w:t>risco do medicamento. Pede</w:t>
      </w:r>
      <w:r w:rsidRPr="00B5050F">
        <w:noBreakHyphen/>
        <w:t xml:space="preserve">se aos profissionais de saúde que notifiquem quaisquer suspeitas de reações adversas através </w:t>
      </w:r>
      <w:r>
        <w:rPr>
          <w:highlight w:val="lightGray"/>
        </w:rPr>
        <w:t xml:space="preserve">do sistema nacional de notificação mencionado no </w:t>
      </w:r>
      <w:r>
        <w:fldChar w:fldCharType="begin"/>
      </w:r>
      <w:r>
        <w:instrText>HYPERLINK "https://www.ema.europa.eu/documents/template-form/qrd-appendix-v-adverse-drug-reaction-reporting-details_en.docx"</w:instrText>
      </w:r>
      <w:r>
        <w:fldChar w:fldCharType="separate"/>
      </w:r>
      <w:r>
        <w:rPr>
          <w:rStyle w:val="ab"/>
          <w:highlight w:val="lightGray"/>
        </w:rPr>
        <w:t>Apêndice V</w:t>
      </w:r>
      <w:r>
        <w:fldChar w:fldCharType="end"/>
      </w:r>
      <w:r w:rsidRPr="00B5050F">
        <w:t>.</w:t>
      </w:r>
    </w:p>
    <w:p w14:paraId="5C6E71AD" w14:textId="77777777" w:rsidR="006E32CF" w:rsidRPr="00B5050F" w:rsidRDefault="006E32CF" w:rsidP="008B4ED7"/>
    <w:p w14:paraId="140BEA78" w14:textId="77777777" w:rsidR="008011D6" w:rsidRPr="00B5050F" w:rsidRDefault="008011D6" w:rsidP="008B4ED7">
      <w:pPr>
        <w:keepNext/>
        <w:ind w:left="567" w:hanging="567"/>
        <w:rPr>
          <w:b/>
        </w:rPr>
      </w:pPr>
      <w:r w:rsidRPr="00B5050F">
        <w:rPr>
          <w:b/>
        </w:rPr>
        <w:t>4.9</w:t>
      </w:r>
      <w:r w:rsidRPr="00B5050F">
        <w:rPr>
          <w:b/>
        </w:rPr>
        <w:tab/>
        <w:t>Sobredosagem</w:t>
      </w:r>
    </w:p>
    <w:p w14:paraId="282EB14C" w14:textId="77777777" w:rsidR="008011D6" w:rsidRPr="00B5050F" w:rsidRDefault="008011D6" w:rsidP="008B4ED7">
      <w:pPr>
        <w:keepNext/>
      </w:pPr>
    </w:p>
    <w:p w14:paraId="225470D3" w14:textId="77777777" w:rsidR="00992A6A" w:rsidRPr="00B5050F" w:rsidRDefault="00992A6A" w:rsidP="008B4ED7">
      <w:r w:rsidRPr="00B5050F">
        <w:t>Não existe experiência com sobredosagem nos estudos clínicos. Denosumab foi administrado em estudos clínicos utilizando doses até 180 mg a cada 4 semanas (doses cumulativas até 1.080 mg ao longo de 6 meses), e não se observaram reações adversas adicionais.</w:t>
      </w:r>
    </w:p>
    <w:p w14:paraId="1C791BAE" w14:textId="77777777" w:rsidR="008011D6" w:rsidRPr="00B5050F" w:rsidRDefault="008011D6" w:rsidP="008B4ED7"/>
    <w:p w14:paraId="6D27B18F" w14:textId="77777777" w:rsidR="008011D6" w:rsidRPr="00B5050F" w:rsidRDefault="008011D6" w:rsidP="008B4ED7"/>
    <w:p w14:paraId="26D3A281" w14:textId="77777777" w:rsidR="008011D6" w:rsidRPr="00B5050F" w:rsidRDefault="008011D6" w:rsidP="008B4ED7">
      <w:pPr>
        <w:keepNext/>
        <w:ind w:left="567" w:hanging="567"/>
        <w:rPr>
          <w:b/>
        </w:rPr>
      </w:pPr>
      <w:r w:rsidRPr="00B5050F">
        <w:rPr>
          <w:b/>
        </w:rPr>
        <w:t>5.</w:t>
      </w:r>
      <w:r w:rsidRPr="00B5050F">
        <w:rPr>
          <w:b/>
        </w:rPr>
        <w:tab/>
        <w:t>PROPRIEDADES FARMACOLÓGICAS</w:t>
      </w:r>
    </w:p>
    <w:p w14:paraId="200DE38A" w14:textId="77777777" w:rsidR="008011D6" w:rsidRPr="00B5050F" w:rsidRDefault="008011D6" w:rsidP="008B4ED7">
      <w:pPr>
        <w:keepNext/>
      </w:pPr>
    </w:p>
    <w:p w14:paraId="4FDEF335" w14:textId="77777777" w:rsidR="008011D6" w:rsidRPr="00B5050F" w:rsidRDefault="00C345B1" w:rsidP="008B4ED7">
      <w:pPr>
        <w:keepNext/>
        <w:ind w:left="567" w:hanging="567"/>
        <w:rPr>
          <w:b/>
        </w:rPr>
      </w:pPr>
      <w:r w:rsidRPr="00B5050F">
        <w:rPr>
          <w:b/>
        </w:rPr>
        <w:t>5.1</w:t>
      </w:r>
      <w:r w:rsidRPr="00B5050F">
        <w:rPr>
          <w:b/>
        </w:rPr>
        <w:tab/>
        <w:t>Propriedades farmacodinâmicas</w:t>
      </w:r>
    </w:p>
    <w:p w14:paraId="37251C6F" w14:textId="77777777" w:rsidR="008011D6" w:rsidRPr="00B5050F" w:rsidRDefault="008011D6" w:rsidP="008B4ED7">
      <w:pPr>
        <w:keepNext/>
      </w:pPr>
    </w:p>
    <w:p w14:paraId="25C0A28C" w14:textId="77777777" w:rsidR="008011D6" w:rsidRPr="00B5050F" w:rsidRDefault="008011D6" w:rsidP="008B4ED7">
      <w:r w:rsidRPr="00B5050F">
        <w:t>Grupo farmacoterapêutico: Medicamentos para tratamento de doenças ósseas – Outros medicamentos que afetam a estrutura e mineralização do osso, código ATC: M05BX04</w:t>
      </w:r>
    </w:p>
    <w:p w14:paraId="6A288EA0" w14:textId="77777777" w:rsidR="008011D6" w:rsidRPr="00B5050F" w:rsidRDefault="008011D6" w:rsidP="008B4ED7"/>
    <w:p w14:paraId="30F4920D" w14:textId="643FAFD1" w:rsidR="00ED317A" w:rsidRPr="00B5050F" w:rsidRDefault="003C11AF" w:rsidP="008B4ED7">
      <w:r>
        <w:rPr>
          <w:rFonts w:eastAsia="맑은 고딕" w:hint="eastAsia"/>
          <w:lang w:eastAsia="ko-KR"/>
        </w:rPr>
        <w:t>Stoboclo</w:t>
      </w:r>
      <w:r w:rsidR="00ED317A" w:rsidRPr="00B5050F">
        <w:t xml:space="preserve"> é um medicamento biológico similar. Está disponível informação pormenorizada no sítio da internet da Agência Europeia de Medicamentos </w:t>
      </w:r>
      <w:r w:rsidR="009D5BBE">
        <w:fldChar w:fldCharType="begin"/>
      </w:r>
      <w:r w:rsidR="009D5BBE">
        <w:instrText>HYPERLINK "https://www.ema.europa.eu"</w:instrText>
      </w:r>
      <w:r w:rsidR="009D5BBE">
        <w:fldChar w:fldCharType="separate"/>
      </w:r>
      <w:r w:rsidR="009D5BBE" w:rsidRPr="008F4D5E">
        <w:rPr>
          <w:rStyle w:val="ab"/>
        </w:rPr>
        <w:t>https://www.ema.europa.eu</w:t>
      </w:r>
      <w:r w:rsidR="009D5BBE">
        <w:fldChar w:fldCharType="end"/>
      </w:r>
      <w:r w:rsidR="00ED317A" w:rsidRPr="00B5050F">
        <w:t>.</w:t>
      </w:r>
    </w:p>
    <w:p w14:paraId="3193D537" w14:textId="77777777" w:rsidR="00ED317A" w:rsidRPr="00B5050F" w:rsidRDefault="00ED317A" w:rsidP="008B4ED7"/>
    <w:p w14:paraId="0F676651" w14:textId="77777777" w:rsidR="008011D6" w:rsidRPr="00B5050F" w:rsidRDefault="008011D6" w:rsidP="008B4ED7">
      <w:pPr>
        <w:keepNext/>
        <w:rPr>
          <w:u w:val="single"/>
        </w:rPr>
      </w:pPr>
      <w:r w:rsidRPr="00B5050F">
        <w:rPr>
          <w:u w:val="single"/>
        </w:rPr>
        <w:t>Mecanismo de ação</w:t>
      </w:r>
    </w:p>
    <w:p w14:paraId="0CCCE1E8" w14:textId="77777777" w:rsidR="002409B1" w:rsidRPr="00B5050F" w:rsidRDefault="002409B1" w:rsidP="008B4ED7">
      <w:pPr>
        <w:keepNext/>
        <w:rPr>
          <w:u w:val="single"/>
        </w:rPr>
      </w:pPr>
    </w:p>
    <w:p w14:paraId="2B0348C4" w14:textId="77777777" w:rsidR="008011D6" w:rsidRPr="00B5050F" w:rsidRDefault="008011D6" w:rsidP="008B4ED7">
      <w:r w:rsidRPr="00B5050F">
        <w:t>Denosumab é um anticorpo (IgG2) monoclonal humano que tem por alvo o RANKL, ao qual se liga com elevada afinidade e especificidade, prevenindo a ativação do seu recetor, RANK, na superfície dos precursores dos osteoclastos e dos osteoclastos. A prevenção da interação entre RANKL/RANK inibe a formação, função e sobrevivência dos osteoclastos, reduzindo assim a reabsorção óssea no osso cortical e trabecular.</w:t>
      </w:r>
    </w:p>
    <w:p w14:paraId="380B459F" w14:textId="77777777" w:rsidR="008011D6" w:rsidRPr="00B5050F" w:rsidRDefault="008011D6" w:rsidP="008B4ED7"/>
    <w:p w14:paraId="237AA401" w14:textId="77777777" w:rsidR="008011D6" w:rsidRPr="00B5050F" w:rsidRDefault="008011D6" w:rsidP="008B4ED7">
      <w:pPr>
        <w:keepNext/>
        <w:rPr>
          <w:u w:val="single"/>
        </w:rPr>
      </w:pPr>
      <w:r w:rsidRPr="00B5050F">
        <w:rPr>
          <w:u w:val="single"/>
        </w:rPr>
        <w:t>Efeitos farmacodinâmicos</w:t>
      </w:r>
    </w:p>
    <w:p w14:paraId="32F27987" w14:textId="77777777" w:rsidR="002409B1" w:rsidRPr="00B5050F" w:rsidRDefault="002409B1" w:rsidP="008B4ED7">
      <w:pPr>
        <w:keepNext/>
      </w:pPr>
    </w:p>
    <w:p w14:paraId="1B2D0E9B" w14:textId="542FD259" w:rsidR="008011D6" w:rsidRPr="00B5050F" w:rsidRDefault="008011D6" w:rsidP="008B4ED7">
      <w:r w:rsidRPr="00B5050F">
        <w:t xml:space="preserve">O tratamento com </w:t>
      </w:r>
      <w:r w:rsidR="003275A5" w:rsidRPr="00B5050F">
        <w:t>denosumab</w:t>
      </w:r>
      <w:r w:rsidRPr="00B5050F">
        <w:t xml:space="preserve"> reduziu rapidamente a taxa de remodelação óssea, atingindo um valor mínimo para o marcador de reabsorção óssea telopéptido C (CTX) sérico do tipo 1 (redução de 85%) em 3 dias, com as reduções a manterem</w:t>
      </w:r>
      <w:r w:rsidRPr="00B5050F">
        <w:noBreakHyphen/>
        <w:t>se ao longo do intervalo de administração da dose. No final de cada intervalo de administração da dose, as reduções do CTX estavam parcialmente atenuadas de uma redução máxima ≥ 87% para aproximadamente ≥ 45% (intervalo de 45</w:t>
      </w:r>
      <w:r w:rsidRPr="00B5050F">
        <w:noBreakHyphen/>
        <w:t xml:space="preserve">80%), refletindo a reversibilidade dos efeitos de </w:t>
      </w:r>
      <w:r w:rsidR="003275A5" w:rsidRPr="00B5050F">
        <w:t>denosumab</w:t>
      </w:r>
      <w:r w:rsidRPr="00B5050F">
        <w:t xml:space="preserve"> na remodelação óssea, uma vez que os valores séricos </w:t>
      </w:r>
      <w:r w:rsidRPr="00B5050F">
        <w:lastRenderedPageBreak/>
        <w:t>diminuem. Estes efeitos mantiveram</w:t>
      </w:r>
      <w:r w:rsidRPr="00B5050F">
        <w:noBreakHyphen/>
        <w:t>se com a continuação do tratamento. Os marcadores de remodelação óssea atingiram geralmente os valores anteriores ao tratamento num período de 9 meses após a última dose. Com a reiniciação, as reduções de CTX pelo denosumab foram semelhantes às observadas em doentes a iniciar tratamento primário com denosumab.</w:t>
      </w:r>
    </w:p>
    <w:p w14:paraId="2A960CA1" w14:textId="77777777" w:rsidR="008011D6" w:rsidRPr="00B5050F" w:rsidRDefault="008011D6" w:rsidP="008B4ED7"/>
    <w:p w14:paraId="596F386E" w14:textId="77777777" w:rsidR="008011D6" w:rsidRPr="00B5050F" w:rsidRDefault="008011D6" w:rsidP="008B4ED7">
      <w:pPr>
        <w:keepNext/>
        <w:rPr>
          <w:u w:val="single"/>
        </w:rPr>
      </w:pPr>
      <w:r w:rsidRPr="00B5050F">
        <w:rPr>
          <w:u w:val="single"/>
        </w:rPr>
        <w:t>Imunogenicidade</w:t>
      </w:r>
    </w:p>
    <w:p w14:paraId="1AD4B9CB" w14:textId="77777777" w:rsidR="002409B1" w:rsidRPr="00B5050F" w:rsidRDefault="002409B1" w:rsidP="008B4ED7">
      <w:pPr>
        <w:keepNext/>
      </w:pPr>
    </w:p>
    <w:p w14:paraId="6DE84E73" w14:textId="49A58303" w:rsidR="003275A5" w:rsidRPr="00B5050F" w:rsidRDefault="003275A5" w:rsidP="008B4ED7">
      <w:pPr>
        <w:keepNext/>
      </w:pPr>
      <w:r w:rsidRPr="00B5050F">
        <w:t>Durante o tratamento com denosumab, podem desenvolver-se anticorpos antidenosumab. Não se observou correlação aparente do desenvolvimento de anticorpos com a farmacocinética, a resposta clínica ou acontecimentos adversos.</w:t>
      </w:r>
    </w:p>
    <w:p w14:paraId="168D28F9" w14:textId="77777777" w:rsidR="008011D6" w:rsidRPr="00B5050F" w:rsidRDefault="008011D6" w:rsidP="008B4ED7"/>
    <w:p w14:paraId="4069A2B6" w14:textId="77777777" w:rsidR="008011D6" w:rsidRPr="00B5050F" w:rsidRDefault="002409B1" w:rsidP="008B4ED7">
      <w:pPr>
        <w:keepNext/>
        <w:rPr>
          <w:u w:val="single"/>
        </w:rPr>
      </w:pPr>
      <w:r w:rsidRPr="00B5050F">
        <w:rPr>
          <w:u w:val="single"/>
        </w:rPr>
        <w:t>Eficácia e segurança clínicas em mulheres na pós</w:t>
      </w:r>
      <w:r w:rsidRPr="00B5050F">
        <w:rPr>
          <w:u w:val="single"/>
        </w:rPr>
        <w:noBreakHyphen/>
        <w:t>menopausa com osteoporose</w:t>
      </w:r>
    </w:p>
    <w:p w14:paraId="2F93FA2F" w14:textId="77777777" w:rsidR="002409B1" w:rsidRPr="00B5050F" w:rsidRDefault="002409B1" w:rsidP="008B4ED7">
      <w:pPr>
        <w:keepNext/>
      </w:pPr>
    </w:p>
    <w:p w14:paraId="5AF19D49" w14:textId="77777777" w:rsidR="008603DE" w:rsidRPr="00B5050F" w:rsidRDefault="008011D6" w:rsidP="008B4ED7">
      <w:r w:rsidRPr="00B5050F">
        <w:t>Foi investigada a eficácia e a segurança de denosumab quando administrado uma vez de 6 em 6 meses durante 3 anos em mulheres na pós-menopausa (7.808 mulheres com idades entre 60</w:t>
      </w:r>
      <w:r w:rsidRPr="00B5050F">
        <w:noBreakHyphen/>
        <w:t>91 anos, das quais 23,6% apresentavam fraturas vertebrais prevalentes) com índices T para a densidade mineral óssea (DMO) basal entre – 2,5 e – 4,0, ao nível da coluna lombar ou da anca total e uma probabilidade média absoluta de fratura a 10 anos de 18,60% (decis: 7,9</w:t>
      </w:r>
      <w:r w:rsidRPr="00B5050F">
        <w:noBreakHyphen/>
        <w:t>32,4%) para fraturas osteoporóticas graves e 7,22% (decis: 1,4</w:t>
      </w:r>
      <w:r w:rsidRPr="00B5050F">
        <w:noBreakHyphen/>
        <w:t>14,9%) para fratura da anca. Mulheres com outras doenças ou a fazerem terapêuticas passíveis de afetarem o osso foram excluídas deste estudo. As mulheres receberam suplementos diários de cálcio (pelo menos 1.000 mg) e de vitamina D (pelo menos 400 UI).</w:t>
      </w:r>
    </w:p>
    <w:p w14:paraId="022BECEA" w14:textId="77777777" w:rsidR="008011D6" w:rsidRPr="00B5050F" w:rsidRDefault="008011D6" w:rsidP="008B4ED7"/>
    <w:p w14:paraId="6A2C75FE" w14:textId="77777777" w:rsidR="008011D6" w:rsidRPr="00B5050F" w:rsidRDefault="008011D6" w:rsidP="008B4ED7">
      <w:pPr>
        <w:keepNext/>
        <w:tabs>
          <w:tab w:val="clear" w:pos="567"/>
        </w:tabs>
        <w:rPr>
          <w:i/>
          <w:iCs/>
        </w:rPr>
      </w:pPr>
      <w:r w:rsidRPr="00B5050F">
        <w:rPr>
          <w:i/>
        </w:rPr>
        <w:t>Efeito nas fraturas vertebrais</w:t>
      </w:r>
    </w:p>
    <w:p w14:paraId="46B778D4" w14:textId="4D484455" w:rsidR="008011D6" w:rsidRPr="00B5050F" w:rsidRDefault="000C7BCE" w:rsidP="008B4ED7">
      <w:r w:rsidRPr="00B5050F">
        <w:t>Denosumab</w:t>
      </w:r>
      <w:r w:rsidR="008011D6" w:rsidRPr="00B5050F">
        <w:t xml:space="preserve"> reduziu significativamente o risco de novas fraturas vertebrais a 1, 2 e 3 anos (p &lt; 0,0001) (ver tabela 2).</w:t>
      </w:r>
    </w:p>
    <w:p w14:paraId="07A3288C" w14:textId="77777777" w:rsidR="008011D6" w:rsidRPr="00B5050F" w:rsidRDefault="008011D6" w:rsidP="008B4ED7"/>
    <w:p w14:paraId="195739EF" w14:textId="68725308" w:rsidR="008011D6" w:rsidRPr="00B5050F" w:rsidRDefault="008011D6" w:rsidP="008B4ED7">
      <w:pPr>
        <w:keepNext/>
        <w:rPr>
          <w:b/>
          <w:bCs/>
        </w:rPr>
      </w:pPr>
      <w:r w:rsidRPr="00B5050F">
        <w:rPr>
          <w:b/>
        </w:rPr>
        <w:t xml:space="preserve">Tabela 2. Efeito de </w:t>
      </w:r>
      <w:r w:rsidR="0078220A" w:rsidRPr="00B5050F">
        <w:rPr>
          <w:b/>
        </w:rPr>
        <w:t>denosumab</w:t>
      </w:r>
      <w:r w:rsidRPr="00B5050F">
        <w:rPr>
          <w:b/>
        </w:rPr>
        <w:t xml:space="preserve"> no risco de novas fraturas vertebrais</w:t>
      </w:r>
    </w:p>
    <w:p w14:paraId="42564CB5" w14:textId="77777777" w:rsidR="008011D6" w:rsidRPr="00B5050F" w:rsidRDefault="008011D6" w:rsidP="008B4ED7">
      <w:pPr>
        <w:keepNext/>
      </w:pPr>
    </w:p>
    <w:tbl>
      <w:tblPr>
        <w:tblW w:w="48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52"/>
        <w:gridCol w:w="1995"/>
        <w:gridCol w:w="1997"/>
        <w:gridCol w:w="1907"/>
        <w:gridCol w:w="1800"/>
      </w:tblGrid>
      <w:tr w:rsidR="005D1ED2" w:rsidRPr="00B5050F" w14:paraId="530D96CE" w14:textId="77777777" w:rsidTr="00B0470E">
        <w:trPr>
          <w:cantSplit/>
          <w:trHeight w:val="57"/>
          <w:tblHeader/>
        </w:trPr>
        <w:tc>
          <w:tcPr>
            <w:tcW w:w="651" w:type="pct"/>
            <w:vMerge w:val="restart"/>
          </w:tcPr>
          <w:p w14:paraId="03C98F27" w14:textId="77777777" w:rsidR="005D1ED2" w:rsidRPr="00B5050F" w:rsidRDefault="005D1ED2" w:rsidP="00B0470E">
            <w:pPr>
              <w:keepNext/>
            </w:pPr>
          </w:p>
        </w:tc>
        <w:tc>
          <w:tcPr>
            <w:tcW w:w="2255" w:type="pct"/>
            <w:gridSpan w:val="2"/>
          </w:tcPr>
          <w:p w14:paraId="66858503" w14:textId="77777777" w:rsidR="005D1ED2" w:rsidRPr="00B5050F" w:rsidRDefault="005D1ED2" w:rsidP="00B0470E">
            <w:pPr>
              <w:keepNext/>
              <w:jc w:val="center"/>
            </w:pPr>
            <w:r w:rsidRPr="00B5050F">
              <w:t>Proporção de mulheres com fratura (%)</w:t>
            </w:r>
          </w:p>
        </w:tc>
        <w:tc>
          <w:tcPr>
            <w:tcW w:w="1077" w:type="pct"/>
            <w:vMerge w:val="restart"/>
          </w:tcPr>
          <w:p w14:paraId="2B4CA69F" w14:textId="77777777" w:rsidR="005D1ED2" w:rsidRPr="00B5050F" w:rsidRDefault="005D1ED2" w:rsidP="00B0470E">
            <w:pPr>
              <w:keepNext/>
            </w:pPr>
            <w:r w:rsidRPr="00B5050F">
              <w:t>Redução do risco absoluto (%)</w:t>
            </w:r>
          </w:p>
          <w:p w14:paraId="36A0F622" w14:textId="77777777" w:rsidR="005D1ED2" w:rsidRPr="00B5050F" w:rsidRDefault="005D1ED2" w:rsidP="00B0470E">
            <w:pPr>
              <w:keepNext/>
            </w:pPr>
            <w:r w:rsidRPr="00B5050F">
              <w:t>(IC 95%)</w:t>
            </w:r>
          </w:p>
        </w:tc>
        <w:tc>
          <w:tcPr>
            <w:tcW w:w="1017" w:type="pct"/>
            <w:vMerge w:val="restart"/>
          </w:tcPr>
          <w:p w14:paraId="580F3E0F" w14:textId="77777777" w:rsidR="005D1ED2" w:rsidRPr="00B5050F" w:rsidRDefault="005D1ED2" w:rsidP="00B0470E">
            <w:pPr>
              <w:keepNext/>
            </w:pPr>
            <w:r w:rsidRPr="00B5050F">
              <w:t>Redução do risco relativo (%)</w:t>
            </w:r>
          </w:p>
          <w:p w14:paraId="5BCC98C5" w14:textId="77777777" w:rsidR="005D1ED2" w:rsidRPr="00B5050F" w:rsidRDefault="005D1ED2" w:rsidP="00B0470E">
            <w:pPr>
              <w:keepNext/>
            </w:pPr>
            <w:r w:rsidRPr="00B5050F">
              <w:t>(IC 95%)</w:t>
            </w:r>
          </w:p>
        </w:tc>
      </w:tr>
      <w:tr w:rsidR="005D1ED2" w:rsidRPr="00B5050F" w14:paraId="19978E73" w14:textId="77777777" w:rsidTr="00B0470E">
        <w:trPr>
          <w:cantSplit/>
          <w:trHeight w:val="57"/>
          <w:tblHeader/>
        </w:trPr>
        <w:tc>
          <w:tcPr>
            <w:tcW w:w="651" w:type="pct"/>
            <w:vMerge/>
          </w:tcPr>
          <w:p w14:paraId="4B5F437D" w14:textId="77777777" w:rsidR="005D1ED2" w:rsidRPr="00B5050F" w:rsidRDefault="005D1ED2" w:rsidP="00B0470E">
            <w:pPr>
              <w:keepNext/>
            </w:pPr>
          </w:p>
        </w:tc>
        <w:tc>
          <w:tcPr>
            <w:tcW w:w="1127" w:type="pct"/>
          </w:tcPr>
          <w:p w14:paraId="20ACE668" w14:textId="77777777" w:rsidR="005D1ED2" w:rsidRPr="00B5050F" w:rsidRDefault="005D1ED2" w:rsidP="00B0470E">
            <w:pPr>
              <w:keepNext/>
              <w:jc w:val="center"/>
            </w:pPr>
            <w:r w:rsidRPr="00B5050F">
              <w:t>Placebo</w:t>
            </w:r>
          </w:p>
          <w:p w14:paraId="240FEF03" w14:textId="77777777" w:rsidR="005D1ED2" w:rsidRPr="00B5050F" w:rsidRDefault="005D1ED2" w:rsidP="00B0470E">
            <w:pPr>
              <w:keepNext/>
              <w:jc w:val="center"/>
            </w:pPr>
            <w:r w:rsidRPr="00B5050F">
              <w:t>n = 3.906</w:t>
            </w:r>
          </w:p>
        </w:tc>
        <w:tc>
          <w:tcPr>
            <w:tcW w:w="1128" w:type="pct"/>
          </w:tcPr>
          <w:p w14:paraId="125107A8" w14:textId="04E8582A" w:rsidR="005D1ED2" w:rsidRPr="00B5050F" w:rsidRDefault="0078220A" w:rsidP="00B0470E">
            <w:pPr>
              <w:keepNext/>
              <w:jc w:val="center"/>
            </w:pPr>
            <w:r w:rsidRPr="00B5050F">
              <w:t>Denosumab</w:t>
            </w:r>
          </w:p>
          <w:p w14:paraId="499F6909" w14:textId="77777777" w:rsidR="005D1ED2" w:rsidRPr="00B5050F" w:rsidRDefault="005D1ED2" w:rsidP="00B0470E">
            <w:pPr>
              <w:keepNext/>
              <w:jc w:val="center"/>
            </w:pPr>
            <w:r w:rsidRPr="00B5050F">
              <w:t>n = 3.902</w:t>
            </w:r>
          </w:p>
        </w:tc>
        <w:tc>
          <w:tcPr>
            <w:tcW w:w="1077" w:type="pct"/>
            <w:vMerge/>
          </w:tcPr>
          <w:p w14:paraId="038D502C" w14:textId="77777777" w:rsidR="005D1ED2" w:rsidRPr="00B5050F" w:rsidRDefault="005D1ED2" w:rsidP="00B0470E">
            <w:pPr>
              <w:keepNext/>
            </w:pPr>
          </w:p>
        </w:tc>
        <w:tc>
          <w:tcPr>
            <w:tcW w:w="1017" w:type="pct"/>
            <w:vMerge/>
          </w:tcPr>
          <w:p w14:paraId="5F49498D" w14:textId="77777777" w:rsidR="005D1ED2" w:rsidRPr="00B5050F" w:rsidRDefault="005D1ED2" w:rsidP="00B0470E">
            <w:pPr>
              <w:keepNext/>
            </w:pPr>
          </w:p>
        </w:tc>
      </w:tr>
      <w:tr w:rsidR="005D1ED2" w:rsidRPr="00B5050F" w14:paraId="5B8E8768" w14:textId="77777777" w:rsidTr="00B0470E">
        <w:trPr>
          <w:cantSplit/>
          <w:trHeight w:val="57"/>
        </w:trPr>
        <w:tc>
          <w:tcPr>
            <w:tcW w:w="651" w:type="pct"/>
          </w:tcPr>
          <w:p w14:paraId="66409EA7" w14:textId="77777777" w:rsidR="005D1ED2" w:rsidRPr="00B5050F" w:rsidRDefault="005D1ED2" w:rsidP="00B0470E">
            <w:r w:rsidRPr="00B5050F">
              <w:t>0</w:t>
            </w:r>
            <w:r w:rsidRPr="00B5050F">
              <w:noBreakHyphen/>
              <w:t>1 ano</w:t>
            </w:r>
          </w:p>
        </w:tc>
        <w:tc>
          <w:tcPr>
            <w:tcW w:w="1127" w:type="pct"/>
          </w:tcPr>
          <w:p w14:paraId="58135471" w14:textId="77777777" w:rsidR="005D1ED2" w:rsidRPr="00B5050F" w:rsidRDefault="005D1ED2" w:rsidP="00B0470E">
            <w:pPr>
              <w:jc w:val="center"/>
            </w:pPr>
            <w:r w:rsidRPr="00B5050F">
              <w:t>2,2</w:t>
            </w:r>
          </w:p>
        </w:tc>
        <w:tc>
          <w:tcPr>
            <w:tcW w:w="1128" w:type="pct"/>
          </w:tcPr>
          <w:p w14:paraId="789B62D7" w14:textId="77777777" w:rsidR="005D1ED2" w:rsidRPr="00B5050F" w:rsidRDefault="005D1ED2" w:rsidP="00B0470E">
            <w:pPr>
              <w:jc w:val="center"/>
            </w:pPr>
            <w:r w:rsidRPr="00B5050F">
              <w:t>0,9</w:t>
            </w:r>
          </w:p>
        </w:tc>
        <w:tc>
          <w:tcPr>
            <w:tcW w:w="1077" w:type="pct"/>
          </w:tcPr>
          <w:p w14:paraId="7C2BD29B" w14:textId="77777777" w:rsidR="005D1ED2" w:rsidRPr="00B5050F" w:rsidRDefault="005D1ED2" w:rsidP="00B0470E">
            <w:r w:rsidRPr="00B5050F">
              <w:t>1,4 (0,8; 1,9)</w:t>
            </w:r>
          </w:p>
        </w:tc>
        <w:tc>
          <w:tcPr>
            <w:tcW w:w="1017" w:type="pct"/>
          </w:tcPr>
          <w:p w14:paraId="383B71EE" w14:textId="77777777" w:rsidR="005D1ED2" w:rsidRPr="00B5050F" w:rsidRDefault="005D1ED2" w:rsidP="00B0470E">
            <w:r w:rsidRPr="00B5050F">
              <w:t>61 (42; 74)**</w:t>
            </w:r>
          </w:p>
        </w:tc>
      </w:tr>
      <w:tr w:rsidR="005D1ED2" w:rsidRPr="00B5050F" w14:paraId="551BB460" w14:textId="77777777" w:rsidTr="00B0470E">
        <w:trPr>
          <w:cantSplit/>
          <w:trHeight w:val="57"/>
        </w:trPr>
        <w:tc>
          <w:tcPr>
            <w:tcW w:w="651" w:type="pct"/>
          </w:tcPr>
          <w:p w14:paraId="05ED99B8" w14:textId="77777777" w:rsidR="005D1ED2" w:rsidRPr="00B5050F" w:rsidRDefault="005D1ED2" w:rsidP="00B0470E">
            <w:r w:rsidRPr="00B5050F">
              <w:t>0</w:t>
            </w:r>
            <w:r w:rsidRPr="00B5050F">
              <w:noBreakHyphen/>
              <w:t>2 anos</w:t>
            </w:r>
          </w:p>
        </w:tc>
        <w:tc>
          <w:tcPr>
            <w:tcW w:w="1127" w:type="pct"/>
          </w:tcPr>
          <w:p w14:paraId="072EE1C4" w14:textId="77777777" w:rsidR="005D1ED2" w:rsidRPr="00B5050F" w:rsidRDefault="005D1ED2" w:rsidP="00B0470E">
            <w:pPr>
              <w:jc w:val="center"/>
            </w:pPr>
            <w:r w:rsidRPr="00B5050F">
              <w:t>5,0</w:t>
            </w:r>
          </w:p>
        </w:tc>
        <w:tc>
          <w:tcPr>
            <w:tcW w:w="1128" w:type="pct"/>
          </w:tcPr>
          <w:p w14:paraId="2C97DF57" w14:textId="77777777" w:rsidR="005D1ED2" w:rsidRPr="00B5050F" w:rsidRDefault="005D1ED2" w:rsidP="00B0470E">
            <w:pPr>
              <w:jc w:val="center"/>
            </w:pPr>
            <w:r w:rsidRPr="00B5050F">
              <w:t>1,4</w:t>
            </w:r>
          </w:p>
        </w:tc>
        <w:tc>
          <w:tcPr>
            <w:tcW w:w="1077" w:type="pct"/>
          </w:tcPr>
          <w:p w14:paraId="595FDCDA" w14:textId="77777777" w:rsidR="005D1ED2" w:rsidRPr="00B5050F" w:rsidRDefault="005D1ED2" w:rsidP="00B0470E">
            <w:r w:rsidRPr="00B5050F">
              <w:t>3,5 (2,7; 4,3)</w:t>
            </w:r>
          </w:p>
        </w:tc>
        <w:tc>
          <w:tcPr>
            <w:tcW w:w="1017" w:type="pct"/>
          </w:tcPr>
          <w:p w14:paraId="4DA885A4" w14:textId="77777777" w:rsidR="005D1ED2" w:rsidRPr="00B5050F" w:rsidRDefault="005D1ED2" w:rsidP="00B0470E">
            <w:r w:rsidRPr="00B5050F">
              <w:t>71 (61; 79)**</w:t>
            </w:r>
          </w:p>
        </w:tc>
      </w:tr>
      <w:tr w:rsidR="005D1ED2" w:rsidRPr="00B5050F" w14:paraId="4AF9FBFF" w14:textId="77777777" w:rsidTr="00B0470E">
        <w:trPr>
          <w:cantSplit/>
          <w:trHeight w:val="57"/>
        </w:trPr>
        <w:tc>
          <w:tcPr>
            <w:tcW w:w="651" w:type="pct"/>
          </w:tcPr>
          <w:p w14:paraId="22E3B1E0" w14:textId="77777777" w:rsidR="005D1ED2" w:rsidRPr="00B5050F" w:rsidRDefault="005D1ED2" w:rsidP="00B0470E">
            <w:pPr>
              <w:keepNext/>
            </w:pPr>
            <w:r w:rsidRPr="00B5050F">
              <w:t>0</w:t>
            </w:r>
            <w:r w:rsidRPr="00B5050F">
              <w:noBreakHyphen/>
              <w:t>3 anos</w:t>
            </w:r>
          </w:p>
        </w:tc>
        <w:tc>
          <w:tcPr>
            <w:tcW w:w="1127" w:type="pct"/>
          </w:tcPr>
          <w:p w14:paraId="142BA08A" w14:textId="77777777" w:rsidR="005D1ED2" w:rsidRPr="00B5050F" w:rsidRDefault="005D1ED2" w:rsidP="00B0470E">
            <w:pPr>
              <w:keepNext/>
              <w:jc w:val="center"/>
            </w:pPr>
            <w:r w:rsidRPr="00B5050F">
              <w:t>7,2</w:t>
            </w:r>
          </w:p>
        </w:tc>
        <w:tc>
          <w:tcPr>
            <w:tcW w:w="1128" w:type="pct"/>
          </w:tcPr>
          <w:p w14:paraId="68BA9084" w14:textId="77777777" w:rsidR="005D1ED2" w:rsidRPr="00B5050F" w:rsidRDefault="005D1ED2" w:rsidP="00B0470E">
            <w:pPr>
              <w:keepNext/>
              <w:jc w:val="center"/>
            </w:pPr>
            <w:r w:rsidRPr="00B5050F">
              <w:t>2,3</w:t>
            </w:r>
          </w:p>
        </w:tc>
        <w:tc>
          <w:tcPr>
            <w:tcW w:w="1077" w:type="pct"/>
          </w:tcPr>
          <w:p w14:paraId="5847159B" w14:textId="77777777" w:rsidR="005D1ED2" w:rsidRPr="00B5050F" w:rsidRDefault="005D1ED2" w:rsidP="00B0470E">
            <w:pPr>
              <w:keepNext/>
            </w:pPr>
            <w:r w:rsidRPr="00B5050F">
              <w:t>4,8 (3,9; 5,8)</w:t>
            </w:r>
          </w:p>
        </w:tc>
        <w:tc>
          <w:tcPr>
            <w:tcW w:w="1017" w:type="pct"/>
          </w:tcPr>
          <w:p w14:paraId="3A14CC9A" w14:textId="77777777" w:rsidR="005D1ED2" w:rsidRPr="00B5050F" w:rsidRDefault="005D1ED2" w:rsidP="00B0470E">
            <w:pPr>
              <w:keepNext/>
            </w:pPr>
            <w:r w:rsidRPr="00B5050F">
              <w:t>68 (59; 74)*</w:t>
            </w:r>
          </w:p>
        </w:tc>
      </w:tr>
    </w:tbl>
    <w:p w14:paraId="73454D7C" w14:textId="77777777" w:rsidR="008011D6" w:rsidRPr="00B5050F" w:rsidRDefault="008011D6" w:rsidP="00C345B1">
      <w:pPr>
        <w:rPr>
          <w:sz w:val="20"/>
          <w:szCs w:val="20"/>
        </w:rPr>
      </w:pPr>
      <w:r w:rsidRPr="00B5050F">
        <w:rPr>
          <w:sz w:val="20"/>
        </w:rPr>
        <w:t>*p &lt; 0,0001, **p &lt; 0,0001 – análise exploratória</w:t>
      </w:r>
    </w:p>
    <w:p w14:paraId="44BA84CF" w14:textId="77777777" w:rsidR="008011D6" w:rsidRPr="00B5050F" w:rsidRDefault="008011D6" w:rsidP="008B4ED7"/>
    <w:p w14:paraId="4285CF4B" w14:textId="77777777" w:rsidR="008011D6" w:rsidRPr="00B5050F" w:rsidRDefault="008011D6" w:rsidP="008B4ED7">
      <w:pPr>
        <w:keepNext/>
        <w:tabs>
          <w:tab w:val="clear" w:pos="567"/>
        </w:tabs>
        <w:rPr>
          <w:i/>
          <w:iCs/>
        </w:rPr>
      </w:pPr>
      <w:r w:rsidRPr="00B5050F">
        <w:rPr>
          <w:i/>
        </w:rPr>
        <w:t>Efeito nas fraturas da anca</w:t>
      </w:r>
    </w:p>
    <w:p w14:paraId="226E3EC6" w14:textId="4E8737B3" w:rsidR="008603DE" w:rsidRPr="00B5050F" w:rsidRDefault="0078220A" w:rsidP="008B4ED7">
      <w:r w:rsidRPr="00B5050F">
        <w:t>Denosumab</w:t>
      </w:r>
      <w:r w:rsidR="008011D6" w:rsidRPr="00B5050F">
        <w:t xml:space="preserve"> demonstrou ter uma redução de 40% do risco relativo (0,5% redução do risco absoluto) de fratura da anca ao longo de 3 anos (p &lt; 0,05). A incidência de fratura da anca foi de 1,2% no grupo do placebo comparativamente com 0,7% no grupo de </w:t>
      </w:r>
      <w:r w:rsidRPr="00B5050F">
        <w:t>denosumab</w:t>
      </w:r>
      <w:r w:rsidR="008011D6" w:rsidRPr="00B5050F">
        <w:t xml:space="preserve"> aos 3 anos.</w:t>
      </w:r>
    </w:p>
    <w:p w14:paraId="7A6AF330" w14:textId="77777777" w:rsidR="008011D6" w:rsidRPr="00B5050F" w:rsidRDefault="008011D6" w:rsidP="008B4ED7"/>
    <w:p w14:paraId="740080A7" w14:textId="3470B8E0" w:rsidR="008011D6" w:rsidRPr="00B5050F" w:rsidRDefault="008011D6" w:rsidP="008B4ED7">
      <w:r w:rsidRPr="00B5050F">
        <w:t xml:space="preserve">Numa análise </w:t>
      </w:r>
      <w:r w:rsidRPr="00B5050F">
        <w:rPr>
          <w:i/>
        </w:rPr>
        <w:t>post</w:t>
      </w:r>
      <w:r w:rsidRPr="00B5050F">
        <w:rPr>
          <w:i/>
        </w:rPr>
        <w:noBreakHyphen/>
        <w:t>hoc</w:t>
      </w:r>
      <w:r w:rsidRPr="00B5050F">
        <w:t xml:space="preserve"> em mulheres com &gt; 75 anos, observou</w:t>
      </w:r>
      <w:r w:rsidRPr="00B5050F">
        <w:noBreakHyphen/>
        <w:t xml:space="preserve">se uma redução de 62% do risco relativo com </w:t>
      </w:r>
      <w:r w:rsidR="0078220A" w:rsidRPr="00B5050F">
        <w:t>denosumab</w:t>
      </w:r>
      <w:r w:rsidRPr="00B5050F">
        <w:t xml:space="preserve"> (1,4% redução do risco absoluto, p &lt; 0,01).</w:t>
      </w:r>
    </w:p>
    <w:p w14:paraId="52548F90" w14:textId="77777777" w:rsidR="008011D6" w:rsidRPr="00B5050F" w:rsidRDefault="008011D6" w:rsidP="008B4ED7"/>
    <w:p w14:paraId="11145BC3" w14:textId="77777777" w:rsidR="008011D6" w:rsidRPr="00B5050F" w:rsidRDefault="008011D6" w:rsidP="008B4ED7">
      <w:pPr>
        <w:keepNext/>
        <w:tabs>
          <w:tab w:val="clear" w:pos="567"/>
        </w:tabs>
        <w:rPr>
          <w:i/>
          <w:iCs/>
        </w:rPr>
      </w:pPr>
      <w:r w:rsidRPr="00B5050F">
        <w:rPr>
          <w:i/>
        </w:rPr>
        <w:t>Efeito em todas as fraturas clínicas</w:t>
      </w:r>
    </w:p>
    <w:p w14:paraId="5510F026" w14:textId="637143F6" w:rsidR="008011D6" w:rsidRPr="00B5050F" w:rsidRDefault="0078220A" w:rsidP="008B4ED7">
      <w:r w:rsidRPr="00B5050F">
        <w:t>Denosumab</w:t>
      </w:r>
      <w:r w:rsidR="008011D6" w:rsidRPr="00B5050F">
        <w:t xml:space="preserve"> reduziu significativamente as fraturas em todos os tipos/grupos de fraturas (ver tabela 3).</w:t>
      </w:r>
    </w:p>
    <w:p w14:paraId="05D9D75F" w14:textId="77777777" w:rsidR="008011D6" w:rsidRPr="00B5050F" w:rsidRDefault="008011D6" w:rsidP="008B4ED7"/>
    <w:p w14:paraId="11280AC4" w14:textId="0B49255D" w:rsidR="008011D6" w:rsidRPr="00B5050F" w:rsidRDefault="008011D6" w:rsidP="008B4ED7">
      <w:pPr>
        <w:pStyle w:val="Text"/>
        <w:keepNext/>
        <w:tabs>
          <w:tab w:val="left" w:pos="567"/>
        </w:tabs>
        <w:spacing w:before="0" w:beforeAutospacing="0" w:after="0" w:afterAutospacing="0" w:line="240" w:lineRule="auto"/>
        <w:ind w:left="0"/>
        <w:outlineLvl w:val="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5050F">
        <w:rPr>
          <w:rFonts w:ascii="Times New Roman" w:hAnsi="Times New Roman"/>
          <w:b/>
          <w:color w:val="auto"/>
          <w:sz w:val="22"/>
        </w:rPr>
        <w:t xml:space="preserve">Tabela 3. Efeito de </w:t>
      </w:r>
      <w:r w:rsidR="0078220A" w:rsidRPr="00B5050F">
        <w:rPr>
          <w:rFonts w:ascii="Times New Roman" w:hAnsi="Times New Roman"/>
          <w:b/>
          <w:color w:val="auto"/>
          <w:sz w:val="22"/>
        </w:rPr>
        <w:t>denosumab</w:t>
      </w:r>
      <w:r w:rsidRPr="00B5050F">
        <w:rPr>
          <w:rFonts w:ascii="Times New Roman" w:hAnsi="Times New Roman"/>
          <w:b/>
          <w:color w:val="auto"/>
          <w:sz w:val="22"/>
        </w:rPr>
        <w:t xml:space="preserve"> no risco de fraturas clínicas ao longo de 3 anos</w:t>
      </w:r>
    </w:p>
    <w:p w14:paraId="4831BDF8" w14:textId="77777777" w:rsidR="008011D6" w:rsidRPr="00B5050F" w:rsidRDefault="008011D6" w:rsidP="008B4ED7">
      <w:pPr>
        <w:keepNext/>
      </w:pPr>
    </w:p>
    <w:tbl>
      <w:tblPr>
        <w:tblW w:w="48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7"/>
        <w:gridCol w:w="1156"/>
        <w:gridCol w:w="1243"/>
        <w:gridCol w:w="1793"/>
        <w:gridCol w:w="1892"/>
      </w:tblGrid>
      <w:tr w:rsidR="005D1ED2" w:rsidRPr="00B5050F" w14:paraId="2D5D8B26" w14:textId="77777777" w:rsidTr="00B0470E">
        <w:trPr>
          <w:cantSplit/>
          <w:trHeight w:val="57"/>
          <w:tblHeader/>
        </w:trPr>
        <w:tc>
          <w:tcPr>
            <w:tcW w:w="15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1B8D9" w14:textId="77777777" w:rsidR="005D1ED2" w:rsidRPr="00B5050F" w:rsidRDefault="005D1ED2" w:rsidP="00B0470E">
            <w:pPr>
              <w:pStyle w:val="lbltxt"/>
              <w:keepNext/>
              <w:rPr>
                <w:noProof w:val="0"/>
              </w:rPr>
            </w:pP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29EF" w14:textId="77777777" w:rsidR="005D1ED2" w:rsidRPr="00B5050F" w:rsidRDefault="005D1ED2" w:rsidP="00B0470E">
            <w:pPr>
              <w:jc w:val="center"/>
            </w:pPr>
            <w:r w:rsidRPr="00B5050F">
              <w:t>Proporção de mulheres com fratura (%)</w:t>
            </w:r>
            <w:r w:rsidRPr="00B5050F">
              <w:rPr>
                <w:vertAlign w:val="superscript"/>
              </w:rPr>
              <w:t>+</w:t>
            </w:r>
          </w:p>
        </w:tc>
        <w:tc>
          <w:tcPr>
            <w:tcW w:w="10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8C24" w14:textId="77777777" w:rsidR="005D1ED2" w:rsidRPr="00B5050F" w:rsidRDefault="005D1ED2" w:rsidP="00B0470E">
            <w:r w:rsidRPr="00B5050F">
              <w:t>Redução do risco absoluto (%)</w:t>
            </w:r>
          </w:p>
          <w:p w14:paraId="03432483" w14:textId="77777777" w:rsidR="005D1ED2" w:rsidRPr="00B5050F" w:rsidRDefault="005D1ED2" w:rsidP="00B0470E">
            <w:r w:rsidRPr="00B5050F">
              <w:t>(IC 95%)</w:t>
            </w:r>
          </w:p>
        </w:tc>
        <w:tc>
          <w:tcPr>
            <w:tcW w:w="10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6A7D" w14:textId="77777777" w:rsidR="005D1ED2" w:rsidRPr="00B5050F" w:rsidRDefault="005D1ED2" w:rsidP="00B0470E">
            <w:r w:rsidRPr="00B5050F">
              <w:t>Redução do risco relativo (%)</w:t>
            </w:r>
          </w:p>
          <w:p w14:paraId="3FEE2065" w14:textId="77777777" w:rsidR="005D1ED2" w:rsidRPr="00B5050F" w:rsidRDefault="005D1ED2" w:rsidP="00B0470E">
            <w:r w:rsidRPr="00B5050F">
              <w:t>(IC 95%)</w:t>
            </w:r>
          </w:p>
        </w:tc>
      </w:tr>
      <w:tr w:rsidR="005D1ED2" w:rsidRPr="00B5050F" w14:paraId="097AF7C5" w14:textId="77777777" w:rsidTr="00B0470E">
        <w:trPr>
          <w:cantSplit/>
          <w:trHeight w:val="57"/>
          <w:tblHeader/>
        </w:trPr>
        <w:tc>
          <w:tcPr>
            <w:tcW w:w="15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FD14" w14:textId="77777777" w:rsidR="005D1ED2" w:rsidRPr="00B5050F" w:rsidRDefault="005D1ED2" w:rsidP="00B0470E">
            <w:pPr>
              <w:keepNext/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E506" w14:textId="77777777" w:rsidR="005D1ED2" w:rsidRPr="00B5050F" w:rsidRDefault="005D1ED2" w:rsidP="00B0470E">
            <w:pPr>
              <w:jc w:val="center"/>
            </w:pPr>
            <w:r w:rsidRPr="00B5050F">
              <w:t>Placebo</w:t>
            </w:r>
          </w:p>
          <w:p w14:paraId="423ADB4A" w14:textId="77777777" w:rsidR="005D1ED2" w:rsidRPr="00B5050F" w:rsidRDefault="005D1ED2" w:rsidP="00B0470E">
            <w:pPr>
              <w:jc w:val="center"/>
            </w:pPr>
            <w:r w:rsidRPr="00B5050F">
              <w:t>n = 3.906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83FE" w14:textId="102B10F8" w:rsidR="005D1ED2" w:rsidRPr="00B5050F" w:rsidRDefault="0078220A" w:rsidP="00B0470E">
            <w:pPr>
              <w:jc w:val="center"/>
            </w:pPr>
            <w:r w:rsidRPr="00B5050F">
              <w:t>Denosumab</w:t>
            </w:r>
          </w:p>
          <w:p w14:paraId="5A038682" w14:textId="77777777" w:rsidR="005D1ED2" w:rsidRPr="00B5050F" w:rsidRDefault="005D1ED2" w:rsidP="00B0470E">
            <w:pPr>
              <w:jc w:val="center"/>
            </w:pPr>
            <w:r w:rsidRPr="00B5050F">
              <w:t>n = 3.902</w:t>
            </w:r>
          </w:p>
        </w:tc>
        <w:tc>
          <w:tcPr>
            <w:tcW w:w="10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FDE5" w14:textId="77777777" w:rsidR="005D1ED2" w:rsidRPr="00B5050F" w:rsidRDefault="005D1ED2" w:rsidP="00B0470E"/>
        </w:tc>
        <w:tc>
          <w:tcPr>
            <w:tcW w:w="10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1DC6" w14:textId="77777777" w:rsidR="005D1ED2" w:rsidRPr="00B5050F" w:rsidRDefault="005D1ED2" w:rsidP="00B0470E"/>
        </w:tc>
      </w:tr>
      <w:tr w:rsidR="005D1ED2" w:rsidRPr="00B5050F" w14:paraId="441FA75A" w14:textId="77777777" w:rsidTr="00B0470E">
        <w:trPr>
          <w:cantSplit/>
          <w:trHeight w:val="57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F4F1" w14:textId="77777777" w:rsidR="005D1ED2" w:rsidRPr="00B5050F" w:rsidRDefault="005D1ED2" w:rsidP="00B0470E">
            <w:r w:rsidRPr="00B5050F">
              <w:t>Qualquer fratura clínica</w:t>
            </w:r>
            <w:r w:rsidRPr="00B5050F">
              <w:rPr>
                <w:vertAlign w:val="superscript"/>
              </w:rPr>
              <w:t>1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B11C" w14:textId="77777777" w:rsidR="005D1ED2" w:rsidRPr="00B5050F" w:rsidRDefault="005D1ED2" w:rsidP="00B0470E">
            <w:pPr>
              <w:jc w:val="center"/>
            </w:pPr>
            <w:r w:rsidRPr="00B5050F">
              <w:t>10,2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5B7C" w14:textId="77777777" w:rsidR="005D1ED2" w:rsidRPr="00B5050F" w:rsidRDefault="005D1ED2" w:rsidP="00B0470E">
            <w:pPr>
              <w:jc w:val="center"/>
            </w:pPr>
            <w:r w:rsidRPr="00B5050F">
              <w:t>7,2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757E" w14:textId="77777777" w:rsidR="005D1ED2" w:rsidRPr="00B5050F" w:rsidRDefault="005D1ED2" w:rsidP="00B0470E">
            <w:r w:rsidRPr="00B5050F">
              <w:t>2,9 (1,6; 4,2)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4D9F" w14:textId="77777777" w:rsidR="005D1ED2" w:rsidRPr="00B5050F" w:rsidRDefault="005D1ED2" w:rsidP="00B0470E">
            <w:r w:rsidRPr="00B5050F">
              <w:t>30 (19; 41)***</w:t>
            </w:r>
          </w:p>
        </w:tc>
      </w:tr>
      <w:tr w:rsidR="005D1ED2" w:rsidRPr="00B5050F" w14:paraId="1F18EED5" w14:textId="77777777" w:rsidTr="00B0470E">
        <w:trPr>
          <w:cantSplit/>
          <w:trHeight w:val="57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F254" w14:textId="77777777" w:rsidR="005D1ED2" w:rsidRPr="00B5050F" w:rsidRDefault="005D1ED2" w:rsidP="00B0470E">
            <w:r w:rsidRPr="00B5050F">
              <w:t>Fratura vertebral clínica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30B2" w14:textId="77777777" w:rsidR="005D1ED2" w:rsidRPr="00B5050F" w:rsidRDefault="005D1ED2" w:rsidP="00B0470E">
            <w:pPr>
              <w:jc w:val="center"/>
            </w:pPr>
            <w:r w:rsidRPr="00B5050F">
              <w:t>2,6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EEA4" w14:textId="77777777" w:rsidR="005D1ED2" w:rsidRPr="00B5050F" w:rsidRDefault="005D1ED2" w:rsidP="00B0470E">
            <w:pPr>
              <w:jc w:val="center"/>
            </w:pPr>
            <w:r w:rsidRPr="00B5050F">
              <w:t>0,8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B21D" w14:textId="77777777" w:rsidR="005D1ED2" w:rsidRPr="00B5050F" w:rsidRDefault="005D1ED2" w:rsidP="00B0470E">
            <w:r w:rsidRPr="00B5050F">
              <w:t>1,8 (1,2; 2,4)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E6A3" w14:textId="77777777" w:rsidR="005D1ED2" w:rsidRPr="00B5050F" w:rsidRDefault="005D1ED2" w:rsidP="00B0470E">
            <w:r w:rsidRPr="00B5050F">
              <w:t>69 (53; 80)***</w:t>
            </w:r>
          </w:p>
        </w:tc>
      </w:tr>
      <w:tr w:rsidR="005D1ED2" w:rsidRPr="00B5050F" w14:paraId="1E836BC0" w14:textId="77777777" w:rsidTr="00B0470E">
        <w:trPr>
          <w:cantSplit/>
          <w:trHeight w:val="57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1F46" w14:textId="77777777" w:rsidR="005D1ED2" w:rsidRPr="00B5050F" w:rsidRDefault="005D1ED2" w:rsidP="00B0470E">
            <w:r w:rsidRPr="00B5050F">
              <w:t>Fratura não vertebral</w:t>
            </w:r>
            <w:r w:rsidRPr="00B5050F">
              <w:rPr>
                <w:vertAlign w:val="superscript"/>
              </w:rPr>
              <w:t>2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7540" w14:textId="77777777" w:rsidR="005D1ED2" w:rsidRPr="00B5050F" w:rsidRDefault="005D1ED2" w:rsidP="00B0470E">
            <w:pPr>
              <w:jc w:val="center"/>
            </w:pPr>
            <w:r w:rsidRPr="00B5050F">
              <w:t>8,0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1AA1" w14:textId="77777777" w:rsidR="005D1ED2" w:rsidRPr="00B5050F" w:rsidRDefault="005D1ED2" w:rsidP="00B0470E">
            <w:pPr>
              <w:jc w:val="center"/>
            </w:pPr>
            <w:r w:rsidRPr="00B5050F">
              <w:t>6,5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480F" w14:textId="77777777" w:rsidR="005D1ED2" w:rsidRPr="00B5050F" w:rsidRDefault="005D1ED2" w:rsidP="00B0470E">
            <w:r w:rsidRPr="00B5050F">
              <w:t>1,5 (0,3; 2,7)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62C9" w14:textId="77777777" w:rsidR="005D1ED2" w:rsidRPr="00B5050F" w:rsidRDefault="005D1ED2" w:rsidP="00B0470E">
            <w:r w:rsidRPr="00B5050F">
              <w:t>20 (5; 33)**</w:t>
            </w:r>
          </w:p>
        </w:tc>
      </w:tr>
      <w:tr w:rsidR="005D1ED2" w:rsidRPr="00B5050F" w14:paraId="0E8822E3" w14:textId="77777777" w:rsidTr="00B0470E">
        <w:trPr>
          <w:cantSplit/>
          <w:trHeight w:val="57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571A" w14:textId="77777777" w:rsidR="005D1ED2" w:rsidRPr="00B5050F" w:rsidRDefault="005D1ED2" w:rsidP="00B0470E">
            <w:r w:rsidRPr="00B5050F">
              <w:lastRenderedPageBreak/>
              <w:t>Fratura não vertebral grave</w:t>
            </w:r>
            <w:r w:rsidRPr="00B5050F">
              <w:rPr>
                <w:vertAlign w:val="superscript"/>
              </w:rPr>
              <w:t>3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5CAE" w14:textId="77777777" w:rsidR="005D1ED2" w:rsidRPr="00B5050F" w:rsidRDefault="005D1ED2" w:rsidP="00B0470E">
            <w:pPr>
              <w:jc w:val="center"/>
            </w:pPr>
            <w:r w:rsidRPr="00B5050F">
              <w:t>6,4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700D" w14:textId="77777777" w:rsidR="005D1ED2" w:rsidRPr="00B5050F" w:rsidRDefault="005D1ED2" w:rsidP="00B0470E">
            <w:pPr>
              <w:jc w:val="center"/>
            </w:pPr>
            <w:r w:rsidRPr="00B5050F">
              <w:t>5,2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91D7" w14:textId="77777777" w:rsidR="005D1ED2" w:rsidRPr="00B5050F" w:rsidRDefault="005D1ED2" w:rsidP="00B0470E">
            <w:r w:rsidRPr="00B5050F">
              <w:t>1,2 (0,1; 2,2)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CD41" w14:textId="77777777" w:rsidR="005D1ED2" w:rsidRPr="00B5050F" w:rsidRDefault="005D1ED2" w:rsidP="00B0470E">
            <w:r w:rsidRPr="00B5050F">
              <w:t>20 (3; 34)*</w:t>
            </w:r>
          </w:p>
        </w:tc>
      </w:tr>
      <w:tr w:rsidR="005D1ED2" w:rsidRPr="00B5050F" w14:paraId="66AF8991" w14:textId="77777777" w:rsidTr="00B0470E">
        <w:trPr>
          <w:cantSplit/>
          <w:trHeight w:val="57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2400" w14:textId="77777777" w:rsidR="005D1ED2" w:rsidRPr="00B5050F" w:rsidRDefault="005D1ED2" w:rsidP="00B0470E">
            <w:r w:rsidRPr="00B5050F">
              <w:t>Fratura osteoporótica grave</w:t>
            </w:r>
            <w:r w:rsidRPr="00B5050F">
              <w:rPr>
                <w:vertAlign w:val="superscript"/>
              </w:rPr>
              <w:t>4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DD0E" w14:textId="77777777" w:rsidR="005D1ED2" w:rsidRPr="00B5050F" w:rsidRDefault="005D1ED2" w:rsidP="00B0470E">
            <w:pPr>
              <w:jc w:val="center"/>
            </w:pPr>
            <w:r w:rsidRPr="00B5050F">
              <w:t>8,0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3FC0" w14:textId="77777777" w:rsidR="005D1ED2" w:rsidRPr="00B5050F" w:rsidRDefault="005D1ED2" w:rsidP="00B0470E">
            <w:pPr>
              <w:jc w:val="center"/>
            </w:pPr>
            <w:r w:rsidRPr="00B5050F">
              <w:t>5,3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5E2D" w14:textId="77777777" w:rsidR="005D1ED2" w:rsidRPr="00B5050F" w:rsidRDefault="005D1ED2" w:rsidP="00B0470E">
            <w:r w:rsidRPr="00B5050F">
              <w:t>2,7 (1,6; 3,9)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AB60" w14:textId="77777777" w:rsidR="005D1ED2" w:rsidRPr="00B5050F" w:rsidRDefault="005D1ED2" w:rsidP="00B0470E">
            <w:r w:rsidRPr="00B5050F">
              <w:t>35 (22; 45)***</w:t>
            </w:r>
          </w:p>
        </w:tc>
      </w:tr>
    </w:tbl>
    <w:p w14:paraId="773D7E14" w14:textId="77777777" w:rsidR="008603DE" w:rsidRPr="00B5050F" w:rsidRDefault="008011D6" w:rsidP="00BF0C34">
      <w:pPr>
        <w:keepNext/>
        <w:rPr>
          <w:sz w:val="20"/>
          <w:szCs w:val="20"/>
        </w:rPr>
      </w:pPr>
      <w:r w:rsidRPr="00B5050F">
        <w:rPr>
          <w:sz w:val="20"/>
        </w:rPr>
        <w:t xml:space="preserve">*p ≤ 0,05, **p = 0,0106 </w:t>
      </w:r>
      <w:r w:rsidRPr="00B5050F">
        <w:rPr>
          <w:i/>
          <w:sz w:val="20"/>
        </w:rPr>
        <w:t>(parâmetro de avaliação secundário incluído no ajuste de multiplicidade)</w:t>
      </w:r>
      <w:r w:rsidRPr="00B5050F">
        <w:rPr>
          <w:sz w:val="20"/>
        </w:rPr>
        <w:t>, ***p ≤ 0,0001</w:t>
      </w:r>
    </w:p>
    <w:p w14:paraId="0D1AAF84" w14:textId="77777777" w:rsidR="008011D6" w:rsidRPr="00B5050F" w:rsidRDefault="008011D6" w:rsidP="00C345B1">
      <w:pPr>
        <w:keepNext/>
        <w:rPr>
          <w:sz w:val="20"/>
          <w:szCs w:val="20"/>
        </w:rPr>
      </w:pPr>
      <w:r w:rsidRPr="00B5050F">
        <w:rPr>
          <w:sz w:val="20"/>
          <w:vertAlign w:val="superscript"/>
        </w:rPr>
        <w:t>+</w:t>
      </w:r>
      <w:r w:rsidRPr="00B5050F">
        <w:rPr>
          <w:sz w:val="20"/>
        </w:rPr>
        <w:t xml:space="preserve"> Taxas de acontecimentos com base em estimativas de Kaplan</w:t>
      </w:r>
      <w:r w:rsidRPr="00B5050F">
        <w:rPr>
          <w:sz w:val="20"/>
        </w:rPr>
        <w:noBreakHyphen/>
        <w:t>Meier aos 3 anos.</w:t>
      </w:r>
    </w:p>
    <w:p w14:paraId="53CC244F" w14:textId="77777777" w:rsidR="008011D6" w:rsidRPr="00B5050F" w:rsidRDefault="008011D6" w:rsidP="00C345B1">
      <w:pPr>
        <w:keepNext/>
        <w:rPr>
          <w:sz w:val="20"/>
          <w:szCs w:val="20"/>
        </w:rPr>
      </w:pPr>
      <w:r w:rsidRPr="00B5050F">
        <w:rPr>
          <w:sz w:val="20"/>
          <w:vertAlign w:val="superscript"/>
        </w:rPr>
        <w:t>1.</w:t>
      </w:r>
      <w:r w:rsidRPr="00B5050F">
        <w:rPr>
          <w:sz w:val="20"/>
        </w:rPr>
        <w:t xml:space="preserve"> Inclui fraturas vertebrais clínicas e fraturas não vertebrais.</w:t>
      </w:r>
    </w:p>
    <w:p w14:paraId="5999BDDE" w14:textId="77777777" w:rsidR="008011D6" w:rsidRPr="00B5050F" w:rsidRDefault="008011D6" w:rsidP="00C345B1">
      <w:pPr>
        <w:keepNext/>
        <w:rPr>
          <w:sz w:val="20"/>
          <w:szCs w:val="20"/>
        </w:rPr>
      </w:pPr>
      <w:r w:rsidRPr="00B5050F">
        <w:rPr>
          <w:sz w:val="20"/>
          <w:vertAlign w:val="superscript"/>
        </w:rPr>
        <w:t>2.</w:t>
      </w:r>
      <w:r w:rsidRPr="00B5050F">
        <w:rPr>
          <w:sz w:val="20"/>
        </w:rPr>
        <w:t xml:space="preserve"> Exclui as das vértebras, crânio, faciais, mandíbula, metacarpo e falanges dos dedos dos pés e das mãos.</w:t>
      </w:r>
    </w:p>
    <w:p w14:paraId="7A15DF50" w14:textId="77777777" w:rsidR="008011D6" w:rsidRPr="00B5050F" w:rsidRDefault="008011D6" w:rsidP="00C345B1">
      <w:pPr>
        <w:keepNext/>
        <w:rPr>
          <w:sz w:val="20"/>
          <w:szCs w:val="20"/>
        </w:rPr>
      </w:pPr>
      <w:r w:rsidRPr="00B5050F">
        <w:rPr>
          <w:sz w:val="20"/>
          <w:vertAlign w:val="superscript"/>
        </w:rPr>
        <w:t>3.</w:t>
      </w:r>
      <w:r w:rsidRPr="00B5050F">
        <w:rPr>
          <w:sz w:val="20"/>
        </w:rPr>
        <w:t xml:space="preserve"> Inclui bacia, fémur distal, tíbia proximal, costelas, úmero proximal, antebraço e anca.</w:t>
      </w:r>
    </w:p>
    <w:p w14:paraId="3424EEF5" w14:textId="77777777" w:rsidR="008011D6" w:rsidRPr="00B5050F" w:rsidRDefault="008011D6" w:rsidP="00C345B1">
      <w:pPr>
        <w:rPr>
          <w:sz w:val="20"/>
          <w:szCs w:val="20"/>
        </w:rPr>
      </w:pPr>
      <w:r w:rsidRPr="00B5050F">
        <w:rPr>
          <w:sz w:val="20"/>
          <w:vertAlign w:val="superscript"/>
        </w:rPr>
        <w:t>4.</w:t>
      </w:r>
      <w:r w:rsidRPr="00B5050F">
        <w:rPr>
          <w:sz w:val="20"/>
        </w:rPr>
        <w:t xml:space="preserve"> Inclui fraturas clínicas vertebrais, da anca, do antebraço e do úmero, conforme definido pela OMS.</w:t>
      </w:r>
    </w:p>
    <w:p w14:paraId="07F00041" w14:textId="77777777" w:rsidR="008011D6" w:rsidRPr="00B5050F" w:rsidRDefault="008011D6" w:rsidP="008B4ED7"/>
    <w:p w14:paraId="1D466986" w14:textId="5F36A5B3" w:rsidR="008603DE" w:rsidRPr="00B5050F" w:rsidRDefault="008011D6" w:rsidP="008B4ED7">
      <w:r w:rsidRPr="00B5050F">
        <w:t>Nas mulheres com uma DMO do colo do fémur ≤ </w:t>
      </w:r>
      <w:r w:rsidRPr="00B5050F">
        <w:noBreakHyphen/>
        <w:t xml:space="preserve">2,5 no início do estudo, </w:t>
      </w:r>
      <w:r w:rsidR="0078220A" w:rsidRPr="00B5050F">
        <w:t>denosumab</w:t>
      </w:r>
      <w:r w:rsidRPr="00B5050F">
        <w:t xml:space="preserve"> reduziu o risco de fraturas não vertebrais (35% redução do risco relativo, 4,1% redução do risco absoluto, p &lt; 0,001, análise exploratória).</w:t>
      </w:r>
    </w:p>
    <w:p w14:paraId="314AFE17" w14:textId="77777777" w:rsidR="008011D6" w:rsidRPr="00B5050F" w:rsidRDefault="008011D6" w:rsidP="008B4ED7"/>
    <w:p w14:paraId="25028BFA" w14:textId="4E7FB94A" w:rsidR="008603DE" w:rsidRPr="00B5050F" w:rsidRDefault="008011D6" w:rsidP="008B4ED7">
      <w:r w:rsidRPr="00B5050F">
        <w:t xml:space="preserve">A redução na incidência de novas fraturas vertebrais, fraturas da anca e fraturas não vertebrais com </w:t>
      </w:r>
      <w:r w:rsidR="0078220A" w:rsidRPr="00B5050F">
        <w:t>denosumab</w:t>
      </w:r>
      <w:r w:rsidRPr="00B5050F">
        <w:t>, ao longo de 3 anos, foi consistente independentemente do risco de fratura a 10 anos existente no início do estudo.</w:t>
      </w:r>
    </w:p>
    <w:p w14:paraId="6DC0C491" w14:textId="77777777" w:rsidR="008011D6" w:rsidRPr="00B5050F" w:rsidRDefault="008011D6" w:rsidP="008B4ED7"/>
    <w:p w14:paraId="1741EB36" w14:textId="77777777" w:rsidR="008011D6" w:rsidRPr="00B5050F" w:rsidRDefault="008011D6" w:rsidP="008B4ED7">
      <w:pPr>
        <w:keepNext/>
        <w:tabs>
          <w:tab w:val="clear" w:pos="567"/>
        </w:tabs>
        <w:rPr>
          <w:i/>
          <w:iCs/>
        </w:rPr>
      </w:pPr>
      <w:r w:rsidRPr="00B5050F">
        <w:rPr>
          <w:i/>
        </w:rPr>
        <w:t>Efeito na densidade mineral óssea</w:t>
      </w:r>
    </w:p>
    <w:p w14:paraId="56E925E5" w14:textId="76E1CA28" w:rsidR="008603DE" w:rsidRPr="00B5050F" w:rsidRDefault="0078220A" w:rsidP="008B4ED7">
      <w:r w:rsidRPr="00B5050F">
        <w:t>Denosumab</w:t>
      </w:r>
      <w:r w:rsidR="008011D6" w:rsidRPr="00B5050F">
        <w:t xml:space="preserve"> aumentou significativamente a DMO em todos os locais clínicos avaliados </w:t>
      </w:r>
      <w:r w:rsidR="008011D6" w:rsidRPr="00B5050F">
        <w:rPr>
          <w:i/>
        </w:rPr>
        <w:t>versus</w:t>
      </w:r>
      <w:r w:rsidR="008011D6" w:rsidRPr="00B5050F">
        <w:t xml:space="preserve"> placebo aos 1, 2 e 3 anos. </w:t>
      </w:r>
      <w:r w:rsidRPr="00B5050F">
        <w:t>Denosumab</w:t>
      </w:r>
      <w:r w:rsidR="008011D6" w:rsidRPr="00B5050F">
        <w:t xml:space="preserve"> aumentou a DMO em 9,2% na coluna lombar, 6,0% na anca total, 4,8% no colo do fémur, 7,9% no trocânter femoral, 3,5% no 1/3 distal do rádio e 4,1% no corpo total ao longo de 3 anos (todos p &lt; 0,0001).</w:t>
      </w:r>
    </w:p>
    <w:p w14:paraId="495FB3A2" w14:textId="77777777" w:rsidR="008011D6" w:rsidRPr="00B5050F" w:rsidRDefault="008011D6" w:rsidP="008B4ED7"/>
    <w:p w14:paraId="777B27D6" w14:textId="471B5F3D" w:rsidR="008011D6" w:rsidRPr="00B5050F" w:rsidRDefault="008011D6" w:rsidP="008B4ED7">
      <w:r w:rsidRPr="00B5050F">
        <w:t xml:space="preserve">Em estudos clínicos que analisaram os efeitos da descontinuação de </w:t>
      </w:r>
      <w:r w:rsidR="0078220A" w:rsidRPr="00B5050F">
        <w:t>denosumab</w:t>
      </w:r>
      <w:r w:rsidRPr="00B5050F">
        <w:t xml:space="preserve">, a DMO voltou para os valores aproximados aos anteriores ao tratamento, tendo estes permanecido acima do placebo, num período de 18 meses após a última dose. Estes dados indicam que a continuação do tratamento com </w:t>
      </w:r>
      <w:r w:rsidR="0078220A" w:rsidRPr="00B5050F">
        <w:t>denosumab</w:t>
      </w:r>
      <w:r w:rsidRPr="00B5050F">
        <w:t xml:space="preserve"> é necessária para manter o efeito do medicamento. A reiniciação de </w:t>
      </w:r>
      <w:r w:rsidR="0078220A" w:rsidRPr="00B5050F">
        <w:t>denosumab</w:t>
      </w:r>
      <w:r w:rsidRPr="00B5050F">
        <w:t xml:space="preserve"> resultou num aumento da DMO semelhante ao que se observou quando </w:t>
      </w:r>
      <w:r w:rsidR="0078220A" w:rsidRPr="00B5050F">
        <w:t>denosumab</w:t>
      </w:r>
      <w:r w:rsidRPr="00B5050F">
        <w:t xml:space="preserve"> foi administrado pela primeira vez.</w:t>
      </w:r>
    </w:p>
    <w:p w14:paraId="4AB442B7" w14:textId="77777777" w:rsidR="00D475CF" w:rsidRPr="00B5050F" w:rsidRDefault="00D475CF" w:rsidP="008B4ED7"/>
    <w:p w14:paraId="007037A2" w14:textId="77777777" w:rsidR="00D475CF" w:rsidRPr="00B5050F" w:rsidRDefault="00D475CF" w:rsidP="008B4ED7">
      <w:pPr>
        <w:keepNext/>
        <w:tabs>
          <w:tab w:val="clear" w:pos="567"/>
        </w:tabs>
        <w:rPr>
          <w:i/>
          <w:iCs/>
        </w:rPr>
      </w:pPr>
      <w:r w:rsidRPr="00B5050F">
        <w:rPr>
          <w:i/>
        </w:rPr>
        <w:t>Estudo de extensão sem ocultação no tratamento da osteoporose na pós</w:t>
      </w:r>
      <w:r w:rsidRPr="00B5050F">
        <w:rPr>
          <w:i/>
        </w:rPr>
        <w:noBreakHyphen/>
        <w:t>menopausa</w:t>
      </w:r>
    </w:p>
    <w:p w14:paraId="6C12EA76" w14:textId="28857FC8" w:rsidR="00C2322D" w:rsidRPr="00B5050F" w:rsidRDefault="009214A2" w:rsidP="008B4ED7">
      <w:r w:rsidRPr="00B5050F">
        <w:t>Um total de 4.550 mulheres (2.343 em </w:t>
      </w:r>
      <w:r w:rsidR="0078220A" w:rsidRPr="00B5050F">
        <w:t>denosumab</w:t>
      </w:r>
      <w:r w:rsidRPr="00B5050F">
        <w:t xml:space="preserve"> e 2.207 em placebo) que não falharam mais do que uma dose do medicamento experimental no estudo de registo acima mencionado e que completaram a visita do estudo aos 36 meses concordaram em participar num estudo de extensão com a duração de 7 anos, multinacional, multicêntrico, sem ocultação, com um único braço para avaliar a segurança e eficácia de </w:t>
      </w:r>
      <w:r w:rsidR="0078220A" w:rsidRPr="00B5050F">
        <w:t>denosumab</w:t>
      </w:r>
      <w:r w:rsidRPr="00B5050F">
        <w:t xml:space="preserve"> a longo prazo. Todas as mulheres neste estudo de extensão receberiam </w:t>
      </w:r>
      <w:r w:rsidR="0078220A" w:rsidRPr="00B5050F">
        <w:t>denosumab</w:t>
      </w:r>
      <w:r w:rsidRPr="00B5050F">
        <w:t xml:space="preserve"> 60 mg todos os 6 meses, bem como cálcio (pelo menos 1 g) e vitamina D (pelo menos 400 UI) diariamente. Um total de 2.626 doentes (58% das mulheres incluídas no estudo de extensão, </w:t>
      </w:r>
      <w:r w:rsidRPr="00B5050F">
        <w:rPr>
          <w:i/>
        </w:rPr>
        <w:t>i.e</w:t>
      </w:r>
      <w:r w:rsidRPr="00B5050F">
        <w:t>. 34% das mulheres incluídas no estudo de registo) completaram o estudo de extensão.</w:t>
      </w:r>
    </w:p>
    <w:p w14:paraId="2CB99BF1" w14:textId="77777777" w:rsidR="00EF4A9D" w:rsidRPr="00B5050F" w:rsidRDefault="00EF4A9D" w:rsidP="008B4ED7"/>
    <w:p w14:paraId="67A0414B" w14:textId="2483E40A" w:rsidR="00CB6286" w:rsidRPr="00B5050F" w:rsidRDefault="00EF4A9D" w:rsidP="00BF0C34">
      <w:r w:rsidRPr="00B5050F">
        <w:t xml:space="preserve">Em doentes tratados com </w:t>
      </w:r>
      <w:r w:rsidR="0078220A" w:rsidRPr="00B5050F">
        <w:t>denosumab</w:t>
      </w:r>
      <w:r w:rsidRPr="00B5050F">
        <w:t xml:space="preserve"> até 10 anos, a DMO aumentou desde o período de base do estudo de registo até 21,7% na coluna lombar, 9,2% na anca total, 9,0% no colo do fémur, 13,0% no trocânter e 2,8% no 1/3 distal do rádio. O índice T médio para a DMO na coluna lombar no final do estudo foi de −1,3 em doentes tratados durante 10 anos.</w:t>
      </w:r>
    </w:p>
    <w:p w14:paraId="09F5C4CC" w14:textId="77777777" w:rsidR="00EF4A9D" w:rsidRPr="00B5050F" w:rsidRDefault="00EF4A9D" w:rsidP="008B4ED7"/>
    <w:p w14:paraId="348B84D3" w14:textId="77777777" w:rsidR="00243D11" w:rsidRPr="00B5050F" w:rsidRDefault="009214A2" w:rsidP="008B4ED7">
      <w:r w:rsidRPr="00B5050F">
        <w:t>A incidência das fraturas foi avaliada como um objetivo de segurança mas a eficácia na prevenção de fraturas não pode ser estimada devido a um elevado número de descontinuações e ao desenho do ensaio sem ocultação. A incidência cumulativa de novas fraturas vertebrais e não vertebrais foi de aproximadamente 6,8% e 13,1% respetivamente, em doentes que permaneceram em tratamento com denosumab por 10 anos (n = 1.278). Os doentes que não completaram o estudo por qualquer razão tiveram taxas mais elevadas de fratura durante o tratamento.</w:t>
      </w:r>
    </w:p>
    <w:p w14:paraId="67736DC3" w14:textId="77777777" w:rsidR="009214A2" w:rsidRPr="00B5050F" w:rsidRDefault="009214A2" w:rsidP="008B4ED7"/>
    <w:p w14:paraId="5246CD3F" w14:textId="77777777" w:rsidR="008603DE" w:rsidRPr="00B5050F" w:rsidRDefault="00EF4A9D" w:rsidP="008B4ED7">
      <w:r w:rsidRPr="00B5050F">
        <w:lastRenderedPageBreak/>
        <w:t>Treze casos adjudicados de osteonecrose da mandíbula (ONM) e dois casos adjudicados de fraturas atípicas do fémur ocorreram durante o estudo de extensão.</w:t>
      </w:r>
    </w:p>
    <w:p w14:paraId="013CC9F3" w14:textId="77777777" w:rsidR="009214A2" w:rsidRPr="00B5050F" w:rsidRDefault="009214A2" w:rsidP="008B4ED7"/>
    <w:p w14:paraId="141C1D83" w14:textId="77777777" w:rsidR="002C7BCD" w:rsidRPr="00B5050F" w:rsidRDefault="002C7BCD" w:rsidP="008B4ED7">
      <w:pPr>
        <w:keepNext/>
        <w:rPr>
          <w:u w:val="single"/>
        </w:rPr>
      </w:pPr>
      <w:r w:rsidRPr="00B5050F">
        <w:rPr>
          <w:u w:val="single"/>
        </w:rPr>
        <w:t>Eficácia e segurança clínica em homens com osteoporose</w:t>
      </w:r>
    </w:p>
    <w:p w14:paraId="15A4E0D8" w14:textId="77777777" w:rsidR="00233FFD" w:rsidRPr="00B5050F" w:rsidRDefault="00233FFD" w:rsidP="008B4ED7">
      <w:pPr>
        <w:keepNext/>
      </w:pPr>
    </w:p>
    <w:p w14:paraId="71526A90" w14:textId="72D018F0" w:rsidR="008603DE" w:rsidRPr="00B5050F" w:rsidRDefault="00233FFD" w:rsidP="008B4ED7">
      <w:r w:rsidRPr="00B5050F">
        <w:t xml:space="preserve">Foi investigada a eficácia e a segurança de </w:t>
      </w:r>
      <w:r w:rsidR="0078220A" w:rsidRPr="00B5050F">
        <w:t>denosumab</w:t>
      </w:r>
      <w:r w:rsidRPr="00B5050F">
        <w:t xml:space="preserve"> administrado uma vez de 6 em 6 meses durante 1 ano em 242 homens com idades entre os 31</w:t>
      </w:r>
      <w:r w:rsidRPr="00B5050F">
        <w:noBreakHyphen/>
        <w:t>84 anos. Foram excluídos do estudo os indivíduos com uma taxa de filtração glomerular &lt; 30 ml/min/1,73 m</w:t>
      </w:r>
      <w:r w:rsidRPr="00B5050F">
        <w:rPr>
          <w:vertAlign w:val="superscript"/>
        </w:rPr>
        <w:t>2</w:t>
      </w:r>
      <w:r w:rsidRPr="00B5050F">
        <w:t>. Todos os homens receberam suplementos diários de cálcio (pelo menos 1.000 mg) e de vitamina D (pelo menos 800 UI).</w:t>
      </w:r>
    </w:p>
    <w:p w14:paraId="01CEFF54" w14:textId="77777777" w:rsidR="00233FFD" w:rsidRPr="00B5050F" w:rsidRDefault="00233FFD" w:rsidP="008B4ED7"/>
    <w:p w14:paraId="7D25EFAF" w14:textId="6FC43FD5" w:rsidR="008603DE" w:rsidRPr="00B5050F" w:rsidRDefault="00233FFD" w:rsidP="008B4ED7">
      <w:r w:rsidRPr="00B5050F">
        <w:t xml:space="preserve">A variável de eficácia primária foi a alteração percentual da DMO na coluna lombar, a eficácia da fratura não foi avaliada. </w:t>
      </w:r>
      <w:r w:rsidR="0078220A" w:rsidRPr="00B5050F">
        <w:t>Denosumab</w:t>
      </w:r>
      <w:r w:rsidRPr="00B5050F">
        <w:t xml:space="preserve"> aumentou significativamente a DMO em todas as zonas clínicas medidas, em relação ao placebo em 12 meses: 4,8% na coluna lombar, 2,0% na anca total, 2,2% no colo do fémur, 2,3% em trocânter femoral, e 0,9% no 1/3 distal do rádio (todos p &lt; 0,05). Ao fim de 1 ano </w:t>
      </w:r>
      <w:r w:rsidR="0078220A" w:rsidRPr="00B5050F">
        <w:t>denosumab</w:t>
      </w:r>
      <w:r w:rsidRPr="00B5050F">
        <w:t xml:space="preserve"> aumentou a DMO da coluna lombar a partir do valor de base em 94,7% dos homens. Observaram</w:t>
      </w:r>
      <w:r w:rsidRPr="00B5050F">
        <w:noBreakHyphen/>
        <w:t>se aumentos significativos da DMO ao nível da coluna lombar, anca total, colo do fémur e trocânter femoral após 6 meses (p &lt; 0,0001).</w:t>
      </w:r>
    </w:p>
    <w:p w14:paraId="3369194B" w14:textId="77777777" w:rsidR="00233FFD" w:rsidRPr="00B5050F" w:rsidRDefault="00233FFD" w:rsidP="008B4ED7"/>
    <w:p w14:paraId="61FC2172" w14:textId="77777777" w:rsidR="002C7BCD" w:rsidRPr="00B5050F" w:rsidRDefault="00233FFD" w:rsidP="008B4ED7">
      <w:pPr>
        <w:keepNext/>
        <w:rPr>
          <w:u w:val="single"/>
        </w:rPr>
      </w:pPr>
      <w:r w:rsidRPr="00B5050F">
        <w:rPr>
          <w:u w:val="single"/>
        </w:rPr>
        <w:t>Histologia óssea em mulheres na pós</w:t>
      </w:r>
      <w:r w:rsidRPr="00B5050F">
        <w:rPr>
          <w:u w:val="single"/>
        </w:rPr>
        <w:noBreakHyphen/>
        <w:t>menopausa e homens com osteoporose</w:t>
      </w:r>
    </w:p>
    <w:p w14:paraId="209BEC08" w14:textId="77777777" w:rsidR="00233FFD" w:rsidRPr="00B5050F" w:rsidRDefault="00233FFD" w:rsidP="008B4ED7">
      <w:pPr>
        <w:keepNext/>
      </w:pPr>
    </w:p>
    <w:p w14:paraId="18BAABAD" w14:textId="334DF286" w:rsidR="008603DE" w:rsidRPr="00B5050F" w:rsidRDefault="009214A2" w:rsidP="008B4ED7">
      <w:r w:rsidRPr="00B5050F">
        <w:t>A histologia óssea foi avaliada em 62 mulheres na pós</w:t>
      </w:r>
      <w:r w:rsidRPr="00B5050F">
        <w:noBreakHyphen/>
        <w:t xml:space="preserve">menopausa com osteoporose ou com baixa massa óssea que, ou eram </w:t>
      </w:r>
      <w:r w:rsidRPr="00B5050F">
        <w:rPr>
          <w:i/>
        </w:rPr>
        <w:t>naïves</w:t>
      </w:r>
      <w:r w:rsidRPr="00B5050F">
        <w:t xml:space="preserve"> a terapêuticas para a osteoporose, ou que transitaram de uma terapêutica anterior com alendronato seguida de 1</w:t>
      </w:r>
      <w:r w:rsidRPr="00B5050F">
        <w:noBreakHyphen/>
        <w:t xml:space="preserve">3 anos de tratamento com </w:t>
      </w:r>
      <w:r w:rsidR="0078220A" w:rsidRPr="00B5050F">
        <w:t>denosumab</w:t>
      </w:r>
      <w:r w:rsidRPr="00B5050F">
        <w:t>. Cinquenta e nove mulheres participaram no subestudo de biopsia óssea, no mês 24 (n = 41) e/ou no mês 84 (n = 22) do estudo de extensão em mulheres na pós</w:t>
      </w:r>
      <w:r w:rsidRPr="00B5050F">
        <w:noBreakHyphen/>
        <w:t xml:space="preserve">menopausa com osteoporose. A histologia óssea foi também avaliada em 17 homens com osteoporose após 1 ano de tratamento com </w:t>
      </w:r>
      <w:r w:rsidR="0078220A" w:rsidRPr="00B5050F">
        <w:t>denosumab</w:t>
      </w:r>
      <w:r w:rsidRPr="00B5050F">
        <w:t>. Os resultados da biopsia óssea revelaram osso de arquitetura e qualidade normais sem evidência de defeitos de mineralização, osso fibroso ou fibrose da medula. Resultados de histomorfometria no estudo de extensão em mulheres na pós</w:t>
      </w:r>
      <w:r w:rsidRPr="00B5050F">
        <w:noBreakHyphen/>
        <w:t>menopausa com osteoporose demonstraram que os efeitos da terapêutica anti</w:t>
      </w:r>
      <w:r w:rsidR="004929CA">
        <w:t>r</w:t>
      </w:r>
      <w:r w:rsidRPr="00B5050F">
        <w:t xml:space="preserve">reabsortiva de </w:t>
      </w:r>
      <w:r w:rsidR="0078220A" w:rsidRPr="00B5050F">
        <w:t>denosumab</w:t>
      </w:r>
      <w:r w:rsidRPr="00B5050F">
        <w:t>, tal como avaliado pela frequência de ativação e pela taxa de reabsorção óssea, mantiveram</w:t>
      </w:r>
      <w:r w:rsidRPr="00B5050F">
        <w:noBreakHyphen/>
        <w:t>se ao longo do tempo.</w:t>
      </w:r>
    </w:p>
    <w:p w14:paraId="4C58CB3D" w14:textId="77777777" w:rsidR="00233FFD" w:rsidRPr="00B5050F" w:rsidRDefault="00233FFD" w:rsidP="008B4ED7"/>
    <w:p w14:paraId="0579B044" w14:textId="77777777" w:rsidR="00992A6A" w:rsidRPr="00B5050F" w:rsidRDefault="002C7BCD" w:rsidP="008B4ED7">
      <w:pPr>
        <w:keepNext/>
        <w:rPr>
          <w:u w:val="single"/>
        </w:rPr>
      </w:pPr>
      <w:r w:rsidRPr="00B5050F">
        <w:rPr>
          <w:u w:val="single"/>
        </w:rPr>
        <w:t>Eficácia e segurança clínica em doentes com perda óssea associada à privação de androgénios</w:t>
      </w:r>
    </w:p>
    <w:p w14:paraId="286BD0A9" w14:textId="77777777" w:rsidR="002C7BCD" w:rsidRPr="00B5050F" w:rsidRDefault="002C7BCD" w:rsidP="008B4ED7">
      <w:pPr>
        <w:keepNext/>
      </w:pPr>
    </w:p>
    <w:p w14:paraId="4B30A076" w14:textId="505DCACE" w:rsidR="008603DE" w:rsidRPr="00B5050F" w:rsidRDefault="00992A6A" w:rsidP="008B4ED7">
      <w:r w:rsidRPr="00B5050F">
        <w:t xml:space="preserve">A eficácia e segurança de </w:t>
      </w:r>
      <w:r w:rsidR="0078220A" w:rsidRPr="00B5050F">
        <w:t>denosumab</w:t>
      </w:r>
      <w:r w:rsidRPr="00B5050F">
        <w:t>, administrado uma vez a cada 6 meses durante 3 anos, foi investigada em homens com cancro da próstata não</w:t>
      </w:r>
      <w:r w:rsidRPr="00B5050F">
        <w:noBreakHyphen/>
        <w:t>metastizado, histologicamente confirmado, a receberem TPA (1.468 homens com 48</w:t>
      </w:r>
      <w:r w:rsidRPr="00B5050F">
        <w:noBreakHyphen/>
        <w:t>97 anos de idade) com um risco elevado de fratura (definido como &gt; 70 anos ou &lt; 70 anos com um índice T para a DMO &lt; </w:t>
      </w:r>
      <w:r w:rsidRPr="00B5050F">
        <w:noBreakHyphen/>
        <w:t>1,0 ao nível da coluna lombar, anca total ou colo do fémur ou com antecedentes de fratura osteoporótica). Todos os homens receberam suplementos diários de cálcio (pelo menos 1.000 mg) e de vitamina D (pelo menos 400 UI).</w:t>
      </w:r>
    </w:p>
    <w:p w14:paraId="2388AA22" w14:textId="77777777" w:rsidR="00992A6A" w:rsidRPr="00B5050F" w:rsidRDefault="00992A6A" w:rsidP="008B4ED7"/>
    <w:p w14:paraId="4CF396F8" w14:textId="393A2FA8" w:rsidR="00992A6A" w:rsidRPr="00B5050F" w:rsidRDefault="0078220A" w:rsidP="008B4ED7">
      <w:r w:rsidRPr="00B5050F">
        <w:t>Denosumab</w:t>
      </w:r>
      <w:r w:rsidR="00992A6A" w:rsidRPr="00B5050F">
        <w:t xml:space="preserve"> aumentou significativamente a DMO em todos os locais clínicos avaliados, em relação ao tratamento com placebo aos 3 anos: 7,9% na coluna lombar, 5,7% na anca total, 4,9% no colo do fémur, 6,9% no trocânter femoral, 6,9% no 1/3 distal do rádio e 4,7% no corpo total (todos p &lt; 0,0001). Numa análise exploratória prospetivamente planeada, observaram</w:t>
      </w:r>
      <w:r w:rsidR="00992A6A" w:rsidRPr="00B5050F">
        <w:noBreakHyphen/>
        <w:t>se aumentos significativos da DMO ao nível da coluna lombar, anca total, colo do fémur e trocânter femoral 1 mês após a dose inicial.</w:t>
      </w:r>
    </w:p>
    <w:p w14:paraId="37F37FE9" w14:textId="77777777" w:rsidR="00992A6A" w:rsidRPr="00B5050F" w:rsidRDefault="00992A6A" w:rsidP="008B4ED7"/>
    <w:p w14:paraId="137EE2FE" w14:textId="08430C50" w:rsidR="008603DE" w:rsidRPr="00B5050F" w:rsidRDefault="0078220A" w:rsidP="008B4ED7">
      <w:r w:rsidRPr="00B5050F">
        <w:t>Denosumab</w:t>
      </w:r>
      <w:r w:rsidR="00D475CF" w:rsidRPr="00B5050F">
        <w:t xml:space="preserve"> demonstrou uma redução significativa do risco relativo de novas fraturas vertebrais: 85% (1,6% redução do risco absoluto) ao final de 1 ano, 69% (2,2% redução do risco absoluto) aos 2 anos e 62% (2,4% redução do risco absoluto) aos 3 anos (todos p &lt; 0,01).</w:t>
      </w:r>
    </w:p>
    <w:p w14:paraId="05D6D97B" w14:textId="77777777" w:rsidR="00992A6A" w:rsidRPr="00B5050F" w:rsidRDefault="00992A6A" w:rsidP="008B4ED7"/>
    <w:p w14:paraId="1E6207CC" w14:textId="77777777" w:rsidR="00992A6A" w:rsidRPr="00B5050F" w:rsidRDefault="000239F8" w:rsidP="008B4ED7">
      <w:pPr>
        <w:keepNext/>
        <w:rPr>
          <w:u w:val="single"/>
        </w:rPr>
      </w:pPr>
      <w:r w:rsidRPr="00B5050F">
        <w:rPr>
          <w:u w:val="single"/>
        </w:rPr>
        <w:t>Eficácia e segurança clínica em doentes com perda óssea associada à terapêutica adjuvante inibidora da aromatase</w:t>
      </w:r>
    </w:p>
    <w:p w14:paraId="31D1D4DB" w14:textId="77777777" w:rsidR="000239F8" w:rsidRPr="00B5050F" w:rsidRDefault="000239F8" w:rsidP="008B4ED7">
      <w:pPr>
        <w:keepNext/>
      </w:pPr>
    </w:p>
    <w:p w14:paraId="59DFB4CB" w14:textId="0F3C0918" w:rsidR="008603DE" w:rsidRPr="00B5050F" w:rsidRDefault="00992A6A" w:rsidP="008B4ED7">
      <w:r w:rsidRPr="00B5050F">
        <w:t xml:space="preserve">A eficácia e segurança de </w:t>
      </w:r>
      <w:r w:rsidR="0078220A" w:rsidRPr="00B5050F">
        <w:t>denosumab</w:t>
      </w:r>
      <w:r w:rsidRPr="00B5050F">
        <w:t>, uma vez de 6 em 6 meses durante 2 anos, foram investigadas em mulheres com cancro da mama não</w:t>
      </w:r>
      <w:r w:rsidRPr="00B5050F">
        <w:noBreakHyphen/>
        <w:t>metastizado (252 mulheres com 35</w:t>
      </w:r>
      <w:r w:rsidRPr="00B5050F">
        <w:noBreakHyphen/>
        <w:t xml:space="preserve">84 anos de idade) e com </w:t>
      </w:r>
      <w:r w:rsidRPr="00B5050F">
        <w:lastRenderedPageBreak/>
        <w:t>um índice T para a DMO no início do estudo entre -1,0 a -2,5 ao nível da coluna lombar, anca total ou colo do fémur. Todas as mulheres receberam suplementos diários de cálcio (pelo menos 1.000 mg) e de vitamina D (pelo menos 400 UI).</w:t>
      </w:r>
    </w:p>
    <w:p w14:paraId="7627A469" w14:textId="77777777" w:rsidR="00992A6A" w:rsidRPr="00B5050F" w:rsidRDefault="00992A6A" w:rsidP="008B4ED7"/>
    <w:p w14:paraId="69DB5A16" w14:textId="0D35A1C2" w:rsidR="008603DE" w:rsidRPr="00B5050F" w:rsidRDefault="00992A6A" w:rsidP="008B4ED7">
      <w:r w:rsidRPr="00B5050F">
        <w:t xml:space="preserve">A variável de eficácia primária foi a alteração percentual da DMO na coluna lombar; a eficácia na fratura não foi avaliada. </w:t>
      </w:r>
      <w:r w:rsidR="0078220A" w:rsidRPr="00B5050F">
        <w:t>Denosumab</w:t>
      </w:r>
      <w:r w:rsidRPr="00B5050F">
        <w:t xml:space="preserve"> aumentou significativamente a DMO em todos os locais clínicos avaliados em relação ao tratamento com placebo aos 2 anos: 7,6% na coluna lombar, 4,7% na anca total, 3,6% no colo do fémur, 5,9% no trocânter femoral, 6,1% no 1/3 distal do rádio e 4,2% no corpo total (todos p &lt; 0,0001).</w:t>
      </w:r>
    </w:p>
    <w:p w14:paraId="1F1BE745" w14:textId="77777777" w:rsidR="0081033D" w:rsidRPr="00B5050F" w:rsidRDefault="0081033D" w:rsidP="008B4ED7"/>
    <w:p w14:paraId="0C83FD6A" w14:textId="77777777" w:rsidR="0081033D" w:rsidRPr="00B5050F" w:rsidRDefault="0081033D" w:rsidP="008B4ED7">
      <w:pPr>
        <w:keepNext/>
        <w:rPr>
          <w:u w:val="single"/>
        </w:rPr>
      </w:pPr>
      <w:r w:rsidRPr="00B5050F">
        <w:rPr>
          <w:u w:val="single"/>
        </w:rPr>
        <w:t>Tratamento da perda óssea associada à terapêutica adrenocorticosteroide sistémica</w:t>
      </w:r>
    </w:p>
    <w:p w14:paraId="3E9D7997" w14:textId="77777777" w:rsidR="0081033D" w:rsidRPr="00B5050F" w:rsidRDefault="0081033D" w:rsidP="008B4ED7">
      <w:pPr>
        <w:keepNext/>
      </w:pPr>
    </w:p>
    <w:p w14:paraId="3A4E6488" w14:textId="5D8B4041" w:rsidR="008603DE" w:rsidRPr="00B5050F" w:rsidRDefault="0081033D" w:rsidP="008B4ED7">
      <w:r w:rsidRPr="00B5050F">
        <w:t xml:space="preserve">A eficácia e segurança de </w:t>
      </w:r>
      <w:r w:rsidR="0078220A" w:rsidRPr="00B5050F">
        <w:t>denosumab</w:t>
      </w:r>
      <w:r w:rsidRPr="00B5050F">
        <w:t xml:space="preserve"> foram investigadas em 795 doentes (70% mulheres e 30% homens) com idades compreendidas entre os 20 e os 94 anos tratados com ≥ 7,5 mg de prednisona oral diariamente (ou equivalente).</w:t>
      </w:r>
    </w:p>
    <w:p w14:paraId="6C73849A" w14:textId="77777777" w:rsidR="0081033D" w:rsidRPr="00B5050F" w:rsidRDefault="0081033D" w:rsidP="008B4ED7"/>
    <w:p w14:paraId="26B307ED" w14:textId="422CE0F8" w:rsidR="008603DE" w:rsidRPr="00B5050F" w:rsidRDefault="0081033D" w:rsidP="008B4ED7">
      <w:r w:rsidRPr="00B5050F">
        <w:t xml:space="preserve">Foram estudadas duas subpopulações: com continuação de glucocorticoide (≥ 7,5 mg de prednisona diariamente ou equivalente durante ≥ 3 meses antes da inclusão no estudo; n = 505) e com iniciação de glucocorticoide (≥ 7,5 mg de prednisona diariamente ou equivalente durante &lt; 3 meses antes da inclusão no estudo; n = 290). Os doentes foram aleatorizados (1:1) para receber </w:t>
      </w:r>
      <w:r w:rsidR="00744A6C" w:rsidRPr="00B5050F">
        <w:t>denosumab</w:t>
      </w:r>
      <w:r w:rsidRPr="00B5050F">
        <w:t xml:space="preserve"> 60 mg por via subcutânea uma vez de 6 em 6 meses ou risedronato 5 mg oral uma vez por dia (controlo ativo) durante 2 anos. Os doentes receberam suplementos diários de cálcio (pelo menos 1.000 mg) e de vitamina D (pelo menos 800 UI).</w:t>
      </w:r>
    </w:p>
    <w:p w14:paraId="3D43CBDD" w14:textId="77777777" w:rsidR="0081033D" w:rsidRPr="00B5050F" w:rsidRDefault="0081033D" w:rsidP="008B4ED7"/>
    <w:p w14:paraId="6CF0C309" w14:textId="77777777" w:rsidR="008603DE" w:rsidRPr="00B5050F" w:rsidRDefault="0081033D" w:rsidP="008B4ED7">
      <w:pPr>
        <w:keepNext/>
        <w:tabs>
          <w:tab w:val="clear" w:pos="567"/>
        </w:tabs>
        <w:rPr>
          <w:i/>
          <w:iCs/>
        </w:rPr>
      </w:pPr>
      <w:r w:rsidRPr="00B5050F">
        <w:rPr>
          <w:i/>
        </w:rPr>
        <w:t>Efeito na Densidade Mineral Óssea (DMO)</w:t>
      </w:r>
    </w:p>
    <w:p w14:paraId="6B7723BB" w14:textId="7FD1A630" w:rsidR="0081033D" w:rsidRPr="00B5050F" w:rsidRDefault="0081033D" w:rsidP="008B4ED7">
      <w:r w:rsidRPr="00B5050F">
        <w:t xml:space="preserve">Na subpopulação com continuação de glucocorticoide, </w:t>
      </w:r>
      <w:r w:rsidR="00744A6C" w:rsidRPr="00B5050F">
        <w:t>denosumab</w:t>
      </w:r>
      <w:r w:rsidRPr="00B5050F">
        <w:t xml:space="preserve"> demonstrou um aumento maior da DMO na coluna lombar comparativamente com o risedronato ao final do ano 1 (</w:t>
      </w:r>
      <w:r w:rsidR="00744A6C" w:rsidRPr="00B5050F">
        <w:t>denosumab</w:t>
      </w:r>
      <w:r w:rsidRPr="00B5050F">
        <w:t xml:space="preserve"> 3,6%, risedronato 2,0%; p &lt; 0,001) e de 2 anos (</w:t>
      </w:r>
      <w:r w:rsidR="00744A6C" w:rsidRPr="00B5050F">
        <w:t>denosumab</w:t>
      </w:r>
      <w:r w:rsidRPr="00B5050F">
        <w:t xml:space="preserve"> 4,5%, risedronato 2,2%; p &lt; 0,001). Na subpopulação com iniciação de glucocorticoide, </w:t>
      </w:r>
      <w:r w:rsidR="00744A6C" w:rsidRPr="00B5050F">
        <w:t>denosumab</w:t>
      </w:r>
      <w:r w:rsidRPr="00B5050F">
        <w:t xml:space="preserve"> demonstrou um aumento maior da DMO na coluna lombar comparativamente com o risedronato ao final do ano 1 (</w:t>
      </w:r>
      <w:r w:rsidR="00744A6C" w:rsidRPr="00B5050F">
        <w:t>denosumab</w:t>
      </w:r>
      <w:r w:rsidRPr="00B5050F">
        <w:t xml:space="preserve"> 3,1%, risedronato 0,8%; p &lt; 0,001) e de 2 anos (</w:t>
      </w:r>
      <w:r w:rsidR="00744A6C" w:rsidRPr="00B5050F">
        <w:t>denosumab</w:t>
      </w:r>
      <w:r w:rsidRPr="00B5050F">
        <w:t xml:space="preserve"> 4,6%, risedronato 1,5%; p &lt; 0,001).</w:t>
      </w:r>
    </w:p>
    <w:p w14:paraId="54A2B9B0" w14:textId="77777777" w:rsidR="0081033D" w:rsidRPr="00B5050F" w:rsidRDefault="0081033D" w:rsidP="008B4ED7"/>
    <w:p w14:paraId="01BA7F6A" w14:textId="28E16F28" w:rsidR="008603DE" w:rsidRPr="00B5050F" w:rsidRDefault="0081033D" w:rsidP="008B4ED7">
      <w:r w:rsidRPr="00B5050F">
        <w:t xml:space="preserve">Além disso, </w:t>
      </w:r>
      <w:r w:rsidR="00744A6C" w:rsidRPr="00B5050F">
        <w:t>denosumab</w:t>
      </w:r>
      <w:r w:rsidRPr="00B5050F">
        <w:t xml:space="preserve"> demonstrou um aumento percentual médio significativamente superior na DMO em relação ao valor de base comparativamente com o risedronato na anca total, colo do fémur e trocânter femoral.</w:t>
      </w:r>
    </w:p>
    <w:p w14:paraId="6AB6BD41" w14:textId="77777777" w:rsidR="0081033D" w:rsidRPr="00B5050F" w:rsidRDefault="0081033D" w:rsidP="008B4ED7"/>
    <w:p w14:paraId="7F8745D9" w14:textId="77777777" w:rsidR="0081033D" w:rsidRPr="00B5050F" w:rsidRDefault="0081033D" w:rsidP="008B4ED7">
      <w:r w:rsidRPr="00B5050F">
        <w:t xml:space="preserve">O estudo não foi concebido para mostrar diferenças nas fraturas. Ao final de 1 ano, a incidência de nova fratura vertebral com evidência radiológica nos doentes foi de 2,7% (denosumab) </w:t>
      </w:r>
      <w:r w:rsidRPr="00B5050F">
        <w:rPr>
          <w:i/>
        </w:rPr>
        <w:t>versus</w:t>
      </w:r>
      <w:r w:rsidRPr="00B5050F">
        <w:t xml:space="preserve"> 3,2% (risedronato). A incidência de fratura não vertebral nos doentes foi de 4,3% (denosumab) </w:t>
      </w:r>
      <w:r w:rsidRPr="00B5050F">
        <w:rPr>
          <w:i/>
        </w:rPr>
        <w:t>versus</w:t>
      </w:r>
      <w:r w:rsidRPr="00B5050F">
        <w:t xml:space="preserve"> 2,5% (risedronato). Ao final de 2 anos, os números correspondentes eram 4,1% </w:t>
      </w:r>
      <w:r w:rsidRPr="00B5050F">
        <w:rPr>
          <w:i/>
        </w:rPr>
        <w:t>versus</w:t>
      </w:r>
      <w:r w:rsidRPr="00B5050F">
        <w:t xml:space="preserve"> 5,8% para novas fraturas vertebrais com evidência radiológica e 5,3% </w:t>
      </w:r>
      <w:r w:rsidRPr="00B5050F">
        <w:rPr>
          <w:i/>
        </w:rPr>
        <w:t>versus</w:t>
      </w:r>
      <w:r w:rsidRPr="00B5050F">
        <w:t xml:space="preserve"> 3,8% para fraturas não vertebrais. A maioria das fraturas ocorreu na subpopulação com continuação de glucocorticoide.</w:t>
      </w:r>
    </w:p>
    <w:p w14:paraId="038F8182" w14:textId="77777777" w:rsidR="00D475CF" w:rsidRPr="00B5050F" w:rsidRDefault="00D475CF" w:rsidP="008B4ED7"/>
    <w:p w14:paraId="33680C74" w14:textId="77777777" w:rsidR="00D475CF" w:rsidRPr="00B5050F" w:rsidRDefault="00D475CF" w:rsidP="008B4ED7">
      <w:pPr>
        <w:keepNext/>
        <w:rPr>
          <w:u w:val="single"/>
        </w:rPr>
      </w:pPr>
      <w:r w:rsidRPr="00B5050F">
        <w:rPr>
          <w:u w:val="single"/>
        </w:rPr>
        <w:t>População pediátrica</w:t>
      </w:r>
    </w:p>
    <w:p w14:paraId="39B288C5" w14:textId="77777777" w:rsidR="00DD1080" w:rsidRPr="00B5050F" w:rsidRDefault="00DD1080" w:rsidP="008B4ED7">
      <w:pPr>
        <w:keepNext/>
      </w:pPr>
    </w:p>
    <w:p w14:paraId="1135C41D" w14:textId="77777777" w:rsidR="00A6401A" w:rsidRPr="00B5050F" w:rsidRDefault="00A6401A" w:rsidP="00A6401A">
      <w:r w:rsidRPr="00B5050F">
        <w:t>Foi realizado um estudo de fase 3 de braço único para avaliar a eficácia, a segurança e a farmacocinética em crianças com osteogénese imperfeita, com idades entre os 2 e os 17 anos, das quais 52,3% eram do sexo masculino e 88,2% eram caucasianas. Um total de 153 doentes receberam inicialmente 1 mg/kg de denosumab subcutâneo (SC) , até um máximo de 60 mg, de 6 em 6 meses durante 36 meses. Sessenta doentes transitaram para uma administração de 3 em 3 meses.</w:t>
      </w:r>
    </w:p>
    <w:p w14:paraId="56B13824" w14:textId="77777777" w:rsidR="00A47BFC" w:rsidRPr="00B5050F" w:rsidRDefault="00A47BFC" w:rsidP="00A6401A"/>
    <w:p w14:paraId="67C3B257" w14:textId="77777777" w:rsidR="00A6401A" w:rsidRPr="00B5050F" w:rsidRDefault="00A6401A" w:rsidP="00A6401A">
      <w:r w:rsidRPr="00B5050F">
        <w:t>No mês 12 da administração de 3 em 3 meses, a alteração da média dos mínimos quadrados (MQ) (erro padrão, EP) na pontuação Z da DMO da coluna lombar em relação ao valor de base foi de 1,01 (0,12).</w:t>
      </w:r>
    </w:p>
    <w:p w14:paraId="599D97B5" w14:textId="77777777" w:rsidR="00A47BFC" w:rsidRPr="00B5050F" w:rsidRDefault="00A47BFC" w:rsidP="00A6401A"/>
    <w:p w14:paraId="0DD1EE5F" w14:textId="77777777" w:rsidR="00A6401A" w:rsidRPr="00B5050F" w:rsidRDefault="000B1429" w:rsidP="00A6401A">
      <w:r w:rsidRPr="00B5050F">
        <w:t xml:space="preserve">Os acontecimentos adversos mais frequentes notificados durante a administração de 6 em 6 meses foram artralgia (45,8%), dor nas extremidades (37,9%), dorsalgia (32,7%) e hipercalciúria (32,0%). </w:t>
      </w:r>
      <w:r w:rsidRPr="00B5050F">
        <w:lastRenderedPageBreak/>
        <w:t>Hipercalcemia foi notificada durante a administração de 6 em 6 meses (19%) e de 3 em 3 meses (36,7%). Foram notificados acontecimentos adversos graves de hipercalcemia (13,3%) durante a administração de 3 em 3 meses.</w:t>
      </w:r>
    </w:p>
    <w:p w14:paraId="49B27067" w14:textId="77777777" w:rsidR="00A47BFC" w:rsidRPr="00B5050F" w:rsidRDefault="00A47BFC" w:rsidP="00A6401A"/>
    <w:p w14:paraId="5D8EFA9B" w14:textId="77777777" w:rsidR="00A6401A" w:rsidRPr="00B5050F" w:rsidRDefault="00A6401A" w:rsidP="00A6401A">
      <w:r w:rsidRPr="00B5050F">
        <w:t>Num estudo de extensão (N = 75), observaram</w:t>
      </w:r>
      <w:r w:rsidRPr="00B5050F">
        <w:noBreakHyphen/>
        <w:t>se acontecimentos adversos graves de hipercalcemia (18,5%) durante a administração de 3 em 3 meses.</w:t>
      </w:r>
    </w:p>
    <w:p w14:paraId="5130E852" w14:textId="77777777" w:rsidR="00A47BFC" w:rsidRPr="00B5050F" w:rsidRDefault="00A47BFC" w:rsidP="00A6401A"/>
    <w:p w14:paraId="5C4D6DBA" w14:textId="77777777" w:rsidR="00A6401A" w:rsidRPr="00B5050F" w:rsidRDefault="00A6401A" w:rsidP="00A6401A">
      <w:r w:rsidRPr="00B5050F">
        <w:t>Os estudos foram interrompidos precocemente devido à ocorrência de acontecimentos potencialmente fatais e hospitalizações resultantes de hipercalcemia (ver secção 4.2).</w:t>
      </w:r>
    </w:p>
    <w:p w14:paraId="21774D8B" w14:textId="77777777" w:rsidR="006C15EE" w:rsidRPr="00B5050F" w:rsidRDefault="006C15EE" w:rsidP="008B4ED7"/>
    <w:p w14:paraId="78E68038" w14:textId="6B7224C6" w:rsidR="00D475CF" w:rsidRPr="00B5050F" w:rsidRDefault="00D475CF" w:rsidP="008B4ED7">
      <w:r w:rsidRPr="00B5050F">
        <w:t xml:space="preserve">A Agência Europeia de Medicamentos dispensou a obrigação de apresentação dos resultados dos estudos com </w:t>
      </w:r>
      <w:r w:rsidR="00744A6C" w:rsidRPr="00B5050F">
        <w:t>denosumab</w:t>
      </w:r>
      <w:r w:rsidRPr="00B5050F">
        <w:t xml:space="preserve"> em todos os subgrupos da população pediátrica no tratamento da perda óssea associada à terapêutica de ablação hormonal, e nos subgrupos da população pediátrica com idade inferior a 2 anos no tratamento da osteoporose. Ver secção 4.2 para informação sobre utilização pediátrica.</w:t>
      </w:r>
    </w:p>
    <w:p w14:paraId="3DD1E36C" w14:textId="77777777" w:rsidR="00992A6A" w:rsidRPr="00B5050F" w:rsidRDefault="00992A6A" w:rsidP="008B4ED7"/>
    <w:p w14:paraId="380E8279" w14:textId="77777777" w:rsidR="00992A6A" w:rsidRPr="00B5050F" w:rsidRDefault="00A77D74" w:rsidP="008B4ED7">
      <w:pPr>
        <w:keepNext/>
        <w:ind w:left="567" w:hanging="567"/>
        <w:rPr>
          <w:b/>
        </w:rPr>
      </w:pPr>
      <w:r w:rsidRPr="00B5050F">
        <w:rPr>
          <w:b/>
        </w:rPr>
        <w:t>5.2</w:t>
      </w:r>
      <w:r w:rsidRPr="00B5050F">
        <w:rPr>
          <w:b/>
        </w:rPr>
        <w:tab/>
        <w:t>Propriedades farmacocinéticas</w:t>
      </w:r>
    </w:p>
    <w:p w14:paraId="1FB02670" w14:textId="77777777" w:rsidR="00992A6A" w:rsidRPr="00B5050F" w:rsidRDefault="00992A6A" w:rsidP="008B4ED7">
      <w:pPr>
        <w:keepNext/>
      </w:pPr>
    </w:p>
    <w:p w14:paraId="43BF5F4B" w14:textId="77777777" w:rsidR="00992A6A" w:rsidRPr="00B5050F" w:rsidRDefault="00992A6A" w:rsidP="008B4ED7">
      <w:pPr>
        <w:keepNext/>
        <w:rPr>
          <w:u w:val="single"/>
        </w:rPr>
      </w:pPr>
      <w:r w:rsidRPr="00B5050F">
        <w:rPr>
          <w:u w:val="single"/>
        </w:rPr>
        <w:t>Absorção</w:t>
      </w:r>
    </w:p>
    <w:p w14:paraId="1FB79A76" w14:textId="77777777" w:rsidR="00DD1080" w:rsidRPr="00B5050F" w:rsidRDefault="00DD1080" w:rsidP="008B4ED7">
      <w:pPr>
        <w:keepNext/>
      </w:pPr>
    </w:p>
    <w:p w14:paraId="61AD6F04" w14:textId="77777777" w:rsidR="00992A6A" w:rsidRPr="00B5050F" w:rsidRDefault="00992A6A" w:rsidP="008B4ED7">
      <w:r w:rsidRPr="00B5050F">
        <w:t>Após a administração subcutânea de uma dose de 1,0 mg/kg, que se aproxima da dose aprovada de 60 mg, a exposição com base na AUC foi de 78% em comparação com a administração intravenosa com o mesmo nível de dose. Para uma dose subcutânea de 60 mg, as concentrações séricas máximas de denosumab (C</w:t>
      </w:r>
      <w:r w:rsidRPr="00B5050F">
        <w:rPr>
          <w:vertAlign w:val="subscript"/>
        </w:rPr>
        <w:t>máx</w:t>
      </w:r>
      <w:r w:rsidRPr="00B5050F">
        <w:t>) de 6 mcg/ml (intervalo de 1</w:t>
      </w:r>
      <w:r w:rsidRPr="00B5050F">
        <w:noBreakHyphen/>
        <w:t>17 mcg/ml) ocorreram em 10 dias (intervalo de 2</w:t>
      </w:r>
      <w:r w:rsidRPr="00B5050F">
        <w:noBreakHyphen/>
        <w:t>28 dias).</w:t>
      </w:r>
    </w:p>
    <w:p w14:paraId="5588D799" w14:textId="77777777" w:rsidR="00992A6A" w:rsidRPr="00B5050F" w:rsidRDefault="00992A6A" w:rsidP="008B4ED7"/>
    <w:p w14:paraId="7DC3FF0A" w14:textId="77777777" w:rsidR="00992A6A" w:rsidRPr="00B5050F" w:rsidRDefault="00992A6A" w:rsidP="008B4ED7">
      <w:pPr>
        <w:keepNext/>
        <w:rPr>
          <w:u w:val="single"/>
        </w:rPr>
      </w:pPr>
      <w:r w:rsidRPr="00B5050F">
        <w:rPr>
          <w:u w:val="single"/>
        </w:rPr>
        <w:t>Biotransformação</w:t>
      </w:r>
    </w:p>
    <w:p w14:paraId="631C2980" w14:textId="77777777" w:rsidR="00DD1080" w:rsidRPr="00B5050F" w:rsidRDefault="00DD1080" w:rsidP="008B4ED7">
      <w:pPr>
        <w:keepNext/>
      </w:pPr>
    </w:p>
    <w:p w14:paraId="4A7111E7" w14:textId="77777777" w:rsidR="00992A6A" w:rsidRPr="00B5050F" w:rsidRDefault="00992A6A" w:rsidP="008B4ED7">
      <w:r w:rsidRPr="00B5050F">
        <w:t>Denosumab é composto unicamente por aminoácidos e hidratos de carbono como imunoglobulina nativa e é improvável que seja eliminado através de mecanismos de metabolismo hepático. É esperado que o seu metabolismo e eliminação sigam as vias de depuração das imunoglobulinas, resultando na degradação em pequenos péptidos e aminoácidos individuais.</w:t>
      </w:r>
    </w:p>
    <w:p w14:paraId="6EC8B52A" w14:textId="77777777" w:rsidR="00992A6A" w:rsidRPr="00B5050F" w:rsidRDefault="00992A6A" w:rsidP="008B4ED7"/>
    <w:p w14:paraId="24DAFBD4" w14:textId="77777777" w:rsidR="00992A6A" w:rsidRPr="00B5050F" w:rsidRDefault="00992A6A" w:rsidP="008B4ED7">
      <w:pPr>
        <w:keepNext/>
        <w:rPr>
          <w:u w:val="single"/>
        </w:rPr>
      </w:pPr>
      <w:r w:rsidRPr="00B5050F">
        <w:rPr>
          <w:u w:val="single"/>
        </w:rPr>
        <w:t>Eliminação</w:t>
      </w:r>
    </w:p>
    <w:p w14:paraId="7FFBB952" w14:textId="77777777" w:rsidR="00DD1080" w:rsidRPr="00B5050F" w:rsidRDefault="00DD1080" w:rsidP="008B4ED7">
      <w:pPr>
        <w:keepNext/>
      </w:pPr>
    </w:p>
    <w:p w14:paraId="77017FAA" w14:textId="77777777" w:rsidR="00992A6A" w:rsidRPr="00B5050F" w:rsidRDefault="00992A6A" w:rsidP="008B4ED7">
      <w:r w:rsidRPr="00B5050F">
        <w:t>Após se ter atingido a C</w:t>
      </w:r>
      <w:r w:rsidRPr="00B5050F">
        <w:rPr>
          <w:vertAlign w:val="subscript"/>
        </w:rPr>
        <w:t>máx</w:t>
      </w:r>
      <w:r w:rsidRPr="00B5050F">
        <w:t>, os níveis séricos diminuíram com uma semivida de 26 dias (intervalo de 6</w:t>
      </w:r>
      <w:r w:rsidRPr="00B5050F">
        <w:noBreakHyphen/>
        <w:t>52 dias) durante um período de 3 meses (intervalo de 1,5</w:t>
      </w:r>
      <w:r w:rsidRPr="00B5050F">
        <w:noBreakHyphen/>
        <w:t>4,5 meses). Cinquenta e três por cento (53%) dos doentes não apresentaram quantidades mensuráveis de denosumab detetáveis 6 meses após a dose.</w:t>
      </w:r>
    </w:p>
    <w:p w14:paraId="0F8B86C9" w14:textId="77777777" w:rsidR="00992A6A" w:rsidRPr="00B5050F" w:rsidRDefault="00992A6A" w:rsidP="008B4ED7"/>
    <w:p w14:paraId="76BE8164" w14:textId="77777777" w:rsidR="00992A6A" w:rsidRPr="00B5050F" w:rsidRDefault="00992A6A" w:rsidP="008B4ED7">
      <w:r w:rsidRPr="00B5050F">
        <w:t>Não se observou uma acumulação ou alteração na farmacocinética de denosumab com o tempo, com a administração múltipla da dose de 60 mg, por via subcutânea, uma vez a cada 6 meses. A farmacocinética de denosumab não foi afetada pela formação de anticorpos de ligação ao denosumab e foi semelhante nos homens e nas mulheres. A idade (28</w:t>
      </w:r>
      <w:r w:rsidRPr="00B5050F">
        <w:noBreakHyphen/>
        <w:t>87 anos), raça e estado da doença (massa óssea reduzida ou osteoporose; cancro da próstata ou da mama) não parecem afetar a farmacocinética de denosumab de forma significativa.</w:t>
      </w:r>
    </w:p>
    <w:p w14:paraId="0576D843" w14:textId="77777777" w:rsidR="00992A6A" w:rsidRPr="00B5050F" w:rsidRDefault="00992A6A" w:rsidP="008B4ED7"/>
    <w:p w14:paraId="3B532A6D" w14:textId="77777777" w:rsidR="008603DE" w:rsidRPr="00B5050F" w:rsidRDefault="00992A6A" w:rsidP="008B4ED7">
      <w:r w:rsidRPr="00B5050F">
        <w:t>Observou</w:t>
      </w:r>
      <w:r w:rsidRPr="00B5050F">
        <w:noBreakHyphen/>
        <w:t>se uma tendência entre um peso corporal mais elevado e uma exposição mais baixa com base na AUC e na C</w:t>
      </w:r>
      <w:r w:rsidRPr="00B5050F">
        <w:rPr>
          <w:vertAlign w:val="subscript"/>
        </w:rPr>
        <w:t>máx</w:t>
      </w:r>
      <w:r w:rsidRPr="00B5050F">
        <w:t>. Contudo, a tendência não é considerada clinicamente importante, já que os efeitos farmacodinâmicos com base nos marcadores de remodelação óssea e os aumentos da DMO foram consistentes num intervalo alargado de pesos corporais.</w:t>
      </w:r>
    </w:p>
    <w:p w14:paraId="008F7842" w14:textId="77777777" w:rsidR="00992A6A" w:rsidRPr="00B5050F" w:rsidRDefault="00992A6A" w:rsidP="008B4ED7"/>
    <w:p w14:paraId="1B053B98" w14:textId="77777777" w:rsidR="00992A6A" w:rsidRPr="00B5050F" w:rsidRDefault="00992A6A" w:rsidP="008B4ED7">
      <w:pPr>
        <w:keepNext/>
        <w:rPr>
          <w:u w:val="single"/>
        </w:rPr>
      </w:pPr>
      <w:r w:rsidRPr="00B5050F">
        <w:rPr>
          <w:u w:val="single"/>
        </w:rPr>
        <w:t>Linearidade/não linearidade</w:t>
      </w:r>
    </w:p>
    <w:p w14:paraId="32CBF1DD" w14:textId="77777777" w:rsidR="00DD1080" w:rsidRPr="00B5050F" w:rsidRDefault="00DD1080" w:rsidP="008B4ED7">
      <w:pPr>
        <w:keepNext/>
      </w:pPr>
    </w:p>
    <w:p w14:paraId="550A80BD" w14:textId="77777777" w:rsidR="00992A6A" w:rsidRPr="00B5050F" w:rsidRDefault="00992A6A" w:rsidP="008B4ED7">
      <w:r w:rsidRPr="00B5050F">
        <w:t>Em estudos de determinação da dose, denosumab exibiu uma farmacocinética não</w:t>
      </w:r>
      <w:r w:rsidRPr="00B5050F">
        <w:noBreakHyphen/>
        <w:t>linear, dependente da dose, com uma depuração menor em doses ou concentrações mais elevadas, mas com aumentos aproximadamente proporcionais à dose com exposições a doses de 60 mg ou superiores.</w:t>
      </w:r>
    </w:p>
    <w:p w14:paraId="0EF9C5DE" w14:textId="77777777" w:rsidR="00992A6A" w:rsidRPr="00B5050F" w:rsidRDefault="00992A6A" w:rsidP="008B4ED7"/>
    <w:p w14:paraId="1F28805C" w14:textId="77777777" w:rsidR="00992A6A" w:rsidRPr="00B5050F" w:rsidRDefault="00992A6A" w:rsidP="008B4ED7">
      <w:pPr>
        <w:keepNext/>
        <w:rPr>
          <w:u w:val="single"/>
        </w:rPr>
      </w:pPr>
      <w:r w:rsidRPr="00B5050F">
        <w:rPr>
          <w:u w:val="single"/>
        </w:rPr>
        <w:t>Compromisso renal</w:t>
      </w:r>
    </w:p>
    <w:p w14:paraId="6FD1116D" w14:textId="77777777" w:rsidR="00DD1080" w:rsidRPr="00B5050F" w:rsidRDefault="00DD1080" w:rsidP="008B4ED7">
      <w:pPr>
        <w:keepNext/>
      </w:pPr>
    </w:p>
    <w:p w14:paraId="429671CB" w14:textId="77777777" w:rsidR="00992A6A" w:rsidRPr="00B5050F" w:rsidRDefault="00992A6A" w:rsidP="008B4ED7">
      <w:r w:rsidRPr="00B5050F">
        <w:t>Num estudo com 55 doentes com um grau variável da função renal, incluindo doentes em diálise, o grau de compromisso renal não teve efeito na farmacocinética de denosumab.</w:t>
      </w:r>
    </w:p>
    <w:p w14:paraId="20984181" w14:textId="77777777" w:rsidR="00992A6A" w:rsidRPr="00B5050F" w:rsidRDefault="00992A6A" w:rsidP="008B4ED7"/>
    <w:p w14:paraId="0C15B3A7" w14:textId="77777777" w:rsidR="00992A6A" w:rsidRPr="00B5050F" w:rsidRDefault="00992A6A" w:rsidP="008B4ED7">
      <w:pPr>
        <w:keepNext/>
        <w:rPr>
          <w:u w:val="single"/>
        </w:rPr>
      </w:pPr>
      <w:r w:rsidRPr="00B5050F">
        <w:rPr>
          <w:u w:val="single"/>
        </w:rPr>
        <w:t>Compromisso hepático</w:t>
      </w:r>
    </w:p>
    <w:p w14:paraId="3799D394" w14:textId="77777777" w:rsidR="00DD1080" w:rsidRPr="00B5050F" w:rsidRDefault="00DD1080" w:rsidP="008B4ED7">
      <w:pPr>
        <w:keepNext/>
      </w:pPr>
    </w:p>
    <w:p w14:paraId="23569A4D" w14:textId="77777777" w:rsidR="00992A6A" w:rsidRPr="00B5050F" w:rsidRDefault="00992A6A" w:rsidP="008B4ED7">
      <w:r w:rsidRPr="00B5050F">
        <w:t>Não se efetuou qualquer estudo específico em doentes com compromisso hepático. Em geral, os anticorpos monoclonais não são eliminados através de mecanismos de metabolismo hepático. Não é de esperar que a farmacocinética de denosumab seja afetada pelo compromisso hepático.</w:t>
      </w:r>
    </w:p>
    <w:p w14:paraId="4C6A4507" w14:textId="77777777" w:rsidR="00992A6A" w:rsidRPr="00B5050F" w:rsidRDefault="00992A6A" w:rsidP="008B4ED7"/>
    <w:p w14:paraId="23E6FB35" w14:textId="77777777" w:rsidR="00992A6A" w:rsidRPr="00B5050F" w:rsidRDefault="00992A6A" w:rsidP="008B4ED7">
      <w:pPr>
        <w:keepNext/>
        <w:rPr>
          <w:u w:val="single"/>
        </w:rPr>
      </w:pPr>
      <w:r w:rsidRPr="00B5050F">
        <w:rPr>
          <w:u w:val="single"/>
        </w:rPr>
        <w:t>População pediátrica</w:t>
      </w:r>
    </w:p>
    <w:p w14:paraId="6F3FD5AD" w14:textId="77777777" w:rsidR="00992A6A" w:rsidRPr="00B5050F" w:rsidRDefault="00992A6A" w:rsidP="005D1ED2">
      <w:pPr>
        <w:keepNext/>
      </w:pPr>
    </w:p>
    <w:p w14:paraId="7EF53B3D" w14:textId="14F9B891" w:rsidR="00A6401A" w:rsidRPr="00B5050F" w:rsidRDefault="00744A6C" w:rsidP="005D1ED2">
      <w:pPr>
        <w:keepNext/>
      </w:pPr>
      <w:r w:rsidRPr="00B5050F">
        <w:t>Denosumab</w:t>
      </w:r>
      <w:r w:rsidR="00A6401A" w:rsidRPr="00B5050F">
        <w:t xml:space="preserve"> não deve ser utilizado em populações pediátricas (ver secções 4.2 e 5.1).</w:t>
      </w:r>
    </w:p>
    <w:p w14:paraId="20EE9ADC" w14:textId="77777777" w:rsidR="00A47BFC" w:rsidRPr="00B5050F" w:rsidRDefault="00A47BFC" w:rsidP="00A6401A"/>
    <w:p w14:paraId="7CB79B99" w14:textId="4B2A573C" w:rsidR="00A6401A" w:rsidRPr="00B5050F" w:rsidRDefault="00A6401A" w:rsidP="00A6401A">
      <w:r w:rsidRPr="00B5050F">
        <w:t>Num estudo de fase 3 de doentes pediátricos com osteogénese imperfeita (N = 153), as concentrações séricas máximas de denosumab foram observadas no dia 10 em todos os grupos etários. Nas administrações de 3 em 3 meses e de 6 em 6 meses, observou</w:t>
      </w:r>
      <w:r w:rsidRPr="00B5050F">
        <w:noBreakHyphen/>
        <w:t>se que as concentrações séricas mínimas médias de denosumab eram mais elevadas em crianças com 11 a 17 anos de idade, enquanto as crianças com 2 a 6 anos de idade tinham as concentrações mínimas médias mais baixas.</w:t>
      </w:r>
    </w:p>
    <w:p w14:paraId="2AD926D5" w14:textId="77777777" w:rsidR="00992A6A" w:rsidRPr="00B5050F" w:rsidRDefault="00992A6A" w:rsidP="008B4ED7"/>
    <w:p w14:paraId="67B382BB" w14:textId="77777777" w:rsidR="00053CE5" w:rsidRPr="00B5050F" w:rsidRDefault="00A77D74" w:rsidP="008B4ED7">
      <w:pPr>
        <w:keepNext/>
        <w:ind w:left="567" w:hanging="567"/>
        <w:rPr>
          <w:b/>
        </w:rPr>
      </w:pPr>
      <w:r w:rsidRPr="00B5050F">
        <w:rPr>
          <w:b/>
        </w:rPr>
        <w:t>5.3</w:t>
      </w:r>
      <w:r w:rsidRPr="00B5050F">
        <w:rPr>
          <w:b/>
        </w:rPr>
        <w:tab/>
        <w:t>Dados de segurança pré</w:t>
      </w:r>
      <w:r w:rsidRPr="00B5050F">
        <w:rPr>
          <w:b/>
        </w:rPr>
        <w:noBreakHyphen/>
        <w:t>clínica</w:t>
      </w:r>
    </w:p>
    <w:p w14:paraId="6CAB3977" w14:textId="77777777" w:rsidR="00053CE5" w:rsidRPr="00B5050F" w:rsidRDefault="00053CE5" w:rsidP="008B4ED7">
      <w:pPr>
        <w:keepNext/>
      </w:pPr>
    </w:p>
    <w:p w14:paraId="7FC87BE5" w14:textId="77777777" w:rsidR="008603DE" w:rsidRPr="00B5050F" w:rsidRDefault="00053CE5" w:rsidP="008B4ED7">
      <w:r w:rsidRPr="00B5050F">
        <w:t>Em estudos de toxicidade de dose única e de dose repetida em macacos cinomolgos, as doses de denosumab que resultaram em exposições sistémicas 100 a 150 vezes superiores à dose humana recomendada não tiveram impacto na fisiologia cardiovascular, na fertilidade masculina ou feminina, nem produziram toxicidade específica de órgãos</w:t>
      </w:r>
      <w:r w:rsidRPr="00B5050F">
        <w:noBreakHyphen/>
        <w:t>alvo.</w:t>
      </w:r>
    </w:p>
    <w:p w14:paraId="4945EF29" w14:textId="77777777" w:rsidR="00053CE5" w:rsidRPr="00B5050F" w:rsidRDefault="00053CE5" w:rsidP="008B4ED7"/>
    <w:p w14:paraId="1AF4D230" w14:textId="77777777" w:rsidR="008603DE" w:rsidRPr="00B5050F" w:rsidRDefault="00053CE5" w:rsidP="008B4ED7">
      <w:r w:rsidRPr="00B5050F">
        <w:t>Não foram avaliados testes padrão para investigar o potencial de genotoxicidade de denosumab já que os referidos testes não são relevantes para esta molécula. Contudo, dada a sua natureza, é improvável que denosumab possua potencial de genotoxicidade.</w:t>
      </w:r>
    </w:p>
    <w:p w14:paraId="3D302A31" w14:textId="77777777" w:rsidR="00053CE5" w:rsidRPr="00B5050F" w:rsidRDefault="00053CE5" w:rsidP="008B4ED7"/>
    <w:p w14:paraId="7BCF80D3" w14:textId="77777777" w:rsidR="008603DE" w:rsidRPr="00B5050F" w:rsidRDefault="00053CE5" w:rsidP="008B4ED7">
      <w:r w:rsidRPr="00B5050F">
        <w:t>O potencial carcinogénico de denosumab não foi avaliado em estudos em animais a longo prazo.</w:t>
      </w:r>
    </w:p>
    <w:p w14:paraId="628E157D" w14:textId="77777777" w:rsidR="00053CE5" w:rsidRPr="00B5050F" w:rsidRDefault="00053CE5" w:rsidP="008B4ED7"/>
    <w:p w14:paraId="7FDB398B" w14:textId="77777777" w:rsidR="00053CE5" w:rsidRPr="00B5050F" w:rsidRDefault="00053CE5" w:rsidP="008B4ED7">
      <w:r w:rsidRPr="00B5050F">
        <w:t>Em estudos pré</w:t>
      </w:r>
      <w:r w:rsidRPr="00B5050F">
        <w:noBreakHyphen/>
        <w:t xml:space="preserve">clínicos conduzidos em ratinhos </w:t>
      </w:r>
      <w:r w:rsidRPr="00B5050F">
        <w:rPr>
          <w:i/>
        </w:rPr>
        <w:t>knockout</w:t>
      </w:r>
      <w:r w:rsidRPr="00B5050F">
        <w:t xml:space="preserve"> sem RANK ou RANKL, observou</w:t>
      </w:r>
      <w:r w:rsidRPr="00B5050F">
        <w:noBreakHyphen/>
        <w:t>se uma alteração na formação de gânglios linfáticos no feto. Observou</w:t>
      </w:r>
      <w:r w:rsidRPr="00B5050F">
        <w:noBreakHyphen/>
        <w:t>se ainda a ausência de lactação devido à inibição da maturação das glândulas mamárias (desenvolvimento lóbulo</w:t>
      </w:r>
      <w:r w:rsidRPr="00B5050F">
        <w:noBreakHyphen/>
        <w:t xml:space="preserve">alveolar da glândula durante a gravidez) em ratinhos </w:t>
      </w:r>
      <w:r w:rsidRPr="00B5050F">
        <w:rPr>
          <w:i/>
        </w:rPr>
        <w:t>knockout</w:t>
      </w:r>
      <w:r w:rsidRPr="00B5050F">
        <w:t xml:space="preserve"> com ausência de RANK ou RANKL.</w:t>
      </w:r>
    </w:p>
    <w:p w14:paraId="183B813C" w14:textId="77777777" w:rsidR="00053CE5" w:rsidRPr="00B5050F" w:rsidRDefault="00053CE5" w:rsidP="008B4ED7"/>
    <w:p w14:paraId="3DD99877" w14:textId="77777777" w:rsidR="008603DE" w:rsidRPr="00B5050F" w:rsidRDefault="00053CE5" w:rsidP="008B4ED7">
      <w:r w:rsidRPr="00B5050F">
        <w:t>Num estudo com macacos cinomolgos com administração de denosumab durante um período equivalente ao primeiro trimestre com exposições até 99 vezes superiores à AUC da dose humana (60 mg de 6 em 6 meses), não houve qualquer evidência de danos maternos ou fetais. Neste estudo, os gânglios linfáticos fetais não foram examinados.</w:t>
      </w:r>
    </w:p>
    <w:p w14:paraId="5FBAD383" w14:textId="77777777" w:rsidR="00053CE5" w:rsidRPr="00B5050F" w:rsidRDefault="00053CE5" w:rsidP="008B4ED7"/>
    <w:p w14:paraId="1D5130F8" w14:textId="77777777" w:rsidR="008603DE" w:rsidRPr="00B5050F" w:rsidRDefault="00053CE5" w:rsidP="008B4ED7">
      <w:r w:rsidRPr="00B5050F">
        <w:t>Num outro estudo em macacos cinomolgos com exposição a doses de denosumab, durante a gravidez, 119 vezes maiores à AUC da dose em humanos (60 mg de 6 em 6 meses) houve um aumento do número de nados mortos e de mortalidade pós</w:t>
      </w:r>
      <w:r w:rsidRPr="00B5050F">
        <w:noBreakHyphen/>
        <w:t>natal; um crescimento anormal do osso resultando na redução da força do osso, redução da hematopoiese e mau alinhamento da dentição; ausência de gânglios linfáticos periféricos; e redução do crescimento neonatal. Não foi estabelecido um grau de frequência de efeitos adversos para efeitos reprodutores. Depois de um período de 6 meses após o nascimento, as alterações relacionadas com o osso mostraram melhorias e não existiu qualquer efeito na erupção da dentição. No entanto, persistiram os efeitos nos gânglios linfáticos e o mau alinhamento dentário, e foi observada mineralização mínima a moderada em múltiplos tecidos de um animal (sem certeza de existir relação com o tratamento). Não houve evidência de danos maternos anteriores ao parto; efeitos adversos maternos ocorreram de uma forma não frequente durante o parto. O desenvolvimento da glândula mamária materna foi normal.</w:t>
      </w:r>
    </w:p>
    <w:p w14:paraId="4ED04E8B" w14:textId="77777777" w:rsidR="00053CE5" w:rsidRPr="00B5050F" w:rsidRDefault="00053CE5" w:rsidP="008B4ED7"/>
    <w:p w14:paraId="28620A08" w14:textId="77777777" w:rsidR="00053CE5" w:rsidRPr="00B5050F" w:rsidRDefault="00053CE5" w:rsidP="008B4ED7">
      <w:r w:rsidRPr="00B5050F">
        <w:t>Em estudos pré</w:t>
      </w:r>
      <w:r w:rsidRPr="00B5050F">
        <w:noBreakHyphen/>
        <w:t>clínicos sobre a qualidade do osso em macacos a fazerem tratamento a longo prazo com denosumab, as diminuições da remodelação óssea foram associadas a melhoria da resistência óssea e da histologia normal do osso. Os valores de cálcio diminuíram temporariamente e os valores de hormona paratiroide aumentaram temporariamente em macacos ovariectomizados tratados com denosumab.</w:t>
      </w:r>
    </w:p>
    <w:p w14:paraId="54279F16" w14:textId="77777777" w:rsidR="00053CE5" w:rsidRPr="00B5050F" w:rsidRDefault="00053CE5" w:rsidP="008B4ED7"/>
    <w:p w14:paraId="0F0EE217" w14:textId="77777777" w:rsidR="008603DE" w:rsidRPr="00B5050F" w:rsidRDefault="00053CE5" w:rsidP="008B4ED7">
      <w:r w:rsidRPr="00B5050F">
        <w:t xml:space="preserve">Em ratinhos machos modificados por engenharia genética de modo a exprimirem o huRANKL (ratinhos </w:t>
      </w:r>
      <w:r w:rsidRPr="00B5050F">
        <w:rPr>
          <w:i/>
        </w:rPr>
        <w:t>knock</w:t>
      </w:r>
      <w:r w:rsidRPr="00B5050F">
        <w:rPr>
          <w:i/>
        </w:rPr>
        <w:noBreakHyphen/>
        <w:t>in</w:t>
      </w:r>
      <w:r w:rsidRPr="00B5050F">
        <w:t>), os quais foram sujeitos a fratura transcortical, denosumab atrasou a remoção de cartilagem e a remodelação do calo da fratura em comparação com os controlos, mas a resistência biomecânica não foi adversamente afetada.</w:t>
      </w:r>
    </w:p>
    <w:p w14:paraId="490450B1" w14:textId="77777777" w:rsidR="00053CE5" w:rsidRPr="00B5050F" w:rsidRDefault="00053CE5" w:rsidP="008B4ED7"/>
    <w:p w14:paraId="459862F4" w14:textId="77777777" w:rsidR="008603DE" w:rsidRPr="00B5050F" w:rsidRDefault="00053CE5" w:rsidP="008B4ED7">
      <w:r w:rsidRPr="00B5050F">
        <w:t xml:space="preserve">Os ratinhos </w:t>
      </w:r>
      <w:r w:rsidRPr="00B5050F">
        <w:rPr>
          <w:i/>
        </w:rPr>
        <w:t>knockout</w:t>
      </w:r>
      <w:r w:rsidRPr="00B5050F">
        <w:t xml:space="preserve"> (ver secção 4.6) com ausência de RANK ou RANKL mostraram um peso corporal reduzido, redução de crescimento ósseo e ausência de erupção dentária. Nos ratinhos recém</w:t>
      </w:r>
      <w:r w:rsidRPr="00B5050F">
        <w:noBreakHyphen/>
        <w:t>nascidos, a inibição do RANKL (alvo da terapêutica com denosumab) com doses elevadas de um composto de osteoprotegerina ligada ao Fc (OPG</w:t>
      </w:r>
      <w:r w:rsidRPr="00B5050F">
        <w:noBreakHyphen/>
        <w:t>Fc) foi associada à inibição do crescimento ósseo e da erupção dentária. Estas alterações foram parcialmente reversíveis neste modelo quando a administração de inibidores do RANKL foi descontinuada. Os primatas adolescentes aos quais se administrou uma dose de denosumab 27 e 150 vezes (dose de 10 e 50 mg/kg) superior à exposição clínica apresentaram placas de crescimento anormais. Logo, o tratamento com denosumab pode comprometer o crescimento ósseo em crianças com placas de crescimento abertas e pode inibir a erupção dentária.</w:t>
      </w:r>
    </w:p>
    <w:p w14:paraId="0218FD84" w14:textId="77777777" w:rsidR="008011D6" w:rsidRPr="00B5050F" w:rsidRDefault="008011D6" w:rsidP="008B4ED7"/>
    <w:p w14:paraId="13C26063" w14:textId="77777777" w:rsidR="008011D6" w:rsidRPr="00B5050F" w:rsidRDefault="008011D6" w:rsidP="008B4ED7"/>
    <w:p w14:paraId="22F8689F" w14:textId="77777777" w:rsidR="008011D6" w:rsidRPr="00B5050F" w:rsidRDefault="008011D6" w:rsidP="008B4ED7">
      <w:pPr>
        <w:keepNext/>
        <w:ind w:left="567" w:hanging="567"/>
        <w:rPr>
          <w:b/>
        </w:rPr>
      </w:pPr>
      <w:r w:rsidRPr="00B5050F">
        <w:rPr>
          <w:b/>
        </w:rPr>
        <w:t>6.</w:t>
      </w:r>
      <w:r w:rsidRPr="00B5050F">
        <w:rPr>
          <w:b/>
        </w:rPr>
        <w:tab/>
        <w:t>INFORMAÇÕES FARMACÊUTICAS</w:t>
      </w:r>
    </w:p>
    <w:p w14:paraId="2ED25E26" w14:textId="77777777" w:rsidR="008011D6" w:rsidRPr="00B5050F" w:rsidRDefault="008011D6" w:rsidP="008B4ED7">
      <w:pPr>
        <w:keepNext/>
      </w:pPr>
    </w:p>
    <w:p w14:paraId="5772AF18" w14:textId="77777777" w:rsidR="008011D6" w:rsidRPr="00B5050F" w:rsidRDefault="00A77D74" w:rsidP="008B4ED7">
      <w:pPr>
        <w:keepNext/>
        <w:ind w:left="567" w:hanging="567"/>
        <w:rPr>
          <w:b/>
        </w:rPr>
      </w:pPr>
      <w:r w:rsidRPr="00B5050F">
        <w:rPr>
          <w:b/>
        </w:rPr>
        <w:t>6.1</w:t>
      </w:r>
      <w:r w:rsidRPr="00B5050F">
        <w:rPr>
          <w:b/>
        </w:rPr>
        <w:tab/>
        <w:t>Lista dos excipientes</w:t>
      </w:r>
    </w:p>
    <w:p w14:paraId="65B41D02" w14:textId="77777777" w:rsidR="008011D6" w:rsidRPr="00B5050F" w:rsidRDefault="008011D6" w:rsidP="008B4ED7">
      <w:pPr>
        <w:keepNext/>
      </w:pPr>
    </w:p>
    <w:p w14:paraId="49C9C824" w14:textId="32617A5B" w:rsidR="00992A6A" w:rsidRPr="00B5050F" w:rsidRDefault="00992A6A" w:rsidP="008B4ED7">
      <w:pPr>
        <w:keepNext/>
      </w:pPr>
      <w:r w:rsidRPr="00B5050F">
        <w:t>Ácido acético*</w:t>
      </w:r>
    </w:p>
    <w:p w14:paraId="5D0FF4ED" w14:textId="609FBB91" w:rsidR="008011D6" w:rsidRPr="00B5050F" w:rsidRDefault="00807F4D" w:rsidP="008B4ED7">
      <w:pPr>
        <w:keepNext/>
      </w:pPr>
      <w:r w:rsidRPr="00B5050F">
        <w:t xml:space="preserve">Acetato </w:t>
      </w:r>
      <w:r w:rsidR="008011D6" w:rsidRPr="00B5050F">
        <w:t>de sódio</w:t>
      </w:r>
      <w:r w:rsidRPr="00B5050F">
        <w:t xml:space="preserve"> tri-hidratado</w:t>
      </w:r>
      <w:r w:rsidR="008011D6" w:rsidRPr="00B5050F">
        <w:t xml:space="preserve"> (para ajuste do pH)*</w:t>
      </w:r>
    </w:p>
    <w:p w14:paraId="48341EDC" w14:textId="77777777" w:rsidR="008603DE" w:rsidRPr="00B5050F" w:rsidRDefault="008011D6" w:rsidP="008B4ED7">
      <w:pPr>
        <w:keepNext/>
      </w:pPr>
      <w:r w:rsidRPr="00B5050F">
        <w:t>Sorbitol (E420)</w:t>
      </w:r>
    </w:p>
    <w:p w14:paraId="1290B3F1" w14:textId="77777777" w:rsidR="008011D6" w:rsidRPr="00B5050F" w:rsidRDefault="008011D6" w:rsidP="008B4ED7">
      <w:pPr>
        <w:keepNext/>
      </w:pPr>
      <w:r w:rsidRPr="00B5050F">
        <w:t>Polissorbato 20</w:t>
      </w:r>
      <w:r w:rsidR="00807F4D" w:rsidRPr="00B5050F">
        <w:t xml:space="preserve"> (E432)</w:t>
      </w:r>
    </w:p>
    <w:p w14:paraId="5453EC1B" w14:textId="77777777" w:rsidR="008011D6" w:rsidRPr="00B5050F" w:rsidRDefault="008011D6" w:rsidP="008B4ED7">
      <w:pPr>
        <w:keepNext/>
      </w:pPr>
      <w:r w:rsidRPr="00B5050F">
        <w:t>Água para preparações injetáveis</w:t>
      </w:r>
    </w:p>
    <w:p w14:paraId="3295B38E" w14:textId="6AEB8097" w:rsidR="008603DE" w:rsidRPr="00B5050F" w:rsidRDefault="008011D6" w:rsidP="008B4ED7">
      <w:r w:rsidRPr="00B5050F">
        <w:t xml:space="preserve">* O tampão de acetato é formado pela mistura de ácido acético com </w:t>
      </w:r>
      <w:r w:rsidR="00807F4D" w:rsidRPr="00B5050F">
        <w:t xml:space="preserve">acetato </w:t>
      </w:r>
      <w:r w:rsidRPr="00B5050F">
        <w:t>de sódio</w:t>
      </w:r>
      <w:r w:rsidR="00807F4D" w:rsidRPr="00B5050F">
        <w:t xml:space="preserve"> tri-hidratado</w:t>
      </w:r>
    </w:p>
    <w:p w14:paraId="34163012" w14:textId="77777777" w:rsidR="00456592" w:rsidRPr="00B5050F" w:rsidRDefault="00456592" w:rsidP="008B4ED7"/>
    <w:p w14:paraId="523EE214" w14:textId="77777777" w:rsidR="008011D6" w:rsidRPr="00B5050F" w:rsidRDefault="00A77D74" w:rsidP="008B4ED7">
      <w:pPr>
        <w:keepNext/>
        <w:ind w:left="567" w:hanging="567"/>
        <w:rPr>
          <w:b/>
        </w:rPr>
      </w:pPr>
      <w:r w:rsidRPr="00B5050F">
        <w:rPr>
          <w:b/>
        </w:rPr>
        <w:t>6.2</w:t>
      </w:r>
      <w:r w:rsidRPr="00B5050F">
        <w:rPr>
          <w:b/>
        </w:rPr>
        <w:tab/>
        <w:t>Incompatibilidades</w:t>
      </w:r>
    </w:p>
    <w:p w14:paraId="5173F44E" w14:textId="77777777" w:rsidR="008011D6" w:rsidRPr="00B5050F" w:rsidRDefault="008011D6" w:rsidP="008B4ED7">
      <w:pPr>
        <w:keepNext/>
      </w:pPr>
    </w:p>
    <w:p w14:paraId="68702269" w14:textId="77777777" w:rsidR="00992A6A" w:rsidRPr="00B5050F" w:rsidRDefault="00992A6A" w:rsidP="008B4ED7">
      <w:r w:rsidRPr="00B5050F">
        <w:t>Na ausência de estudos de compatibilidade, este medicamento não pode ser misturado com outros medicamentos.</w:t>
      </w:r>
    </w:p>
    <w:p w14:paraId="30E4FA53" w14:textId="77777777" w:rsidR="008011D6" w:rsidRPr="00B5050F" w:rsidRDefault="008011D6" w:rsidP="008B4ED7"/>
    <w:p w14:paraId="5B64165F" w14:textId="77777777" w:rsidR="008011D6" w:rsidRPr="00B5050F" w:rsidRDefault="00A77D74" w:rsidP="008B4ED7">
      <w:pPr>
        <w:keepNext/>
        <w:ind w:left="567" w:hanging="567"/>
        <w:rPr>
          <w:b/>
        </w:rPr>
      </w:pPr>
      <w:r w:rsidRPr="00B5050F">
        <w:rPr>
          <w:b/>
        </w:rPr>
        <w:t>6.3</w:t>
      </w:r>
      <w:r w:rsidRPr="00B5050F">
        <w:rPr>
          <w:b/>
        </w:rPr>
        <w:tab/>
        <w:t>Prazo de validade</w:t>
      </w:r>
    </w:p>
    <w:p w14:paraId="29BB1AA5" w14:textId="77777777" w:rsidR="008011D6" w:rsidRPr="00B5050F" w:rsidRDefault="008011D6" w:rsidP="008B4ED7">
      <w:pPr>
        <w:keepNext/>
      </w:pPr>
    </w:p>
    <w:p w14:paraId="09FA0782" w14:textId="67B115AB" w:rsidR="008011D6" w:rsidRPr="00B5050F" w:rsidRDefault="00807F4D" w:rsidP="008B4ED7">
      <w:r w:rsidRPr="00B5050F">
        <w:t>4 </w:t>
      </w:r>
      <w:r w:rsidR="003C6C78" w:rsidRPr="00B5050F">
        <w:t>anos.</w:t>
      </w:r>
    </w:p>
    <w:p w14:paraId="57FEB85A" w14:textId="77777777" w:rsidR="008011D6" w:rsidRPr="00B5050F" w:rsidRDefault="008011D6" w:rsidP="008B4ED7"/>
    <w:p w14:paraId="61F34263" w14:textId="2B1216C0" w:rsidR="008011D6" w:rsidRPr="00B5050F" w:rsidRDefault="003F5BA9" w:rsidP="008B4ED7">
      <w:r w:rsidRPr="00B5050F">
        <w:t xml:space="preserve">Uma vez retirado do frigorífico, </w:t>
      </w:r>
      <w:r w:rsidR="00807F4D" w:rsidRPr="00B5050F">
        <w:t>Stoboclo</w:t>
      </w:r>
      <w:r w:rsidRPr="00B5050F">
        <w:t xml:space="preserve"> pode ser conservado à temperatura ambiente (até 25ºC) até 30 dias na embalagem de origem. </w:t>
      </w:r>
      <w:r w:rsidR="00340F20">
        <w:t>Tem de</w:t>
      </w:r>
      <w:r w:rsidRPr="00B5050F">
        <w:t xml:space="preserve"> ser utilizado no prazo de </w:t>
      </w:r>
      <w:r w:rsidR="00807F4D" w:rsidRPr="00B5050F">
        <w:t>1 mês</w:t>
      </w:r>
      <w:r w:rsidRPr="00B5050F">
        <w:t>.</w:t>
      </w:r>
    </w:p>
    <w:p w14:paraId="4C46CD2B" w14:textId="77777777" w:rsidR="008011D6" w:rsidRPr="00B5050F" w:rsidRDefault="008011D6" w:rsidP="008B4ED7"/>
    <w:p w14:paraId="5339D877" w14:textId="77777777" w:rsidR="008011D6" w:rsidRPr="00B5050F" w:rsidRDefault="00A77D74" w:rsidP="008B4ED7">
      <w:pPr>
        <w:keepNext/>
        <w:ind w:left="567" w:hanging="567"/>
        <w:rPr>
          <w:b/>
        </w:rPr>
      </w:pPr>
      <w:r w:rsidRPr="00B5050F">
        <w:rPr>
          <w:b/>
        </w:rPr>
        <w:t>6.4</w:t>
      </w:r>
      <w:r w:rsidRPr="00B5050F">
        <w:rPr>
          <w:b/>
        </w:rPr>
        <w:tab/>
        <w:t>Precauções especiais de conservação</w:t>
      </w:r>
    </w:p>
    <w:p w14:paraId="6D323202" w14:textId="77777777" w:rsidR="008011D6" w:rsidRPr="00B5050F" w:rsidRDefault="008011D6" w:rsidP="008B4ED7">
      <w:pPr>
        <w:keepNext/>
      </w:pPr>
    </w:p>
    <w:p w14:paraId="39B55C54" w14:textId="77777777" w:rsidR="008011D6" w:rsidRPr="00B5050F" w:rsidRDefault="008011D6" w:rsidP="008B4ED7">
      <w:r w:rsidRPr="00B5050F">
        <w:t>Conservar no frigorífico (2°C – 8°C).</w:t>
      </w:r>
    </w:p>
    <w:p w14:paraId="7DA3E80A" w14:textId="77777777" w:rsidR="008011D6" w:rsidRPr="00B5050F" w:rsidRDefault="008011D6" w:rsidP="008B4ED7">
      <w:r w:rsidRPr="00B5050F">
        <w:t>Não congelar.</w:t>
      </w:r>
    </w:p>
    <w:p w14:paraId="1409CC8F" w14:textId="77777777" w:rsidR="008011D6" w:rsidRPr="00B5050F" w:rsidRDefault="008011D6" w:rsidP="008B4ED7">
      <w:r w:rsidRPr="00B5050F">
        <w:t>Manter a seringa pré</w:t>
      </w:r>
      <w:r w:rsidRPr="00B5050F">
        <w:noBreakHyphen/>
        <w:t>cheia dentro da embalagem exterior para proteger da luz.</w:t>
      </w:r>
    </w:p>
    <w:p w14:paraId="56F9466A" w14:textId="77777777" w:rsidR="008011D6" w:rsidRPr="00B5050F" w:rsidRDefault="008011D6" w:rsidP="008B4ED7"/>
    <w:p w14:paraId="340F40C0" w14:textId="77777777" w:rsidR="008011D6" w:rsidRPr="00B5050F" w:rsidRDefault="00A77D74" w:rsidP="008B4ED7">
      <w:pPr>
        <w:keepNext/>
        <w:ind w:left="567" w:hanging="567"/>
        <w:rPr>
          <w:b/>
        </w:rPr>
      </w:pPr>
      <w:r w:rsidRPr="00B5050F">
        <w:rPr>
          <w:b/>
        </w:rPr>
        <w:t>6.5</w:t>
      </w:r>
      <w:r w:rsidRPr="00B5050F">
        <w:rPr>
          <w:b/>
        </w:rPr>
        <w:tab/>
        <w:t>Natureza e conteúdo do recipiente</w:t>
      </w:r>
    </w:p>
    <w:p w14:paraId="4833E356" w14:textId="77777777" w:rsidR="008011D6" w:rsidRPr="00B5050F" w:rsidRDefault="008011D6" w:rsidP="008B4ED7">
      <w:pPr>
        <w:keepNext/>
      </w:pPr>
    </w:p>
    <w:p w14:paraId="09A52F11" w14:textId="194ACCCF" w:rsidR="008011D6" w:rsidRPr="00B5050F" w:rsidRDefault="008011D6" w:rsidP="008B4ED7">
      <w:r w:rsidRPr="00B5050F">
        <w:t>Um ml de solução numa seringa pré</w:t>
      </w:r>
      <w:r w:rsidRPr="00B5050F">
        <w:noBreakHyphen/>
        <w:t xml:space="preserve">cheia, de vidro </w:t>
      </w:r>
      <w:r w:rsidR="00A51DDE" w:rsidRPr="00B5050F">
        <w:t xml:space="preserve">de borossilicato </w:t>
      </w:r>
      <w:r w:rsidRPr="00B5050F">
        <w:t xml:space="preserve">do tipo I, para utilização única, </w:t>
      </w:r>
      <w:r w:rsidR="00A51DDE" w:rsidRPr="00B5050F">
        <w:t xml:space="preserve">rolha de borracha (bromobutilo) e </w:t>
      </w:r>
      <w:r w:rsidRPr="00B5050F">
        <w:t xml:space="preserve">agulha de aço inoxidável de calibre 27 com proteção </w:t>
      </w:r>
      <w:r w:rsidR="00A51DDE" w:rsidRPr="00B5050F">
        <w:t>de segurança</w:t>
      </w:r>
      <w:r w:rsidRPr="00B5050F">
        <w:t>.</w:t>
      </w:r>
    </w:p>
    <w:p w14:paraId="210B43F8" w14:textId="77777777" w:rsidR="008011D6" w:rsidRPr="00B5050F" w:rsidRDefault="008011D6" w:rsidP="008B4ED7"/>
    <w:p w14:paraId="483B3BB0" w14:textId="659FE083" w:rsidR="008011D6" w:rsidRPr="00B5050F" w:rsidRDefault="008011D6" w:rsidP="008B4ED7">
      <w:r w:rsidRPr="00B5050F">
        <w:t>Apresentação de uma seringa pré</w:t>
      </w:r>
      <w:r w:rsidRPr="00B5050F">
        <w:noBreakHyphen/>
        <w:t>cheia</w:t>
      </w:r>
      <w:r w:rsidR="00A51DDE" w:rsidRPr="00B5050F">
        <w:t xml:space="preserve"> com proteção de segurança</w:t>
      </w:r>
      <w:r w:rsidRPr="00B5050F">
        <w:t>.</w:t>
      </w:r>
    </w:p>
    <w:p w14:paraId="236DAA6D" w14:textId="77777777" w:rsidR="00C24D93" w:rsidRPr="00B5050F" w:rsidRDefault="00C24D93" w:rsidP="008B4ED7"/>
    <w:p w14:paraId="6BC0E3F2" w14:textId="77777777" w:rsidR="00456592" w:rsidRPr="00B5050F" w:rsidRDefault="00A77D74" w:rsidP="008B4ED7">
      <w:pPr>
        <w:keepNext/>
        <w:ind w:left="567" w:hanging="567"/>
        <w:rPr>
          <w:b/>
        </w:rPr>
      </w:pPr>
      <w:r w:rsidRPr="00B5050F">
        <w:rPr>
          <w:b/>
        </w:rPr>
        <w:t>6.6</w:t>
      </w:r>
      <w:r w:rsidRPr="00B5050F">
        <w:rPr>
          <w:b/>
        </w:rPr>
        <w:tab/>
        <w:t>Precauções especiais de eliminação e manuseamento</w:t>
      </w:r>
    </w:p>
    <w:p w14:paraId="61F5AC47" w14:textId="77777777" w:rsidR="00456592" w:rsidRPr="00B5050F" w:rsidRDefault="00456592" w:rsidP="008B4ED7">
      <w:pPr>
        <w:keepNext/>
      </w:pPr>
    </w:p>
    <w:p w14:paraId="28DF1941" w14:textId="77777777" w:rsidR="008603DE" w:rsidRPr="00B5050F" w:rsidRDefault="008011D6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B5050F">
        <w:t xml:space="preserve">A solução deve ser inspecionada antes da administração. Não injetar a solução se esta contiver partículas </w:t>
      </w:r>
      <w:r w:rsidR="00FC6AE3" w:rsidRPr="00B5050F">
        <w:t xml:space="preserve">visíveis </w:t>
      </w:r>
      <w:r w:rsidRPr="00B5050F">
        <w:t>ou se estiver turva ou descolorada.</w:t>
      </w:r>
    </w:p>
    <w:p w14:paraId="11D896F3" w14:textId="77777777" w:rsidR="008603DE" w:rsidRPr="00B5050F" w:rsidRDefault="008011D6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B5050F">
        <w:t>Não agitar.</w:t>
      </w:r>
    </w:p>
    <w:p w14:paraId="3D23B4EE" w14:textId="77777777" w:rsidR="008603DE" w:rsidRPr="00B5050F" w:rsidRDefault="008011D6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B5050F">
        <w:t>Para evitar desconforto no local de injeção, deixe que a seringa pré</w:t>
      </w:r>
      <w:r w:rsidRPr="00B5050F">
        <w:noBreakHyphen/>
        <w:t>cheia atinja a temperatura ambiente (até 25°C) antes de injetar e injete lentamente.</w:t>
      </w:r>
    </w:p>
    <w:p w14:paraId="1DE0E156" w14:textId="77777777" w:rsidR="008603DE" w:rsidRPr="00B5050F" w:rsidRDefault="008011D6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B5050F">
        <w:t>Injete todo o conteúdo da seringa pré</w:t>
      </w:r>
      <w:r w:rsidRPr="00B5050F">
        <w:noBreakHyphen/>
        <w:t>cheia.</w:t>
      </w:r>
    </w:p>
    <w:p w14:paraId="57314FAC" w14:textId="68649997" w:rsidR="00FC6AE3" w:rsidRPr="00B5050F" w:rsidRDefault="00FC6AE3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B5050F">
        <w:t xml:space="preserve">Incluem-se na embalagem instruções </w:t>
      </w:r>
      <w:r w:rsidR="00D14D89">
        <w:t>completas</w:t>
      </w:r>
      <w:r w:rsidRPr="00B5050F">
        <w:t xml:space="preserve"> para a preparação e </w:t>
      </w:r>
      <w:r w:rsidR="00D14D89">
        <w:t xml:space="preserve">a </w:t>
      </w:r>
      <w:r w:rsidRPr="00B5050F">
        <w:t>administração de Stoboclo.</w:t>
      </w:r>
    </w:p>
    <w:p w14:paraId="19CA5280" w14:textId="77777777" w:rsidR="008011D6" w:rsidRPr="00B5050F" w:rsidRDefault="008011D6" w:rsidP="008B4ED7"/>
    <w:p w14:paraId="01CBCA40" w14:textId="77777777" w:rsidR="00992A6A" w:rsidRPr="00B5050F" w:rsidRDefault="00992A6A" w:rsidP="008B4ED7">
      <w:r w:rsidRPr="00B5050F">
        <w:t>Qualquer medicamento não utilizado ou resíduos devem ser eliminados de acordo com as exigências locais.</w:t>
      </w:r>
    </w:p>
    <w:p w14:paraId="021AB340" w14:textId="77777777" w:rsidR="008011D6" w:rsidRPr="00B5050F" w:rsidRDefault="008011D6" w:rsidP="008B4ED7"/>
    <w:p w14:paraId="555B41FE" w14:textId="77777777" w:rsidR="008011D6" w:rsidRPr="00B5050F" w:rsidRDefault="008011D6" w:rsidP="008B4ED7"/>
    <w:p w14:paraId="28FF9067" w14:textId="77777777" w:rsidR="008011D6" w:rsidRPr="00B5050F" w:rsidRDefault="008011D6" w:rsidP="008B4ED7">
      <w:pPr>
        <w:keepNext/>
        <w:ind w:left="567" w:hanging="567"/>
        <w:rPr>
          <w:b/>
        </w:rPr>
      </w:pPr>
      <w:r w:rsidRPr="00B5050F">
        <w:rPr>
          <w:b/>
        </w:rPr>
        <w:t>7.</w:t>
      </w:r>
      <w:r w:rsidRPr="00B5050F">
        <w:rPr>
          <w:b/>
        </w:rPr>
        <w:tab/>
        <w:t>TITULAR DA AUTORIZAÇÃO DE INTRODUÇÃO NO MERCADO</w:t>
      </w:r>
    </w:p>
    <w:p w14:paraId="6F537729" w14:textId="77777777" w:rsidR="008011D6" w:rsidRPr="00B5050F" w:rsidRDefault="008011D6" w:rsidP="008B4ED7">
      <w:pPr>
        <w:keepNext/>
      </w:pPr>
    </w:p>
    <w:p w14:paraId="700F657D" w14:textId="77777777" w:rsidR="00074C70" w:rsidRPr="00340F20" w:rsidRDefault="00074C70" w:rsidP="00074C70">
      <w:pPr>
        <w:keepNext/>
        <w:rPr>
          <w:lang w:val="en-US"/>
        </w:rPr>
      </w:pPr>
      <w:r w:rsidRPr="00340F20">
        <w:rPr>
          <w:lang w:val="en-US"/>
        </w:rPr>
        <w:t>Celltrion Healthcare Hungary Kft.</w:t>
      </w:r>
    </w:p>
    <w:p w14:paraId="19B56785" w14:textId="77777777" w:rsidR="00074C70" w:rsidRPr="00340F20" w:rsidRDefault="00074C70" w:rsidP="00074C70">
      <w:pPr>
        <w:keepNext/>
        <w:rPr>
          <w:lang w:val="en-US"/>
        </w:rPr>
      </w:pPr>
      <w:r w:rsidRPr="00340F20">
        <w:rPr>
          <w:lang w:val="en-US"/>
        </w:rPr>
        <w:t>1062 Budapest</w:t>
      </w:r>
    </w:p>
    <w:p w14:paraId="5F511D93" w14:textId="77777777" w:rsidR="00074C70" w:rsidRPr="00340F20" w:rsidRDefault="00074C70" w:rsidP="00074C70">
      <w:pPr>
        <w:keepNext/>
        <w:rPr>
          <w:lang w:val="en-US"/>
        </w:rPr>
      </w:pPr>
      <w:r w:rsidRPr="00340F20">
        <w:rPr>
          <w:lang w:val="en-US"/>
        </w:rPr>
        <w:t xml:space="preserve">Váci </w:t>
      </w:r>
      <w:proofErr w:type="spellStart"/>
      <w:r w:rsidRPr="00340F20">
        <w:rPr>
          <w:lang w:val="en-US"/>
        </w:rPr>
        <w:t>út</w:t>
      </w:r>
      <w:proofErr w:type="spellEnd"/>
      <w:r w:rsidRPr="00340F20">
        <w:rPr>
          <w:lang w:val="en-US"/>
        </w:rPr>
        <w:t xml:space="preserve"> 1-3. </w:t>
      </w:r>
      <w:proofErr w:type="spellStart"/>
      <w:r w:rsidRPr="00340F20">
        <w:rPr>
          <w:lang w:val="en-US"/>
        </w:rPr>
        <w:t>WestEnd</w:t>
      </w:r>
      <w:proofErr w:type="spellEnd"/>
      <w:r w:rsidRPr="00340F20">
        <w:rPr>
          <w:lang w:val="en-US"/>
        </w:rPr>
        <w:t xml:space="preserve"> Office Building B </w:t>
      </w:r>
      <w:proofErr w:type="spellStart"/>
      <w:r w:rsidRPr="00340F20">
        <w:rPr>
          <w:lang w:val="en-US"/>
        </w:rPr>
        <w:t>torony</w:t>
      </w:r>
      <w:proofErr w:type="spellEnd"/>
    </w:p>
    <w:p w14:paraId="45E87C73" w14:textId="77777777" w:rsidR="00074C70" w:rsidRPr="00340F20" w:rsidRDefault="00074C70" w:rsidP="008B4ED7">
      <w:pPr>
        <w:rPr>
          <w:lang w:val="en-US"/>
        </w:rPr>
      </w:pPr>
      <w:r w:rsidRPr="00340F20">
        <w:rPr>
          <w:lang w:val="en-US"/>
        </w:rPr>
        <w:t>Hungria</w:t>
      </w:r>
    </w:p>
    <w:p w14:paraId="7433D2F6" w14:textId="77777777" w:rsidR="008011D6" w:rsidRPr="00340F20" w:rsidRDefault="008011D6" w:rsidP="008B4ED7">
      <w:pPr>
        <w:rPr>
          <w:lang w:val="en-US"/>
        </w:rPr>
      </w:pPr>
    </w:p>
    <w:p w14:paraId="03312A45" w14:textId="77777777" w:rsidR="008011D6" w:rsidRPr="00340F20" w:rsidRDefault="008011D6" w:rsidP="008B4ED7">
      <w:pPr>
        <w:rPr>
          <w:lang w:val="en-US"/>
        </w:rPr>
      </w:pPr>
    </w:p>
    <w:p w14:paraId="102F5922" w14:textId="77777777" w:rsidR="008603DE" w:rsidRPr="00B5050F" w:rsidRDefault="008011D6" w:rsidP="008B4ED7">
      <w:pPr>
        <w:keepNext/>
        <w:ind w:left="567" w:hanging="567"/>
        <w:rPr>
          <w:b/>
        </w:rPr>
      </w:pPr>
      <w:r w:rsidRPr="00B5050F">
        <w:rPr>
          <w:b/>
        </w:rPr>
        <w:t>8.</w:t>
      </w:r>
      <w:r w:rsidRPr="00B5050F">
        <w:rPr>
          <w:b/>
        </w:rPr>
        <w:tab/>
        <w:t>NÚMERO(S) DA AUTORIZAÇÃO DE INTRODUÇÃO NO MERCADO</w:t>
      </w:r>
    </w:p>
    <w:p w14:paraId="037B2C73" w14:textId="77777777" w:rsidR="008011D6" w:rsidRPr="00B5050F" w:rsidRDefault="008011D6" w:rsidP="008B4ED7">
      <w:pPr>
        <w:keepNext/>
      </w:pPr>
    </w:p>
    <w:p w14:paraId="5E75FC38" w14:textId="263E2A7B" w:rsidR="00456592" w:rsidRPr="00B5050F" w:rsidRDefault="00FB576C" w:rsidP="008B4ED7">
      <w:pPr>
        <w:tabs>
          <w:tab w:val="clear" w:pos="567"/>
        </w:tabs>
      </w:pPr>
      <w:r w:rsidRPr="000E30C5">
        <w:rPr>
          <w:rFonts w:cs="Verdana"/>
          <w:color w:val="000000"/>
        </w:rPr>
        <w:t>EU/1/24/1905/001</w:t>
      </w:r>
    </w:p>
    <w:p w14:paraId="6F59D20C" w14:textId="77777777" w:rsidR="00280CD2" w:rsidRPr="00B5050F" w:rsidRDefault="00280CD2" w:rsidP="008B4ED7">
      <w:pPr>
        <w:tabs>
          <w:tab w:val="clear" w:pos="567"/>
        </w:tabs>
      </w:pPr>
    </w:p>
    <w:p w14:paraId="63DC112A" w14:textId="77777777" w:rsidR="008011D6" w:rsidRPr="00B5050F" w:rsidRDefault="008011D6" w:rsidP="008B4ED7">
      <w:pPr>
        <w:tabs>
          <w:tab w:val="clear" w:pos="567"/>
        </w:tabs>
      </w:pPr>
    </w:p>
    <w:p w14:paraId="0C8B6D60" w14:textId="77777777" w:rsidR="008011D6" w:rsidRPr="00B5050F" w:rsidRDefault="008011D6" w:rsidP="008B4ED7">
      <w:pPr>
        <w:keepNext/>
        <w:ind w:left="567" w:hanging="567"/>
        <w:rPr>
          <w:b/>
        </w:rPr>
      </w:pPr>
      <w:r w:rsidRPr="00B5050F">
        <w:rPr>
          <w:b/>
        </w:rPr>
        <w:t>9.</w:t>
      </w:r>
      <w:r w:rsidRPr="00B5050F">
        <w:rPr>
          <w:b/>
        </w:rPr>
        <w:tab/>
        <w:t>DATA DA PRIMEIRA AUTORIZAÇÃO/RENOVAÇÃO DA AUTORIZAÇÃO DE INTRODUÇÃO NO MERCADO</w:t>
      </w:r>
    </w:p>
    <w:p w14:paraId="5BEFABAE" w14:textId="77777777" w:rsidR="008011D6" w:rsidRPr="00B5050F" w:rsidRDefault="008011D6" w:rsidP="008B4ED7">
      <w:pPr>
        <w:keepNext/>
      </w:pPr>
    </w:p>
    <w:p w14:paraId="149A07B5" w14:textId="55C44297" w:rsidR="008011D6" w:rsidRPr="00B5050F" w:rsidRDefault="00C36B40" w:rsidP="00C345B1">
      <w:pPr>
        <w:keepNext/>
        <w:tabs>
          <w:tab w:val="clear" w:pos="567"/>
        </w:tabs>
      </w:pPr>
      <w:r w:rsidRPr="00B5050F">
        <w:t xml:space="preserve">Data da primeira autorização: </w:t>
      </w:r>
      <w:r w:rsidR="00187A3F" w:rsidRPr="00187A3F">
        <w:t>14 fevereiro 2025</w:t>
      </w:r>
    </w:p>
    <w:p w14:paraId="006C9E6D" w14:textId="77777777" w:rsidR="00022A78" w:rsidRPr="00B5050F" w:rsidRDefault="00022A78" w:rsidP="008B4ED7">
      <w:pPr>
        <w:tabs>
          <w:tab w:val="clear" w:pos="567"/>
        </w:tabs>
      </w:pPr>
    </w:p>
    <w:p w14:paraId="6206742B" w14:textId="77777777" w:rsidR="008011D6" w:rsidRPr="00B5050F" w:rsidRDefault="008011D6" w:rsidP="008B4ED7">
      <w:pPr>
        <w:tabs>
          <w:tab w:val="clear" w:pos="567"/>
        </w:tabs>
      </w:pPr>
    </w:p>
    <w:p w14:paraId="2CA374C8" w14:textId="77777777" w:rsidR="008011D6" w:rsidRPr="00B5050F" w:rsidRDefault="008011D6" w:rsidP="008B4ED7">
      <w:pPr>
        <w:keepNext/>
        <w:ind w:left="567" w:hanging="567"/>
        <w:rPr>
          <w:b/>
        </w:rPr>
      </w:pPr>
      <w:r w:rsidRPr="00B5050F">
        <w:rPr>
          <w:b/>
        </w:rPr>
        <w:t>10.</w:t>
      </w:r>
      <w:r w:rsidRPr="00B5050F">
        <w:rPr>
          <w:b/>
        </w:rPr>
        <w:tab/>
        <w:t>DATA DA REVISÃO DO TEXTO</w:t>
      </w:r>
    </w:p>
    <w:p w14:paraId="15C3F5D3" w14:textId="77777777" w:rsidR="008011D6" w:rsidRPr="00B5050F" w:rsidRDefault="008011D6" w:rsidP="008B4ED7">
      <w:pPr>
        <w:keepNext/>
      </w:pPr>
    </w:p>
    <w:p w14:paraId="19BA58FA" w14:textId="77777777" w:rsidR="008766C5" w:rsidRPr="00B5050F" w:rsidRDefault="008766C5" w:rsidP="00C345B1">
      <w:pPr>
        <w:keepNext/>
        <w:tabs>
          <w:tab w:val="clear" w:pos="567"/>
        </w:tabs>
      </w:pPr>
    </w:p>
    <w:p w14:paraId="1CF42093" w14:textId="77777777" w:rsidR="00A1208F" w:rsidRPr="00B5050F" w:rsidRDefault="00A1208F" w:rsidP="00C345B1">
      <w:pPr>
        <w:keepNext/>
        <w:tabs>
          <w:tab w:val="clear" w:pos="567"/>
        </w:tabs>
      </w:pPr>
    </w:p>
    <w:p w14:paraId="5C927241" w14:textId="3329CFF6" w:rsidR="008011D6" w:rsidRPr="00B5050F" w:rsidRDefault="008011D6" w:rsidP="00C345B1">
      <w:pPr>
        <w:keepNext/>
        <w:tabs>
          <w:tab w:val="clear" w:pos="567"/>
        </w:tabs>
      </w:pPr>
      <w:r w:rsidRPr="00B5050F">
        <w:t xml:space="preserve">Está disponível informação pormenorizada sobre este medicamento no sítio da Internet da Agência Europeia de Medicamentos: </w:t>
      </w:r>
      <w:r w:rsidR="00412255">
        <w:fldChar w:fldCharType="begin"/>
      </w:r>
      <w:r w:rsidR="00412255">
        <w:instrText>HYPERLINK "https://www.ema.europa.eu/%3c"</w:instrText>
      </w:r>
      <w:r w:rsidR="00412255">
        <w:fldChar w:fldCharType="separate"/>
      </w:r>
      <w:r w:rsidR="00412255">
        <w:rPr>
          <w:rStyle w:val="ab"/>
        </w:rPr>
        <w:t>https://www.ema.europa.eu</w:t>
      </w:r>
      <w:r w:rsidR="00412255">
        <w:fldChar w:fldCharType="end"/>
      </w:r>
      <w:r w:rsidRPr="00B5050F">
        <w:t>.</w:t>
      </w:r>
    </w:p>
    <w:p w14:paraId="7936130F" w14:textId="77777777" w:rsidR="0050635E" w:rsidRPr="00B5050F" w:rsidRDefault="0050635E" w:rsidP="008B4ED7">
      <w:pPr>
        <w:tabs>
          <w:tab w:val="clear" w:pos="567"/>
        </w:tabs>
      </w:pPr>
    </w:p>
    <w:p w14:paraId="2A86126C" w14:textId="77777777" w:rsidR="00C5731C" w:rsidRPr="00B5050F" w:rsidRDefault="00C5731C" w:rsidP="008B4ED7">
      <w:pPr>
        <w:jc w:val="center"/>
      </w:pPr>
      <w:r w:rsidRPr="00B5050F">
        <w:br w:type="page"/>
      </w:r>
    </w:p>
    <w:p w14:paraId="747D8954" w14:textId="77777777" w:rsidR="00C5731C" w:rsidRPr="00B5050F" w:rsidRDefault="00C5731C" w:rsidP="008B4ED7">
      <w:pPr>
        <w:jc w:val="center"/>
      </w:pPr>
    </w:p>
    <w:p w14:paraId="0F0A6264" w14:textId="77777777" w:rsidR="00C5731C" w:rsidRPr="00B5050F" w:rsidRDefault="00C5731C" w:rsidP="008B4ED7">
      <w:pPr>
        <w:jc w:val="center"/>
      </w:pPr>
    </w:p>
    <w:p w14:paraId="1C6D4802" w14:textId="77777777" w:rsidR="00C5731C" w:rsidRPr="00B5050F" w:rsidRDefault="00C5731C" w:rsidP="008B4ED7">
      <w:pPr>
        <w:jc w:val="center"/>
      </w:pPr>
    </w:p>
    <w:p w14:paraId="2770389D" w14:textId="77777777" w:rsidR="00C5731C" w:rsidRPr="00B5050F" w:rsidRDefault="00C5731C" w:rsidP="008B4ED7">
      <w:pPr>
        <w:jc w:val="center"/>
      </w:pPr>
    </w:p>
    <w:p w14:paraId="1738A83E" w14:textId="77777777" w:rsidR="00C5731C" w:rsidRPr="00B5050F" w:rsidRDefault="00C5731C" w:rsidP="008B4ED7">
      <w:pPr>
        <w:jc w:val="center"/>
      </w:pPr>
    </w:p>
    <w:p w14:paraId="739B17C1" w14:textId="77777777" w:rsidR="00C5731C" w:rsidRPr="00B5050F" w:rsidRDefault="00C5731C" w:rsidP="008B4ED7">
      <w:pPr>
        <w:jc w:val="center"/>
      </w:pPr>
    </w:p>
    <w:p w14:paraId="1FEB4106" w14:textId="77777777" w:rsidR="00C5731C" w:rsidRPr="00B5050F" w:rsidRDefault="00C5731C" w:rsidP="008B4ED7">
      <w:pPr>
        <w:jc w:val="center"/>
      </w:pPr>
    </w:p>
    <w:p w14:paraId="1F2A4B0A" w14:textId="77777777" w:rsidR="00C5731C" w:rsidRPr="00B5050F" w:rsidRDefault="00C5731C" w:rsidP="008B4ED7">
      <w:pPr>
        <w:jc w:val="center"/>
      </w:pPr>
    </w:p>
    <w:p w14:paraId="348D7987" w14:textId="77777777" w:rsidR="00C5731C" w:rsidRPr="00B5050F" w:rsidRDefault="00C5731C" w:rsidP="008B4ED7">
      <w:pPr>
        <w:jc w:val="center"/>
      </w:pPr>
    </w:p>
    <w:p w14:paraId="327C010B" w14:textId="77777777" w:rsidR="00C5731C" w:rsidRPr="00B5050F" w:rsidRDefault="00C5731C" w:rsidP="008B4ED7">
      <w:pPr>
        <w:jc w:val="center"/>
      </w:pPr>
    </w:p>
    <w:p w14:paraId="5A40C408" w14:textId="77777777" w:rsidR="00C5731C" w:rsidRPr="00B5050F" w:rsidRDefault="00C5731C" w:rsidP="008B4ED7">
      <w:pPr>
        <w:jc w:val="center"/>
      </w:pPr>
    </w:p>
    <w:p w14:paraId="01AD5A3A" w14:textId="77777777" w:rsidR="00C5731C" w:rsidRPr="00B5050F" w:rsidRDefault="00C5731C" w:rsidP="008B4ED7">
      <w:pPr>
        <w:jc w:val="center"/>
      </w:pPr>
    </w:p>
    <w:p w14:paraId="726B0516" w14:textId="77777777" w:rsidR="00C5731C" w:rsidRPr="00B5050F" w:rsidRDefault="00C5731C" w:rsidP="008B4ED7">
      <w:pPr>
        <w:jc w:val="center"/>
      </w:pPr>
    </w:p>
    <w:p w14:paraId="0EAF08AB" w14:textId="77777777" w:rsidR="00C5731C" w:rsidRPr="00B5050F" w:rsidRDefault="00C5731C" w:rsidP="008B4ED7">
      <w:pPr>
        <w:jc w:val="center"/>
      </w:pPr>
    </w:p>
    <w:p w14:paraId="6BEC5346" w14:textId="77777777" w:rsidR="00C5731C" w:rsidRPr="00B5050F" w:rsidRDefault="00C5731C" w:rsidP="008B4ED7">
      <w:pPr>
        <w:jc w:val="center"/>
      </w:pPr>
    </w:p>
    <w:p w14:paraId="64438563" w14:textId="77777777" w:rsidR="00C5731C" w:rsidRPr="00B5050F" w:rsidRDefault="00C5731C" w:rsidP="008B4ED7">
      <w:pPr>
        <w:jc w:val="center"/>
      </w:pPr>
    </w:p>
    <w:p w14:paraId="0D61029B" w14:textId="77777777" w:rsidR="00C5731C" w:rsidRPr="00B5050F" w:rsidRDefault="00C5731C" w:rsidP="008B4ED7">
      <w:pPr>
        <w:jc w:val="center"/>
      </w:pPr>
    </w:p>
    <w:p w14:paraId="5DADAD67" w14:textId="77777777" w:rsidR="00C5731C" w:rsidRPr="00B5050F" w:rsidRDefault="00C5731C" w:rsidP="008B4ED7">
      <w:pPr>
        <w:jc w:val="center"/>
      </w:pPr>
    </w:p>
    <w:p w14:paraId="6AE231FD" w14:textId="77777777" w:rsidR="00C5731C" w:rsidRPr="00B5050F" w:rsidRDefault="00C5731C" w:rsidP="008B4ED7">
      <w:pPr>
        <w:jc w:val="center"/>
      </w:pPr>
    </w:p>
    <w:p w14:paraId="02A4B47E" w14:textId="77777777" w:rsidR="00C5731C" w:rsidRPr="00B5050F" w:rsidRDefault="00C5731C" w:rsidP="008B4ED7">
      <w:pPr>
        <w:jc w:val="center"/>
      </w:pPr>
    </w:p>
    <w:p w14:paraId="03AD09BD" w14:textId="77777777" w:rsidR="00C5731C" w:rsidRPr="00B5050F" w:rsidRDefault="00C5731C" w:rsidP="008B4ED7">
      <w:pPr>
        <w:jc w:val="center"/>
      </w:pPr>
    </w:p>
    <w:p w14:paraId="205B417A" w14:textId="77777777" w:rsidR="001A371B" w:rsidRPr="00B5050F" w:rsidRDefault="001A371B" w:rsidP="008B4ED7">
      <w:pPr>
        <w:jc w:val="center"/>
      </w:pPr>
    </w:p>
    <w:p w14:paraId="67EB9710" w14:textId="77777777" w:rsidR="00C5731C" w:rsidRPr="00B5050F" w:rsidRDefault="00C5731C" w:rsidP="008B4ED7">
      <w:pPr>
        <w:jc w:val="center"/>
        <w:rPr>
          <w:b/>
          <w:bCs/>
        </w:rPr>
      </w:pPr>
      <w:r w:rsidRPr="00B5050F">
        <w:rPr>
          <w:b/>
        </w:rPr>
        <w:t>ANEXO II</w:t>
      </w:r>
    </w:p>
    <w:p w14:paraId="540F22C8" w14:textId="77777777" w:rsidR="00C5731C" w:rsidRPr="00B5050F" w:rsidRDefault="00C5731C" w:rsidP="00EA44AD">
      <w:pPr>
        <w:jc w:val="center"/>
      </w:pPr>
    </w:p>
    <w:p w14:paraId="63B62C45" w14:textId="77777777" w:rsidR="00C5731C" w:rsidRPr="00B5050F" w:rsidRDefault="00C5731C" w:rsidP="00447E6B">
      <w:pPr>
        <w:pStyle w:val="TitleB"/>
        <w:ind w:left="1701" w:right="1418" w:hanging="709"/>
      </w:pPr>
      <w:r w:rsidRPr="00B5050F">
        <w:t>A.</w:t>
      </w:r>
      <w:r w:rsidRPr="00B5050F">
        <w:tab/>
        <w:t>FABRICANTES DA SUBSTÂNCIA ATIVA DE ORIGEM BIOLÓGICA E FABRICANTES RESPONSÁVEIS PELA LIBERTAÇÃO DO LOTE</w:t>
      </w:r>
    </w:p>
    <w:p w14:paraId="5ECD3632" w14:textId="77777777" w:rsidR="00C5731C" w:rsidRPr="00B5050F" w:rsidRDefault="00C5731C" w:rsidP="00EA44AD">
      <w:pPr>
        <w:jc w:val="center"/>
      </w:pPr>
    </w:p>
    <w:p w14:paraId="01A501EC" w14:textId="77777777" w:rsidR="00C5731C" w:rsidRPr="00B5050F" w:rsidRDefault="00C5731C" w:rsidP="00447E6B">
      <w:pPr>
        <w:pStyle w:val="TitleB"/>
        <w:ind w:left="1701" w:right="1418" w:hanging="709"/>
      </w:pPr>
      <w:r w:rsidRPr="00B5050F">
        <w:t>B.</w:t>
      </w:r>
      <w:r w:rsidRPr="00B5050F">
        <w:tab/>
        <w:t>CONDIÇÕES OU RESTRIÇÕES RELATIVAS AO FORNECIMENTO E UTILIZAÇÃO</w:t>
      </w:r>
    </w:p>
    <w:p w14:paraId="32476179" w14:textId="77777777" w:rsidR="00C5731C" w:rsidRPr="00B5050F" w:rsidRDefault="00C5731C" w:rsidP="00EA44AD">
      <w:pPr>
        <w:jc w:val="center"/>
      </w:pPr>
    </w:p>
    <w:p w14:paraId="77733546" w14:textId="77777777" w:rsidR="00C5731C" w:rsidRPr="00B5050F" w:rsidRDefault="00C5731C" w:rsidP="00447E6B">
      <w:pPr>
        <w:pStyle w:val="TitleB"/>
        <w:ind w:left="1701" w:right="1418" w:hanging="709"/>
      </w:pPr>
      <w:r w:rsidRPr="00B5050F">
        <w:t>C.</w:t>
      </w:r>
      <w:r w:rsidRPr="00B5050F">
        <w:tab/>
        <w:t>OUTRAS CONDIÇÕES E REQUISITOS DA AUTORIZAÇÃO DE INTRODUÇÃO NO MERCADO</w:t>
      </w:r>
    </w:p>
    <w:p w14:paraId="19CFAD5D" w14:textId="77777777" w:rsidR="00C5731C" w:rsidRPr="00B5050F" w:rsidRDefault="00C5731C" w:rsidP="00EA44AD">
      <w:pPr>
        <w:jc w:val="center"/>
      </w:pPr>
    </w:p>
    <w:p w14:paraId="4F3A8C72" w14:textId="77777777" w:rsidR="008603DE" w:rsidRPr="00B5050F" w:rsidRDefault="00C5731C" w:rsidP="00447E6B">
      <w:pPr>
        <w:pStyle w:val="TitleB"/>
        <w:ind w:left="1701" w:right="1418" w:hanging="709"/>
      </w:pPr>
      <w:r w:rsidRPr="00B5050F">
        <w:t>D.</w:t>
      </w:r>
      <w:r w:rsidRPr="00B5050F">
        <w:tab/>
        <w:t>CONDIÇÕES OU RESTRIÇÕES RELATIVAS À UTILIZAÇÃO SEGURA E EFICAZ DO MEDICAMENTO</w:t>
      </w:r>
    </w:p>
    <w:p w14:paraId="142ACC15" w14:textId="77777777" w:rsidR="00C5731C" w:rsidRPr="00B5050F" w:rsidRDefault="00C5731C" w:rsidP="008B4ED7">
      <w:pPr>
        <w:jc w:val="center"/>
      </w:pPr>
    </w:p>
    <w:p w14:paraId="48E3ECDD" w14:textId="77777777" w:rsidR="00C5731C" w:rsidRPr="00B5050F" w:rsidRDefault="00C5731C" w:rsidP="008B4ED7">
      <w:pPr>
        <w:jc w:val="center"/>
      </w:pPr>
    </w:p>
    <w:p w14:paraId="6B02ACB4" w14:textId="77777777" w:rsidR="00C5731C" w:rsidRPr="00B5050F" w:rsidRDefault="00C5731C" w:rsidP="00BF5188">
      <w:pPr>
        <w:pStyle w:val="TitleB"/>
      </w:pPr>
      <w:r w:rsidRPr="00B5050F">
        <w:br w:type="page"/>
      </w:r>
      <w:r w:rsidRPr="00B5050F">
        <w:lastRenderedPageBreak/>
        <w:t>A.</w:t>
      </w:r>
      <w:r w:rsidRPr="00B5050F">
        <w:tab/>
        <w:t>FABRICANTES DA SUBSTÂNCIA ATIVA DE ORIGEM BIOLÓGICA E FABRICANTES RESPONSÁVEIS PELA LIBERTAÇÃO DO LOTE</w:t>
      </w:r>
    </w:p>
    <w:p w14:paraId="60A86E19" w14:textId="77777777" w:rsidR="00C5731C" w:rsidRPr="00B5050F" w:rsidRDefault="00C5731C" w:rsidP="008B4ED7">
      <w:pPr>
        <w:keepNext/>
      </w:pPr>
    </w:p>
    <w:p w14:paraId="3894A6E6" w14:textId="540C71EE" w:rsidR="00C5731C" w:rsidRPr="00B5050F" w:rsidRDefault="00C5731C" w:rsidP="008B4ED7">
      <w:pPr>
        <w:keepNext/>
        <w:rPr>
          <w:u w:val="single"/>
        </w:rPr>
      </w:pPr>
      <w:r w:rsidRPr="00B5050F">
        <w:rPr>
          <w:u w:val="single"/>
        </w:rPr>
        <w:t>Nome e endereço do fabricante da substância ativa de origem biológica</w:t>
      </w:r>
    </w:p>
    <w:p w14:paraId="39D39C06" w14:textId="77777777" w:rsidR="00C5731C" w:rsidRPr="00B5050F" w:rsidRDefault="00C5731C" w:rsidP="008B4ED7">
      <w:pPr>
        <w:keepNext/>
      </w:pPr>
    </w:p>
    <w:p w14:paraId="06155D30" w14:textId="77777777" w:rsidR="002337AE" w:rsidRPr="00340F20" w:rsidRDefault="002337AE" w:rsidP="002337AE">
      <w:pPr>
        <w:keepNext/>
        <w:rPr>
          <w:lang w:val="en-US"/>
        </w:rPr>
      </w:pPr>
      <w:r w:rsidRPr="00340F20">
        <w:rPr>
          <w:lang w:val="en-US"/>
        </w:rPr>
        <w:t xml:space="preserve">CELLTRION, Inc. </w:t>
      </w:r>
    </w:p>
    <w:p w14:paraId="7CA4A717" w14:textId="77777777" w:rsidR="002337AE" w:rsidRPr="00340F20" w:rsidRDefault="002337AE" w:rsidP="002337AE">
      <w:pPr>
        <w:keepNext/>
        <w:rPr>
          <w:lang w:val="en-US"/>
        </w:rPr>
      </w:pPr>
      <w:r w:rsidRPr="00340F20">
        <w:rPr>
          <w:lang w:val="en-US"/>
        </w:rPr>
        <w:t>20, Academy-</w:t>
      </w:r>
      <w:proofErr w:type="spellStart"/>
      <w:r w:rsidRPr="00340F20">
        <w:rPr>
          <w:lang w:val="en-US"/>
        </w:rPr>
        <w:t>ro</w:t>
      </w:r>
      <w:proofErr w:type="spellEnd"/>
      <w:r w:rsidRPr="00340F20">
        <w:rPr>
          <w:lang w:val="en-US"/>
        </w:rPr>
        <w:t xml:space="preserve"> 51 </w:t>
      </w:r>
      <w:proofErr w:type="spellStart"/>
      <w:r w:rsidRPr="00340F20">
        <w:rPr>
          <w:lang w:val="en-US"/>
        </w:rPr>
        <w:t>beon-gil</w:t>
      </w:r>
      <w:proofErr w:type="spellEnd"/>
      <w:r w:rsidRPr="00340F20">
        <w:rPr>
          <w:lang w:val="en-US"/>
        </w:rPr>
        <w:t>,</w:t>
      </w:r>
    </w:p>
    <w:p w14:paraId="53AB2773" w14:textId="77777777" w:rsidR="002337AE" w:rsidRPr="00B5050F" w:rsidRDefault="002337AE" w:rsidP="002337AE">
      <w:pPr>
        <w:keepNext/>
      </w:pPr>
      <w:r w:rsidRPr="00B5050F">
        <w:t>Yeonsu-gu, Incheon, 22014</w:t>
      </w:r>
    </w:p>
    <w:p w14:paraId="7F52DFEB" w14:textId="4AFCE465" w:rsidR="00000139" w:rsidRPr="00B5050F" w:rsidRDefault="00412255" w:rsidP="00000139">
      <w:pPr>
        <w:tabs>
          <w:tab w:val="clear" w:pos="567"/>
        </w:tabs>
      </w:pPr>
      <w:r>
        <w:t>Coreia do Sul</w:t>
      </w:r>
    </w:p>
    <w:p w14:paraId="296542AB" w14:textId="77777777" w:rsidR="001D1E25" w:rsidRPr="00B5050F" w:rsidRDefault="001D1E25" w:rsidP="008B4ED7">
      <w:pPr>
        <w:tabs>
          <w:tab w:val="clear" w:pos="567"/>
        </w:tabs>
      </w:pPr>
    </w:p>
    <w:p w14:paraId="2CBB5D2F" w14:textId="77777777" w:rsidR="00C5731C" w:rsidRPr="00B5050F" w:rsidRDefault="00C5731C" w:rsidP="008B4ED7">
      <w:pPr>
        <w:keepNext/>
        <w:rPr>
          <w:u w:val="single"/>
        </w:rPr>
      </w:pPr>
      <w:r w:rsidRPr="00B5050F">
        <w:rPr>
          <w:u w:val="single"/>
        </w:rPr>
        <w:t>Nome e endereço dos fabricantes responsáveis pela libertação do lote</w:t>
      </w:r>
    </w:p>
    <w:p w14:paraId="2AF29D5B" w14:textId="77777777" w:rsidR="00C5731C" w:rsidRPr="00B5050F" w:rsidRDefault="00C5731C" w:rsidP="008B4ED7">
      <w:pPr>
        <w:keepNext/>
      </w:pPr>
    </w:p>
    <w:p w14:paraId="388B7843" w14:textId="77777777" w:rsidR="008A1977" w:rsidRPr="00340F20" w:rsidRDefault="008A1977" w:rsidP="008A1977">
      <w:pPr>
        <w:keepNext/>
        <w:rPr>
          <w:lang w:val="en-US"/>
        </w:rPr>
      </w:pPr>
      <w:r w:rsidRPr="00340F20">
        <w:rPr>
          <w:lang w:val="en-US"/>
        </w:rPr>
        <w:t>Nuvisan France S.A.R.L</w:t>
      </w:r>
    </w:p>
    <w:p w14:paraId="599171C3" w14:textId="77777777" w:rsidR="008A1977" w:rsidRPr="00340F20" w:rsidRDefault="008A1977" w:rsidP="008A1977">
      <w:pPr>
        <w:keepNext/>
        <w:rPr>
          <w:lang w:val="en-US"/>
        </w:rPr>
      </w:pPr>
      <w:r w:rsidRPr="00340F20">
        <w:rPr>
          <w:lang w:val="en-US"/>
        </w:rPr>
        <w:t>2400 Route des Colles,</w:t>
      </w:r>
    </w:p>
    <w:p w14:paraId="3BC6345C" w14:textId="77777777" w:rsidR="008A1977" w:rsidRPr="00B5050F" w:rsidRDefault="008A1977" w:rsidP="008A1977">
      <w:pPr>
        <w:keepNext/>
      </w:pPr>
      <w:r w:rsidRPr="00B5050F">
        <w:t>Biot, 06410</w:t>
      </w:r>
    </w:p>
    <w:p w14:paraId="3DD38430" w14:textId="77777777" w:rsidR="008A1977" w:rsidRPr="00B5050F" w:rsidRDefault="008A1977" w:rsidP="008A1977">
      <w:pPr>
        <w:keepNext/>
      </w:pPr>
      <w:r w:rsidRPr="00B5050F">
        <w:t>França</w:t>
      </w:r>
    </w:p>
    <w:p w14:paraId="76830C50" w14:textId="77777777" w:rsidR="008A1977" w:rsidRPr="00B5050F" w:rsidRDefault="008A1977" w:rsidP="008A1977">
      <w:pPr>
        <w:keepNext/>
      </w:pPr>
    </w:p>
    <w:p w14:paraId="1C7C41F7" w14:textId="77777777" w:rsidR="008A1977" w:rsidRPr="00B5050F" w:rsidRDefault="008A1977" w:rsidP="008A1977">
      <w:pPr>
        <w:keepNext/>
      </w:pPr>
      <w:r w:rsidRPr="00B5050F">
        <w:t>Midas Pharma GmbH</w:t>
      </w:r>
    </w:p>
    <w:p w14:paraId="65FB5F98" w14:textId="77777777" w:rsidR="008A1977" w:rsidRPr="00B5050F" w:rsidRDefault="008A1977" w:rsidP="008A1977">
      <w:pPr>
        <w:keepNext/>
      </w:pPr>
      <w:r w:rsidRPr="00B5050F">
        <w:t>Rheinstrasse 49, West,</w:t>
      </w:r>
    </w:p>
    <w:p w14:paraId="778F3344" w14:textId="77777777" w:rsidR="008A1977" w:rsidRPr="00B5050F" w:rsidRDefault="008A1977" w:rsidP="008A1977">
      <w:pPr>
        <w:keepNext/>
      </w:pPr>
      <w:r w:rsidRPr="00B5050F">
        <w:t>Ingelheim Am Rhein,</w:t>
      </w:r>
    </w:p>
    <w:p w14:paraId="4BAEAADE" w14:textId="77777777" w:rsidR="008A1977" w:rsidRPr="00B5050F" w:rsidRDefault="008A1977" w:rsidP="008A1977">
      <w:pPr>
        <w:keepNext/>
      </w:pPr>
      <w:r w:rsidRPr="00B5050F">
        <w:t>Rhineland-Palatinate, 55218</w:t>
      </w:r>
    </w:p>
    <w:p w14:paraId="06DDE789" w14:textId="77777777" w:rsidR="008A1977" w:rsidRPr="00B5050F" w:rsidRDefault="008A1977" w:rsidP="008A1977">
      <w:pPr>
        <w:keepNext/>
      </w:pPr>
      <w:r w:rsidRPr="00B5050F">
        <w:t>Alemanha</w:t>
      </w:r>
    </w:p>
    <w:p w14:paraId="0A0820EE" w14:textId="77777777" w:rsidR="008A1977" w:rsidRPr="00B5050F" w:rsidRDefault="008A1977" w:rsidP="008A1977">
      <w:pPr>
        <w:keepNext/>
      </w:pPr>
    </w:p>
    <w:p w14:paraId="74E3F9BD" w14:textId="77777777" w:rsidR="008A1977" w:rsidRPr="00B5050F" w:rsidRDefault="008A1977" w:rsidP="008A1977">
      <w:pPr>
        <w:keepNext/>
      </w:pPr>
      <w:r w:rsidRPr="00B5050F">
        <w:t>Kymos S.L.</w:t>
      </w:r>
    </w:p>
    <w:p w14:paraId="68F0B919" w14:textId="77777777" w:rsidR="008A1977" w:rsidRPr="00B5050F" w:rsidRDefault="008A1977" w:rsidP="008A1977">
      <w:pPr>
        <w:keepNext/>
      </w:pPr>
      <w:r w:rsidRPr="00B5050F">
        <w:t>Ronda de Can Fatjó, 7B</w:t>
      </w:r>
    </w:p>
    <w:p w14:paraId="75F9F495" w14:textId="77777777" w:rsidR="008A1977" w:rsidRPr="00B5050F" w:rsidRDefault="008A1977" w:rsidP="008A1977">
      <w:pPr>
        <w:keepNext/>
      </w:pPr>
      <w:r w:rsidRPr="00B5050F">
        <w:t>Parc Tecnològic del Vallès,</w:t>
      </w:r>
    </w:p>
    <w:p w14:paraId="1128E5AD" w14:textId="77777777" w:rsidR="008A1977" w:rsidRPr="00B5050F" w:rsidRDefault="008A1977" w:rsidP="008A1977">
      <w:pPr>
        <w:keepNext/>
      </w:pPr>
      <w:r w:rsidRPr="00B5050F">
        <w:t xml:space="preserve">Cerdanyola del Vallès, </w:t>
      </w:r>
    </w:p>
    <w:p w14:paraId="68FFE6E7" w14:textId="77777777" w:rsidR="008A1977" w:rsidRPr="00B5050F" w:rsidRDefault="008A1977" w:rsidP="008A1977">
      <w:pPr>
        <w:keepNext/>
      </w:pPr>
      <w:r w:rsidRPr="00B5050F">
        <w:t>Barcelona, 08290</w:t>
      </w:r>
    </w:p>
    <w:p w14:paraId="4A3AFDF8" w14:textId="2FCA91F3" w:rsidR="007E53D0" w:rsidRPr="00B5050F" w:rsidRDefault="008A1977" w:rsidP="008B4ED7">
      <w:pPr>
        <w:tabs>
          <w:tab w:val="clear" w:pos="567"/>
        </w:tabs>
      </w:pPr>
      <w:r w:rsidRPr="00B5050F">
        <w:t>Espanha</w:t>
      </w:r>
    </w:p>
    <w:p w14:paraId="542DEDE8" w14:textId="77777777" w:rsidR="007E53D0" w:rsidRPr="00B5050F" w:rsidRDefault="007E53D0" w:rsidP="008B4ED7">
      <w:pPr>
        <w:tabs>
          <w:tab w:val="clear" w:pos="567"/>
        </w:tabs>
      </w:pPr>
    </w:p>
    <w:p w14:paraId="010CBCD2" w14:textId="77777777" w:rsidR="00C5731C" w:rsidRPr="00B5050F" w:rsidRDefault="00C5731C" w:rsidP="008B4ED7">
      <w:pPr>
        <w:tabs>
          <w:tab w:val="clear" w:pos="567"/>
        </w:tabs>
      </w:pPr>
      <w:r w:rsidRPr="00B5050F">
        <w:t>O folheto informativo que acompanha o medicamento tem de mencionar o nome e endereço do fabricante responsável pela libertação do lote em causa.</w:t>
      </w:r>
    </w:p>
    <w:p w14:paraId="60B4681A" w14:textId="77777777" w:rsidR="00C5731C" w:rsidRPr="00B5050F" w:rsidRDefault="00C5731C" w:rsidP="008B4ED7">
      <w:pPr>
        <w:tabs>
          <w:tab w:val="clear" w:pos="567"/>
        </w:tabs>
      </w:pPr>
    </w:p>
    <w:p w14:paraId="040AA6E9" w14:textId="77777777" w:rsidR="00C5731C" w:rsidRPr="00B5050F" w:rsidRDefault="00C5731C" w:rsidP="008B4ED7">
      <w:pPr>
        <w:tabs>
          <w:tab w:val="clear" w:pos="567"/>
        </w:tabs>
      </w:pPr>
    </w:p>
    <w:p w14:paraId="27B1E215" w14:textId="77777777" w:rsidR="00C5731C" w:rsidRPr="00B5050F" w:rsidRDefault="00C5731C" w:rsidP="00BF5188">
      <w:pPr>
        <w:pStyle w:val="TitleB"/>
      </w:pPr>
      <w:r w:rsidRPr="00B5050F">
        <w:t>B.</w:t>
      </w:r>
      <w:r w:rsidRPr="00B5050F">
        <w:tab/>
        <w:t>CONDIÇÕES OU RESTRIÇÕES RELATIVAS AO FORNECIMENTO E UTILIZAÇÃO</w:t>
      </w:r>
    </w:p>
    <w:p w14:paraId="6E3B0443" w14:textId="77777777" w:rsidR="00C5731C" w:rsidRPr="00B5050F" w:rsidRDefault="00C5731C" w:rsidP="008B4ED7">
      <w:pPr>
        <w:keepNext/>
      </w:pPr>
    </w:p>
    <w:p w14:paraId="691F66DD" w14:textId="77777777" w:rsidR="00C5731C" w:rsidRPr="00B5050F" w:rsidRDefault="00C5731C" w:rsidP="008B4ED7">
      <w:pPr>
        <w:tabs>
          <w:tab w:val="clear" w:pos="567"/>
        </w:tabs>
      </w:pPr>
      <w:r w:rsidRPr="00B5050F">
        <w:t>Medicamento sujeito a receita médica.</w:t>
      </w:r>
    </w:p>
    <w:p w14:paraId="74BA151B" w14:textId="77777777" w:rsidR="00BE114A" w:rsidRPr="00B5050F" w:rsidRDefault="00BE114A" w:rsidP="008B4ED7">
      <w:pPr>
        <w:tabs>
          <w:tab w:val="clear" w:pos="567"/>
        </w:tabs>
      </w:pPr>
    </w:p>
    <w:p w14:paraId="21C8B16F" w14:textId="77777777" w:rsidR="00C5731C" w:rsidRPr="00B5050F" w:rsidRDefault="00C5731C" w:rsidP="008B4ED7">
      <w:pPr>
        <w:tabs>
          <w:tab w:val="clear" w:pos="567"/>
        </w:tabs>
      </w:pPr>
    </w:p>
    <w:p w14:paraId="2B4BB648" w14:textId="77777777" w:rsidR="00C5731C" w:rsidRPr="00B5050F" w:rsidRDefault="00C5731C" w:rsidP="00BF5188">
      <w:pPr>
        <w:pStyle w:val="TitleB"/>
      </w:pPr>
      <w:r w:rsidRPr="00B5050F">
        <w:t>C.</w:t>
      </w:r>
      <w:r w:rsidRPr="00B5050F">
        <w:tab/>
        <w:t>OUTRAS CONDIÇÕES E REQUISITOS DA AUTORIZAÇÃO DE INTRODUÇÃO NO MERCADO</w:t>
      </w:r>
    </w:p>
    <w:p w14:paraId="129CC286" w14:textId="77777777" w:rsidR="00C5731C" w:rsidRPr="00B5050F" w:rsidRDefault="00C5731C" w:rsidP="008B4ED7">
      <w:pPr>
        <w:keepNext/>
      </w:pPr>
    </w:p>
    <w:p w14:paraId="22DF4468" w14:textId="77777777" w:rsidR="00C5731C" w:rsidRPr="00B5050F" w:rsidRDefault="00C5731C" w:rsidP="00C345B1">
      <w:pPr>
        <w:keepNext/>
        <w:numPr>
          <w:ilvl w:val="0"/>
          <w:numId w:val="55"/>
        </w:numPr>
        <w:ind w:left="567" w:hanging="567"/>
        <w:rPr>
          <w:b/>
          <w:bCs/>
        </w:rPr>
      </w:pPr>
      <w:r w:rsidRPr="00B5050F">
        <w:rPr>
          <w:b/>
        </w:rPr>
        <w:t>Relatórios periódicos de segurança (RPS)</w:t>
      </w:r>
    </w:p>
    <w:p w14:paraId="6A500652" w14:textId="77777777" w:rsidR="00C5731C" w:rsidRPr="00B5050F" w:rsidRDefault="00C5731C" w:rsidP="008B4ED7">
      <w:pPr>
        <w:keepNext/>
      </w:pPr>
    </w:p>
    <w:p w14:paraId="1B0F6F01" w14:textId="77777777" w:rsidR="006A1E6E" w:rsidRPr="00B5050F" w:rsidRDefault="006A1E6E" w:rsidP="008B4ED7">
      <w:pPr>
        <w:tabs>
          <w:tab w:val="clear" w:pos="567"/>
        </w:tabs>
      </w:pPr>
      <w:r w:rsidRPr="00B5050F">
        <w:t>Os requisitos para a apresentação de RPS para este medicamento estão estabelecidos na lista Europeia de datas de referência (lista EURD), tal como previsto nos termos do n.º 7 do artigo 107.º</w:t>
      </w:r>
      <w:r w:rsidRPr="00B5050F">
        <w:noBreakHyphen/>
        <w:t>C da Diretiva 2001/83/CE e quaisquer atualizações subsequentes publicadas no portal europeu de medicamentos.</w:t>
      </w:r>
    </w:p>
    <w:p w14:paraId="3A222C77" w14:textId="77777777" w:rsidR="00C5731C" w:rsidRPr="00B5050F" w:rsidRDefault="00C5731C" w:rsidP="008B4ED7">
      <w:pPr>
        <w:tabs>
          <w:tab w:val="clear" w:pos="567"/>
        </w:tabs>
      </w:pPr>
    </w:p>
    <w:p w14:paraId="4C10A66C" w14:textId="77777777" w:rsidR="00C5731C" w:rsidRPr="00B5050F" w:rsidRDefault="00C5731C" w:rsidP="008B4ED7">
      <w:pPr>
        <w:tabs>
          <w:tab w:val="clear" w:pos="567"/>
        </w:tabs>
      </w:pPr>
    </w:p>
    <w:p w14:paraId="35CD6B3B" w14:textId="77777777" w:rsidR="008603DE" w:rsidRPr="00B5050F" w:rsidRDefault="00C5731C" w:rsidP="00BF5188">
      <w:pPr>
        <w:pStyle w:val="TitleB"/>
      </w:pPr>
      <w:r w:rsidRPr="00B5050F">
        <w:t>D.</w:t>
      </w:r>
      <w:r w:rsidRPr="00B5050F">
        <w:tab/>
        <w:t>CONDIÇÕES OU RESTRIÇÕES RELATIVAS À UTILIZAÇÃO SEGURA E EFICAZ DO MEDICAMENTO</w:t>
      </w:r>
    </w:p>
    <w:p w14:paraId="249782CA" w14:textId="77777777" w:rsidR="00022F7A" w:rsidRPr="00B5050F" w:rsidRDefault="00022F7A" w:rsidP="008B4ED7">
      <w:pPr>
        <w:keepNext/>
      </w:pPr>
    </w:p>
    <w:p w14:paraId="63813661" w14:textId="77777777" w:rsidR="00C5731C" w:rsidRPr="00B5050F" w:rsidRDefault="00C5731C" w:rsidP="00C345B1">
      <w:pPr>
        <w:keepNext/>
        <w:numPr>
          <w:ilvl w:val="0"/>
          <w:numId w:val="55"/>
        </w:numPr>
        <w:ind w:left="567" w:hanging="567"/>
        <w:rPr>
          <w:b/>
          <w:bCs/>
        </w:rPr>
      </w:pPr>
      <w:r w:rsidRPr="00B5050F">
        <w:rPr>
          <w:b/>
        </w:rPr>
        <w:t>Plano de gestão do risco (PGR)</w:t>
      </w:r>
    </w:p>
    <w:p w14:paraId="6F100D83" w14:textId="77777777" w:rsidR="00C5731C" w:rsidRPr="00B5050F" w:rsidRDefault="00C5731C" w:rsidP="008B4ED7">
      <w:pPr>
        <w:keepNext/>
      </w:pPr>
    </w:p>
    <w:p w14:paraId="55E35878" w14:textId="77777777" w:rsidR="00C5731C" w:rsidRPr="00B5050F" w:rsidRDefault="00C5731C" w:rsidP="008B4ED7">
      <w:pPr>
        <w:tabs>
          <w:tab w:val="clear" w:pos="567"/>
        </w:tabs>
      </w:pPr>
      <w:r w:rsidRPr="00B5050F">
        <w:t xml:space="preserve">O Titular da Autorização de Introdução no Mercado (AIM) deve efetuar as atividades e as intervenções de farmacovigilância requeridas e detalhadas no PGR apresentado no Módulo 1.8.2. da </w:t>
      </w:r>
      <w:r w:rsidRPr="00B5050F">
        <w:lastRenderedPageBreak/>
        <w:t>autorização de introdução no mercado, e quaisquer atualizações subsequentes do PGR que sejam acordadas.</w:t>
      </w:r>
    </w:p>
    <w:p w14:paraId="0DC5D36E" w14:textId="77777777" w:rsidR="00C5731C" w:rsidRPr="00B5050F" w:rsidRDefault="00C5731C" w:rsidP="008B4ED7">
      <w:pPr>
        <w:tabs>
          <w:tab w:val="clear" w:pos="567"/>
        </w:tabs>
      </w:pPr>
    </w:p>
    <w:p w14:paraId="794CE2A6" w14:textId="77777777" w:rsidR="00C5731C" w:rsidRPr="00B5050F" w:rsidRDefault="00C5731C" w:rsidP="00C345B1">
      <w:pPr>
        <w:keepNext/>
        <w:tabs>
          <w:tab w:val="clear" w:pos="567"/>
        </w:tabs>
      </w:pPr>
      <w:r w:rsidRPr="00B5050F">
        <w:t>Deve ser apresentado um PGR atualizado:</w:t>
      </w:r>
    </w:p>
    <w:p w14:paraId="159FE348" w14:textId="77777777" w:rsidR="00C5731C" w:rsidRPr="00B5050F" w:rsidRDefault="00C5731C" w:rsidP="00447E6B">
      <w:pPr>
        <w:keepNext/>
        <w:numPr>
          <w:ilvl w:val="0"/>
          <w:numId w:val="54"/>
        </w:numPr>
        <w:tabs>
          <w:tab w:val="clear" w:pos="567"/>
        </w:tabs>
        <w:ind w:left="567" w:hanging="567"/>
      </w:pPr>
      <w:r w:rsidRPr="00B5050F">
        <w:t>A pedido da Agência Europeia de Medicamentos</w:t>
      </w:r>
    </w:p>
    <w:p w14:paraId="31DF0711" w14:textId="77777777" w:rsidR="00C5731C" w:rsidRPr="00B5050F" w:rsidRDefault="00C5731C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B5050F">
        <w:t>Sempre que o sistema de gestão do risco for modificado, especialmente como resultado da receção de nova informação que possa levar a alterações significativas no perfil benefício</w:t>
      </w:r>
      <w:r w:rsidRPr="00B5050F">
        <w:noBreakHyphen/>
        <w:t>risco ou como resultado de ter sido atingido um objetivo importante (farmacovigilância ou minimização do risco).</w:t>
      </w:r>
    </w:p>
    <w:p w14:paraId="541EDCB5" w14:textId="77777777" w:rsidR="00C5731C" w:rsidRPr="00B5050F" w:rsidRDefault="00C5731C" w:rsidP="008B4ED7">
      <w:pPr>
        <w:pStyle w:val="Default"/>
        <w:rPr>
          <w:iCs/>
          <w:color w:val="auto"/>
          <w:sz w:val="22"/>
          <w:szCs w:val="22"/>
        </w:rPr>
      </w:pPr>
    </w:p>
    <w:p w14:paraId="3F05FB2C" w14:textId="77777777" w:rsidR="008603DE" w:rsidRPr="00B5050F" w:rsidRDefault="00043BA2" w:rsidP="00C345B1">
      <w:pPr>
        <w:keepNext/>
        <w:numPr>
          <w:ilvl w:val="0"/>
          <w:numId w:val="55"/>
        </w:numPr>
        <w:ind w:left="567" w:hanging="567"/>
        <w:rPr>
          <w:b/>
          <w:bCs/>
        </w:rPr>
      </w:pPr>
      <w:r w:rsidRPr="00B5050F">
        <w:rPr>
          <w:b/>
        </w:rPr>
        <w:t>Medidas adicionais de minimização do risco</w:t>
      </w:r>
    </w:p>
    <w:p w14:paraId="6381A4A5" w14:textId="77777777" w:rsidR="00043BA2" w:rsidRPr="00B5050F" w:rsidRDefault="00043BA2" w:rsidP="008B4ED7">
      <w:pPr>
        <w:keepNext/>
      </w:pPr>
    </w:p>
    <w:p w14:paraId="7F9629BA" w14:textId="77777777" w:rsidR="00043BA2" w:rsidRPr="00B5050F" w:rsidRDefault="00043BA2" w:rsidP="008B4ED7">
      <w:pPr>
        <w:tabs>
          <w:tab w:val="clear" w:pos="567"/>
        </w:tabs>
      </w:pPr>
      <w:r w:rsidRPr="00B5050F">
        <w:t>O Titular da AIM deverá assegurar que o cartão lembrete relacionado com a osteonecrose da mandíbula está implementado.</w:t>
      </w:r>
    </w:p>
    <w:p w14:paraId="3ECBB1F7" w14:textId="77777777" w:rsidR="00C5731C" w:rsidRPr="00B5050F" w:rsidRDefault="00C5731C" w:rsidP="00C345B1">
      <w:pPr>
        <w:jc w:val="center"/>
      </w:pPr>
      <w:r w:rsidRPr="00B5050F">
        <w:br w:type="page"/>
      </w:r>
    </w:p>
    <w:p w14:paraId="27773210" w14:textId="77777777" w:rsidR="00C5731C" w:rsidRPr="00B5050F" w:rsidRDefault="00C5731C" w:rsidP="008B4ED7">
      <w:pPr>
        <w:jc w:val="center"/>
      </w:pPr>
    </w:p>
    <w:p w14:paraId="22C867C8" w14:textId="77777777" w:rsidR="00C5731C" w:rsidRPr="00B5050F" w:rsidRDefault="00C5731C" w:rsidP="008B4ED7">
      <w:pPr>
        <w:jc w:val="center"/>
      </w:pPr>
    </w:p>
    <w:p w14:paraId="7D422092" w14:textId="77777777" w:rsidR="00C5731C" w:rsidRPr="00B5050F" w:rsidRDefault="00C5731C" w:rsidP="008B4ED7">
      <w:pPr>
        <w:jc w:val="center"/>
      </w:pPr>
    </w:p>
    <w:p w14:paraId="6CE874BA" w14:textId="77777777" w:rsidR="00C5731C" w:rsidRPr="00B5050F" w:rsidRDefault="00C5731C" w:rsidP="008B4ED7">
      <w:pPr>
        <w:jc w:val="center"/>
      </w:pPr>
    </w:p>
    <w:p w14:paraId="2CD2EECB" w14:textId="77777777" w:rsidR="00C5731C" w:rsidRPr="00B5050F" w:rsidRDefault="00C5731C" w:rsidP="008B4ED7">
      <w:pPr>
        <w:jc w:val="center"/>
      </w:pPr>
    </w:p>
    <w:p w14:paraId="331FB8E4" w14:textId="77777777" w:rsidR="00C5731C" w:rsidRPr="00B5050F" w:rsidRDefault="00C5731C" w:rsidP="008B4ED7">
      <w:pPr>
        <w:jc w:val="center"/>
      </w:pPr>
    </w:p>
    <w:p w14:paraId="6304BFD1" w14:textId="77777777" w:rsidR="00C5731C" w:rsidRPr="00B5050F" w:rsidRDefault="00C5731C" w:rsidP="008B4ED7">
      <w:pPr>
        <w:jc w:val="center"/>
      </w:pPr>
    </w:p>
    <w:p w14:paraId="483FAF95" w14:textId="77777777" w:rsidR="00C5731C" w:rsidRPr="00B5050F" w:rsidRDefault="00C5731C" w:rsidP="008B4ED7">
      <w:pPr>
        <w:jc w:val="center"/>
      </w:pPr>
    </w:p>
    <w:p w14:paraId="4E3FCE3B" w14:textId="77777777" w:rsidR="00C5731C" w:rsidRPr="00B5050F" w:rsidRDefault="00C5731C" w:rsidP="008B4ED7">
      <w:pPr>
        <w:jc w:val="center"/>
      </w:pPr>
    </w:p>
    <w:p w14:paraId="00D784E1" w14:textId="77777777" w:rsidR="00C5731C" w:rsidRPr="00B5050F" w:rsidRDefault="00C5731C" w:rsidP="008B4ED7">
      <w:pPr>
        <w:jc w:val="center"/>
      </w:pPr>
    </w:p>
    <w:p w14:paraId="67115E3D" w14:textId="77777777" w:rsidR="00C5731C" w:rsidRPr="00B5050F" w:rsidRDefault="00C5731C" w:rsidP="008B4ED7">
      <w:pPr>
        <w:jc w:val="center"/>
      </w:pPr>
    </w:p>
    <w:p w14:paraId="20593456" w14:textId="77777777" w:rsidR="00C5731C" w:rsidRPr="00B5050F" w:rsidRDefault="00C5731C" w:rsidP="008B4ED7">
      <w:pPr>
        <w:jc w:val="center"/>
      </w:pPr>
    </w:p>
    <w:p w14:paraId="193994F2" w14:textId="77777777" w:rsidR="00C5731C" w:rsidRPr="00B5050F" w:rsidRDefault="00C5731C" w:rsidP="008B4ED7">
      <w:pPr>
        <w:jc w:val="center"/>
      </w:pPr>
    </w:p>
    <w:p w14:paraId="5113C940" w14:textId="77777777" w:rsidR="00C5731C" w:rsidRPr="00B5050F" w:rsidRDefault="00C5731C" w:rsidP="008B4ED7">
      <w:pPr>
        <w:jc w:val="center"/>
      </w:pPr>
    </w:p>
    <w:p w14:paraId="7F1C8512" w14:textId="77777777" w:rsidR="00C5731C" w:rsidRPr="00B5050F" w:rsidRDefault="00C5731C" w:rsidP="008B4ED7">
      <w:pPr>
        <w:jc w:val="center"/>
      </w:pPr>
    </w:p>
    <w:p w14:paraId="042A082B" w14:textId="77777777" w:rsidR="00C5731C" w:rsidRPr="00B5050F" w:rsidRDefault="00C5731C" w:rsidP="008B4ED7">
      <w:pPr>
        <w:jc w:val="center"/>
      </w:pPr>
    </w:p>
    <w:p w14:paraId="5B87FA37" w14:textId="77777777" w:rsidR="00C5731C" w:rsidRPr="00B5050F" w:rsidRDefault="00C5731C" w:rsidP="008B4ED7">
      <w:pPr>
        <w:jc w:val="center"/>
      </w:pPr>
    </w:p>
    <w:p w14:paraId="0A96EA59" w14:textId="77777777" w:rsidR="00C5731C" w:rsidRPr="00B5050F" w:rsidRDefault="00C5731C" w:rsidP="008B4ED7">
      <w:pPr>
        <w:jc w:val="center"/>
      </w:pPr>
    </w:p>
    <w:p w14:paraId="5AA90E0E" w14:textId="77777777" w:rsidR="00C5731C" w:rsidRPr="00B5050F" w:rsidRDefault="00C5731C" w:rsidP="008B4ED7">
      <w:pPr>
        <w:jc w:val="center"/>
      </w:pPr>
    </w:p>
    <w:p w14:paraId="228D11FE" w14:textId="77777777" w:rsidR="00C5731C" w:rsidRPr="00B5050F" w:rsidRDefault="00C5731C" w:rsidP="008B4ED7">
      <w:pPr>
        <w:jc w:val="center"/>
      </w:pPr>
    </w:p>
    <w:p w14:paraId="18F80E20" w14:textId="77777777" w:rsidR="00C5731C" w:rsidRPr="00B5050F" w:rsidRDefault="00C5731C" w:rsidP="008B4ED7">
      <w:pPr>
        <w:jc w:val="center"/>
      </w:pPr>
    </w:p>
    <w:p w14:paraId="7F4294B9" w14:textId="77777777" w:rsidR="00C5731C" w:rsidRPr="00B5050F" w:rsidRDefault="00C5731C" w:rsidP="008B4ED7">
      <w:pPr>
        <w:jc w:val="center"/>
      </w:pPr>
    </w:p>
    <w:p w14:paraId="385078C4" w14:textId="77777777" w:rsidR="008603DE" w:rsidRPr="00B5050F" w:rsidRDefault="00C5731C" w:rsidP="008B4ED7">
      <w:pPr>
        <w:jc w:val="center"/>
        <w:rPr>
          <w:b/>
          <w:bCs/>
        </w:rPr>
      </w:pPr>
      <w:r w:rsidRPr="00B5050F">
        <w:rPr>
          <w:b/>
        </w:rPr>
        <w:t>ANEXO III</w:t>
      </w:r>
    </w:p>
    <w:p w14:paraId="0235BEEA" w14:textId="77777777" w:rsidR="00C5731C" w:rsidRPr="00B5050F" w:rsidRDefault="00C5731C" w:rsidP="008B4ED7">
      <w:pPr>
        <w:jc w:val="center"/>
      </w:pPr>
    </w:p>
    <w:p w14:paraId="62E9C3F7" w14:textId="77777777" w:rsidR="008603DE" w:rsidRPr="00B5050F" w:rsidRDefault="00C5731C" w:rsidP="008B4ED7">
      <w:pPr>
        <w:jc w:val="center"/>
        <w:rPr>
          <w:b/>
          <w:bCs/>
        </w:rPr>
      </w:pPr>
      <w:r w:rsidRPr="00B5050F">
        <w:rPr>
          <w:b/>
        </w:rPr>
        <w:t>ROTULAGEM E FOLHETO INFORMATIVO</w:t>
      </w:r>
    </w:p>
    <w:p w14:paraId="3D0FB3F9" w14:textId="77777777" w:rsidR="00C5731C" w:rsidRPr="00B5050F" w:rsidRDefault="00C5731C" w:rsidP="008B4ED7">
      <w:pPr>
        <w:jc w:val="center"/>
      </w:pPr>
      <w:r w:rsidRPr="00B5050F">
        <w:br w:type="page"/>
      </w:r>
    </w:p>
    <w:p w14:paraId="1E782EC0" w14:textId="77777777" w:rsidR="00C5731C" w:rsidRPr="00B5050F" w:rsidRDefault="00C5731C" w:rsidP="008B4ED7">
      <w:pPr>
        <w:jc w:val="center"/>
      </w:pPr>
    </w:p>
    <w:p w14:paraId="03A646AF" w14:textId="77777777" w:rsidR="00C5731C" w:rsidRPr="00B5050F" w:rsidRDefault="00C5731C" w:rsidP="008B4ED7">
      <w:pPr>
        <w:jc w:val="center"/>
      </w:pPr>
    </w:p>
    <w:p w14:paraId="1CF24D44" w14:textId="77777777" w:rsidR="00C5731C" w:rsidRPr="00B5050F" w:rsidRDefault="00C5731C" w:rsidP="008B4ED7">
      <w:pPr>
        <w:jc w:val="center"/>
      </w:pPr>
    </w:p>
    <w:p w14:paraId="168AEB31" w14:textId="77777777" w:rsidR="00C5731C" w:rsidRPr="00B5050F" w:rsidRDefault="00C5731C" w:rsidP="008B4ED7">
      <w:pPr>
        <w:jc w:val="center"/>
      </w:pPr>
    </w:p>
    <w:p w14:paraId="6A6D8732" w14:textId="77777777" w:rsidR="00C5731C" w:rsidRPr="00B5050F" w:rsidRDefault="00C5731C" w:rsidP="008B4ED7">
      <w:pPr>
        <w:jc w:val="center"/>
      </w:pPr>
    </w:p>
    <w:p w14:paraId="06E8858D" w14:textId="77777777" w:rsidR="00C5731C" w:rsidRPr="00B5050F" w:rsidRDefault="00C5731C" w:rsidP="008B4ED7">
      <w:pPr>
        <w:jc w:val="center"/>
      </w:pPr>
    </w:p>
    <w:p w14:paraId="2158136B" w14:textId="77777777" w:rsidR="00C5731C" w:rsidRPr="00B5050F" w:rsidRDefault="00C5731C" w:rsidP="008B4ED7">
      <w:pPr>
        <w:jc w:val="center"/>
      </w:pPr>
    </w:p>
    <w:p w14:paraId="4AEDB541" w14:textId="77777777" w:rsidR="00C5731C" w:rsidRPr="00B5050F" w:rsidRDefault="00C5731C" w:rsidP="008B4ED7">
      <w:pPr>
        <w:jc w:val="center"/>
      </w:pPr>
    </w:p>
    <w:p w14:paraId="1C4F6019" w14:textId="77777777" w:rsidR="00C5731C" w:rsidRPr="00B5050F" w:rsidRDefault="00C5731C" w:rsidP="008B4ED7">
      <w:pPr>
        <w:jc w:val="center"/>
      </w:pPr>
    </w:p>
    <w:p w14:paraId="2C265E9F" w14:textId="77777777" w:rsidR="00C5731C" w:rsidRPr="00B5050F" w:rsidRDefault="00C5731C" w:rsidP="008B4ED7">
      <w:pPr>
        <w:jc w:val="center"/>
      </w:pPr>
    </w:p>
    <w:p w14:paraId="5708D4CC" w14:textId="77777777" w:rsidR="00C5731C" w:rsidRPr="00B5050F" w:rsidRDefault="00C5731C" w:rsidP="008B4ED7">
      <w:pPr>
        <w:jc w:val="center"/>
      </w:pPr>
    </w:p>
    <w:p w14:paraId="08D88A8D" w14:textId="77777777" w:rsidR="00C5731C" w:rsidRPr="00B5050F" w:rsidRDefault="00C5731C" w:rsidP="008B4ED7">
      <w:pPr>
        <w:jc w:val="center"/>
      </w:pPr>
    </w:p>
    <w:p w14:paraId="76480109" w14:textId="77777777" w:rsidR="00C5731C" w:rsidRPr="00B5050F" w:rsidRDefault="00C5731C" w:rsidP="008B4ED7">
      <w:pPr>
        <w:jc w:val="center"/>
      </w:pPr>
    </w:p>
    <w:p w14:paraId="435CB0DA" w14:textId="77777777" w:rsidR="00C5731C" w:rsidRPr="00B5050F" w:rsidRDefault="00C5731C" w:rsidP="008B4ED7">
      <w:pPr>
        <w:jc w:val="center"/>
      </w:pPr>
    </w:p>
    <w:p w14:paraId="55F97B54" w14:textId="77777777" w:rsidR="00C5731C" w:rsidRPr="00B5050F" w:rsidRDefault="00C5731C" w:rsidP="008B4ED7">
      <w:pPr>
        <w:jc w:val="center"/>
      </w:pPr>
    </w:p>
    <w:p w14:paraId="5EFD2114" w14:textId="77777777" w:rsidR="00C5731C" w:rsidRPr="00B5050F" w:rsidRDefault="00C5731C" w:rsidP="008B4ED7">
      <w:pPr>
        <w:jc w:val="center"/>
      </w:pPr>
    </w:p>
    <w:p w14:paraId="2FEAD4C2" w14:textId="77777777" w:rsidR="00C5731C" w:rsidRPr="00B5050F" w:rsidRDefault="00C5731C" w:rsidP="008B4ED7">
      <w:pPr>
        <w:jc w:val="center"/>
      </w:pPr>
    </w:p>
    <w:p w14:paraId="5EF0DDCF" w14:textId="77777777" w:rsidR="00C5731C" w:rsidRPr="00B5050F" w:rsidRDefault="00C5731C" w:rsidP="008B4ED7">
      <w:pPr>
        <w:jc w:val="center"/>
      </w:pPr>
    </w:p>
    <w:p w14:paraId="597A250A" w14:textId="77777777" w:rsidR="00C5731C" w:rsidRPr="00B5050F" w:rsidRDefault="00C5731C" w:rsidP="008B4ED7">
      <w:pPr>
        <w:jc w:val="center"/>
      </w:pPr>
    </w:p>
    <w:p w14:paraId="3DEBDE7A" w14:textId="77777777" w:rsidR="00C5731C" w:rsidRPr="00B5050F" w:rsidRDefault="00C5731C" w:rsidP="008B4ED7">
      <w:pPr>
        <w:jc w:val="center"/>
      </w:pPr>
    </w:p>
    <w:p w14:paraId="1CC2D31A" w14:textId="77777777" w:rsidR="00C5731C" w:rsidRPr="00B5050F" w:rsidRDefault="00C5731C" w:rsidP="008B4ED7">
      <w:pPr>
        <w:jc w:val="center"/>
      </w:pPr>
    </w:p>
    <w:p w14:paraId="79294BAE" w14:textId="77777777" w:rsidR="00C5731C" w:rsidRPr="00B5050F" w:rsidRDefault="00C5731C" w:rsidP="008B4ED7">
      <w:pPr>
        <w:jc w:val="center"/>
      </w:pPr>
    </w:p>
    <w:p w14:paraId="40495E1A" w14:textId="77777777" w:rsidR="00C5731C" w:rsidRPr="00B5050F" w:rsidRDefault="00C5731C" w:rsidP="00BF5188">
      <w:pPr>
        <w:pStyle w:val="TitleA"/>
      </w:pPr>
      <w:r w:rsidRPr="00B5050F">
        <w:t>A. ROTULAGEM</w:t>
      </w:r>
    </w:p>
    <w:p w14:paraId="59ABEA14" w14:textId="77777777" w:rsidR="00C5731C" w:rsidRPr="00B5050F" w:rsidRDefault="00C5731C" w:rsidP="008B4ED7">
      <w:pPr>
        <w:jc w:val="center"/>
      </w:pPr>
    </w:p>
    <w:p w14:paraId="333FEAEA" w14:textId="77777777" w:rsidR="00C5731C" w:rsidRPr="00B5050F" w:rsidRDefault="00670C68" w:rsidP="00670C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5050F">
        <w:br w:type="page"/>
      </w:r>
      <w:r w:rsidRPr="00B5050F">
        <w:rPr>
          <w:b/>
        </w:rPr>
        <w:lastRenderedPageBreak/>
        <w:t>INDICAÇÕES A INCLUIR NO ACONDICIONAMENTO SECUNDÁRIO</w:t>
      </w:r>
    </w:p>
    <w:p w14:paraId="3623F132" w14:textId="77777777" w:rsidR="00C5731C" w:rsidRPr="00B5050F" w:rsidRDefault="00C5731C" w:rsidP="00670C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Cs/>
        </w:rPr>
      </w:pPr>
    </w:p>
    <w:p w14:paraId="1BE8CB01" w14:textId="094DDD57" w:rsidR="00C5731C" w:rsidRPr="00B5050F" w:rsidRDefault="00C5731C" w:rsidP="00670C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5050F">
        <w:rPr>
          <w:b/>
        </w:rPr>
        <w:t xml:space="preserve">EMBALAGEM </w:t>
      </w:r>
      <w:r w:rsidR="007934AE" w:rsidRPr="00B5050F">
        <w:rPr>
          <w:b/>
        </w:rPr>
        <w:t>EXTERIOR PARA</w:t>
      </w:r>
      <w:r w:rsidRPr="00B5050F">
        <w:rPr>
          <w:b/>
        </w:rPr>
        <w:t xml:space="preserve"> SERINGA PRÉ</w:t>
      </w:r>
      <w:r w:rsidRPr="00B5050F">
        <w:rPr>
          <w:b/>
        </w:rPr>
        <w:noBreakHyphen/>
        <w:t>CHEIA</w:t>
      </w:r>
      <w:r w:rsidR="007934AE" w:rsidRPr="00B5050F">
        <w:rPr>
          <w:b/>
        </w:rPr>
        <w:t xml:space="preserve"> COM PROTEÇÃO DE SEGURANÇA</w:t>
      </w:r>
    </w:p>
    <w:p w14:paraId="4CC0B5E9" w14:textId="77777777" w:rsidR="00C5731C" w:rsidRPr="00B5050F" w:rsidRDefault="00C5731C" w:rsidP="008B4ED7">
      <w:pPr>
        <w:tabs>
          <w:tab w:val="clear" w:pos="567"/>
        </w:tabs>
      </w:pPr>
    </w:p>
    <w:p w14:paraId="180F8F9A" w14:textId="77777777" w:rsidR="00C5731C" w:rsidRPr="00B5050F" w:rsidRDefault="00C5731C" w:rsidP="008B4ED7">
      <w:pPr>
        <w:tabs>
          <w:tab w:val="clear" w:pos="567"/>
        </w:tabs>
      </w:pPr>
    </w:p>
    <w:p w14:paraId="2804C643" w14:textId="77777777" w:rsidR="00C5731C" w:rsidRPr="00B5050F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 w:rsidRPr="00B5050F">
        <w:rPr>
          <w:b/>
        </w:rPr>
        <w:t>1.</w:t>
      </w:r>
      <w:r w:rsidRPr="00B5050F">
        <w:rPr>
          <w:b/>
        </w:rPr>
        <w:tab/>
        <w:t>NOME DO MEDICAMENTO</w:t>
      </w:r>
    </w:p>
    <w:p w14:paraId="5A36BE79" w14:textId="77777777" w:rsidR="00C5731C" w:rsidRPr="00B5050F" w:rsidRDefault="00C5731C" w:rsidP="008B4ED7">
      <w:pPr>
        <w:keepNext/>
      </w:pPr>
    </w:p>
    <w:p w14:paraId="01360266" w14:textId="0B30FFB7" w:rsidR="00C5731C" w:rsidRPr="00B5050F" w:rsidRDefault="008F076D" w:rsidP="00C345B1">
      <w:pPr>
        <w:keepNext/>
        <w:tabs>
          <w:tab w:val="clear" w:pos="567"/>
        </w:tabs>
      </w:pPr>
      <w:r w:rsidRPr="00B5050F">
        <w:t>Stoboclo</w:t>
      </w:r>
      <w:r w:rsidR="00C5731C" w:rsidRPr="00B5050F">
        <w:t xml:space="preserve"> 60 mg solução injetável em seringa pré</w:t>
      </w:r>
      <w:r w:rsidR="00C5731C" w:rsidRPr="00B5050F">
        <w:noBreakHyphen/>
        <w:t>cheia</w:t>
      </w:r>
    </w:p>
    <w:p w14:paraId="1006BFC0" w14:textId="77777777" w:rsidR="00C5731C" w:rsidRPr="00B5050F" w:rsidRDefault="00C5731C" w:rsidP="008B4ED7">
      <w:pPr>
        <w:tabs>
          <w:tab w:val="clear" w:pos="567"/>
        </w:tabs>
      </w:pPr>
      <w:r w:rsidRPr="00B5050F">
        <w:t>denosumab</w:t>
      </w:r>
    </w:p>
    <w:p w14:paraId="6DF6E12B" w14:textId="77777777" w:rsidR="00C5731C" w:rsidRPr="00B5050F" w:rsidRDefault="00C5731C" w:rsidP="008B4ED7">
      <w:pPr>
        <w:tabs>
          <w:tab w:val="clear" w:pos="567"/>
        </w:tabs>
      </w:pPr>
    </w:p>
    <w:p w14:paraId="332931B6" w14:textId="77777777" w:rsidR="00C5731C" w:rsidRPr="00B5050F" w:rsidRDefault="00C5731C" w:rsidP="008B4ED7">
      <w:pPr>
        <w:tabs>
          <w:tab w:val="clear" w:pos="567"/>
        </w:tabs>
      </w:pPr>
    </w:p>
    <w:p w14:paraId="4E64D162" w14:textId="77777777" w:rsidR="00C5731C" w:rsidRPr="00B5050F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</w:rPr>
      </w:pPr>
      <w:r w:rsidRPr="00B5050F">
        <w:rPr>
          <w:b/>
        </w:rPr>
        <w:t>2.</w:t>
      </w:r>
      <w:r w:rsidRPr="00B5050F">
        <w:rPr>
          <w:b/>
        </w:rPr>
        <w:tab/>
        <w:t>DESCRIÇÃO DA(S) SUBSTÂNCIA(S) ATIVA(S)</w:t>
      </w:r>
    </w:p>
    <w:p w14:paraId="0CC17445" w14:textId="77777777" w:rsidR="00C5731C" w:rsidRPr="00B5050F" w:rsidRDefault="00C5731C" w:rsidP="008B4ED7">
      <w:pPr>
        <w:keepNext/>
      </w:pPr>
    </w:p>
    <w:p w14:paraId="74964278" w14:textId="77777777" w:rsidR="00C5731C" w:rsidRPr="00B5050F" w:rsidRDefault="00C5731C" w:rsidP="008B4ED7">
      <w:pPr>
        <w:tabs>
          <w:tab w:val="clear" w:pos="567"/>
        </w:tabs>
      </w:pPr>
      <w:r w:rsidRPr="00B5050F">
        <w:t>Seringa pré</w:t>
      </w:r>
      <w:r w:rsidRPr="00B5050F">
        <w:noBreakHyphen/>
        <w:t>cheia de 1 ml contendo 60 mg de denosumab (60 mg/ml).</w:t>
      </w:r>
    </w:p>
    <w:p w14:paraId="4380F9C4" w14:textId="77777777" w:rsidR="00C5731C" w:rsidRPr="00B5050F" w:rsidRDefault="00C5731C" w:rsidP="008B4ED7">
      <w:pPr>
        <w:tabs>
          <w:tab w:val="clear" w:pos="567"/>
        </w:tabs>
      </w:pPr>
    </w:p>
    <w:p w14:paraId="45FABDED" w14:textId="77777777" w:rsidR="00C5731C" w:rsidRPr="00B5050F" w:rsidRDefault="00C5731C" w:rsidP="008B4ED7">
      <w:pPr>
        <w:tabs>
          <w:tab w:val="clear" w:pos="567"/>
        </w:tabs>
      </w:pPr>
    </w:p>
    <w:p w14:paraId="3F551240" w14:textId="77777777" w:rsidR="00C5731C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highlight w:val="lightGray"/>
        </w:rPr>
      </w:pPr>
      <w:r w:rsidRPr="00B5050F">
        <w:rPr>
          <w:b/>
        </w:rPr>
        <w:t>3.</w:t>
      </w:r>
      <w:r w:rsidRPr="00B5050F">
        <w:rPr>
          <w:b/>
        </w:rPr>
        <w:tab/>
        <w:t>LISTA DOS EXCIPIENTES</w:t>
      </w:r>
    </w:p>
    <w:p w14:paraId="3DAA0355" w14:textId="77777777" w:rsidR="00C5731C" w:rsidRPr="00B5050F" w:rsidRDefault="00C5731C" w:rsidP="008B4ED7">
      <w:pPr>
        <w:keepNext/>
      </w:pPr>
    </w:p>
    <w:p w14:paraId="3E4EA4CD" w14:textId="2619ABA8" w:rsidR="00C5731C" w:rsidRPr="00B5050F" w:rsidRDefault="008F076D" w:rsidP="008B4ED7">
      <w:pPr>
        <w:tabs>
          <w:tab w:val="clear" w:pos="567"/>
        </w:tabs>
      </w:pPr>
      <w:r w:rsidRPr="00B5050F">
        <w:t xml:space="preserve">Excipientes: </w:t>
      </w:r>
      <w:r w:rsidR="00C5731C" w:rsidRPr="00B5050F">
        <w:t xml:space="preserve">Ácido acético, </w:t>
      </w:r>
      <w:r w:rsidRPr="00B5050F">
        <w:t xml:space="preserve">acetato </w:t>
      </w:r>
      <w:r w:rsidR="00C5731C" w:rsidRPr="00B5050F">
        <w:t>de sódio</w:t>
      </w:r>
      <w:r w:rsidRPr="00B5050F">
        <w:t xml:space="preserve"> tri-hidratado</w:t>
      </w:r>
      <w:r w:rsidR="00C5731C" w:rsidRPr="00B5050F">
        <w:t>, sorbitol (E420), polissorbato 20</w:t>
      </w:r>
      <w:r w:rsidRPr="00B5050F">
        <w:t xml:space="preserve"> (E432)</w:t>
      </w:r>
      <w:r w:rsidR="00C5731C" w:rsidRPr="00B5050F">
        <w:t>, água para preparações injetáveis.</w:t>
      </w:r>
    </w:p>
    <w:p w14:paraId="6A152CE7" w14:textId="77777777" w:rsidR="00C5731C" w:rsidRPr="00B5050F" w:rsidRDefault="00313547" w:rsidP="008B4ED7">
      <w:pPr>
        <w:tabs>
          <w:tab w:val="clear" w:pos="567"/>
        </w:tabs>
      </w:pPr>
      <w:r>
        <w:rPr>
          <w:highlight w:val="lightGray"/>
        </w:rPr>
        <w:t>Consultar informações adicionais no folheto informativo.</w:t>
      </w:r>
    </w:p>
    <w:p w14:paraId="4968915A" w14:textId="77777777" w:rsidR="008F076D" w:rsidRPr="00B5050F" w:rsidRDefault="008F076D" w:rsidP="008B4ED7">
      <w:pPr>
        <w:tabs>
          <w:tab w:val="clear" w:pos="567"/>
        </w:tabs>
      </w:pPr>
    </w:p>
    <w:p w14:paraId="4B9D1810" w14:textId="77777777" w:rsidR="00C5731C" w:rsidRPr="00B5050F" w:rsidRDefault="00C5731C" w:rsidP="008B4ED7">
      <w:pPr>
        <w:tabs>
          <w:tab w:val="clear" w:pos="567"/>
        </w:tabs>
      </w:pPr>
    </w:p>
    <w:p w14:paraId="64B10D01" w14:textId="77777777" w:rsidR="00C5731C" w:rsidRPr="00B5050F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 w:rsidRPr="00B5050F">
        <w:rPr>
          <w:b/>
        </w:rPr>
        <w:t>4.</w:t>
      </w:r>
      <w:r w:rsidRPr="00B5050F">
        <w:rPr>
          <w:b/>
        </w:rPr>
        <w:tab/>
        <w:t>FORMA FARMACÊUTICA E CONTEÚDO</w:t>
      </w:r>
    </w:p>
    <w:p w14:paraId="774CCE7B" w14:textId="77777777" w:rsidR="00C5731C" w:rsidRPr="00B5050F" w:rsidRDefault="00C5731C" w:rsidP="008B4ED7">
      <w:pPr>
        <w:keepNext/>
      </w:pPr>
    </w:p>
    <w:p w14:paraId="589A2CD5" w14:textId="77777777" w:rsidR="008603DE" w:rsidRDefault="00C5731C" w:rsidP="00C345B1">
      <w:pPr>
        <w:keepNext/>
        <w:rPr>
          <w:highlight w:val="lightGray"/>
        </w:rPr>
      </w:pPr>
      <w:r>
        <w:rPr>
          <w:highlight w:val="lightGray"/>
        </w:rPr>
        <w:t>Solução injetável</w:t>
      </w:r>
    </w:p>
    <w:p w14:paraId="2DB6D3CD" w14:textId="0E85367B" w:rsidR="00C5731C" w:rsidRPr="00B5050F" w:rsidRDefault="00F63174" w:rsidP="00C345B1">
      <w:pPr>
        <w:keepNext/>
        <w:tabs>
          <w:tab w:val="clear" w:pos="567"/>
        </w:tabs>
      </w:pPr>
      <w:r w:rsidRPr="00B5050F">
        <w:t>1 </w:t>
      </w:r>
      <w:r w:rsidR="00C5731C" w:rsidRPr="00B5050F">
        <w:t>seringa pré</w:t>
      </w:r>
      <w:r w:rsidR="00C5731C" w:rsidRPr="00B5050F">
        <w:noBreakHyphen/>
        <w:t xml:space="preserve">cheia com proteção </w:t>
      </w:r>
      <w:r w:rsidRPr="00B5050F">
        <w:t>de segurança</w:t>
      </w:r>
      <w:r w:rsidR="00C5731C" w:rsidRPr="00B5050F">
        <w:t>.</w:t>
      </w:r>
    </w:p>
    <w:p w14:paraId="59E832F1" w14:textId="2787CB67" w:rsidR="00C5731C" w:rsidRPr="00B5050F" w:rsidRDefault="00F63174" w:rsidP="008B4ED7">
      <w:r w:rsidRPr="00B5050F">
        <w:rPr>
          <w:lang w:eastAsia="ko-KR"/>
        </w:rPr>
        <w:t>60 mg/1 ml</w:t>
      </w:r>
    </w:p>
    <w:p w14:paraId="3BF72EBA" w14:textId="77777777" w:rsidR="00C5731C" w:rsidRPr="00B5050F" w:rsidRDefault="00C5731C" w:rsidP="008B4ED7">
      <w:pPr>
        <w:tabs>
          <w:tab w:val="clear" w:pos="567"/>
        </w:tabs>
      </w:pPr>
    </w:p>
    <w:p w14:paraId="14C873FC" w14:textId="77777777" w:rsidR="00C5731C" w:rsidRPr="00B5050F" w:rsidRDefault="00C5731C" w:rsidP="008B4ED7">
      <w:pPr>
        <w:tabs>
          <w:tab w:val="clear" w:pos="567"/>
        </w:tabs>
      </w:pPr>
    </w:p>
    <w:p w14:paraId="691638ED" w14:textId="77777777" w:rsidR="00C5731C" w:rsidRDefault="00C5731C" w:rsidP="008B4ED7">
      <w:pPr>
        <w:keepNext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highlight w:val="lightGray"/>
        </w:rPr>
      </w:pPr>
      <w:r w:rsidRPr="00B5050F">
        <w:rPr>
          <w:b/>
        </w:rPr>
        <w:t>5.</w:t>
      </w:r>
      <w:r w:rsidRPr="00B5050F">
        <w:rPr>
          <w:b/>
        </w:rPr>
        <w:tab/>
        <w:t>MODO E VIA(S) DE ADMINISTRAÇÃO</w:t>
      </w:r>
    </w:p>
    <w:p w14:paraId="1492C6A6" w14:textId="77777777" w:rsidR="00C5731C" w:rsidRPr="00B5050F" w:rsidRDefault="00C5731C" w:rsidP="008B4ED7">
      <w:pPr>
        <w:keepNext/>
      </w:pPr>
    </w:p>
    <w:p w14:paraId="5DDB8D05" w14:textId="77777777" w:rsidR="00C5731C" w:rsidRPr="00B5050F" w:rsidRDefault="00C5731C" w:rsidP="00C345B1">
      <w:pPr>
        <w:keepNext/>
        <w:tabs>
          <w:tab w:val="clear" w:pos="567"/>
        </w:tabs>
      </w:pPr>
      <w:r w:rsidRPr="00B5050F">
        <w:t>Via subcutânea.</w:t>
      </w:r>
    </w:p>
    <w:p w14:paraId="4ABDD3EE" w14:textId="77777777" w:rsidR="00597CB3" w:rsidRPr="00B5050F" w:rsidRDefault="00597CB3" w:rsidP="00C345B1">
      <w:pPr>
        <w:keepNext/>
        <w:tabs>
          <w:tab w:val="clear" w:pos="567"/>
        </w:tabs>
      </w:pPr>
      <w:r w:rsidRPr="00B5050F">
        <w:rPr>
          <w:b/>
        </w:rPr>
        <w:t>Importante:</w:t>
      </w:r>
      <w:r w:rsidRPr="00B5050F">
        <w:t xml:space="preserve"> leia o folheto informativo antes de manipular a seringa pré</w:t>
      </w:r>
      <w:r w:rsidRPr="00B5050F">
        <w:noBreakHyphen/>
        <w:t>cheia.</w:t>
      </w:r>
    </w:p>
    <w:p w14:paraId="6F782681" w14:textId="77777777" w:rsidR="008E112C" w:rsidRPr="00B5050F" w:rsidRDefault="008E112C" w:rsidP="00C345B1">
      <w:pPr>
        <w:keepNext/>
        <w:tabs>
          <w:tab w:val="clear" w:pos="567"/>
        </w:tabs>
      </w:pPr>
      <w:r w:rsidRPr="00B5050F">
        <w:t>Não agitar.</w:t>
      </w:r>
    </w:p>
    <w:p w14:paraId="6F6A02EB" w14:textId="77777777" w:rsidR="00C5731C" w:rsidRDefault="00C5731C" w:rsidP="008B4ED7">
      <w:pPr>
        <w:rPr>
          <w:highlight w:val="lightGray"/>
        </w:rPr>
      </w:pPr>
      <w:r>
        <w:rPr>
          <w:highlight w:val="lightGray"/>
        </w:rPr>
        <w:t>Consultar o folheto informativo antes de utilizar.</w:t>
      </w:r>
    </w:p>
    <w:p w14:paraId="50FEEC7A" w14:textId="77777777" w:rsidR="00C5731C" w:rsidRPr="00B5050F" w:rsidRDefault="00C5731C" w:rsidP="008B4ED7">
      <w:pPr>
        <w:tabs>
          <w:tab w:val="clear" w:pos="567"/>
        </w:tabs>
      </w:pPr>
    </w:p>
    <w:p w14:paraId="5EC2EEF1" w14:textId="77777777" w:rsidR="004B39BB" w:rsidRPr="00B5050F" w:rsidRDefault="004B39BB" w:rsidP="008B4ED7">
      <w:pPr>
        <w:tabs>
          <w:tab w:val="clear" w:pos="567"/>
        </w:tabs>
      </w:pPr>
    </w:p>
    <w:p w14:paraId="77557F98" w14:textId="77777777" w:rsidR="00C5731C" w:rsidRPr="00B5050F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 w:rsidRPr="00B5050F">
        <w:rPr>
          <w:b/>
        </w:rPr>
        <w:t>6.</w:t>
      </w:r>
      <w:r w:rsidRPr="00B5050F">
        <w:rPr>
          <w:b/>
        </w:rPr>
        <w:tab/>
        <w:t>ADVERTÊNCIA ESPECIAL DE QUE O MEDICAMENTO DEVE SER MANTIDO FORA DA VISTA E DO ALCANCE DAS CRIANÇAS</w:t>
      </w:r>
    </w:p>
    <w:p w14:paraId="260CE793" w14:textId="77777777" w:rsidR="00C5731C" w:rsidRPr="00B5050F" w:rsidRDefault="00C5731C" w:rsidP="008B4ED7">
      <w:pPr>
        <w:keepNext/>
      </w:pPr>
    </w:p>
    <w:p w14:paraId="581CC7E5" w14:textId="77777777" w:rsidR="00C5731C" w:rsidRPr="00B5050F" w:rsidRDefault="00C5731C" w:rsidP="008B4ED7">
      <w:pPr>
        <w:tabs>
          <w:tab w:val="clear" w:pos="567"/>
        </w:tabs>
      </w:pPr>
      <w:r w:rsidRPr="00B5050F">
        <w:t>Manter fora da vista e do alcance das crianças.</w:t>
      </w:r>
    </w:p>
    <w:p w14:paraId="632D7FB2" w14:textId="77777777" w:rsidR="00C5731C" w:rsidRPr="00B5050F" w:rsidRDefault="00C5731C" w:rsidP="008B4ED7">
      <w:pPr>
        <w:tabs>
          <w:tab w:val="clear" w:pos="567"/>
        </w:tabs>
      </w:pPr>
    </w:p>
    <w:p w14:paraId="6388B1E5" w14:textId="77777777" w:rsidR="00C5731C" w:rsidRPr="00B5050F" w:rsidRDefault="00C5731C" w:rsidP="008B4ED7">
      <w:pPr>
        <w:tabs>
          <w:tab w:val="clear" w:pos="567"/>
        </w:tabs>
      </w:pPr>
    </w:p>
    <w:p w14:paraId="0E1D7D0E" w14:textId="77777777" w:rsidR="00C5731C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highlight w:val="lightGray"/>
        </w:rPr>
      </w:pPr>
      <w:r w:rsidRPr="00B5050F">
        <w:rPr>
          <w:b/>
        </w:rPr>
        <w:t>7.</w:t>
      </w:r>
      <w:r w:rsidRPr="00B5050F">
        <w:rPr>
          <w:b/>
        </w:rPr>
        <w:tab/>
        <w:t>OUTRA(S) ADVERTÊNCIA(S) ESPECIAI(S), SE NECESSÁRIO</w:t>
      </w:r>
    </w:p>
    <w:p w14:paraId="1C5333EA" w14:textId="77777777" w:rsidR="00C5731C" w:rsidRPr="00B5050F" w:rsidRDefault="00C5731C" w:rsidP="008B4ED7">
      <w:pPr>
        <w:keepNext/>
      </w:pPr>
    </w:p>
    <w:p w14:paraId="3EFB69D4" w14:textId="77777777" w:rsidR="00C5731C" w:rsidRPr="00B5050F" w:rsidRDefault="00C5731C" w:rsidP="008B4ED7">
      <w:pPr>
        <w:tabs>
          <w:tab w:val="clear" w:pos="567"/>
        </w:tabs>
      </w:pPr>
    </w:p>
    <w:p w14:paraId="4E17D157" w14:textId="77777777" w:rsidR="00C5731C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highlight w:val="lightGray"/>
        </w:rPr>
      </w:pPr>
      <w:r w:rsidRPr="00B5050F">
        <w:rPr>
          <w:b/>
        </w:rPr>
        <w:t>8.</w:t>
      </w:r>
      <w:r w:rsidRPr="00B5050F">
        <w:rPr>
          <w:b/>
        </w:rPr>
        <w:tab/>
        <w:t>PRAZO DE VALIDADE</w:t>
      </w:r>
    </w:p>
    <w:p w14:paraId="02C6E2F5" w14:textId="77777777" w:rsidR="00C5731C" w:rsidRPr="00B5050F" w:rsidRDefault="00C5731C" w:rsidP="008B4ED7">
      <w:pPr>
        <w:keepNext/>
      </w:pPr>
    </w:p>
    <w:p w14:paraId="22FD7725" w14:textId="77777777" w:rsidR="00C5731C" w:rsidRPr="00B5050F" w:rsidRDefault="00C5731C" w:rsidP="008B4ED7">
      <w:pPr>
        <w:tabs>
          <w:tab w:val="clear" w:pos="567"/>
        </w:tabs>
      </w:pPr>
      <w:r w:rsidRPr="00B5050F">
        <w:t>EXP</w:t>
      </w:r>
    </w:p>
    <w:p w14:paraId="70D08B60" w14:textId="77777777" w:rsidR="00C5731C" w:rsidRPr="00B5050F" w:rsidRDefault="00C5731C" w:rsidP="008B4ED7">
      <w:pPr>
        <w:tabs>
          <w:tab w:val="clear" w:pos="567"/>
        </w:tabs>
      </w:pPr>
    </w:p>
    <w:p w14:paraId="0B7FD6EB" w14:textId="77777777" w:rsidR="00C5731C" w:rsidRPr="00B5050F" w:rsidRDefault="00C5731C" w:rsidP="008B4ED7">
      <w:pPr>
        <w:tabs>
          <w:tab w:val="clear" w:pos="567"/>
        </w:tabs>
      </w:pPr>
    </w:p>
    <w:p w14:paraId="42649E5B" w14:textId="77777777" w:rsidR="00C5731C" w:rsidRPr="00B5050F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 w:rsidRPr="00B5050F">
        <w:rPr>
          <w:b/>
        </w:rPr>
        <w:lastRenderedPageBreak/>
        <w:t>9.</w:t>
      </w:r>
      <w:r w:rsidRPr="00B5050F">
        <w:rPr>
          <w:b/>
        </w:rPr>
        <w:tab/>
        <w:t>CONDIÇÕES ESPECIAIS DE CONSERVAÇÃO</w:t>
      </w:r>
    </w:p>
    <w:p w14:paraId="291BF09C" w14:textId="77777777" w:rsidR="00C5731C" w:rsidRPr="00B5050F" w:rsidRDefault="00C5731C" w:rsidP="008B4ED7">
      <w:pPr>
        <w:keepNext/>
      </w:pPr>
    </w:p>
    <w:p w14:paraId="2FEA6B90" w14:textId="77777777" w:rsidR="00C5731C" w:rsidRPr="00B5050F" w:rsidRDefault="00C5731C" w:rsidP="00C345B1">
      <w:pPr>
        <w:keepNext/>
        <w:tabs>
          <w:tab w:val="clear" w:pos="567"/>
        </w:tabs>
      </w:pPr>
      <w:r w:rsidRPr="00B5050F">
        <w:t>Conservar no frigorífico.</w:t>
      </w:r>
    </w:p>
    <w:p w14:paraId="4F2D3373" w14:textId="77777777" w:rsidR="008603DE" w:rsidRPr="00B5050F" w:rsidRDefault="00C5731C" w:rsidP="00C345B1">
      <w:pPr>
        <w:keepNext/>
        <w:tabs>
          <w:tab w:val="clear" w:pos="567"/>
        </w:tabs>
      </w:pPr>
      <w:r w:rsidRPr="00B5050F">
        <w:t>Não congelar.</w:t>
      </w:r>
    </w:p>
    <w:p w14:paraId="141BAF34" w14:textId="77777777" w:rsidR="008E112C" w:rsidRPr="00B5050F" w:rsidRDefault="008E112C" w:rsidP="008B4ED7">
      <w:pPr>
        <w:tabs>
          <w:tab w:val="clear" w:pos="567"/>
        </w:tabs>
      </w:pPr>
      <w:r w:rsidRPr="00B5050F">
        <w:t>Manter a seringa pré</w:t>
      </w:r>
      <w:r w:rsidRPr="00B5050F">
        <w:noBreakHyphen/>
        <w:t>cheia dentro da embalagem exterior para proteger da luz.</w:t>
      </w:r>
    </w:p>
    <w:p w14:paraId="051D0B00" w14:textId="77777777" w:rsidR="00C5731C" w:rsidRPr="00B5050F" w:rsidRDefault="00C5731C" w:rsidP="008B4ED7">
      <w:pPr>
        <w:tabs>
          <w:tab w:val="clear" w:pos="567"/>
        </w:tabs>
      </w:pPr>
    </w:p>
    <w:p w14:paraId="463BBFD0" w14:textId="77777777" w:rsidR="00C5731C" w:rsidRPr="00B5050F" w:rsidRDefault="00C5731C" w:rsidP="008B4ED7">
      <w:pPr>
        <w:tabs>
          <w:tab w:val="clear" w:pos="567"/>
        </w:tabs>
      </w:pPr>
    </w:p>
    <w:p w14:paraId="7D3A6CF8" w14:textId="77777777" w:rsidR="00C5731C" w:rsidRPr="00B5050F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</w:rPr>
      </w:pPr>
      <w:r w:rsidRPr="00B5050F">
        <w:rPr>
          <w:b/>
        </w:rPr>
        <w:t>10.</w:t>
      </w:r>
      <w:r w:rsidRPr="00B5050F">
        <w:rPr>
          <w:b/>
        </w:rPr>
        <w:tab/>
        <w:t>CUIDADOS ESPECIAIS QUANTO À ELIMINAÇÃO DO MEDICAMENTO NÃO UTILIZADO OU DOS RESÍDUOS PROVENIENTES DESSE MEDICAMENTO, SE APLICÁVEL</w:t>
      </w:r>
    </w:p>
    <w:p w14:paraId="45736133" w14:textId="77777777" w:rsidR="00C5731C" w:rsidRPr="00B5050F" w:rsidRDefault="00C5731C" w:rsidP="008B4ED7">
      <w:pPr>
        <w:keepNext/>
      </w:pPr>
    </w:p>
    <w:p w14:paraId="7664CC26" w14:textId="77777777" w:rsidR="00C5731C" w:rsidRPr="00B5050F" w:rsidRDefault="00C5731C" w:rsidP="008B4ED7">
      <w:pPr>
        <w:tabs>
          <w:tab w:val="clear" w:pos="567"/>
        </w:tabs>
      </w:pPr>
    </w:p>
    <w:p w14:paraId="13F8B9DB" w14:textId="77777777" w:rsidR="00C5731C" w:rsidRPr="00B5050F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</w:rPr>
      </w:pPr>
      <w:r w:rsidRPr="00B5050F">
        <w:rPr>
          <w:b/>
        </w:rPr>
        <w:t>11.</w:t>
      </w:r>
      <w:r w:rsidRPr="00B5050F">
        <w:rPr>
          <w:b/>
        </w:rPr>
        <w:tab/>
        <w:t>NOME E ENDEREÇO DO TITULAR DA AUTORIZAÇÃO DE INTRODUÇÃO NO MERCADO</w:t>
      </w:r>
    </w:p>
    <w:p w14:paraId="47FEB756" w14:textId="77777777" w:rsidR="00C5731C" w:rsidRPr="00B5050F" w:rsidRDefault="00C5731C" w:rsidP="008B4ED7">
      <w:pPr>
        <w:keepNext/>
      </w:pPr>
    </w:p>
    <w:p w14:paraId="11CC419A" w14:textId="77777777" w:rsidR="006C247E" w:rsidRPr="00340F20" w:rsidRDefault="006C247E" w:rsidP="006C247E">
      <w:pPr>
        <w:keepNext/>
        <w:rPr>
          <w:lang w:val="en-US"/>
        </w:rPr>
      </w:pPr>
      <w:r w:rsidRPr="00340F20">
        <w:rPr>
          <w:lang w:val="en-US"/>
        </w:rPr>
        <w:t>Celltrion Healthcare Hungary Kft.</w:t>
      </w:r>
    </w:p>
    <w:p w14:paraId="63FD5EE0" w14:textId="77777777" w:rsidR="006C247E" w:rsidRPr="00340F20" w:rsidRDefault="006C247E" w:rsidP="006C247E">
      <w:pPr>
        <w:keepNext/>
        <w:rPr>
          <w:lang w:val="en-US"/>
        </w:rPr>
      </w:pPr>
      <w:r w:rsidRPr="00340F20">
        <w:rPr>
          <w:lang w:val="en-US"/>
        </w:rPr>
        <w:t>1062 Budapest</w:t>
      </w:r>
    </w:p>
    <w:p w14:paraId="0A2D9E7B" w14:textId="77777777" w:rsidR="006C247E" w:rsidRPr="00340F20" w:rsidRDefault="006C247E" w:rsidP="006C247E">
      <w:pPr>
        <w:keepNext/>
        <w:rPr>
          <w:lang w:val="en-US"/>
        </w:rPr>
      </w:pPr>
      <w:r w:rsidRPr="00340F20">
        <w:rPr>
          <w:lang w:val="en-US"/>
        </w:rPr>
        <w:t xml:space="preserve">Váci </w:t>
      </w:r>
      <w:proofErr w:type="spellStart"/>
      <w:r w:rsidRPr="00340F20">
        <w:rPr>
          <w:lang w:val="en-US"/>
        </w:rPr>
        <w:t>út</w:t>
      </w:r>
      <w:proofErr w:type="spellEnd"/>
      <w:r w:rsidRPr="00340F20">
        <w:rPr>
          <w:lang w:val="en-US"/>
        </w:rPr>
        <w:t xml:space="preserve"> 1-3. </w:t>
      </w:r>
      <w:proofErr w:type="spellStart"/>
      <w:r w:rsidRPr="00340F20">
        <w:rPr>
          <w:lang w:val="en-US"/>
        </w:rPr>
        <w:t>WestEnd</w:t>
      </w:r>
      <w:proofErr w:type="spellEnd"/>
      <w:r w:rsidRPr="00340F20">
        <w:rPr>
          <w:lang w:val="en-US"/>
        </w:rPr>
        <w:t xml:space="preserve"> Office Building B </w:t>
      </w:r>
      <w:proofErr w:type="spellStart"/>
      <w:r w:rsidRPr="00340F20">
        <w:rPr>
          <w:lang w:val="en-US"/>
        </w:rPr>
        <w:t>torony</w:t>
      </w:r>
      <w:proofErr w:type="spellEnd"/>
    </w:p>
    <w:p w14:paraId="4489E5EA" w14:textId="021781EB" w:rsidR="00C5731C" w:rsidRPr="00340F20" w:rsidRDefault="006C247E" w:rsidP="008B4ED7">
      <w:pPr>
        <w:tabs>
          <w:tab w:val="clear" w:pos="567"/>
        </w:tabs>
        <w:rPr>
          <w:lang w:val="en-US"/>
        </w:rPr>
      </w:pPr>
      <w:r w:rsidRPr="00340F20">
        <w:rPr>
          <w:lang w:val="en-US"/>
        </w:rPr>
        <w:t>Hungria</w:t>
      </w:r>
    </w:p>
    <w:p w14:paraId="79460B5C" w14:textId="77777777" w:rsidR="00C5731C" w:rsidRPr="00340F20" w:rsidRDefault="00C5731C" w:rsidP="008B4ED7">
      <w:pPr>
        <w:tabs>
          <w:tab w:val="clear" w:pos="567"/>
        </w:tabs>
        <w:rPr>
          <w:lang w:val="en-US"/>
        </w:rPr>
      </w:pPr>
    </w:p>
    <w:p w14:paraId="0F2EC1F5" w14:textId="77777777" w:rsidR="00C5731C" w:rsidRPr="00340F20" w:rsidRDefault="00C5731C" w:rsidP="008B4ED7">
      <w:pPr>
        <w:tabs>
          <w:tab w:val="clear" w:pos="567"/>
        </w:tabs>
        <w:rPr>
          <w:lang w:val="en-US"/>
        </w:rPr>
      </w:pPr>
    </w:p>
    <w:p w14:paraId="0FD39F76" w14:textId="77777777" w:rsidR="008603DE" w:rsidRPr="00B5050F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</w:rPr>
      </w:pPr>
      <w:r w:rsidRPr="00B5050F">
        <w:rPr>
          <w:b/>
        </w:rPr>
        <w:t>12.</w:t>
      </w:r>
      <w:r w:rsidRPr="00B5050F">
        <w:rPr>
          <w:b/>
        </w:rPr>
        <w:tab/>
        <w:t>NÚMERO(S) DA AUTORIZAÇÃO DE INTRODUÇÃO NO MERCADO</w:t>
      </w:r>
    </w:p>
    <w:p w14:paraId="449921F9" w14:textId="77777777" w:rsidR="00C5731C" w:rsidRPr="00B5050F" w:rsidRDefault="00C5731C" w:rsidP="008B4ED7">
      <w:pPr>
        <w:keepNext/>
      </w:pPr>
    </w:p>
    <w:p w14:paraId="25759D32" w14:textId="3F26D56D" w:rsidR="00C5731C" w:rsidRPr="00FB576C" w:rsidRDefault="00FB576C" w:rsidP="008B4ED7">
      <w:pPr>
        <w:rPr>
          <w:rFonts w:eastAsia="맑은 고딕"/>
          <w:highlight w:val="lightGray"/>
          <w:lang w:eastAsia="ko-KR"/>
        </w:rPr>
      </w:pPr>
      <w:r w:rsidRPr="00FB576C">
        <w:rPr>
          <w:rFonts w:cs="Verdana"/>
          <w:color w:val="000000"/>
        </w:rPr>
        <w:t xml:space="preserve"> </w:t>
      </w:r>
      <w:r w:rsidRPr="000E30C5">
        <w:rPr>
          <w:rFonts w:cs="Verdana"/>
          <w:color w:val="000000"/>
        </w:rPr>
        <w:t>EU/1/24/1905/001</w:t>
      </w:r>
      <w:r>
        <w:rPr>
          <w:rFonts w:eastAsia="맑은 고딕" w:cs="Verdana" w:hint="eastAsia"/>
          <w:color w:val="000000"/>
          <w:lang w:eastAsia="ko-KR"/>
        </w:rPr>
        <w:t xml:space="preserve"> </w:t>
      </w:r>
      <w:r w:rsidR="00603CDE" w:rsidRPr="00603CDE">
        <w:rPr>
          <w:rFonts w:eastAsia="맑은 고딕" w:cs="Verdana"/>
          <w:color w:val="000000"/>
          <w:highlight w:val="lightGray"/>
          <w:lang w:eastAsia="ko-KR"/>
        </w:rPr>
        <w:t>1 seringa pré-cheia</w:t>
      </w:r>
    </w:p>
    <w:p w14:paraId="2C1C5803" w14:textId="77777777" w:rsidR="00C5731C" w:rsidRPr="00B5050F" w:rsidRDefault="00C5731C" w:rsidP="008B4ED7">
      <w:pPr>
        <w:tabs>
          <w:tab w:val="clear" w:pos="567"/>
        </w:tabs>
      </w:pPr>
    </w:p>
    <w:p w14:paraId="5669448E" w14:textId="77777777" w:rsidR="00C5731C" w:rsidRPr="00B5050F" w:rsidRDefault="00C5731C" w:rsidP="008B4ED7">
      <w:pPr>
        <w:tabs>
          <w:tab w:val="clear" w:pos="567"/>
        </w:tabs>
      </w:pPr>
    </w:p>
    <w:p w14:paraId="1F77D0C8" w14:textId="77777777" w:rsidR="00C5731C" w:rsidRPr="00B5050F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 w:rsidRPr="00B5050F">
        <w:rPr>
          <w:b/>
        </w:rPr>
        <w:t>13.</w:t>
      </w:r>
      <w:r w:rsidRPr="00B5050F">
        <w:rPr>
          <w:b/>
        </w:rPr>
        <w:tab/>
        <w:t>NÚMERO DO LOTE</w:t>
      </w:r>
    </w:p>
    <w:p w14:paraId="52915049" w14:textId="77777777" w:rsidR="00C5731C" w:rsidRPr="00B5050F" w:rsidRDefault="00C5731C" w:rsidP="008B4ED7">
      <w:pPr>
        <w:keepNext/>
      </w:pPr>
    </w:p>
    <w:p w14:paraId="2BC1F33C" w14:textId="77777777" w:rsidR="00C5731C" w:rsidRPr="00B5050F" w:rsidRDefault="00C5731C" w:rsidP="008B4ED7">
      <w:pPr>
        <w:tabs>
          <w:tab w:val="clear" w:pos="567"/>
        </w:tabs>
      </w:pPr>
      <w:r w:rsidRPr="00B5050F">
        <w:t>Lot</w:t>
      </w:r>
    </w:p>
    <w:p w14:paraId="4A9D2228" w14:textId="77777777" w:rsidR="00C5731C" w:rsidRPr="00B5050F" w:rsidRDefault="00C5731C" w:rsidP="008B4ED7">
      <w:pPr>
        <w:tabs>
          <w:tab w:val="clear" w:pos="567"/>
        </w:tabs>
      </w:pPr>
    </w:p>
    <w:p w14:paraId="09343ED0" w14:textId="77777777" w:rsidR="00C5731C" w:rsidRPr="00B5050F" w:rsidRDefault="00C5731C" w:rsidP="008B4ED7">
      <w:pPr>
        <w:tabs>
          <w:tab w:val="clear" w:pos="567"/>
        </w:tabs>
      </w:pPr>
    </w:p>
    <w:p w14:paraId="345A62B7" w14:textId="77777777" w:rsidR="00C5731C" w:rsidRPr="00B5050F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 w:rsidRPr="00B5050F">
        <w:rPr>
          <w:b/>
        </w:rPr>
        <w:t>14.</w:t>
      </w:r>
      <w:r w:rsidRPr="00B5050F">
        <w:rPr>
          <w:b/>
        </w:rPr>
        <w:tab/>
        <w:t>CLASSIFICAÇÃO QUANTO À DISPENSA AO PÚBLICO</w:t>
      </w:r>
    </w:p>
    <w:p w14:paraId="0A89E651" w14:textId="77777777" w:rsidR="00C5731C" w:rsidRPr="00B5050F" w:rsidRDefault="00C5731C" w:rsidP="008B4ED7">
      <w:pPr>
        <w:keepNext/>
      </w:pPr>
    </w:p>
    <w:p w14:paraId="6755711D" w14:textId="77777777" w:rsidR="00C5731C" w:rsidRPr="00B5050F" w:rsidRDefault="00C5731C" w:rsidP="008B4ED7">
      <w:pPr>
        <w:tabs>
          <w:tab w:val="clear" w:pos="567"/>
        </w:tabs>
      </w:pPr>
    </w:p>
    <w:p w14:paraId="53E14E82" w14:textId="77777777" w:rsidR="00C5731C" w:rsidRPr="00B5050F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 w:rsidRPr="00B5050F">
        <w:rPr>
          <w:b/>
        </w:rPr>
        <w:t>15.</w:t>
      </w:r>
      <w:r w:rsidRPr="00B5050F">
        <w:rPr>
          <w:b/>
        </w:rPr>
        <w:tab/>
        <w:t>INSTRUÇÕES DE UTILIZAÇÃO</w:t>
      </w:r>
    </w:p>
    <w:p w14:paraId="058DBD6D" w14:textId="77777777" w:rsidR="00C5731C" w:rsidRPr="00B5050F" w:rsidRDefault="00C5731C" w:rsidP="008B4ED7">
      <w:pPr>
        <w:keepNext/>
      </w:pPr>
    </w:p>
    <w:p w14:paraId="29A8BD2A" w14:textId="77777777" w:rsidR="00C5731C" w:rsidRPr="00B5050F" w:rsidRDefault="00C5731C" w:rsidP="008B4ED7">
      <w:pPr>
        <w:tabs>
          <w:tab w:val="clear" w:pos="567"/>
        </w:tabs>
      </w:pPr>
    </w:p>
    <w:p w14:paraId="496DC16F" w14:textId="77777777" w:rsidR="00C5731C" w:rsidRPr="00B5050F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</w:pPr>
      <w:r w:rsidRPr="00B5050F">
        <w:rPr>
          <w:b/>
        </w:rPr>
        <w:t>16.</w:t>
      </w:r>
      <w:r w:rsidRPr="00B5050F">
        <w:rPr>
          <w:b/>
        </w:rPr>
        <w:tab/>
        <w:t>INFORMAÇÃO EM BRAILLE</w:t>
      </w:r>
    </w:p>
    <w:p w14:paraId="12A29C9D" w14:textId="77777777" w:rsidR="00C5731C" w:rsidRPr="00B5050F" w:rsidRDefault="00C5731C" w:rsidP="008B4ED7">
      <w:pPr>
        <w:keepNext/>
      </w:pPr>
    </w:p>
    <w:p w14:paraId="035EEBFC" w14:textId="4FD6935C" w:rsidR="00C5731C" w:rsidRPr="00B5050F" w:rsidRDefault="001865C8" w:rsidP="008B4ED7">
      <w:pPr>
        <w:tabs>
          <w:tab w:val="clear" w:pos="567"/>
        </w:tabs>
      </w:pPr>
      <w:r w:rsidRPr="00B5050F">
        <w:t>Stoboclo 60 mg</w:t>
      </w:r>
    </w:p>
    <w:p w14:paraId="6B8FD7D2" w14:textId="77777777" w:rsidR="00C5731C" w:rsidRPr="00B5050F" w:rsidRDefault="00C5731C" w:rsidP="008B4ED7">
      <w:pPr>
        <w:tabs>
          <w:tab w:val="clear" w:pos="567"/>
        </w:tabs>
      </w:pPr>
    </w:p>
    <w:p w14:paraId="085772C0" w14:textId="77777777" w:rsidR="001D1E25" w:rsidRPr="00B5050F" w:rsidRDefault="001D1E25" w:rsidP="008B4ED7">
      <w:pPr>
        <w:tabs>
          <w:tab w:val="clear" w:pos="567"/>
        </w:tabs>
      </w:pPr>
    </w:p>
    <w:p w14:paraId="1DD9F31D" w14:textId="77777777" w:rsidR="001D1E25" w:rsidRPr="00B5050F" w:rsidRDefault="001D1E25" w:rsidP="008B4ED7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ind w:left="567" w:hanging="567"/>
        <w:rPr>
          <w:i/>
        </w:rPr>
      </w:pPr>
      <w:r w:rsidRPr="00B5050F">
        <w:rPr>
          <w:b/>
        </w:rPr>
        <w:t>17.</w:t>
      </w:r>
      <w:r w:rsidRPr="00B5050F">
        <w:rPr>
          <w:b/>
        </w:rPr>
        <w:tab/>
        <w:t>IDENTIFICADOR ÚNICO – CÓDIGO DE BARRAS 2D</w:t>
      </w:r>
    </w:p>
    <w:p w14:paraId="4D505E53" w14:textId="77777777" w:rsidR="001D1E25" w:rsidRPr="00B5050F" w:rsidRDefault="001D1E25" w:rsidP="008B4ED7">
      <w:pPr>
        <w:keepNext/>
      </w:pPr>
    </w:p>
    <w:p w14:paraId="1F3F783C" w14:textId="77777777" w:rsidR="001D1E25" w:rsidRDefault="001D1E25" w:rsidP="008B4ED7">
      <w:pPr>
        <w:rPr>
          <w:highlight w:val="lightGray"/>
        </w:rPr>
      </w:pPr>
      <w:r>
        <w:rPr>
          <w:highlight w:val="lightGray"/>
        </w:rPr>
        <w:t>Código de barras 2D com identificador único incluído.</w:t>
      </w:r>
    </w:p>
    <w:p w14:paraId="60F466B8" w14:textId="77777777" w:rsidR="001D1E25" w:rsidRPr="00B5050F" w:rsidRDefault="001D1E25" w:rsidP="008B4ED7">
      <w:pPr>
        <w:tabs>
          <w:tab w:val="clear" w:pos="567"/>
        </w:tabs>
      </w:pPr>
    </w:p>
    <w:p w14:paraId="1B158147" w14:textId="77777777" w:rsidR="00C5731C" w:rsidRPr="00B5050F" w:rsidRDefault="00C5731C" w:rsidP="008B4ED7">
      <w:pPr>
        <w:tabs>
          <w:tab w:val="clear" w:pos="567"/>
        </w:tabs>
      </w:pPr>
    </w:p>
    <w:p w14:paraId="230D51DE" w14:textId="77777777" w:rsidR="001D1E25" w:rsidRPr="00B5050F" w:rsidRDefault="001D1E25" w:rsidP="008B4ED7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ind w:left="567" w:hanging="567"/>
        <w:rPr>
          <w:i/>
        </w:rPr>
      </w:pPr>
      <w:r w:rsidRPr="00B5050F">
        <w:rPr>
          <w:b/>
        </w:rPr>
        <w:t>18.</w:t>
      </w:r>
      <w:r w:rsidRPr="00B5050F">
        <w:rPr>
          <w:b/>
        </w:rPr>
        <w:tab/>
        <w:t>IDENTIFICADOR ÚNICO - DADOS PARA LEITURA HUMANA</w:t>
      </w:r>
    </w:p>
    <w:p w14:paraId="510A79A7" w14:textId="77777777" w:rsidR="001D1E25" w:rsidRPr="00B5050F" w:rsidRDefault="001D1E25" w:rsidP="008B4ED7">
      <w:pPr>
        <w:keepNext/>
      </w:pPr>
    </w:p>
    <w:p w14:paraId="19E9EADD" w14:textId="77777777" w:rsidR="001D1E25" w:rsidRPr="00B5050F" w:rsidRDefault="001D1E25" w:rsidP="00C345B1">
      <w:pPr>
        <w:keepNext/>
        <w:tabs>
          <w:tab w:val="clear" w:pos="567"/>
        </w:tabs>
      </w:pPr>
      <w:r w:rsidRPr="00B5050F">
        <w:t>PC</w:t>
      </w:r>
    </w:p>
    <w:p w14:paraId="3DE3E90A" w14:textId="77777777" w:rsidR="001D1E25" w:rsidRPr="00B5050F" w:rsidRDefault="001D1E25" w:rsidP="00C345B1">
      <w:pPr>
        <w:keepNext/>
        <w:tabs>
          <w:tab w:val="clear" w:pos="567"/>
        </w:tabs>
      </w:pPr>
      <w:r w:rsidRPr="00B5050F">
        <w:t>SN</w:t>
      </w:r>
    </w:p>
    <w:p w14:paraId="6B700CC8" w14:textId="77777777" w:rsidR="001D1E25" w:rsidRDefault="001D1E25" w:rsidP="00C345B1">
      <w:pPr>
        <w:keepNext/>
        <w:rPr>
          <w:highlight w:val="lightGray"/>
        </w:rPr>
      </w:pPr>
      <w:r>
        <w:rPr>
          <w:highlight w:val="lightGray"/>
        </w:rPr>
        <w:t>NN</w:t>
      </w:r>
    </w:p>
    <w:p w14:paraId="5D16F4F9" w14:textId="77777777" w:rsidR="00C5731C" w:rsidRPr="00B5050F" w:rsidRDefault="007241CA" w:rsidP="007241CA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5050F">
        <w:br w:type="page"/>
      </w:r>
      <w:r w:rsidRPr="00B5050F">
        <w:rPr>
          <w:b/>
        </w:rPr>
        <w:lastRenderedPageBreak/>
        <w:t>INDICAÇÕES MÍNIMAS A INCLUIR EM PEQUENAS UNIDADES DE ACONDICIONAMENTO PRIMÁRIO</w:t>
      </w:r>
    </w:p>
    <w:p w14:paraId="54C0D4BD" w14:textId="77777777" w:rsidR="00C5731C" w:rsidRPr="00B5050F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4AE402A" w14:textId="217269D2" w:rsidR="00C5731C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highlight w:val="lightGray"/>
        </w:rPr>
      </w:pPr>
      <w:r w:rsidRPr="00B5050F">
        <w:rPr>
          <w:b/>
        </w:rPr>
        <w:t xml:space="preserve">RÓTULO </w:t>
      </w:r>
      <w:r w:rsidR="001865C8" w:rsidRPr="00B5050F">
        <w:rPr>
          <w:b/>
        </w:rPr>
        <w:t xml:space="preserve">PARA </w:t>
      </w:r>
      <w:r w:rsidRPr="00B5050F">
        <w:rPr>
          <w:b/>
        </w:rPr>
        <w:t>SERINGA PRÉ</w:t>
      </w:r>
      <w:r w:rsidRPr="00B5050F">
        <w:rPr>
          <w:b/>
        </w:rPr>
        <w:noBreakHyphen/>
        <w:t xml:space="preserve">CHEIA </w:t>
      </w:r>
      <w:r w:rsidR="001865C8" w:rsidRPr="00B5050F">
        <w:rPr>
          <w:b/>
        </w:rPr>
        <w:t>COM PROTEÇÃO DE SEGURANÇA</w:t>
      </w:r>
    </w:p>
    <w:p w14:paraId="2BE03525" w14:textId="77777777" w:rsidR="00C5731C" w:rsidRPr="00B5050F" w:rsidRDefault="00C5731C" w:rsidP="008B4ED7">
      <w:pPr>
        <w:keepNext/>
      </w:pPr>
    </w:p>
    <w:p w14:paraId="53639486" w14:textId="77777777" w:rsidR="00145F24" w:rsidRPr="00B5050F" w:rsidRDefault="00145F24" w:rsidP="008B4ED7">
      <w:pPr>
        <w:tabs>
          <w:tab w:val="clear" w:pos="567"/>
        </w:tabs>
      </w:pPr>
    </w:p>
    <w:p w14:paraId="2E45A87B" w14:textId="77777777" w:rsidR="00C5731C" w:rsidRPr="00B5050F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</w:rPr>
      </w:pPr>
      <w:r w:rsidRPr="00B5050F">
        <w:rPr>
          <w:b/>
        </w:rPr>
        <w:t>1.</w:t>
      </w:r>
      <w:r w:rsidRPr="00B5050F">
        <w:rPr>
          <w:b/>
        </w:rPr>
        <w:tab/>
        <w:t>NOME DO MEDICAMENTO E VIA(S) DE ADMINISTRAÇÃO</w:t>
      </w:r>
    </w:p>
    <w:p w14:paraId="415D3B51" w14:textId="77777777" w:rsidR="00C5731C" w:rsidRPr="00B5050F" w:rsidRDefault="00C5731C" w:rsidP="008B4ED7">
      <w:pPr>
        <w:keepNext/>
      </w:pPr>
    </w:p>
    <w:p w14:paraId="30B97AF4" w14:textId="3D52502A" w:rsidR="00C5731C" w:rsidRPr="00B5050F" w:rsidRDefault="001865C8" w:rsidP="00C345B1">
      <w:pPr>
        <w:keepNext/>
        <w:tabs>
          <w:tab w:val="clear" w:pos="567"/>
        </w:tabs>
      </w:pPr>
      <w:r w:rsidRPr="00B5050F">
        <w:rPr>
          <w:lang w:eastAsia="ko-KR"/>
        </w:rPr>
        <w:t>Stoboclo</w:t>
      </w:r>
      <w:r w:rsidR="00C5731C" w:rsidRPr="00B5050F">
        <w:t xml:space="preserve"> 60 mg injetável</w:t>
      </w:r>
    </w:p>
    <w:p w14:paraId="56AEA507" w14:textId="77777777" w:rsidR="00C5731C" w:rsidRPr="00B5050F" w:rsidRDefault="00C5731C" w:rsidP="00C345B1">
      <w:pPr>
        <w:keepNext/>
        <w:tabs>
          <w:tab w:val="clear" w:pos="567"/>
        </w:tabs>
      </w:pPr>
      <w:r w:rsidRPr="00B5050F">
        <w:t>denosumab</w:t>
      </w:r>
    </w:p>
    <w:p w14:paraId="04FDD4D7" w14:textId="77777777" w:rsidR="00C5731C" w:rsidRPr="00B5050F" w:rsidRDefault="00C5731C" w:rsidP="008B4ED7">
      <w:pPr>
        <w:tabs>
          <w:tab w:val="clear" w:pos="567"/>
        </w:tabs>
      </w:pPr>
      <w:r w:rsidRPr="00B5050F">
        <w:t>SC</w:t>
      </w:r>
    </w:p>
    <w:p w14:paraId="18DAE0AC" w14:textId="77777777" w:rsidR="00C5731C" w:rsidRPr="00B5050F" w:rsidRDefault="00C5731C" w:rsidP="008B4ED7">
      <w:pPr>
        <w:tabs>
          <w:tab w:val="clear" w:pos="567"/>
        </w:tabs>
      </w:pPr>
    </w:p>
    <w:p w14:paraId="1FE9F28A" w14:textId="77777777" w:rsidR="00C5731C" w:rsidRPr="00B5050F" w:rsidRDefault="00C5731C" w:rsidP="008B4ED7">
      <w:pPr>
        <w:tabs>
          <w:tab w:val="clear" w:pos="567"/>
        </w:tabs>
      </w:pPr>
    </w:p>
    <w:p w14:paraId="6D0A599E" w14:textId="77777777" w:rsidR="00C5731C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highlight w:val="lightGray"/>
        </w:rPr>
      </w:pPr>
      <w:r w:rsidRPr="00B5050F">
        <w:rPr>
          <w:b/>
        </w:rPr>
        <w:t>2.</w:t>
      </w:r>
      <w:r w:rsidRPr="00B5050F">
        <w:rPr>
          <w:b/>
        </w:rPr>
        <w:tab/>
        <w:t>MODO DE ADMINISTRAÇÃO</w:t>
      </w:r>
    </w:p>
    <w:p w14:paraId="411CF929" w14:textId="77777777" w:rsidR="00C5731C" w:rsidRPr="00B5050F" w:rsidRDefault="00C5731C" w:rsidP="008B4ED7">
      <w:pPr>
        <w:keepNext/>
      </w:pPr>
    </w:p>
    <w:p w14:paraId="0F8F6FFE" w14:textId="77777777" w:rsidR="00C5731C" w:rsidRPr="00B5050F" w:rsidRDefault="00C5731C" w:rsidP="008B4ED7">
      <w:pPr>
        <w:tabs>
          <w:tab w:val="clear" w:pos="567"/>
        </w:tabs>
      </w:pPr>
    </w:p>
    <w:p w14:paraId="0CC80B70" w14:textId="77777777" w:rsidR="00C5731C" w:rsidRDefault="00C5731C" w:rsidP="008B4ED7">
      <w:pPr>
        <w:pStyle w:val="lblhead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aps w:val="0"/>
          <w:noProof w:val="0"/>
          <w:highlight w:val="lightGray"/>
        </w:rPr>
      </w:pPr>
      <w:r w:rsidRPr="00B5050F">
        <w:rPr>
          <w:caps w:val="0"/>
          <w:noProof w:val="0"/>
        </w:rPr>
        <w:t>3.</w:t>
      </w:r>
      <w:r w:rsidRPr="00B5050F">
        <w:rPr>
          <w:caps w:val="0"/>
          <w:noProof w:val="0"/>
        </w:rPr>
        <w:tab/>
        <w:t>PRAZO DE VALIDADE</w:t>
      </w:r>
    </w:p>
    <w:p w14:paraId="716B88F3" w14:textId="77777777" w:rsidR="00C5731C" w:rsidRPr="00B5050F" w:rsidRDefault="00C5731C" w:rsidP="008B4ED7">
      <w:pPr>
        <w:keepNext/>
      </w:pPr>
    </w:p>
    <w:p w14:paraId="4571B422" w14:textId="77777777" w:rsidR="00C5731C" w:rsidRPr="00B5050F" w:rsidRDefault="00C5731C" w:rsidP="008B4ED7">
      <w:pPr>
        <w:tabs>
          <w:tab w:val="clear" w:pos="567"/>
        </w:tabs>
      </w:pPr>
      <w:r w:rsidRPr="00B5050F">
        <w:t>EXP</w:t>
      </w:r>
    </w:p>
    <w:p w14:paraId="36185EE2" w14:textId="77777777" w:rsidR="00C5731C" w:rsidRPr="00B5050F" w:rsidRDefault="00C5731C" w:rsidP="008B4ED7">
      <w:pPr>
        <w:tabs>
          <w:tab w:val="clear" w:pos="567"/>
        </w:tabs>
      </w:pPr>
    </w:p>
    <w:p w14:paraId="5FFCD878" w14:textId="77777777" w:rsidR="00C5731C" w:rsidRPr="00B5050F" w:rsidRDefault="00C5731C" w:rsidP="008B4ED7">
      <w:pPr>
        <w:tabs>
          <w:tab w:val="clear" w:pos="567"/>
        </w:tabs>
      </w:pPr>
    </w:p>
    <w:p w14:paraId="020961AB" w14:textId="77777777" w:rsidR="00C5731C" w:rsidRDefault="00C5731C" w:rsidP="008B4ED7">
      <w:pPr>
        <w:pStyle w:val="lblhead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aps w:val="0"/>
          <w:noProof w:val="0"/>
          <w:highlight w:val="lightGray"/>
        </w:rPr>
      </w:pPr>
      <w:r w:rsidRPr="00B5050F">
        <w:rPr>
          <w:caps w:val="0"/>
          <w:noProof w:val="0"/>
        </w:rPr>
        <w:t>4.</w:t>
      </w:r>
      <w:r w:rsidRPr="00B5050F">
        <w:rPr>
          <w:caps w:val="0"/>
          <w:noProof w:val="0"/>
        </w:rPr>
        <w:tab/>
        <w:t>NÚMERO DO LOTE</w:t>
      </w:r>
    </w:p>
    <w:p w14:paraId="3CF48A14" w14:textId="77777777" w:rsidR="00C5731C" w:rsidRPr="00B5050F" w:rsidRDefault="00C5731C" w:rsidP="008B4ED7">
      <w:pPr>
        <w:keepNext/>
      </w:pPr>
    </w:p>
    <w:p w14:paraId="0C61FA83" w14:textId="77777777" w:rsidR="00C5731C" w:rsidRPr="00B5050F" w:rsidRDefault="00C5731C" w:rsidP="008B4ED7">
      <w:pPr>
        <w:tabs>
          <w:tab w:val="clear" w:pos="567"/>
        </w:tabs>
      </w:pPr>
      <w:r w:rsidRPr="00B5050F">
        <w:t>Lot</w:t>
      </w:r>
    </w:p>
    <w:p w14:paraId="25D42485" w14:textId="77777777" w:rsidR="00C5731C" w:rsidRPr="00B5050F" w:rsidRDefault="00C5731C" w:rsidP="008B4ED7">
      <w:pPr>
        <w:tabs>
          <w:tab w:val="clear" w:pos="567"/>
        </w:tabs>
      </w:pPr>
    </w:p>
    <w:p w14:paraId="5689CD3E" w14:textId="77777777" w:rsidR="00C5731C" w:rsidRPr="00B5050F" w:rsidRDefault="00C5731C" w:rsidP="008B4ED7">
      <w:pPr>
        <w:tabs>
          <w:tab w:val="clear" w:pos="567"/>
        </w:tabs>
      </w:pPr>
    </w:p>
    <w:p w14:paraId="7F93B5EF" w14:textId="77777777" w:rsidR="00C5731C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highlight w:val="lightGray"/>
        </w:rPr>
      </w:pPr>
      <w:r w:rsidRPr="00B5050F">
        <w:rPr>
          <w:b/>
        </w:rPr>
        <w:t>5.</w:t>
      </w:r>
      <w:r w:rsidRPr="00B5050F">
        <w:rPr>
          <w:b/>
        </w:rPr>
        <w:tab/>
        <w:t>CONTEÚDO EM PESO, VOLUME OU UNIDADE</w:t>
      </w:r>
    </w:p>
    <w:p w14:paraId="60B7A009" w14:textId="77777777" w:rsidR="00C5731C" w:rsidRPr="00B5050F" w:rsidRDefault="00C5731C" w:rsidP="008B4ED7">
      <w:pPr>
        <w:keepNext/>
      </w:pPr>
    </w:p>
    <w:p w14:paraId="7F83702D" w14:textId="19DA41EA" w:rsidR="00C5731C" w:rsidRPr="00B5050F" w:rsidRDefault="001865C8" w:rsidP="00BF0C34">
      <w:pPr>
        <w:tabs>
          <w:tab w:val="clear" w:pos="567"/>
        </w:tabs>
      </w:pPr>
      <w:r w:rsidRPr="00B5050F">
        <w:rPr>
          <w:lang w:eastAsia="ko-KR"/>
        </w:rPr>
        <w:t>60 mg/1 ml</w:t>
      </w:r>
    </w:p>
    <w:p w14:paraId="707378AA" w14:textId="77777777" w:rsidR="00C5731C" w:rsidRPr="00B5050F" w:rsidRDefault="00C5731C" w:rsidP="008B4ED7">
      <w:pPr>
        <w:tabs>
          <w:tab w:val="clear" w:pos="567"/>
        </w:tabs>
      </w:pPr>
    </w:p>
    <w:p w14:paraId="18E8F797" w14:textId="77777777" w:rsidR="00C5731C" w:rsidRPr="00B5050F" w:rsidRDefault="00C5731C" w:rsidP="008B4ED7">
      <w:pPr>
        <w:tabs>
          <w:tab w:val="clear" w:pos="567"/>
        </w:tabs>
      </w:pPr>
    </w:p>
    <w:p w14:paraId="3C6F09A3" w14:textId="77777777" w:rsidR="00C5731C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highlight w:val="lightGray"/>
        </w:rPr>
      </w:pPr>
      <w:r w:rsidRPr="00B5050F">
        <w:rPr>
          <w:b/>
        </w:rPr>
        <w:t>6.</w:t>
      </w:r>
      <w:r w:rsidRPr="00B5050F">
        <w:rPr>
          <w:b/>
        </w:rPr>
        <w:tab/>
        <w:t>OUTROS</w:t>
      </w:r>
    </w:p>
    <w:p w14:paraId="0AD18B62" w14:textId="77777777" w:rsidR="00C5731C" w:rsidRPr="00B5050F" w:rsidRDefault="00C5731C" w:rsidP="008B4ED7">
      <w:pPr>
        <w:keepNext/>
      </w:pPr>
    </w:p>
    <w:p w14:paraId="23DCE7EC" w14:textId="77777777" w:rsidR="00D364A0" w:rsidRPr="00B5050F" w:rsidRDefault="00D364A0" w:rsidP="008B4ED7">
      <w:pPr>
        <w:tabs>
          <w:tab w:val="clear" w:pos="567"/>
        </w:tabs>
      </w:pPr>
    </w:p>
    <w:p w14:paraId="1F191FFB" w14:textId="77777777" w:rsidR="00C5731C" w:rsidRPr="00B5050F" w:rsidRDefault="007241CA" w:rsidP="0090737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5050F">
        <w:br w:type="page"/>
      </w:r>
      <w:r w:rsidRPr="00B5050F">
        <w:rPr>
          <w:b/>
        </w:rPr>
        <w:lastRenderedPageBreak/>
        <w:t>TEXTO DO CARTÃO LEMBRETE (incluído na embalagem)</w:t>
      </w:r>
    </w:p>
    <w:p w14:paraId="21ECADE4" w14:textId="77777777" w:rsidR="00C5731C" w:rsidRPr="00B5050F" w:rsidRDefault="00C5731C" w:rsidP="008B4ED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FD7B5CF" w14:textId="77777777" w:rsidR="00C5731C" w:rsidRPr="00B5050F" w:rsidRDefault="00C5731C" w:rsidP="008B4ED7">
      <w:pPr>
        <w:keepNext/>
      </w:pPr>
    </w:p>
    <w:p w14:paraId="61667F98" w14:textId="482A0225" w:rsidR="00C5731C" w:rsidRPr="00B5050F" w:rsidRDefault="00AB0375" w:rsidP="008B4ED7">
      <w:pPr>
        <w:tabs>
          <w:tab w:val="clear" w:pos="567"/>
        </w:tabs>
      </w:pPr>
      <w:r w:rsidRPr="00B5050F">
        <w:rPr>
          <w:lang w:eastAsia="ko-KR"/>
        </w:rPr>
        <w:t>Stoboclo</w:t>
      </w:r>
      <w:r w:rsidR="00C5731C" w:rsidRPr="00B5050F">
        <w:t xml:space="preserve"> 60 mg injetável</w:t>
      </w:r>
    </w:p>
    <w:p w14:paraId="3439C94E" w14:textId="77777777" w:rsidR="00C5731C" w:rsidRPr="00B5050F" w:rsidRDefault="00C5731C" w:rsidP="008B4ED7">
      <w:pPr>
        <w:tabs>
          <w:tab w:val="clear" w:pos="567"/>
        </w:tabs>
      </w:pPr>
      <w:r w:rsidRPr="00B5050F">
        <w:t>denosumab</w:t>
      </w:r>
    </w:p>
    <w:p w14:paraId="27EC7C12" w14:textId="77777777" w:rsidR="00C5731C" w:rsidRPr="00B5050F" w:rsidRDefault="00C5731C" w:rsidP="008B4ED7">
      <w:pPr>
        <w:tabs>
          <w:tab w:val="clear" w:pos="567"/>
        </w:tabs>
      </w:pPr>
    </w:p>
    <w:p w14:paraId="36608400" w14:textId="77777777" w:rsidR="00C5731C" w:rsidRPr="00B5050F" w:rsidRDefault="00C5731C" w:rsidP="008B4ED7">
      <w:pPr>
        <w:tabs>
          <w:tab w:val="clear" w:pos="567"/>
        </w:tabs>
      </w:pPr>
      <w:r w:rsidRPr="00B5050F">
        <w:t>SC</w:t>
      </w:r>
    </w:p>
    <w:p w14:paraId="2FB4B617" w14:textId="77777777" w:rsidR="00C5731C" w:rsidRPr="00B5050F" w:rsidRDefault="00C5731C" w:rsidP="008B4ED7">
      <w:pPr>
        <w:tabs>
          <w:tab w:val="clear" w:pos="567"/>
        </w:tabs>
      </w:pPr>
    </w:p>
    <w:p w14:paraId="42BA4BC6" w14:textId="77777777" w:rsidR="00C5731C" w:rsidRPr="00B5050F" w:rsidRDefault="00683F11" w:rsidP="008B4ED7">
      <w:pPr>
        <w:tabs>
          <w:tab w:val="clear" w:pos="567"/>
        </w:tabs>
      </w:pPr>
      <w:r w:rsidRPr="00B5050F">
        <w:t>Próxima injeção em 6 meses:</w:t>
      </w:r>
    </w:p>
    <w:p w14:paraId="7FF9C657" w14:textId="77777777" w:rsidR="00C5731C" w:rsidRPr="00B5050F" w:rsidRDefault="00C5731C" w:rsidP="008B4ED7">
      <w:pPr>
        <w:tabs>
          <w:tab w:val="clear" w:pos="567"/>
        </w:tabs>
      </w:pPr>
    </w:p>
    <w:p w14:paraId="2C3AE886" w14:textId="0EA11D43" w:rsidR="00F82CBC" w:rsidRPr="00B5050F" w:rsidRDefault="00F82CBC" w:rsidP="008B4ED7">
      <w:pPr>
        <w:tabs>
          <w:tab w:val="clear" w:pos="567"/>
        </w:tabs>
      </w:pPr>
      <w:r w:rsidRPr="00B5050F">
        <w:t xml:space="preserve">Utilize </w:t>
      </w:r>
      <w:r w:rsidR="00AB0375" w:rsidRPr="00B5050F">
        <w:rPr>
          <w:lang w:eastAsia="ko-KR"/>
        </w:rPr>
        <w:t>Stoboclo</w:t>
      </w:r>
      <w:r w:rsidRPr="00B5050F">
        <w:t xml:space="preserve"> durante o período de tempo prescrito pelo seu médico</w:t>
      </w:r>
    </w:p>
    <w:p w14:paraId="6AF72C53" w14:textId="77777777" w:rsidR="00F82CBC" w:rsidRPr="00B5050F" w:rsidRDefault="00F82CBC" w:rsidP="008B4ED7">
      <w:pPr>
        <w:tabs>
          <w:tab w:val="clear" w:pos="567"/>
        </w:tabs>
      </w:pPr>
    </w:p>
    <w:p w14:paraId="276C6F94" w14:textId="55EC4252" w:rsidR="00C5731C" w:rsidRPr="00340F20" w:rsidRDefault="00AB0375" w:rsidP="008B4ED7">
      <w:pPr>
        <w:tabs>
          <w:tab w:val="clear" w:pos="567"/>
        </w:tabs>
        <w:rPr>
          <w:lang w:val="en-US"/>
        </w:rPr>
      </w:pPr>
      <w:r w:rsidRPr="00340F20">
        <w:rPr>
          <w:lang w:val="en-US" w:eastAsia="ko-KR"/>
        </w:rPr>
        <w:t xml:space="preserve">Celltrion Healthcare Hungary Kft. </w:t>
      </w:r>
    </w:p>
    <w:p w14:paraId="06014B53" w14:textId="77777777" w:rsidR="00C5731C" w:rsidRPr="00340F20" w:rsidRDefault="00C5731C" w:rsidP="008B4ED7">
      <w:pPr>
        <w:tabs>
          <w:tab w:val="clear" w:pos="567"/>
        </w:tabs>
        <w:rPr>
          <w:lang w:val="en-US"/>
        </w:rPr>
      </w:pPr>
    </w:p>
    <w:p w14:paraId="7AB3585C" w14:textId="77777777" w:rsidR="00C5731C" w:rsidRPr="00340F20" w:rsidRDefault="00C5731C" w:rsidP="008B4ED7">
      <w:pPr>
        <w:tabs>
          <w:tab w:val="clear" w:pos="567"/>
        </w:tabs>
        <w:rPr>
          <w:lang w:val="en-US"/>
        </w:rPr>
      </w:pPr>
    </w:p>
    <w:p w14:paraId="4D51BDE1" w14:textId="77777777" w:rsidR="00C5731C" w:rsidRPr="00340F20" w:rsidRDefault="00C5731C" w:rsidP="008B4ED7">
      <w:pPr>
        <w:tabs>
          <w:tab w:val="clear" w:pos="567"/>
        </w:tabs>
        <w:rPr>
          <w:lang w:val="en-US"/>
        </w:rPr>
      </w:pPr>
    </w:p>
    <w:p w14:paraId="53EE2F56" w14:textId="77777777" w:rsidR="008011D6" w:rsidRPr="00340F20" w:rsidRDefault="00C5731C" w:rsidP="008B4ED7">
      <w:pPr>
        <w:jc w:val="center"/>
        <w:rPr>
          <w:lang w:val="en-US"/>
        </w:rPr>
      </w:pPr>
      <w:r w:rsidRPr="00340F20">
        <w:rPr>
          <w:lang w:val="en-US"/>
        </w:rPr>
        <w:br w:type="page"/>
      </w:r>
    </w:p>
    <w:p w14:paraId="739AE4D5" w14:textId="77777777" w:rsidR="008011D6" w:rsidRPr="00340F20" w:rsidRDefault="008011D6" w:rsidP="008B4ED7">
      <w:pPr>
        <w:jc w:val="center"/>
        <w:rPr>
          <w:lang w:val="en-US"/>
        </w:rPr>
      </w:pPr>
    </w:p>
    <w:p w14:paraId="1849C37B" w14:textId="77777777" w:rsidR="008011D6" w:rsidRPr="00340F20" w:rsidRDefault="008011D6" w:rsidP="008B4ED7">
      <w:pPr>
        <w:jc w:val="center"/>
        <w:rPr>
          <w:lang w:val="en-US"/>
        </w:rPr>
      </w:pPr>
    </w:p>
    <w:p w14:paraId="60DD0226" w14:textId="77777777" w:rsidR="008011D6" w:rsidRPr="00340F20" w:rsidRDefault="008011D6" w:rsidP="008B4ED7">
      <w:pPr>
        <w:jc w:val="center"/>
        <w:rPr>
          <w:lang w:val="en-US"/>
        </w:rPr>
      </w:pPr>
    </w:p>
    <w:p w14:paraId="19A85C0D" w14:textId="77777777" w:rsidR="008011D6" w:rsidRPr="00340F20" w:rsidRDefault="008011D6" w:rsidP="008B4ED7">
      <w:pPr>
        <w:jc w:val="center"/>
        <w:rPr>
          <w:lang w:val="en-US"/>
        </w:rPr>
      </w:pPr>
    </w:p>
    <w:p w14:paraId="6AE015F1" w14:textId="77777777" w:rsidR="008011D6" w:rsidRPr="00340F20" w:rsidRDefault="008011D6" w:rsidP="008B4ED7">
      <w:pPr>
        <w:jc w:val="center"/>
        <w:rPr>
          <w:lang w:val="en-US"/>
        </w:rPr>
      </w:pPr>
    </w:p>
    <w:p w14:paraId="31B6B9BC" w14:textId="77777777" w:rsidR="008011D6" w:rsidRPr="00340F20" w:rsidRDefault="008011D6" w:rsidP="008B4ED7">
      <w:pPr>
        <w:jc w:val="center"/>
        <w:rPr>
          <w:lang w:val="en-US"/>
        </w:rPr>
      </w:pPr>
    </w:p>
    <w:p w14:paraId="4A002C73" w14:textId="77777777" w:rsidR="008011D6" w:rsidRPr="00340F20" w:rsidRDefault="008011D6" w:rsidP="008B4ED7">
      <w:pPr>
        <w:jc w:val="center"/>
        <w:rPr>
          <w:lang w:val="en-US"/>
        </w:rPr>
      </w:pPr>
    </w:p>
    <w:p w14:paraId="03B618BD" w14:textId="77777777" w:rsidR="008011D6" w:rsidRPr="00340F20" w:rsidRDefault="008011D6" w:rsidP="008B4ED7">
      <w:pPr>
        <w:jc w:val="center"/>
        <w:rPr>
          <w:lang w:val="en-US"/>
        </w:rPr>
      </w:pPr>
    </w:p>
    <w:p w14:paraId="7BDFBFC8" w14:textId="77777777" w:rsidR="008011D6" w:rsidRPr="00340F20" w:rsidRDefault="008011D6" w:rsidP="008B4ED7">
      <w:pPr>
        <w:jc w:val="center"/>
        <w:rPr>
          <w:lang w:val="en-US"/>
        </w:rPr>
      </w:pPr>
    </w:p>
    <w:p w14:paraId="51CD538A" w14:textId="77777777" w:rsidR="008011D6" w:rsidRPr="00340F20" w:rsidRDefault="008011D6" w:rsidP="008B4ED7">
      <w:pPr>
        <w:jc w:val="center"/>
        <w:rPr>
          <w:lang w:val="en-US"/>
        </w:rPr>
      </w:pPr>
    </w:p>
    <w:p w14:paraId="4D0AC6F3" w14:textId="77777777" w:rsidR="008011D6" w:rsidRPr="00340F20" w:rsidRDefault="008011D6" w:rsidP="008B4ED7">
      <w:pPr>
        <w:jc w:val="center"/>
        <w:rPr>
          <w:lang w:val="en-US"/>
        </w:rPr>
      </w:pPr>
    </w:p>
    <w:p w14:paraId="317F2EBF" w14:textId="77777777" w:rsidR="008011D6" w:rsidRPr="00340F20" w:rsidRDefault="008011D6" w:rsidP="008B4ED7">
      <w:pPr>
        <w:jc w:val="center"/>
        <w:rPr>
          <w:lang w:val="en-US"/>
        </w:rPr>
      </w:pPr>
    </w:p>
    <w:p w14:paraId="77312063" w14:textId="77777777" w:rsidR="008011D6" w:rsidRPr="00340F20" w:rsidRDefault="008011D6" w:rsidP="008B4ED7">
      <w:pPr>
        <w:jc w:val="center"/>
        <w:rPr>
          <w:lang w:val="en-US"/>
        </w:rPr>
      </w:pPr>
    </w:p>
    <w:p w14:paraId="32B46F5A" w14:textId="77777777" w:rsidR="008011D6" w:rsidRPr="00340F20" w:rsidRDefault="008011D6" w:rsidP="008B4ED7">
      <w:pPr>
        <w:jc w:val="center"/>
        <w:rPr>
          <w:lang w:val="en-US"/>
        </w:rPr>
      </w:pPr>
    </w:p>
    <w:p w14:paraId="4F208D10" w14:textId="77777777" w:rsidR="008011D6" w:rsidRPr="00340F20" w:rsidRDefault="008011D6" w:rsidP="008B4ED7">
      <w:pPr>
        <w:jc w:val="center"/>
        <w:rPr>
          <w:lang w:val="en-US"/>
        </w:rPr>
      </w:pPr>
    </w:p>
    <w:p w14:paraId="2ED06F96" w14:textId="77777777" w:rsidR="008011D6" w:rsidRPr="00340F20" w:rsidRDefault="008011D6" w:rsidP="008B4ED7">
      <w:pPr>
        <w:jc w:val="center"/>
        <w:rPr>
          <w:lang w:val="en-US"/>
        </w:rPr>
      </w:pPr>
    </w:p>
    <w:p w14:paraId="0D559FFE" w14:textId="77777777" w:rsidR="008011D6" w:rsidRPr="00340F20" w:rsidRDefault="008011D6" w:rsidP="008B4ED7">
      <w:pPr>
        <w:jc w:val="center"/>
        <w:rPr>
          <w:lang w:val="en-US"/>
        </w:rPr>
      </w:pPr>
    </w:p>
    <w:p w14:paraId="28E7863A" w14:textId="77777777" w:rsidR="008011D6" w:rsidRPr="00340F20" w:rsidRDefault="008011D6" w:rsidP="008B4ED7">
      <w:pPr>
        <w:jc w:val="center"/>
        <w:rPr>
          <w:lang w:val="en-US"/>
        </w:rPr>
      </w:pPr>
    </w:p>
    <w:p w14:paraId="55152653" w14:textId="77777777" w:rsidR="008011D6" w:rsidRPr="00340F20" w:rsidRDefault="008011D6" w:rsidP="008B4ED7">
      <w:pPr>
        <w:jc w:val="center"/>
        <w:rPr>
          <w:lang w:val="en-US"/>
        </w:rPr>
      </w:pPr>
    </w:p>
    <w:p w14:paraId="276C3464" w14:textId="77777777" w:rsidR="008011D6" w:rsidRPr="00340F20" w:rsidRDefault="008011D6" w:rsidP="008B4ED7">
      <w:pPr>
        <w:jc w:val="center"/>
        <w:rPr>
          <w:lang w:val="en-US"/>
        </w:rPr>
      </w:pPr>
    </w:p>
    <w:p w14:paraId="7D22ABED" w14:textId="77777777" w:rsidR="008011D6" w:rsidRPr="00340F20" w:rsidRDefault="008011D6" w:rsidP="008B4ED7">
      <w:pPr>
        <w:jc w:val="center"/>
        <w:rPr>
          <w:lang w:val="en-US"/>
        </w:rPr>
      </w:pPr>
    </w:p>
    <w:p w14:paraId="362AADDE" w14:textId="77777777" w:rsidR="008011D6" w:rsidRPr="00340F20" w:rsidRDefault="008011D6" w:rsidP="008B4ED7">
      <w:pPr>
        <w:jc w:val="center"/>
        <w:rPr>
          <w:lang w:val="en-US"/>
        </w:rPr>
      </w:pPr>
    </w:p>
    <w:p w14:paraId="1E5CE069" w14:textId="77777777" w:rsidR="008011D6" w:rsidRPr="00340F20" w:rsidRDefault="008011D6" w:rsidP="00BF5188">
      <w:pPr>
        <w:pStyle w:val="TitleA"/>
        <w:rPr>
          <w:lang w:val="en-US"/>
        </w:rPr>
      </w:pPr>
      <w:r w:rsidRPr="00340F20">
        <w:rPr>
          <w:lang w:val="en-US"/>
        </w:rPr>
        <w:t>B. FOLHETO INFORMATIVO</w:t>
      </w:r>
    </w:p>
    <w:p w14:paraId="6C19EFE9" w14:textId="77777777" w:rsidR="00382BC2" w:rsidRPr="00B5050F" w:rsidRDefault="00F51F12" w:rsidP="00F51F12">
      <w:pPr>
        <w:tabs>
          <w:tab w:val="clear" w:pos="567"/>
        </w:tabs>
        <w:jc w:val="center"/>
        <w:rPr>
          <w:b/>
          <w:bCs/>
        </w:rPr>
      </w:pPr>
      <w:r w:rsidRPr="00340F20">
        <w:br w:type="page"/>
      </w:r>
      <w:r w:rsidRPr="00B5050F">
        <w:rPr>
          <w:b/>
        </w:rPr>
        <w:lastRenderedPageBreak/>
        <w:t>Folheto informativo: Informação para o utilizador</w:t>
      </w:r>
    </w:p>
    <w:p w14:paraId="3A15C0B2" w14:textId="77777777" w:rsidR="00382BC2" w:rsidRPr="00B5050F" w:rsidRDefault="00382BC2" w:rsidP="00F51F12">
      <w:pPr>
        <w:jc w:val="center"/>
      </w:pPr>
    </w:p>
    <w:p w14:paraId="6F8E3AA9" w14:textId="63B9195B" w:rsidR="00382BC2" w:rsidRPr="00B5050F" w:rsidRDefault="006F6CE9" w:rsidP="00F51F12">
      <w:pPr>
        <w:tabs>
          <w:tab w:val="clear" w:pos="567"/>
        </w:tabs>
        <w:jc w:val="center"/>
        <w:rPr>
          <w:b/>
          <w:bCs/>
        </w:rPr>
      </w:pPr>
      <w:r w:rsidRPr="00B5050F">
        <w:rPr>
          <w:b/>
          <w:bCs/>
        </w:rPr>
        <w:t>Stoboclo</w:t>
      </w:r>
      <w:r w:rsidR="00382BC2" w:rsidRPr="00B5050F">
        <w:rPr>
          <w:b/>
        </w:rPr>
        <w:t xml:space="preserve"> 60 mg solução injetável em seringa pré</w:t>
      </w:r>
      <w:r w:rsidR="00382BC2" w:rsidRPr="00B5050F">
        <w:rPr>
          <w:b/>
        </w:rPr>
        <w:noBreakHyphen/>
        <w:t>cheia</w:t>
      </w:r>
    </w:p>
    <w:p w14:paraId="3E6D68F8" w14:textId="77777777" w:rsidR="00382BC2" w:rsidRPr="00B5050F" w:rsidRDefault="00382BC2" w:rsidP="00F51F12">
      <w:pPr>
        <w:jc w:val="center"/>
      </w:pPr>
      <w:r w:rsidRPr="00B5050F">
        <w:t>denosumab</w:t>
      </w:r>
    </w:p>
    <w:p w14:paraId="0660CA70" w14:textId="77777777" w:rsidR="00382BC2" w:rsidRPr="00B5050F" w:rsidRDefault="00382BC2" w:rsidP="00F51F12">
      <w:pPr>
        <w:jc w:val="center"/>
      </w:pPr>
    </w:p>
    <w:p w14:paraId="4A42E415" w14:textId="3ECD2523" w:rsidR="00D63A34" w:rsidRDefault="0077602B">
      <w:r>
        <w:rPr>
          <w:noProof/>
          <w:lang w:eastAsia="pt-PT"/>
        </w:rPr>
        <w:drawing>
          <wp:inline distT="0" distB="0" distL="0" distR="0" wp14:anchorId="2F450E07" wp14:editId="2F85E5C9">
            <wp:extent cx="203200" cy="165100"/>
            <wp:effectExtent l="0" t="0" r="0" b="0"/>
            <wp:docPr id="2" name="Imagem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6CE9" w:rsidRPr="00B5050F">
        <w:t>Este medicamento está sujeito a monitorização adicional. Isto irá permitir a rápida identificação de nova informação de segurança. Poderá ajudar, comunicando quaisquer efeitos indesejáveis que tenha. Para saber como comunicar efeitos indesejáveis, veja o final da secção</w:t>
      </w:r>
      <w:r w:rsidR="008D1E90">
        <w:t> </w:t>
      </w:r>
      <w:r w:rsidR="006F6CE9" w:rsidRPr="00B5050F">
        <w:t>4.</w:t>
      </w:r>
    </w:p>
    <w:p w14:paraId="0334D8B8" w14:textId="77777777" w:rsidR="00D63A34" w:rsidRDefault="00D63A34"/>
    <w:p w14:paraId="1D6AAB37" w14:textId="77777777" w:rsidR="00382BC2" w:rsidRPr="00B5050F" w:rsidRDefault="00382BC2" w:rsidP="00F51F12">
      <w:pPr>
        <w:keepNext/>
        <w:rPr>
          <w:b/>
          <w:bCs/>
        </w:rPr>
      </w:pPr>
      <w:r w:rsidRPr="00B5050F">
        <w:rPr>
          <w:b/>
        </w:rPr>
        <w:t>Leia com atenção este folheto antes de começar a utilizar este medicamento, pois contém informação importante para si.</w:t>
      </w:r>
    </w:p>
    <w:p w14:paraId="20372272" w14:textId="77777777" w:rsidR="00382BC2" w:rsidRPr="00B5050F" w:rsidRDefault="00382BC2" w:rsidP="00F51F12">
      <w:pPr>
        <w:numPr>
          <w:ilvl w:val="0"/>
          <w:numId w:val="56"/>
        </w:numPr>
        <w:ind w:left="567" w:hanging="567"/>
      </w:pPr>
      <w:r w:rsidRPr="00B5050F">
        <w:t>Conserve este folheto. Pode ter necessidade de o ler novamente.</w:t>
      </w:r>
    </w:p>
    <w:p w14:paraId="7E312223" w14:textId="77777777" w:rsidR="00382BC2" w:rsidRPr="00B5050F" w:rsidRDefault="00382BC2" w:rsidP="00F51F12">
      <w:pPr>
        <w:numPr>
          <w:ilvl w:val="0"/>
          <w:numId w:val="56"/>
        </w:numPr>
        <w:ind w:left="567" w:hanging="567"/>
      </w:pPr>
      <w:r w:rsidRPr="00B5050F">
        <w:t>Caso ainda tenha dúvidas, fale com o seu médico ou farmacêutico.</w:t>
      </w:r>
    </w:p>
    <w:p w14:paraId="3DF797CB" w14:textId="77777777" w:rsidR="00382BC2" w:rsidRPr="00B5050F" w:rsidRDefault="00382BC2" w:rsidP="00F51F12">
      <w:pPr>
        <w:numPr>
          <w:ilvl w:val="0"/>
          <w:numId w:val="56"/>
        </w:numPr>
        <w:ind w:left="567" w:hanging="567"/>
      </w:pPr>
      <w:r w:rsidRPr="00B5050F">
        <w:t>Este medicamento foi receitado apenas para si. Não deve dá</w:t>
      </w:r>
      <w:r w:rsidRPr="00B5050F">
        <w:noBreakHyphen/>
        <w:t>lo a outros. O medicamento pode ser</w:t>
      </w:r>
      <w:r w:rsidRPr="00B5050F">
        <w:noBreakHyphen/>
        <w:t>lhes prejudicial mesmo que apresentem os mesmos sinais de doença.</w:t>
      </w:r>
    </w:p>
    <w:p w14:paraId="5E8722FB" w14:textId="77777777" w:rsidR="0018450B" w:rsidRPr="00B5050F" w:rsidRDefault="00382BC2" w:rsidP="00F51F12">
      <w:pPr>
        <w:numPr>
          <w:ilvl w:val="0"/>
          <w:numId w:val="56"/>
        </w:numPr>
        <w:ind w:left="567" w:hanging="567"/>
      </w:pPr>
      <w:r w:rsidRPr="00B5050F">
        <w:t>Se tiver quaisquer efeitos indesejáveis, incluindo possíveis efeitos indesejáveis não indicados neste folheto, fale com o seu médico ou farmacêutico. Ver secção 4.</w:t>
      </w:r>
    </w:p>
    <w:p w14:paraId="0155E808" w14:textId="4F0EA288" w:rsidR="0018450B" w:rsidRPr="00B5050F" w:rsidRDefault="00427567" w:rsidP="00F51F12">
      <w:pPr>
        <w:numPr>
          <w:ilvl w:val="0"/>
          <w:numId w:val="56"/>
        </w:numPr>
        <w:ind w:left="567" w:hanging="567"/>
      </w:pPr>
      <w:r w:rsidRPr="00B5050F">
        <w:t>O seu médico vai dar</w:t>
      </w:r>
      <w:r w:rsidRPr="00B5050F">
        <w:noBreakHyphen/>
        <w:t xml:space="preserve">lhe um cartão lembrete que contém informações de segurança importantes que você deverá saber antes e durante o seu tratamento com </w:t>
      </w:r>
      <w:r w:rsidR="00EC1FA2" w:rsidRPr="00B5050F">
        <w:t>Stoboclo</w:t>
      </w:r>
      <w:r w:rsidRPr="00B5050F">
        <w:t>.</w:t>
      </w:r>
    </w:p>
    <w:p w14:paraId="57B31D26" w14:textId="77777777" w:rsidR="00382BC2" w:rsidRPr="00B5050F" w:rsidRDefault="00382BC2" w:rsidP="00F51F12"/>
    <w:p w14:paraId="0D721506" w14:textId="77777777" w:rsidR="00382BC2" w:rsidRPr="00B5050F" w:rsidRDefault="00382BC2" w:rsidP="00F51F12">
      <w:pPr>
        <w:keepNext/>
        <w:rPr>
          <w:b/>
          <w:bCs/>
        </w:rPr>
      </w:pPr>
      <w:r w:rsidRPr="00B5050F">
        <w:rPr>
          <w:b/>
        </w:rPr>
        <w:t>O que contém este folheto:</w:t>
      </w:r>
    </w:p>
    <w:p w14:paraId="6C9D3A6E" w14:textId="7F7E1983" w:rsidR="00382BC2" w:rsidRPr="00B5050F" w:rsidRDefault="00382BC2" w:rsidP="00F51F12">
      <w:pPr>
        <w:numPr>
          <w:ilvl w:val="0"/>
          <w:numId w:val="42"/>
        </w:numPr>
        <w:ind w:left="567" w:hanging="567"/>
      </w:pPr>
      <w:r w:rsidRPr="00B5050F">
        <w:t xml:space="preserve">O que é </w:t>
      </w:r>
      <w:r w:rsidR="00EC1FA2" w:rsidRPr="00B5050F">
        <w:t>Stoboclo</w:t>
      </w:r>
      <w:r w:rsidRPr="00B5050F">
        <w:t xml:space="preserve"> e para que é utilizado</w:t>
      </w:r>
    </w:p>
    <w:p w14:paraId="66D77117" w14:textId="23A5BC30" w:rsidR="00382BC2" w:rsidRPr="00B5050F" w:rsidRDefault="00382BC2" w:rsidP="00F51F12">
      <w:pPr>
        <w:numPr>
          <w:ilvl w:val="0"/>
          <w:numId w:val="42"/>
        </w:numPr>
        <w:ind w:left="567" w:hanging="567"/>
      </w:pPr>
      <w:r w:rsidRPr="00B5050F">
        <w:t xml:space="preserve">O que precisa de saber antes de utilizar </w:t>
      </w:r>
      <w:r w:rsidR="00EC1FA2" w:rsidRPr="00B5050F">
        <w:t>Stoboclo</w:t>
      </w:r>
    </w:p>
    <w:p w14:paraId="721A652E" w14:textId="2831522F" w:rsidR="00382BC2" w:rsidRPr="00B5050F" w:rsidRDefault="00382BC2" w:rsidP="00F51F12">
      <w:pPr>
        <w:numPr>
          <w:ilvl w:val="0"/>
          <w:numId w:val="42"/>
        </w:numPr>
        <w:ind w:left="567" w:hanging="567"/>
      </w:pPr>
      <w:r w:rsidRPr="00B5050F">
        <w:t xml:space="preserve">Como utilizar </w:t>
      </w:r>
      <w:r w:rsidR="00EC1FA2" w:rsidRPr="00B5050F">
        <w:t>Stoboclo</w:t>
      </w:r>
    </w:p>
    <w:p w14:paraId="79A89024" w14:textId="77777777" w:rsidR="00382BC2" w:rsidRPr="00B5050F" w:rsidRDefault="00382BC2" w:rsidP="00F51F12">
      <w:pPr>
        <w:numPr>
          <w:ilvl w:val="0"/>
          <w:numId w:val="42"/>
        </w:numPr>
        <w:ind w:left="567" w:hanging="567"/>
      </w:pPr>
      <w:r w:rsidRPr="00B5050F">
        <w:t>Efeitos indesejáveis possíveis</w:t>
      </w:r>
    </w:p>
    <w:p w14:paraId="52AEADC9" w14:textId="072A9943" w:rsidR="00382BC2" w:rsidRPr="00B5050F" w:rsidRDefault="00382BC2" w:rsidP="00F51F12">
      <w:pPr>
        <w:numPr>
          <w:ilvl w:val="0"/>
          <w:numId w:val="42"/>
        </w:numPr>
        <w:ind w:left="567" w:hanging="567"/>
      </w:pPr>
      <w:r w:rsidRPr="00B5050F">
        <w:t xml:space="preserve">Como conservar </w:t>
      </w:r>
      <w:r w:rsidR="00EC1FA2" w:rsidRPr="00B5050F">
        <w:t>Stoboclo</w:t>
      </w:r>
    </w:p>
    <w:p w14:paraId="124DE9D7" w14:textId="77777777" w:rsidR="00382BC2" w:rsidRPr="00B5050F" w:rsidRDefault="00382BC2" w:rsidP="00F51F12">
      <w:pPr>
        <w:numPr>
          <w:ilvl w:val="0"/>
          <w:numId w:val="42"/>
        </w:numPr>
        <w:ind w:left="567" w:hanging="567"/>
      </w:pPr>
      <w:r w:rsidRPr="00B5050F">
        <w:t>Conteúdo da embalagem e outras informações</w:t>
      </w:r>
    </w:p>
    <w:p w14:paraId="52108D35" w14:textId="77777777" w:rsidR="00382BC2" w:rsidRPr="00B5050F" w:rsidRDefault="00382BC2" w:rsidP="008B4ED7">
      <w:pPr>
        <w:numPr>
          <w:ilvl w:val="12"/>
          <w:numId w:val="0"/>
        </w:numPr>
      </w:pPr>
    </w:p>
    <w:p w14:paraId="60061B9E" w14:textId="77777777" w:rsidR="00513F9D" w:rsidRPr="00B5050F" w:rsidRDefault="00513F9D" w:rsidP="008B4ED7">
      <w:pPr>
        <w:numPr>
          <w:ilvl w:val="12"/>
          <w:numId w:val="0"/>
        </w:numPr>
      </w:pPr>
    </w:p>
    <w:p w14:paraId="655E75C8" w14:textId="08465E0F" w:rsidR="00382BC2" w:rsidRPr="00B5050F" w:rsidRDefault="00556CD9" w:rsidP="008B4ED7">
      <w:pPr>
        <w:keepNext/>
        <w:tabs>
          <w:tab w:val="clear" w:pos="567"/>
        </w:tabs>
        <w:ind w:left="567" w:hanging="567"/>
        <w:rPr>
          <w:b/>
        </w:rPr>
      </w:pPr>
      <w:r w:rsidRPr="00B5050F">
        <w:rPr>
          <w:b/>
        </w:rPr>
        <w:t>1.</w:t>
      </w:r>
      <w:r w:rsidRPr="00B5050F">
        <w:rPr>
          <w:b/>
        </w:rPr>
        <w:tab/>
        <w:t xml:space="preserve">O que é </w:t>
      </w:r>
      <w:r w:rsidR="00EC1FA2" w:rsidRPr="00AC7A92">
        <w:rPr>
          <w:b/>
        </w:rPr>
        <w:t>Stoboclo</w:t>
      </w:r>
      <w:r w:rsidRPr="00AC7A92">
        <w:rPr>
          <w:b/>
        </w:rPr>
        <w:t xml:space="preserve"> </w:t>
      </w:r>
      <w:r w:rsidRPr="00B5050F">
        <w:rPr>
          <w:b/>
        </w:rPr>
        <w:t>e para que é utilizado</w:t>
      </w:r>
    </w:p>
    <w:p w14:paraId="73D95D62" w14:textId="77777777" w:rsidR="00382BC2" w:rsidRPr="00B5050F" w:rsidRDefault="00382BC2" w:rsidP="008B4ED7">
      <w:pPr>
        <w:keepNext/>
      </w:pPr>
    </w:p>
    <w:p w14:paraId="74E06FBC" w14:textId="0E931A34" w:rsidR="00382BC2" w:rsidRPr="00B5050F" w:rsidRDefault="00382BC2" w:rsidP="00F51F12">
      <w:pPr>
        <w:keepNext/>
        <w:rPr>
          <w:b/>
          <w:bCs/>
        </w:rPr>
      </w:pPr>
      <w:r w:rsidRPr="00B5050F">
        <w:rPr>
          <w:b/>
        </w:rPr>
        <w:t xml:space="preserve">O que é </w:t>
      </w:r>
      <w:r w:rsidR="00EC1FA2" w:rsidRPr="00AC7A92">
        <w:rPr>
          <w:b/>
        </w:rPr>
        <w:t>Stoboclo</w:t>
      </w:r>
      <w:r w:rsidRPr="00B5050F">
        <w:rPr>
          <w:b/>
        </w:rPr>
        <w:t xml:space="preserve"> e como funciona</w:t>
      </w:r>
    </w:p>
    <w:p w14:paraId="612B784E" w14:textId="77777777" w:rsidR="00382BC2" w:rsidRPr="00B5050F" w:rsidRDefault="00382BC2" w:rsidP="008B4ED7">
      <w:pPr>
        <w:keepNext/>
      </w:pPr>
    </w:p>
    <w:p w14:paraId="5BB32FA9" w14:textId="6D3A2018" w:rsidR="008603DE" w:rsidRPr="00B5050F" w:rsidRDefault="00EC1FA2" w:rsidP="008B4ED7">
      <w:pPr>
        <w:tabs>
          <w:tab w:val="clear" w:pos="567"/>
        </w:tabs>
      </w:pPr>
      <w:r w:rsidRPr="00B5050F">
        <w:t>Stoboclo</w:t>
      </w:r>
      <w:r w:rsidR="00382BC2" w:rsidRPr="00B5050F">
        <w:t xml:space="preserve"> contém denosumab, uma proteína (anticorpo monoclonal) que interfere com a ação de outra proteína, de modo a tratar a perda óssea e a osteoporose. O tratamento com </w:t>
      </w:r>
      <w:r w:rsidRPr="00B5050F">
        <w:t>Stoboclo</w:t>
      </w:r>
      <w:r w:rsidR="00382BC2" w:rsidRPr="00B5050F">
        <w:t xml:space="preserve"> torna o osso mais forte e com menor probabilidade de partir.</w:t>
      </w:r>
    </w:p>
    <w:p w14:paraId="043852BF" w14:textId="77777777" w:rsidR="00382BC2" w:rsidRPr="00B5050F" w:rsidRDefault="00382BC2" w:rsidP="008B4ED7">
      <w:pPr>
        <w:tabs>
          <w:tab w:val="clear" w:pos="567"/>
        </w:tabs>
      </w:pPr>
    </w:p>
    <w:p w14:paraId="7FCB0F86" w14:textId="77777777" w:rsidR="00382BC2" w:rsidRPr="00B5050F" w:rsidRDefault="00382BC2" w:rsidP="008B4ED7">
      <w:pPr>
        <w:tabs>
          <w:tab w:val="clear" w:pos="567"/>
        </w:tabs>
      </w:pPr>
      <w:r w:rsidRPr="00B5050F">
        <w:t>O osso é um tecido vivo e está sempre a ser renovado. Os estrogénios ajudam a manter os ossos saudáveis. Depois da menopausa, os níveis de estrogénios diminuem o que pode fazer com que os ossos se tornem finos e frágeis. Isto pode levar eventualmente a uma doença chamada osteoporose. A osteoporose também pode ocorrer em homens devido a uma série de causas, incluindo o envelhecimento e/ou um nível baixo da hormona masculina testosterona. Também pode ocorrer em doentes que estejam a receber glucocorticoides. Muitos doentes com osteoporose não têm sintomas mas continuam a estar em risco de partir ossos, especialmente os da coluna, anca e punhos.</w:t>
      </w:r>
    </w:p>
    <w:p w14:paraId="2C1F72FB" w14:textId="77777777" w:rsidR="00382BC2" w:rsidRPr="00B5050F" w:rsidRDefault="00382BC2" w:rsidP="008B4ED7">
      <w:pPr>
        <w:tabs>
          <w:tab w:val="clear" w:pos="567"/>
        </w:tabs>
      </w:pPr>
    </w:p>
    <w:p w14:paraId="4D8ABEDB" w14:textId="77777777" w:rsidR="0083571E" w:rsidRPr="00B5050F" w:rsidRDefault="00382BC2" w:rsidP="008B4ED7">
      <w:pPr>
        <w:tabs>
          <w:tab w:val="clear" w:pos="567"/>
        </w:tabs>
      </w:pPr>
      <w:r w:rsidRPr="00B5050F">
        <w:t>A cirurgia ou os medicamentos que impedem a produção de estrogénios ou de testosterona utilizados para tratar doentes com cancro da mama ou da próstata também podem levar a perda óssea. Os ossos tornam</w:t>
      </w:r>
      <w:r w:rsidRPr="00B5050F">
        <w:noBreakHyphen/>
        <w:t>se mais fracos e partem com maior facilidade.</w:t>
      </w:r>
    </w:p>
    <w:p w14:paraId="5EC8AFD3" w14:textId="77777777" w:rsidR="00382BC2" w:rsidRPr="00B5050F" w:rsidRDefault="00382BC2" w:rsidP="008B4ED7">
      <w:pPr>
        <w:tabs>
          <w:tab w:val="clear" w:pos="567"/>
        </w:tabs>
      </w:pPr>
    </w:p>
    <w:p w14:paraId="540E0A71" w14:textId="69EE33AD" w:rsidR="00382BC2" w:rsidRPr="00B5050F" w:rsidRDefault="00382BC2" w:rsidP="00F51F12">
      <w:pPr>
        <w:keepNext/>
        <w:tabs>
          <w:tab w:val="clear" w:pos="567"/>
        </w:tabs>
        <w:rPr>
          <w:b/>
          <w:bCs/>
        </w:rPr>
      </w:pPr>
      <w:r w:rsidRPr="00B5050F">
        <w:rPr>
          <w:b/>
        </w:rPr>
        <w:t xml:space="preserve">Para que é </w:t>
      </w:r>
      <w:r w:rsidRPr="00AC7A92">
        <w:rPr>
          <w:b/>
        </w:rPr>
        <w:t xml:space="preserve">utilizado </w:t>
      </w:r>
      <w:r w:rsidR="00EC1FA2" w:rsidRPr="00AC7A92">
        <w:rPr>
          <w:b/>
        </w:rPr>
        <w:t>Stoboclo</w:t>
      </w:r>
    </w:p>
    <w:p w14:paraId="39B37442" w14:textId="77777777" w:rsidR="00382BC2" w:rsidRPr="00B5050F" w:rsidRDefault="00382BC2" w:rsidP="008B4ED7">
      <w:pPr>
        <w:keepNext/>
      </w:pPr>
    </w:p>
    <w:p w14:paraId="347FCE56" w14:textId="72415088" w:rsidR="008603DE" w:rsidRPr="00B5050F" w:rsidRDefault="00EC1FA2" w:rsidP="00F51F12">
      <w:pPr>
        <w:keepNext/>
        <w:tabs>
          <w:tab w:val="clear" w:pos="567"/>
        </w:tabs>
      </w:pPr>
      <w:r w:rsidRPr="00B5050F">
        <w:t>Stoboclo</w:t>
      </w:r>
      <w:r w:rsidR="00382BC2" w:rsidRPr="00B5050F">
        <w:t xml:space="preserve"> é utilizado para tratar:</w:t>
      </w:r>
    </w:p>
    <w:p w14:paraId="261B8239" w14:textId="77777777" w:rsidR="00382BC2" w:rsidRPr="00B5050F" w:rsidRDefault="00382BC2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B5050F">
        <w:t>a osteoporose em mulheres depois da menopausa (pós</w:t>
      </w:r>
      <w:r w:rsidRPr="00B5050F">
        <w:noBreakHyphen/>
        <w:t>menopáusica) e homens que têm um risco acrescido de fratura (fratura de ossos) reduzindo o risco de fraturas da coluna, da anca e de outras fraturas que não estas.</w:t>
      </w:r>
    </w:p>
    <w:p w14:paraId="085F9B67" w14:textId="77777777" w:rsidR="008603DE" w:rsidRPr="00B5050F" w:rsidRDefault="00382BC2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B5050F">
        <w:t>a perda óssea resultante da redução do nível hormonal (testosterona) causada por cirurgia ou pelo tratamento com medicamentos em doentes com cancro da próstata.</w:t>
      </w:r>
    </w:p>
    <w:p w14:paraId="56D977F6" w14:textId="77777777" w:rsidR="008603DE" w:rsidRPr="00B5050F" w:rsidRDefault="0081033D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B5050F">
        <w:lastRenderedPageBreak/>
        <w:t>a perda óssea resultante do tratamento de longa duração com glucocorticoides em doentes que têm um risco aumentado de fratura.</w:t>
      </w:r>
    </w:p>
    <w:p w14:paraId="6FDC0563" w14:textId="77777777" w:rsidR="00382BC2" w:rsidRPr="00B5050F" w:rsidRDefault="00382BC2" w:rsidP="008B4ED7">
      <w:pPr>
        <w:numPr>
          <w:ilvl w:val="12"/>
          <w:numId w:val="0"/>
        </w:numPr>
      </w:pPr>
    </w:p>
    <w:p w14:paraId="66C78BD1" w14:textId="77777777" w:rsidR="00382BC2" w:rsidRPr="00B5050F" w:rsidRDefault="00382BC2" w:rsidP="008B4ED7">
      <w:pPr>
        <w:numPr>
          <w:ilvl w:val="12"/>
          <w:numId w:val="0"/>
        </w:numPr>
      </w:pPr>
    </w:p>
    <w:p w14:paraId="104BBDA6" w14:textId="4EBB65B2" w:rsidR="008603DE" w:rsidRPr="00B5050F" w:rsidRDefault="00382BC2" w:rsidP="008B4ED7">
      <w:pPr>
        <w:keepNext/>
        <w:tabs>
          <w:tab w:val="clear" w:pos="567"/>
        </w:tabs>
        <w:ind w:left="567" w:hanging="567"/>
        <w:rPr>
          <w:b/>
        </w:rPr>
      </w:pPr>
      <w:r w:rsidRPr="00B5050F">
        <w:rPr>
          <w:b/>
        </w:rPr>
        <w:t>2.</w:t>
      </w:r>
      <w:r w:rsidRPr="00B5050F">
        <w:rPr>
          <w:b/>
        </w:rPr>
        <w:tab/>
        <w:t>O que precisa de saber antes de utilizar</w:t>
      </w:r>
      <w:r w:rsidRPr="00AC7A92">
        <w:rPr>
          <w:b/>
        </w:rPr>
        <w:t xml:space="preserve"> </w:t>
      </w:r>
      <w:r w:rsidR="00EC1FA2" w:rsidRPr="00AC7A92">
        <w:rPr>
          <w:b/>
        </w:rPr>
        <w:t>Stoboclo</w:t>
      </w:r>
    </w:p>
    <w:p w14:paraId="44B75249" w14:textId="77777777" w:rsidR="00A8252F" w:rsidRPr="00B5050F" w:rsidRDefault="00A8252F" w:rsidP="008B4ED7">
      <w:pPr>
        <w:keepNext/>
      </w:pPr>
    </w:p>
    <w:p w14:paraId="47DC9136" w14:textId="063933E9" w:rsidR="00382BC2" w:rsidRPr="00B5050F" w:rsidRDefault="00382BC2" w:rsidP="00F51F12">
      <w:pPr>
        <w:keepNext/>
        <w:tabs>
          <w:tab w:val="clear" w:pos="567"/>
        </w:tabs>
        <w:rPr>
          <w:b/>
          <w:bCs/>
        </w:rPr>
      </w:pPr>
      <w:r w:rsidRPr="00B5050F">
        <w:rPr>
          <w:b/>
        </w:rPr>
        <w:t xml:space="preserve">Não utilize </w:t>
      </w:r>
      <w:r w:rsidR="00EC1FA2" w:rsidRPr="00AC7A92">
        <w:rPr>
          <w:b/>
        </w:rPr>
        <w:t>Stoboclo</w:t>
      </w:r>
      <w:r w:rsidRPr="00B5050F">
        <w:rPr>
          <w:b/>
        </w:rPr>
        <w:t>:</w:t>
      </w:r>
    </w:p>
    <w:p w14:paraId="73BBA486" w14:textId="77777777" w:rsidR="00382BC2" w:rsidRPr="00B5050F" w:rsidRDefault="00382BC2" w:rsidP="008B4ED7">
      <w:pPr>
        <w:keepNext/>
      </w:pPr>
    </w:p>
    <w:p w14:paraId="00A395B4" w14:textId="77777777" w:rsidR="00382BC2" w:rsidRPr="00B5050F" w:rsidRDefault="00382BC2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B5050F">
        <w:t>se tem valores de cálcio baixos no sangue (hipocalcemia).</w:t>
      </w:r>
    </w:p>
    <w:p w14:paraId="1EB2D8F5" w14:textId="77777777" w:rsidR="00382BC2" w:rsidRPr="00B5050F" w:rsidRDefault="00382BC2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B5050F">
        <w:t>se tem alergia ao denosumab ou a qualquer outro componente deste medicamento (indicados na secção 6).</w:t>
      </w:r>
    </w:p>
    <w:p w14:paraId="4E39FC2E" w14:textId="77777777" w:rsidR="00382BC2" w:rsidRPr="00B5050F" w:rsidRDefault="00382BC2" w:rsidP="008B4ED7">
      <w:pPr>
        <w:numPr>
          <w:ilvl w:val="12"/>
          <w:numId w:val="0"/>
        </w:numPr>
        <w:ind w:right="-2"/>
      </w:pPr>
    </w:p>
    <w:p w14:paraId="218C5980" w14:textId="77777777" w:rsidR="00382BC2" w:rsidRPr="00B5050F" w:rsidRDefault="00382BC2" w:rsidP="00F51F12">
      <w:pPr>
        <w:keepNext/>
        <w:tabs>
          <w:tab w:val="clear" w:pos="567"/>
        </w:tabs>
        <w:rPr>
          <w:b/>
          <w:bCs/>
        </w:rPr>
      </w:pPr>
      <w:r w:rsidRPr="00B5050F">
        <w:rPr>
          <w:b/>
        </w:rPr>
        <w:t>Advertências e precauções</w:t>
      </w:r>
    </w:p>
    <w:p w14:paraId="20524B22" w14:textId="77777777" w:rsidR="00382BC2" w:rsidRPr="00B5050F" w:rsidRDefault="00382BC2" w:rsidP="008B4ED7">
      <w:pPr>
        <w:keepNext/>
      </w:pPr>
    </w:p>
    <w:p w14:paraId="101923B5" w14:textId="5B8927BE" w:rsidR="008603DE" w:rsidRPr="00B5050F" w:rsidRDefault="00382BC2" w:rsidP="008B4ED7">
      <w:pPr>
        <w:tabs>
          <w:tab w:val="clear" w:pos="567"/>
        </w:tabs>
      </w:pPr>
      <w:r w:rsidRPr="00B5050F">
        <w:t xml:space="preserve">Fale com o seu médico ou farmacêutico antes de utilizar </w:t>
      </w:r>
      <w:r w:rsidR="00EC1FA2" w:rsidRPr="00B5050F">
        <w:t>Stoboclo</w:t>
      </w:r>
      <w:r w:rsidRPr="00B5050F">
        <w:t>.</w:t>
      </w:r>
    </w:p>
    <w:p w14:paraId="2F7B8DC1" w14:textId="77777777" w:rsidR="00382BC2" w:rsidRPr="00B5050F" w:rsidRDefault="00382BC2" w:rsidP="008B4ED7">
      <w:pPr>
        <w:tabs>
          <w:tab w:val="clear" w:pos="567"/>
        </w:tabs>
      </w:pPr>
    </w:p>
    <w:p w14:paraId="31F9E507" w14:textId="37C68368" w:rsidR="00382BC2" w:rsidRPr="00B5050F" w:rsidRDefault="00D0743B" w:rsidP="008B4ED7">
      <w:pPr>
        <w:tabs>
          <w:tab w:val="clear" w:pos="567"/>
        </w:tabs>
      </w:pPr>
      <w:r w:rsidRPr="00B5050F">
        <w:t xml:space="preserve">Enquanto estiver em tratamento com </w:t>
      </w:r>
      <w:r w:rsidR="00EC1FA2" w:rsidRPr="00B5050F">
        <w:t>Stoboclo</w:t>
      </w:r>
      <w:r w:rsidRPr="00B5050F">
        <w:t xml:space="preserve"> pode desenvolver uma infeção na pele com sintomas tais como inchaço, vermelhidão na pele, mais frequentemente na parte inferior da perna, com uma sensação de calor e dolorosa ao toque (inflamação dos tecidos), e possivelmente com sintomas de febre. Por favor informe imediatamente o seu médico se desenvolver qualquer um destes sintomas.</w:t>
      </w:r>
    </w:p>
    <w:p w14:paraId="5AD4150F" w14:textId="77777777" w:rsidR="00382BC2" w:rsidRPr="00B5050F" w:rsidRDefault="00382BC2" w:rsidP="008B4ED7">
      <w:pPr>
        <w:tabs>
          <w:tab w:val="clear" w:pos="567"/>
        </w:tabs>
      </w:pPr>
    </w:p>
    <w:p w14:paraId="1538C049" w14:textId="55AC0F63" w:rsidR="00420B9A" w:rsidRPr="00B5050F" w:rsidRDefault="00420B9A" w:rsidP="008B4ED7">
      <w:pPr>
        <w:tabs>
          <w:tab w:val="clear" w:pos="567"/>
        </w:tabs>
      </w:pPr>
      <w:r w:rsidRPr="00B5050F">
        <w:t xml:space="preserve">Também deve tomar suplementos de cálcio e de vitamina D enquanto estiver em tratamento com </w:t>
      </w:r>
      <w:r w:rsidR="00EC1FA2" w:rsidRPr="00B5050F">
        <w:t>Stoboclo</w:t>
      </w:r>
      <w:r w:rsidRPr="00B5050F">
        <w:t>. O seu médico discutirá isto consigo.</w:t>
      </w:r>
    </w:p>
    <w:p w14:paraId="3D357036" w14:textId="77777777" w:rsidR="00420B9A" w:rsidRPr="00B5050F" w:rsidRDefault="00420B9A" w:rsidP="008B4ED7">
      <w:pPr>
        <w:tabs>
          <w:tab w:val="clear" w:pos="567"/>
        </w:tabs>
      </w:pPr>
    </w:p>
    <w:p w14:paraId="461E8A3A" w14:textId="44D7244D" w:rsidR="00420B9A" w:rsidRPr="00B5050F" w:rsidRDefault="00D0743B" w:rsidP="008B4ED7">
      <w:pPr>
        <w:tabs>
          <w:tab w:val="clear" w:pos="567"/>
        </w:tabs>
      </w:pPr>
      <w:r w:rsidRPr="00B5050F">
        <w:t xml:space="preserve">Pode ter valores de cálcio baixos no sangue enquanto está a ser tratado com </w:t>
      </w:r>
      <w:r w:rsidR="00EC1FA2" w:rsidRPr="00B5050F">
        <w:t>Stoboclo</w:t>
      </w:r>
      <w:r w:rsidRPr="00B5050F">
        <w:t>. Por favor informe imediatamente o seu médico se notar algum dos seguintes sintomas: espasmos, contrações ou cãibras nos seus músculos, e/ou entorpecimento ou formigueiro nos seus dedos das mãos, dedos dos pés ou à volta da sua boca, e/ou convulsões, confusão ou perda de consciência.</w:t>
      </w:r>
    </w:p>
    <w:p w14:paraId="1CA9BF45" w14:textId="77777777" w:rsidR="00420B9A" w:rsidRPr="00B5050F" w:rsidRDefault="00420B9A" w:rsidP="008B4ED7">
      <w:pPr>
        <w:tabs>
          <w:tab w:val="clear" w:pos="567"/>
        </w:tabs>
      </w:pPr>
    </w:p>
    <w:p w14:paraId="371B78A2" w14:textId="77777777" w:rsidR="004030F8" w:rsidRPr="00B5050F" w:rsidRDefault="004030F8" w:rsidP="004030F8">
      <w:pPr>
        <w:tabs>
          <w:tab w:val="clear" w:pos="567"/>
        </w:tabs>
      </w:pPr>
      <w:r w:rsidRPr="00B5050F">
        <w:t xml:space="preserve">Em casos raros, foram </w:t>
      </w:r>
      <w:r w:rsidR="00816285" w:rsidRPr="00B5050F">
        <w:t>comunicados</w:t>
      </w:r>
      <w:r w:rsidRPr="00B5050F">
        <w:t xml:space="preserve"> valores de cálcio extremamente baixos no sangue levando a hospitalizações e até a reações potencialmente fatais. Por isso, antes de cada dose e nos doentes com predisposição para a hipocalcemia nas duas semanas após a dose inicial, os valores de cálcio no sangue serão verificados (através de análises de sangue).</w:t>
      </w:r>
    </w:p>
    <w:p w14:paraId="33EFAC07" w14:textId="77777777" w:rsidR="00816285" w:rsidRPr="00B5050F" w:rsidRDefault="00816285" w:rsidP="004030F8">
      <w:pPr>
        <w:tabs>
          <w:tab w:val="clear" w:pos="567"/>
        </w:tabs>
      </w:pPr>
    </w:p>
    <w:p w14:paraId="0CA765D5" w14:textId="77777777" w:rsidR="008603DE" w:rsidRPr="00B5050F" w:rsidRDefault="00CD0319" w:rsidP="008B4ED7">
      <w:pPr>
        <w:tabs>
          <w:tab w:val="clear" w:pos="567"/>
        </w:tabs>
      </w:pPr>
      <w:r w:rsidRPr="00B5050F">
        <w:t>Informe o seu médico se tem ou teve problemas graves nos rins, insuficiência renal ou se já precisou de diálise ou se está a tomar medicamentos denominados glucocorticoides (tais como a prednisolona ou a dexametasona), uma vez que tal pode aumentar o seu risco de ter um valor de cálcio baixo no sangue se não tomar suplementos de cálcio.</w:t>
      </w:r>
    </w:p>
    <w:p w14:paraId="0CFA5554" w14:textId="77777777" w:rsidR="00252372" w:rsidRPr="00B5050F" w:rsidRDefault="00252372" w:rsidP="008B4ED7">
      <w:pPr>
        <w:tabs>
          <w:tab w:val="clear" w:pos="567"/>
        </w:tabs>
      </w:pPr>
    </w:p>
    <w:p w14:paraId="7AA82CC9" w14:textId="77777777" w:rsidR="008603DE" w:rsidRPr="00B5050F" w:rsidRDefault="00782678" w:rsidP="008B4ED7">
      <w:pPr>
        <w:keepNext/>
        <w:rPr>
          <w:u w:val="single"/>
        </w:rPr>
      </w:pPr>
      <w:r w:rsidRPr="00B5050F">
        <w:rPr>
          <w:u w:val="single"/>
        </w:rPr>
        <w:t>Problemas na sua boca, dentes ou mandíbula</w:t>
      </w:r>
    </w:p>
    <w:p w14:paraId="20CB20D8" w14:textId="0C9887ED" w:rsidR="0083571E" w:rsidRPr="00B5050F" w:rsidRDefault="0083571E" w:rsidP="008B4ED7">
      <w:pPr>
        <w:tabs>
          <w:tab w:val="clear" w:pos="567"/>
        </w:tabs>
      </w:pPr>
      <w:r w:rsidRPr="00B5050F">
        <w:t xml:space="preserve">Um efeito indesejável denominado osteonecrose da mandíbula (ONM) (lesão óssea do maxilar) tem sido </w:t>
      </w:r>
      <w:r w:rsidR="00816285" w:rsidRPr="00B5050F">
        <w:t>comunicado</w:t>
      </w:r>
      <w:r w:rsidRPr="00B5050F">
        <w:t xml:space="preserve"> raramente (pode afetar até 1 em 1.000 pessoas) em doentes a receber </w:t>
      </w:r>
      <w:r w:rsidR="00EC1FA2" w:rsidRPr="00B5050F">
        <w:t>denosumab</w:t>
      </w:r>
      <w:r w:rsidRPr="00B5050F">
        <w:t xml:space="preserve"> para a osteoporose. O risco de ONM está aumentado em doentes tratados por um longo período de tempo (pode afetar até 1 em 200 pessoas se tratadas durante 10 anos). ONM também pode surgir após ter interrompido o tratamento. É importante que tente prevenir que a ONM se desenvolva uma vez que pode ser uma situação médica dolorosa e difícil de tratar. Por forma a reduzir o risco de desenvolver ONM, tome as seguintes precauções:</w:t>
      </w:r>
    </w:p>
    <w:p w14:paraId="2BB7C1D5" w14:textId="77777777" w:rsidR="0083571E" w:rsidRPr="00B5050F" w:rsidRDefault="0083571E" w:rsidP="008B4ED7">
      <w:pPr>
        <w:tabs>
          <w:tab w:val="clear" w:pos="567"/>
        </w:tabs>
      </w:pPr>
    </w:p>
    <w:p w14:paraId="4393C72B" w14:textId="77777777" w:rsidR="0083571E" w:rsidRPr="00B5050F" w:rsidRDefault="0083571E" w:rsidP="00F51F12">
      <w:pPr>
        <w:keepNext/>
        <w:tabs>
          <w:tab w:val="clear" w:pos="567"/>
        </w:tabs>
      </w:pPr>
      <w:r w:rsidRPr="00B5050F">
        <w:t>Antes de receber tratamento, informe o seu médico ou enfermeiro (profissional de saúde) se:</w:t>
      </w:r>
    </w:p>
    <w:p w14:paraId="174C9EB4" w14:textId="77777777" w:rsidR="0083571E" w:rsidRPr="00B5050F" w:rsidRDefault="0083571E" w:rsidP="00F51F12">
      <w:pPr>
        <w:keepNext/>
        <w:tabs>
          <w:tab w:val="clear" w:pos="567"/>
        </w:tabs>
      </w:pPr>
    </w:p>
    <w:p w14:paraId="7171304F" w14:textId="77777777" w:rsidR="0083571E" w:rsidRPr="00B5050F" w:rsidRDefault="0083571E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B5050F">
        <w:t>tem algum problema na sua boca ou dentes tais como saúde oral deficiente, doença nas gengivas, ou se planeia uma extração dentária.</w:t>
      </w:r>
    </w:p>
    <w:p w14:paraId="1E574D7F" w14:textId="77777777" w:rsidR="0083571E" w:rsidRPr="00B5050F" w:rsidRDefault="0083571E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B5050F">
        <w:t xml:space="preserve">não recebe cuidados orais de rotina ou não faz um </w:t>
      </w:r>
      <w:r w:rsidRPr="00B5050F">
        <w:rPr>
          <w:i/>
        </w:rPr>
        <w:t>check</w:t>
      </w:r>
      <w:r w:rsidRPr="00B5050F">
        <w:rPr>
          <w:i/>
        </w:rPr>
        <w:noBreakHyphen/>
        <w:t>up</w:t>
      </w:r>
      <w:r w:rsidRPr="00B5050F">
        <w:t xml:space="preserve"> oral há muito tempo.</w:t>
      </w:r>
    </w:p>
    <w:p w14:paraId="1644D249" w14:textId="77777777" w:rsidR="0083571E" w:rsidRPr="00B5050F" w:rsidRDefault="0083571E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B5050F">
        <w:t>é fumador (uma vez que tal pode aumentar o risco de ter problemas orais).</w:t>
      </w:r>
    </w:p>
    <w:p w14:paraId="6944097E" w14:textId="77777777" w:rsidR="0083571E" w:rsidRPr="00B5050F" w:rsidRDefault="0083571E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B5050F">
        <w:t>foi tratado anteriormente com um bifosfonato (utilizado para tratar ou prevenir doenças ósseas).</w:t>
      </w:r>
    </w:p>
    <w:p w14:paraId="722D11D8" w14:textId="77777777" w:rsidR="0083571E" w:rsidRPr="00B5050F" w:rsidRDefault="0083571E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B5050F">
        <w:t>está a tomar medicamentos denominados corticosteroides (tais como a prednisolona ou a dexametasona).</w:t>
      </w:r>
    </w:p>
    <w:p w14:paraId="46127AF6" w14:textId="77777777" w:rsidR="0083571E" w:rsidRPr="00B5050F" w:rsidRDefault="0083571E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B5050F">
        <w:lastRenderedPageBreak/>
        <w:t>tem cancro.</w:t>
      </w:r>
    </w:p>
    <w:p w14:paraId="4E0413FF" w14:textId="77777777" w:rsidR="0083571E" w:rsidRPr="00B5050F" w:rsidRDefault="0083571E" w:rsidP="008B4ED7">
      <w:pPr>
        <w:tabs>
          <w:tab w:val="clear" w:pos="567"/>
        </w:tabs>
      </w:pPr>
    </w:p>
    <w:p w14:paraId="0D7FF54E" w14:textId="52A33C6E" w:rsidR="00D5172C" w:rsidRPr="00B5050F" w:rsidRDefault="00D5172C" w:rsidP="008B4ED7">
      <w:pPr>
        <w:tabs>
          <w:tab w:val="clear" w:pos="567"/>
        </w:tabs>
      </w:pPr>
      <w:r w:rsidRPr="00B5050F">
        <w:t>O seu médico pode pedir</w:t>
      </w:r>
      <w:r w:rsidRPr="00B5050F">
        <w:noBreakHyphen/>
        <w:t xml:space="preserve">lhe que efetue uma avaliação dentária antes de iniciar o tratamento com </w:t>
      </w:r>
      <w:r w:rsidR="00EC1FA2" w:rsidRPr="00B5050F">
        <w:t>Stoboclo</w:t>
      </w:r>
      <w:r w:rsidRPr="00B5050F">
        <w:t>.</w:t>
      </w:r>
    </w:p>
    <w:p w14:paraId="00F278BF" w14:textId="77777777" w:rsidR="00D5172C" w:rsidRPr="00B5050F" w:rsidRDefault="00D5172C" w:rsidP="008B4ED7">
      <w:pPr>
        <w:tabs>
          <w:tab w:val="clear" w:pos="567"/>
        </w:tabs>
      </w:pPr>
    </w:p>
    <w:p w14:paraId="710EEED5" w14:textId="5B521DAD" w:rsidR="002578B0" w:rsidRPr="00B5050F" w:rsidRDefault="0083571E" w:rsidP="008B4ED7">
      <w:pPr>
        <w:tabs>
          <w:tab w:val="clear" w:pos="567"/>
        </w:tabs>
      </w:pPr>
      <w:r w:rsidRPr="00B5050F">
        <w:t xml:space="preserve">Enquanto estiver a ser tratado, deve manter uma boa higiene oral e fazer </w:t>
      </w:r>
      <w:r w:rsidRPr="00B5050F">
        <w:rPr>
          <w:i/>
        </w:rPr>
        <w:t>check</w:t>
      </w:r>
      <w:r w:rsidRPr="00B5050F">
        <w:rPr>
          <w:i/>
        </w:rPr>
        <w:noBreakHyphen/>
        <w:t>ups</w:t>
      </w:r>
      <w:r w:rsidRPr="00B5050F">
        <w:t xml:space="preserve"> de rotina. Se usar próteses dentárias deve assegurar</w:t>
      </w:r>
      <w:r w:rsidRPr="00B5050F">
        <w:noBreakHyphen/>
        <w:t xml:space="preserve">se de que estas estão ajustadas adequadamente. Se estiver em tratamento oral ou se vai realizar uma cirurgia oral (p. ex., extração dentária), informe o seu médico sobre o seu tratamento oral e diga ao seu dentista que está a ser tratado com </w:t>
      </w:r>
      <w:r w:rsidR="00EC1FA2" w:rsidRPr="00B5050F">
        <w:t>Stoboclo</w:t>
      </w:r>
      <w:r w:rsidRPr="00B5050F">
        <w:t>.</w:t>
      </w:r>
    </w:p>
    <w:p w14:paraId="64ED4B1A" w14:textId="77777777" w:rsidR="002578B0" w:rsidRPr="00B5050F" w:rsidRDefault="002578B0" w:rsidP="008B4ED7">
      <w:pPr>
        <w:tabs>
          <w:tab w:val="clear" w:pos="567"/>
        </w:tabs>
      </w:pPr>
    </w:p>
    <w:p w14:paraId="7E671535" w14:textId="77777777" w:rsidR="008603DE" w:rsidRPr="00B5050F" w:rsidRDefault="0083571E" w:rsidP="008B4ED7">
      <w:pPr>
        <w:tabs>
          <w:tab w:val="clear" w:pos="567"/>
        </w:tabs>
      </w:pPr>
      <w:r w:rsidRPr="00B5050F">
        <w:t>Contacte imediatamente o seu médico ou dentista se sentir alguns problemas na sua boca ou dentes, tais como dentes a abanar, dor ou inchaço, ou ferida que não cicatriza ou supuração, uma vez que estes podem ser sinais de ONM.</w:t>
      </w:r>
    </w:p>
    <w:p w14:paraId="53A5A09E" w14:textId="77777777" w:rsidR="00A115D1" w:rsidRPr="00B5050F" w:rsidRDefault="00A115D1" w:rsidP="008B4ED7">
      <w:pPr>
        <w:tabs>
          <w:tab w:val="clear" w:pos="567"/>
        </w:tabs>
      </w:pPr>
    </w:p>
    <w:p w14:paraId="140FABBC" w14:textId="77777777" w:rsidR="00284A41" w:rsidRPr="00B5050F" w:rsidRDefault="00284A41" w:rsidP="008B4ED7">
      <w:pPr>
        <w:keepNext/>
        <w:rPr>
          <w:u w:val="single"/>
        </w:rPr>
      </w:pPr>
      <w:r w:rsidRPr="00B5050F">
        <w:rPr>
          <w:u w:val="single"/>
        </w:rPr>
        <w:t>Fraturas atípicas na coxa</w:t>
      </w:r>
    </w:p>
    <w:p w14:paraId="383C1913" w14:textId="78496E41" w:rsidR="00284A41" w:rsidRPr="00B5050F" w:rsidRDefault="00284A41" w:rsidP="008B4ED7">
      <w:pPr>
        <w:tabs>
          <w:tab w:val="clear" w:pos="567"/>
        </w:tabs>
      </w:pPr>
      <w:r w:rsidRPr="00B5050F">
        <w:t xml:space="preserve">Algumas pessoas podem desenvolver fraturas atípicas no osso da sua coxa enquanto estão a ser tratadas com </w:t>
      </w:r>
      <w:r w:rsidR="00EC1FA2" w:rsidRPr="00B5050F">
        <w:t>denosumab</w:t>
      </w:r>
      <w:r w:rsidRPr="00B5050F">
        <w:t>. Contacte o seu médico se tem dores novas ou atípicas na coxa, anca ou virilha.</w:t>
      </w:r>
    </w:p>
    <w:p w14:paraId="749AB635" w14:textId="77777777" w:rsidR="00284A41" w:rsidRPr="00B5050F" w:rsidRDefault="00284A41" w:rsidP="008B4ED7">
      <w:pPr>
        <w:tabs>
          <w:tab w:val="clear" w:pos="567"/>
        </w:tabs>
      </w:pPr>
    </w:p>
    <w:p w14:paraId="6E4CF3F4" w14:textId="77777777" w:rsidR="00382BC2" w:rsidRPr="00B5050F" w:rsidRDefault="00382BC2" w:rsidP="00F51F12">
      <w:pPr>
        <w:keepNext/>
        <w:tabs>
          <w:tab w:val="clear" w:pos="567"/>
        </w:tabs>
        <w:rPr>
          <w:b/>
          <w:bCs/>
        </w:rPr>
      </w:pPr>
      <w:r w:rsidRPr="00B5050F">
        <w:rPr>
          <w:b/>
        </w:rPr>
        <w:t>Crianças e adolescentes</w:t>
      </w:r>
    </w:p>
    <w:p w14:paraId="1937DCA4" w14:textId="77777777" w:rsidR="00382BC2" w:rsidRPr="00B5050F" w:rsidRDefault="00382BC2" w:rsidP="008B4ED7">
      <w:pPr>
        <w:keepNext/>
      </w:pPr>
    </w:p>
    <w:p w14:paraId="0F1842F1" w14:textId="3417AFD8" w:rsidR="00BE67EE" w:rsidRPr="00B5050F" w:rsidRDefault="00EC1FA2" w:rsidP="00BE67EE">
      <w:r w:rsidRPr="00B5050F">
        <w:t>Stoboclo</w:t>
      </w:r>
      <w:r w:rsidR="00BE67EE" w:rsidRPr="00B5050F">
        <w:t xml:space="preserve"> não deve ser utilizado em crianças e adolescentes com menos de 18 anos de idade. </w:t>
      </w:r>
    </w:p>
    <w:p w14:paraId="30CCD658" w14:textId="77777777" w:rsidR="00382BC2" w:rsidRPr="00B5050F" w:rsidRDefault="00382BC2" w:rsidP="008B4ED7"/>
    <w:p w14:paraId="3D47A9B0" w14:textId="0BC1D19B" w:rsidR="00382BC2" w:rsidRPr="00B5050F" w:rsidRDefault="00382BC2" w:rsidP="00F51F12">
      <w:pPr>
        <w:keepNext/>
        <w:tabs>
          <w:tab w:val="clear" w:pos="567"/>
        </w:tabs>
        <w:rPr>
          <w:b/>
          <w:bCs/>
        </w:rPr>
      </w:pPr>
      <w:r w:rsidRPr="00B5050F">
        <w:rPr>
          <w:b/>
        </w:rPr>
        <w:t xml:space="preserve">Outros medicamentos e </w:t>
      </w:r>
      <w:r w:rsidR="00EC1FA2" w:rsidRPr="00AC7A92">
        <w:rPr>
          <w:b/>
        </w:rPr>
        <w:t>Stoboclo</w:t>
      </w:r>
    </w:p>
    <w:p w14:paraId="014595DD" w14:textId="77777777" w:rsidR="00382BC2" w:rsidRPr="00B5050F" w:rsidRDefault="00382BC2" w:rsidP="008B4ED7">
      <w:pPr>
        <w:keepNext/>
      </w:pPr>
    </w:p>
    <w:p w14:paraId="6592F95A" w14:textId="77777777" w:rsidR="00382BC2" w:rsidRPr="00B5050F" w:rsidRDefault="00382BC2" w:rsidP="008B4ED7">
      <w:pPr>
        <w:tabs>
          <w:tab w:val="clear" w:pos="567"/>
        </w:tabs>
      </w:pPr>
      <w:r w:rsidRPr="00B5050F">
        <w:t>Informe o seu médico ou farmacêutico se estiver a tomar, tiver tomado recentemente ou se vier a tomar outros medicamentos. É especialmente importante que informe o seu médico se estiver a ser tratado com outro medicamento contendo denosumab.</w:t>
      </w:r>
    </w:p>
    <w:p w14:paraId="5274E922" w14:textId="77777777" w:rsidR="00382BC2" w:rsidRPr="00B5050F" w:rsidRDefault="00382BC2" w:rsidP="008B4ED7">
      <w:pPr>
        <w:tabs>
          <w:tab w:val="clear" w:pos="567"/>
        </w:tabs>
      </w:pPr>
    </w:p>
    <w:p w14:paraId="6A2090D2" w14:textId="2592DC82" w:rsidR="008603DE" w:rsidRPr="00B5050F" w:rsidRDefault="00382BC2" w:rsidP="008B4ED7">
      <w:pPr>
        <w:tabs>
          <w:tab w:val="clear" w:pos="567"/>
        </w:tabs>
      </w:pPr>
      <w:r w:rsidRPr="00B5050F">
        <w:t xml:space="preserve">Não deve receber </w:t>
      </w:r>
      <w:r w:rsidR="00EC1FA2" w:rsidRPr="00B5050F">
        <w:t>Stoboclo</w:t>
      </w:r>
      <w:r w:rsidRPr="00B5050F">
        <w:t xml:space="preserve"> juntamente com outro medicamento contendo denosumab.</w:t>
      </w:r>
    </w:p>
    <w:p w14:paraId="7E60AF76" w14:textId="77777777" w:rsidR="00382BC2" w:rsidRPr="00B5050F" w:rsidRDefault="00382BC2" w:rsidP="008B4ED7">
      <w:pPr>
        <w:tabs>
          <w:tab w:val="clear" w:pos="567"/>
        </w:tabs>
      </w:pPr>
    </w:p>
    <w:p w14:paraId="5E3846A3" w14:textId="77777777" w:rsidR="008603DE" w:rsidRPr="00B5050F" w:rsidRDefault="00382BC2" w:rsidP="00F51F12">
      <w:pPr>
        <w:keepNext/>
        <w:tabs>
          <w:tab w:val="clear" w:pos="567"/>
        </w:tabs>
        <w:rPr>
          <w:b/>
          <w:bCs/>
        </w:rPr>
      </w:pPr>
      <w:r w:rsidRPr="00B5050F">
        <w:rPr>
          <w:b/>
        </w:rPr>
        <w:t>Gravidez e aleitamento</w:t>
      </w:r>
    </w:p>
    <w:p w14:paraId="2FFAD653" w14:textId="77777777" w:rsidR="00382BC2" w:rsidRPr="00B5050F" w:rsidRDefault="00382BC2" w:rsidP="008B4ED7">
      <w:pPr>
        <w:keepNext/>
      </w:pPr>
    </w:p>
    <w:p w14:paraId="44FCF256" w14:textId="3DCA1FEF" w:rsidR="007039B1" w:rsidRPr="00B5050F" w:rsidRDefault="00EC1FA2" w:rsidP="008B4ED7">
      <w:pPr>
        <w:tabs>
          <w:tab w:val="clear" w:pos="567"/>
        </w:tabs>
      </w:pPr>
      <w:r w:rsidRPr="00B5050F">
        <w:t>Stoboclo</w:t>
      </w:r>
      <w:r w:rsidR="00382BC2" w:rsidRPr="00B5050F">
        <w:t xml:space="preserve"> não foi testado em mulheres grávidas. É importante informar o seu médico se está grávida; pensa estar grávida; ou planeia engravidar. Não é recomendado utilizar </w:t>
      </w:r>
      <w:r w:rsidRPr="00B5050F">
        <w:t>Stoboclo</w:t>
      </w:r>
      <w:r w:rsidR="00382BC2" w:rsidRPr="00B5050F">
        <w:t xml:space="preserve"> se estiver grávida. As mulheres com potencial para engravidar têm de utilizar métodos de </w:t>
      </w:r>
      <w:r w:rsidR="00D067DF" w:rsidRPr="00B5050F">
        <w:t>contracetivos</w:t>
      </w:r>
      <w:r w:rsidR="00382BC2" w:rsidRPr="00B5050F">
        <w:t xml:space="preserve"> eficazes enquanto estiverem em tratamento com </w:t>
      </w:r>
      <w:r w:rsidRPr="00B5050F">
        <w:t>Stoboclo</w:t>
      </w:r>
      <w:r w:rsidR="00382BC2" w:rsidRPr="00B5050F">
        <w:t xml:space="preserve"> e pelo menos até 5 meses após terem parado o tratamento com </w:t>
      </w:r>
      <w:r w:rsidRPr="00B5050F">
        <w:t>Stoboclo</w:t>
      </w:r>
      <w:r w:rsidR="00382BC2" w:rsidRPr="00B5050F">
        <w:t>.</w:t>
      </w:r>
    </w:p>
    <w:p w14:paraId="36E9B252" w14:textId="77777777" w:rsidR="00A517BF" w:rsidRPr="00B5050F" w:rsidRDefault="00A517BF" w:rsidP="008B4ED7">
      <w:pPr>
        <w:tabs>
          <w:tab w:val="clear" w:pos="567"/>
        </w:tabs>
      </w:pPr>
    </w:p>
    <w:p w14:paraId="3E6ACEE7" w14:textId="1468B021" w:rsidR="009F71BA" w:rsidRPr="00B5050F" w:rsidRDefault="007039B1" w:rsidP="008B4ED7">
      <w:pPr>
        <w:tabs>
          <w:tab w:val="clear" w:pos="567"/>
        </w:tabs>
      </w:pPr>
      <w:r w:rsidRPr="00B5050F">
        <w:t xml:space="preserve">Se ficar grávida durante o tratamento com </w:t>
      </w:r>
      <w:r w:rsidR="00EC1FA2" w:rsidRPr="00B5050F">
        <w:t>Stoboclo</w:t>
      </w:r>
      <w:r w:rsidRPr="00B5050F">
        <w:t xml:space="preserve"> ou em menos de 5 meses após ter parado o tratamento com </w:t>
      </w:r>
      <w:r w:rsidR="00EC1FA2" w:rsidRPr="00B5050F">
        <w:t>Stoboclo</w:t>
      </w:r>
      <w:r w:rsidRPr="00B5050F">
        <w:t>, por favor informe o seu médico.</w:t>
      </w:r>
    </w:p>
    <w:p w14:paraId="229048F7" w14:textId="77777777" w:rsidR="00382BC2" w:rsidRPr="00B5050F" w:rsidRDefault="00382BC2" w:rsidP="008B4ED7">
      <w:pPr>
        <w:tabs>
          <w:tab w:val="clear" w:pos="567"/>
        </w:tabs>
      </w:pPr>
    </w:p>
    <w:p w14:paraId="144BE56E" w14:textId="4780D16B" w:rsidR="008603DE" w:rsidRPr="00B5050F" w:rsidRDefault="00382BC2" w:rsidP="008B4ED7">
      <w:pPr>
        <w:tabs>
          <w:tab w:val="clear" w:pos="567"/>
        </w:tabs>
      </w:pPr>
      <w:r w:rsidRPr="00B5050F">
        <w:t>Desconhece</w:t>
      </w:r>
      <w:r w:rsidRPr="00B5050F">
        <w:noBreakHyphen/>
        <w:t xml:space="preserve">se se </w:t>
      </w:r>
      <w:r w:rsidR="00EC1FA2" w:rsidRPr="00B5050F">
        <w:t>denosumab</w:t>
      </w:r>
      <w:r w:rsidRPr="00B5050F">
        <w:t xml:space="preserve"> é excretado no leite materno. É importante informar o seu médico se estiver a amamentar ou se planear fazê</w:t>
      </w:r>
      <w:r w:rsidRPr="00B5050F">
        <w:noBreakHyphen/>
        <w:t>lo. O seu médico ajudá</w:t>
      </w:r>
      <w:r w:rsidRPr="00B5050F">
        <w:noBreakHyphen/>
        <w:t>la</w:t>
      </w:r>
      <w:r w:rsidRPr="00B5050F">
        <w:noBreakHyphen/>
        <w:t xml:space="preserve">á a decidir se deverá parar de amamentar ou se deverá parar de utilizar </w:t>
      </w:r>
      <w:r w:rsidR="00EC1FA2" w:rsidRPr="00B5050F">
        <w:t>Stoboclo</w:t>
      </w:r>
      <w:r w:rsidRPr="00B5050F">
        <w:t xml:space="preserve">, tendo em consideração o benefício da amamentação para o bebé e o benefício de </w:t>
      </w:r>
      <w:r w:rsidR="00EC1FA2" w:rsidRPr="00B5050F">
        <w:t>Stoboclo</w:t>
      </w:r>
      <w:r w:rsidRPr="00B5050F">
        <w:t xml:space="preserve"> para a mãe.</w:t>
      </w:r>
    </w:p>
    <w:p w14:paraId="3EAD5B31" w14:textId="77777777" w:rsidR="009F71BA" w:rsidRPr="00B5050F" w:rsidRDefault="009F71BA" w:rsidP="008B4ED7">
      <w:pPr>
        <w:tabs>
          <w:tab w:val="clear" w:pos="567"/>
        </w:tabs>
      </w:pPr>
    </w:p>
    <w:p w14:paraId="1B90436A" w14:textId="33EEDBB3" w:rsidR="008603DE" w:rsidRPr="00B5050F" w:rsidRDefault="009F71BA" w:rsidP="008B4ED7">
      <w:pPr>
        <w:tabs>
          <w:tab w:val="clear" w:pos="567"/>
        </w:tabs>
      </w:pPr>
      <w:r w:rsidRPr="00B5050F">
        <w:t xml:space="preserve">Se está a amamentar durante o tratamento com </w:t>
      </w:r>
      <w:r w:rsidR="00EC1FA2" w:rsidRPr="00B5050F">
        <w:t>Stoboclo</w:t>
      </w:r>
      <w:r w:rsidRPr="00B5050F">
        <w:t>, por favor informe o seu médico.</w:t>
      </w:r>
    </w:p>
    <w:p w14:paraId="08770078" w14:textId="77777777" w:rsidR="00382BC2" w:rsidRPr="00B5050F" w:rsidRDefault="00382BC2" w:rsidP="008B4ED7">
      <w:pPr>
        <w:tabs>
          <w:tab w:val="clear" w:pos="567"/>
        </w:tabs>
      </w:pPr>
    </w:p>
    <w:p w14:paraId="5859AF98" w14:textId="77777777" w:rsidR="00382BC2" w:rsidRPr="00B5050F" w:rsidRDefault="00382BC2" w:rsidP="008B4ED7">
      <w:pPr>
        <w:tabs>
          <w:tab w:val="clear" w:pos="567"/>
        </w:tabs>
      </w:pPr>
      <w:r w:rsidRPr="00B5050F">
        <w:t>Consulte o seu médico ou farmacêutico antes de tomar qualquer medicamento.</w:t>
      </w:r>
    </w:p>
    <w:p w14:paraId="03B2364F" w14:textId="77777777" w:rsidR="00382BC2" w:rsidRPr="00B5050F" w:rsidRDefault="00382BC2" w:rsidP="008B4ED7">
      <w:pPr>
        <w:tabs>
          <w:tab w:val="clear" w:pos="567"/>
        </w:tabs>
      </w:pPr>
    </w:p>
    <w:p w14:paraId="66DA313D" w14:textId="77777777" w:rsidR="00382BC2" w:rsidRPr="00B5050F" w:rsidRDefault="00382BC2" w:rsidP="00F51F12">
      <w:pPr>
        <w:keepNext/>
        <w:tabs>
          <w:tab w:val="clear" w:pos="567"/>
        </w:tabs>
        <w:rPr>
          <w:b/>
          <w:bCs/>
        </w:rPr>
      </w:pPr>
      <w:r w:rsidRPr="00B5050F">
        <w:rPr>
          <w:b/>
        </w:rPr>
        <w:t>Condução de veículos e utilização de máquinas</w:t>
      </w:r>
    </w:p>
    <w:p w14:paraId="5B9FE85F" w14:textId="77777777" w:rsidR="00382BC2" w:rsidRPr="00B5050F" w:rsidRDefault="00382BC2" w:rsidP="008B4ED7">
      <w:pPr>
        <w:keepNext/>
      </w:pPr>
    </w:p>
    <w:p w14:paraId="20A25DFA" w14:textId="6D6F3618" w:rsidR="008603DE" w:rsidRPr="00B5050F" w:rsidRDefault="00382BC2" w:rsidP="008B4ED7">
      <w:pPr>
        <w:tabs>
          <w:tab w:val="clear" w:pos="567"/>
        </w:tabs>
      </w:pPr>
      <w:r w:rsidRPr="00B5050F">
        <w:t xml:space="preserve">Os efeitos de </w:t>
      </w:r>
      <w:r w:rsidR="00EC1FA2" w:rsidRPr="00B5050F">
        <w:t>Stoboclo</w:t>
      </w:r>
      <w:r w:rsidRPr="00B5050F">
        <w:t xml:space="preserve"> sobre a capacidade de conduzir e utilizar máquinas são nulos ou desprezáveis.</w:t>
      </w:r>
    </w:p>
    <w:p w14:paraId="0FFC1504" w14:textId="77777777" w:rsidR="00382BC2" w:rsidRPr="00B5050F" w:rsidRDefault="00382BC2" w:rsidP="008B4ED7">
      <w:pPr>
        <w:tabs>
          <w:tab w:val="clear" w:pos="567"/>
        </w:tabs>
      </w:pPr>
    </w:p>
    <w:p w14:paraId="54BF0215" w14:textId="5E7B2F47" w:rsidR="008603DE" w:rsidRPr="00B5050F" w:rsidRDefault="00313547" w:rsidP="00F51F12">
      <w:pPr>
        <w:keepNext/>
        <w:tabs>
          <w:tab w:val="clear" w:pos="567"/>
        </w:tabs>
        <w:rPr>
          <w:b/>
          <w:bCs/>
        </w:rPr>
      </w:pPr>
      <w:r w:rsidRPr="00313547">
        <w:rPr>
          <w:b/>
        </w:rPr>
        <w:lastRenderedPageBreak/>
        <w:t>Stoboclo</w:t>
      </w:r>
      <w:r w:rsidR="00382BC2" w:rsidRPr="00B5050F">
        <w:rPr>
          <w:b/>
        </w:rPr>
        <w:t xml:space="preserve"> contém sorbitol</w:t>
      </w:r>
      <w:r w:rsidR="00EC1FA2" w:rsidRPr="00B5050F">
        <w:rPr>
          <w:b/>
        </w:rPr>
        <w:t xml:space="preserve"> (E420)</w:t>
      </w:r>
    </w:p>
    <w:p w14:paraId="3EBFD258" w14:textId="77777777" w:rsidR="00382BC2" w:rsidRPr="00B5050F" w:rsidRDefault="00382BC2" w:rsidP="008B4ED7">
      <w:pPr>
        <w:keepNext/>
      </w:pPr>
    </w:p>
    <w:p w14:paraId="5FF55754" w14:textId="77777777" w:rsidR="0081033D" w:rsidRPr="00B5050F" w:rsidRDefault="00630E37" w:rsidP="008B4ED7">
      <w:pPr>
        <w:tabs>
          <w:tab w:val="clear" w:pos="567"/>
        </w:tabs>
      </w:pPr>
      <w:r w:rsidRPr="00B5050F">
        <w:t>Este medicamento contém 47 mg de sorbitol em cada ml de solução.</w:t>
      </w:r>
    </w:p>
    <w:p w14:paraId="622417CA" w14:textId="77777777" w:rsidR="007A0BB2" w:rsidRPr="00B5050F" w:rsidRDefault="007A0BB2" w:rsidP="008B4ED7">
      <w:pPr>
        <w:tabs>
          <w:tab w:val="clear" w:pos="567"/>
        </w:tabs>
      </w:pPr>
    </w:p>
    <w:p w14:paraId="1DB19E44" w14:textId="36D19AAC" w:rsidR="0092748E" w:rsidRPr="00B5050F" w:rsidRDefault="00634704" w:rsidP="00F51F12">
      <w:pPr>
        <w:keepNext/>
        <w:tabs>
          <w:tab w:val="clear" w:pos="567"/>
        </w:tabs>
        <w:rPr>
          <w:b/>
          <w:bCs/>
        </w:rPr>
      </w:pPr>
      <w:r w:rsidRPr="00B5050F">
        <w:rPr>
          <w:b/>
          <w:bCs/>
        </w:rPr>
        <w:t>Stoboclo</w:t>
      </w:r>
      <w:r w:rsidR="0092748E" w:rsidRPr="00B5050F">
        <w:rPr>
          <w:b/>
        </w:rPr>
        <w:t xml:space="preserve"> contém sódio</w:t>
      </w:r>
    </w:p>
    <w:p w14:paraId="4211502C" w14:textId="77777777" w:rsidR="00382BC2" w:rsidRPr="00B5050F" w:rsidRDefault="00382BC2" w:rsidP="008B4ED7">
      <w:pPr>
        <w:keepNext/>
      </w:pPr>
    </w:p>
    <w:p w14:paraId="2D3D8E0A" w14:textId="77777777" w:rsidR="0057506B" w:rsidRPr="00B5050F" w:rsidRDefault="0057506B" w:rsidP="008B4ED7">
      <w:pPr>
        <w:tabs>
          <w:tab w:val="clear" w:pos="567"/>
        </w:tabs>
      </w:pPr>
      <w:r w:rsidRPr="00B5050F">
        <w:t>Este medicamento contém menos do que 1 mmol (23 mg) de sódio por 60 mg, ou seja, é praticamente “isento de sódio”.</w:t>
      </w:r>
    </w:p>
    <w:p w14:paraId="2D7ED83F" w14:textId="77777777" w:rsidR="00382BC2" w:rsidRPr="00B5050F" w:rsidRDefault="00382BC2" w:rsidP="008B4ED7">
      <w:pPr>
        <w:tabs>
          <w:tab w:val="clear" w:pos="567"/>
        </w:tabs>
      </w:pPr>
    </w:p>
    <w:p w14:paraId="763AAEB8" w14:textId="77777777" w:rsidR="00634704" w:rsidRPr="00B5050F" w:rsidRDefault="00634704" w:rsidP="00634704">
      <w:pPr>
        <w:keepNext/>
        <w:tabs>
          <w:tab w:val="clear" w:pos="567"/>
        </w:tabs>
        <w:rPr>
          <w:b/>
          <w:bCs/>
        </w:rPr>
      </w:pPr>
      <w:r w:rsidRPr="00B5050F">
        <w:rPr>
          <w:b/>
          <w:bCs/>
        </w:rPr>
        <w:t>Stoboclo</w:t>
      </w:r>
      <w:r w:rsidRPr="00B5050F">
        <w:rPr>
          <w:b/>
        </w:rPr>
        <w:t xml:space="preserve"> contém polissorbato 20</w:t>
      </w:r>
      <w:r w:rsidR="006A7F6D" w:rsidRPr="00B5050F">
        <w:rPr>
          <w:b/>
        </w:rPr>
        <w:t xml:space="preserve"> (E432)</w:t>
      </w:r>
    </w:p>
    <w:p w14:paraId="444DADC6" w14:textId="77777777" w:rsidR="006A7F6D" w:rsidRPr="00B5050F" w:rsidRDefault="006A7F6D" w:rsidP="006A7F6D">
      <w:r w:rsidRPr="00B5050F">
        <w:t>Este medicamento contém 0,1 mg de polissorbato 20 em cada seringa que é equivalente a 0,1 mg/ml. Os polissorbatos podem causar reações alérgicas. Informe o seu médico se tem alguma alergia.</w:t>
      </w:r>
    </w:p>
    <w:p w14:paraId="542D92F7" w14:textId="77777777" w:rsidR="00634704" w:rsidRPr="00B5050F" w:rsidRDefault="00634704" w:rsidP="008B4ED7">
      <w:pPr>
        <w:tabs>
          <w:tab w:val="clear" w:pos="567"/>
        </w:tabs>
      </w:pPr>
    </w:p>
    <w:p w14:paraId="736BE911" w14:textId="77777777" w:rsidR="00382BC2" w:rsidRPr="00B5050F" w:rsidRDefault="00382BC2" w:rsidP="008B4ED7">
      <w:pPr>
        <w:tabs>
          <w:tab w:val="clear" w:pos="567"/>
        </w:tabs>
      </w:pPr>
    </w:p>
    <w:p w14:paraId="0DD91B21" w14:textId="28BB99F0" w:rsidR="00382BC2" w:rsidRPr="00B5050F" w:rsidRDefault="00C45C7F" w:rsidP="008B4ED7">
      <w:pPr>
        <w:keepNext/>
        <w:tabs>
          <w:tab w:val="clear" w:pos="567"/>
        </w:tabs>
        <w:ind w:left="567" w:hanging="567"/>
        <w:rPr>
          <w:b/>
        </w:rPr>
      </w:pPr>
      <w:r w:rsidRPr="00B5050F">
        <w:rPr>
          <w:b/>
        </w:rPr>
        <w:t>3.</w:t>
      </w:r>
      <w:r w:rsidRPr="00B5050F">
        <w:rPr>
          <w:b/>
        </w:rPr>
        <w:tab/>
        <w:t xml:space="preserve">Como utilizar </w:t>
      </w:r>
      <w:r w:rsidR="00993AB6" w:rsidRPr="00B5050F">
        <w:rPr>
          <w:b/>
          <w:bCs/>
        </w:rPr>
        <w:t>Stoboclo</w:t>
      </w:r>
    </w:p>
    <w:p w14:paraId="5CF26E78" w14:textId="77777777" w:rsidR="00382BC2" w:rsidRPr="00B5050F" w:rsidRDefault="00382BC2" w:rsidP="008B4ED7">
      <w:pPr>
        <w:keepNext/>
      </w:pPr>
    </w:p>
    <w:p w14:paraId="5B84D53F" w14:textId="5938D871" w:rsidR="00F82CBC" w:rsidRPr="00B5050F" w:rsidRDefault="00F82CBC" w:rsidP="008B4ED7">
      <w:pPr>
        <w:tabs>
          <w:tab w:val="clear" w:pos="567"/>
        </w:tabs>
      </w:pPr>
      <w:r w:rsidRPr="00B5050F">
        <w:t>A dose recomendada é de uma seringa pré</w:t>
      </w:r>
      <w:r w:rsidRPr="00B5050F">
        <w:noBreakHyphen/>
        <w:t xml:space="preserve">cheia de 60 mg administrada uma vez de 6 em 6 meses, na forma de uma injeção única sob a pele (subcutânea). As melhores zonas para injetar são a parte superior das coxas e o abdómen. O seu prestador de cuidados também pode utilizar a parte superior do seu braço. Consulte o seu médico sobre a data de uma possível próxima injeção. Cada embalagem de </w:t>
      </w:r>
      <w:r w:rsidR="00993AB6" w:rsidRPr="003803A1">
        <w:rPr>
          <w:bCs/>
        </w:rPr>
        <w:t>Stoboclo</w:t>
      </w:r>
      <w:r w:rsidRPr="003803A1">
        <w:t xml:space="preserve"> </w:t>
      </w:r>
      <w:r w:rsidRPr="00B5050F">
        <w:t>contém um cartão lembrete</w:t>
      </w:r>
      <w:r w:rsidR="00993AB6" w:rsidRPr="00B5050F">
        <w:t xml:space="preserve"> incluído na</w:t>
      </w:r>
      <w:r w:rsidRPr="00B5050F">
        <w:t xml:space="preserve"> caixa e utilizado para manter um registo da data da sua próxima injeção.</w:t>
      </w:r>
    </w:p>
    <w:p w14:paraId="11F5C20F" w14:textId="77777777" w:rsidR="00F82CBC" w:rsidRPr="00B5050F" w:rsidRDefault="00F82CBC" w:rsidP="008B4ED7">
      <w:pPr>
        <w:tabs>
          <w:tab w:val="clear" w:pos="567"/>
        </w:tabs>
      </w:pPr>
    </w:p>
    <w:p w14:paraId="1C2269B5" w14:textId="74D45CC3" w:rsidR="00382BC2" w:rsidRPr="00B5050F" w:rsidRDefault="00382BC2" w:rsidP="008B4ED7">
      <w:pPr>
        <w:tabs>
          <w:tab w:val="clear" w:pos="567"/>
        </w:tabs>
      </w:pPr>
      <w:r w:rsidRPr="00B5050F">
        <w:t xml:space="preserve">Também deve tomar suplementos de cálcio e de vitamina D enquanto estiver em tratamento com </w:t>
      </w:r>
      <w:r w:rsidR="00993AB6" w:rsidRPr="00B5050F">
        <w:rPr>
          <w:szCs w:val="20"/>
        </w:rPr>
        <w:t>Stoboclo</w:t>
      </w:r>
      <w:r w:rsidRPr="00B5050F">
        <w:t>. O seu médico discutirá isto consigo.</w:t>
      </w:r>
    </w:p>
    <w:p w14:paraId="6F3DF754" w14:textId="77777777" w:rsidR="00382BC2" w:rsidRPr="00B5050F" w:rsidRDefault="00382BC2" w:rsidP="008B4ED7">
      <w:pPr>
        <w:tabs>
          <w:tab w:val="clear" w:pos="567"/>
        </w:tabs>
      </w:pPr>
    </w:p>
    <w:p w14:paraId="374642A9" w14:textId="67DAEB39" w:rsidR="00382BC2" w:rsidRPr="00B5050F" w:rsidRDefault="00382BC2" w:rsidP="008B4ED7">
      <w:pPr>
        <w:tabs>
          <w:tab w:val="clear" w:pos="567"/>
        </w:tabs>
      </w:pPr>
      <w:r w:rsidRPr="00B5050F">
        <w:t xml:space="preserve">O seu médico pode decidir que é melhor ser você ou um prestador de cuidados a administrar </w:t>
      </w:r>
      <w:r w:rsidR="00993AB6" w:rsidRPr="00B5050F">
        <w:rPr>
          <w:szCs w:val="20"/>
        </w:rPr>
        <w:t>Stoboclo</w:t>
      </w:r>
      <w:r w:rsidRPr="00B5050F">
        <w:t>. O seu médico ou prestador de cuidados de saúde mostrar</w:t>
      </w:r>
      <w:r w:rsidRPr="00B5050F">
        <w:noBreakHyphen/>
        <w:t>lhe</w:t>
      </w:r>
      <w:r w:rsidRPr="00B5050F">
        <w:noBreakHyphen/>
        <w:t xml:space="preserve">ão como utilizar </w:t>
      </w:r>
      <w:r w:rsidR="00993AB6" w:rsidRPr="00B5050F">
        <w:rPr>
          <w:szCs w:val="20"/>
        </w:rPr>
        <w:t>Stoboclo</w:t>
      </w:r>
      <w:r w:rsidRPr="00B5050F">
        <w:t xml:space="preserve">. Para ver as instruções sobre como injetar </w:t>
      </w:r>
      <w:r w:rsidR="00993AB6" w:rsidRPr="00B5050F">
        <w:rPr>
          <w:szCs w:val="20"/>
        </w:rPr>
        <w:t>Stoboclo</w:t>
      </w:r>
      <w:r w:rsidRPr="00B5050F">
        <w:t>, por favor leia a secção no fim deste folheto informativo.</w:t>
      </w:r>
    </w:p>
    <w:p w14:paraId="1D780BAA" w14:textId="77777777" w:rsidR="001D272E" w:rsidRPr="00B5050F" w:rsidRDefault="001D272E" w:rsidP="008B4ED7">
      <w:pPr>
        <w:tabs>
          <w:tab w:val="clear" w:pos="567"/>
        </w:tabs>
      </w:pPr>
    </w:p>
    <w:p w14:paraId="21642A10" w14:textId="77777777" w:rsidR="001D272E" w:rsidRPr="00B5050F" w:rsidRDefault="00D501D7" w:rsidP="008B4ED7">
      <w:pPr>
        <w:tabs>
          <w:tab w:val="clear" w:pos="567"/>
        </w:tabs>
      </w:pPr>
      <w:r w:rsidRPr="00B5050F">
        <w:t>Não agitar.</w:t>
      </w:r>
    </w:p>
    <w:p w14:paraId="1AAE6F39" w14:textId="77777777" w:rsidR="00382BC2" w:rsidRPr="00B5050F" w:rsidRDefault="00382BC2" w:rsidP="008B4ED7">
      <w:pPr>
        <w:tabs>
          <w:tab w:val="clear" w:pos="567"/>
        </w:tabs>
      </w:pPr>
    </w:p>
    <w:p w14:paraId="30ED9528" w14:textId="547ECDE3" w:rsidR="00382BC2" w:rsidRPr="00B5050F" w:rsidRDefault="00382BC2" w:rsidP="00F51F12">
      <w:pPr>
        <w:keepNext/>
        <w:tabs>
          <w:tab w:val="clear" w:pos="567"/>
        </w:tabs>
        <w:rPr>
          <w:b/>
          <w:bCs/>
        </w:rPr>
      </w:pPr>
      <w:r w:rsidRPr="00B5050F">
        <w:rPr>
          <w:b/>
        </w:rPr>
        <w:t xml:space="preserve">Caso se tenha esquecido de utilizar </w:t>
      </w:r>
      <w:r w:rsidR="00993AB6" w:rsidRPr="00B5050F">
        <w:rPr>
          <w:b/>
        </w:rPr>
        <w:t>Stoboclo</w:t>
      </w:r>
    </w:p>
    <w:p w14:paraId="257FE2E5" w14:textId="77777777" w:rsidR="00382BC2" w:rsidRPr="00B5050F" w:rsidRDefault="00382BC2" w:rsidP="008B4ED7">
      <w:pPr>
        <w:keepNext/>
      </w:pPr>
    </w:p>
    <w:p w14:paraId="363029FB" w14:textId="1FAD51B0" w:rsidR="00382BC2" w:rsidRPr="00B5050F" w:rsidRDefault="00382BC2" w:rsidP="008B4ED7">
      <w:pPr>
        <w:tabs>
          <w:tab w:val="clear" w:pos="567"/>
        </w:tabs>
      </w:pPr>
      <w:r w:rsidRPr="00B5050F">
        <w:t xml:space="preserve">Se se esquecer de receber uma dose de </w:t>
      </w:r>
      <w:r w:rsidR="00993AB6" w:rsidRPr="00B5050F">
        <w:rPr>
          <w:szCs w:val="20"/>
        </w:rPr>
        <w:t>Stoboclo</w:t>
      </w:r>
      <w:r w:rsidRPr="00B5050F">
        <w:t>, a injeção deve ser administrada assim que possível. Daí em diante, as injeções devem ser cuidadosamente marcadas de 6 em 6 meses a partir da data da última injeção.</w:t>
      </w:r>
    </w:p>
    <w:p w14:paraId="70C76443" w14:textId="77777777" w:rsidR="00382BC2" w:rsidRPr="00B5050F" w:rsidRDefault="00382BC2" w:rsidP="008B4ED7">
      <w:pPr>
        <w:tabs>
          <w:tab w:val="clear" w:pos="567"/>
        </w:tabs>
      </w:pPr>
    </w:p>
    <w:p w14:paraId="2C5E55A1" w14:textId="572386B5" w:rsidR="00382BC2" w:rsidRPr="00B5050F" w:rsidRDefault="00382BC2" w:rsidP="00F51F12">
      <w:pPr>
        <w:keepNext/>
        <w:tabs>
          <w:tab w:val="clear" w:pos="567"/>
        </w:tabs>
        <w:rPr>
          <w:b/>
          <w:bCs/>
        </w:rPr>
      </w:pPr>
      <w:r w:rsidRPr="00B5050F">
        <w:rPr>
          <w:b/>
        </w:rPr>
        <w:t xml:space="preserve">Se parar de utilizar </w:t>
      </w:r>
      <w:r w:rsidR="00993AB6" w:rsidRPr="00B5050F">
        <w:rPr>
          <w:b/>
        </w:rPr>
        <w:t>Stoboclo</w:t>
      </w:r>
    </w:p>
    <w:p w14:paraId="3A07BB8F" w14:textId="77777777" w:rsidR="00382BC2" w:rsidRPr="00B5050F" w:rsidRDefault="00382BC2" w:rsidP="008B4ED7">
      <w:pPr>
        <w:keepNext/>
      </w:pPr>
    </w:p>
    <w:p w14:paraId="55B32E05" w14:textId="08F3A952" w:rsidR="009D3B7C" w:rsidRPr="00B5050F" w:rsidRDefault="009D3B7C" w:rsidP="008B4ED7">
      <w:pPr>
        <w:tabs>
          <w:tab w:val="clear" w:pos="567"/>
        </w:tabs>
      </w:pPr>
      <w:r w:rsidRPr="00B5050F">
        <w:t xml:space="preserve">Para obter o maior benefício do seu tratamento na redução do risco de fraturas, é importante que utilize </w:t>
      </w:r>
      <w:r w:rsidR="00993AB6" w:rsidRPr="00B5050F">
        <w:rPr>
          <w:szCs w:val="20"/>
        </w:rPr>
        <w:t>Stoboclo</w:t>
      </w:r>
      <w:r w:rsidRPr="00B5050F">
        <w:t xml:space="preserve"> durante o período de tempo prescrito pelo seu médico. Não pare o seu tratamento sem contactar o seu médico.</w:t>
      </w:r>
    </w:p>
    <w:p w14:paraId="55F9642F" w14:textId="77777777" w:rsidR="00382BC2" w:rsidRPr="00B5050F" w:rsidRDefault="00382BC2" w:rsidP="008B4ED7">
      <w:pPr>
        <w:tabs>
          <w:tab w:val="clear" w:pos="567"/>
        </w:tabs>
      </w:pPr>
    </w:p>
    <w:p w14:paraId="5B854E44" w14:textId="77777777" w:rsidR="00382BC2" w:rsidRPr="00B5050F" w:rsidRDefault="00382BC2" w:rsidP="008B4ED7">
      <w:pPr>
        <w:tabs>
          <w:tab w:val="clear" w:pos="567"/>
        </w:tabs>
      </w:pPr>
    </w:p>
    <w:p w14:paraId="241875D3" w14:textId="77777777" w:rsidR="00382BC2" w:rsidRPr="00B5050F" w:rsidRDefault="00382BC2" w:rsidP="008B4ED7">
      <w:pPr>
        <w:keepNext/>
        <w:tabs>
          <w:tab w:val="clear" w:pos="567"/>
        </w:tabs>
        <w:ind w:left="567" w:hanging="567"/>
        <w:rPr>
          <w:b/>
        </w:rPr>
      </w:pPr>
      <w:r w:rsidRPr="00B5050F">
        <w:rPr>
          <w:b/>
        </w:rPr>
        <w:t>4.</w:t>
      </w:r>
      <w:r w:rsidRPr="00B5050F">
        <w:rPr>
          <w:b/>
        </w:rPr>
        <w:tab/>
        <w:t>Efeitos indesejáveis possíveis</w:t>
      </w:r>
    </w:p>
    <w:p w14:paraId="596CE170" w14:textId="77777777" w:rsidR="00382BC2" w:rsidRPr="00B5050F" w:rsidRDefault="00382BC2" w:rsidP="008B4ED7">
      <w:pPr>
        <w:keepNext/>
      </w:pPr>
    </w:p>
    <w:p w14:paraId="411171F6" w14:textId="77777777" w:rsidR="006D7371" w:rsidRPr="00B5050F" w:rsidRDefault="006D7371" w:rsidP="008B4ED7">
      <w:pPr>
        <w:tabs>
          <w:tab w:val="clear" w:pos="567"/>
        </w:tabs>
      </w:pPr>
      <w:r w:rsidRPr="00B5050F">
        <w:t>Como todos os medicamentos, este medicamento pode causar efeitos indesejáveis, embora estes não se manifestem em todas as pessoas.</w:t>
      </w:r>
    </w:p>
    <w:p w14:paraId="554DAFE6" w14:textId="77777777" w:rsidR="006D7371" w:rsidRPr="00B5050F" w:rsidRDefault="006D7371" w:rsidP="008B4ED7">
      <w:pPr>
        <w:tabs>
          <w:tab w:val="clear" w:pos="567"/>
        </w:tabs>
      </w:pPr>
    </w:p>
    <w:p w14:paraId="2061F9FA" w14:textId="2A99DEB4" w:rsidR="00382BC2" w:rsidRPr="00B5050F" w:rsidRDefault="00382BC2" w:rsidP="008B4ED7">
      <w:pPr>
        <w:tabs>
          <w:tab w:val="clear" w:pos="567"/>
        </w:tabs>
      </w:pPr>
      <w:r w:rsidRPr="00B5050F">
        <w:t xml:space="preserve">Pouco frequentemente, os doentes a receber </w:t>
      </w:r>
      <w:r w:rsidR="00993AB6" w:rsidRPr="00B5050F">
        <w:rPr>
          <w:szCs w:val="20"/>
        </w:rPr>
        <w:t>Stoboclo</w:t>
      </w:r>
      <w:r w:rsidRPr="00B5050F">
        <w:t xml:space="preserve"> podem desenvolver infeções da pele (predominantemente inflamação dos tecidos). </w:t>
      </w:r>
      <w:r w:rsidRPr="00B5050F">
        <w:rPr>
          <w:b/>
        </w:rPr>
        <w:t>Informe imediatamente o seu médico</w:t>
      </w:r>
      <w:r w:rsidRPr="00B5050F">
        <w:t xml:space="preserve"> se desenvolver algum destes sintomas enquanto estiver a receber </w:t>
      </w:r>
      <w:r w:rsidR="00993AB6" w:rsidRPr="00B5050F">
        <w:rPr>
          <w:szCs w:val="20"/>
        </w:rPr>
        <w:t>Stoboclo</w:t>
      </w:r>
      <w:r w:rsidRPr="00B5050F">
        <w:t>: inchaço, vermelhidão na pele, mais frequentemente na parte inferior da perna, com uma sensação de calor e dolorosa ao toque, e possivelmente com sintomas de febre.</w:t>
      </w:r>
    </w:p>
    <w:p w14:paraId="69BFA31D" w14:textId="77777777" w:rsidR="00D0743B" w:rsidRPr="00B5050F" w:rsidRDefault="00D0743B" w:rsidP="008B4ED7">
      <w:pPr>
        <w:tabs>
          <w:tab w:val="clear" w:pos="567"/>
        </w:tabs>
      </w:pPr>
    </w:p>
    <w:p w14:paraId="77E191AF" w14:textId="0F21A348" w:rsidR="00D0743B" w:rsidRPr="00B5050F" w:rsidRDefault="00D0743B" w:rsidP="008B4ED7">
      <w:pPr>
        <w:tabs>
          <w:tab w:val="clear" w:pos="567"/>
        </w:tabs>
      </w:pPr>
      <w:r w:rsidRPr="00B5050F">
        <w:lastRenderedPageBreak/>
        <w:t xml:space="preserve">Raramente, os doentes a receber </w:t>
      </w:r>
      <w:r w:rsidR="00993AB6" w:rsidRPr="00B5050F">
        <w:rPr>
          <w:szCs w:val="20"/>
        </w:rPr>
        <w:t>Stoboclo</w:t>
      </w:r>
      <w:r w:rsidRPr="00B5050F">
        <w:t xml:space="preserve"> podem desenvolver dor na boca e/ou mandíbula, inchaço ou ferida na boca ou mandíbula que não cicatriza, supuração, dormência ou sensação de peso na mandíbula, ou dente a abanar. Estes podem ser sinais de lesão óssea no maxilar (osteonecrose). </w:t>
      </w:r>
      <w:r w:rsidRPr="00B5050F">
        <w:rPr>
          <w:b/>
        </w:rPr>
        <w:t>Informe imediatamente o seu médico ou dentista</w:t>
      </w:r>
      <w:r w:rsidRPr="00B5050F">
        <w:t xml:space="preserve"> caso desenvolva algum destes sintomas enquanto está a ser tratado com </w:t>
      </w:r>
      <w:r w:rsidR="00993AB6" w:rsidRPr="00B5050F">
        <w:rPr>
          <w:szCs w:val="20"/>
        </w:rPr>
        <w:t>Stoboclo</w:t>
      </w:r>
      <w:r w:rsidRPr="00B5050F">
        <w:t xml:space="preserve"> ou após ter interrompido o tratamento.</w:t>
      </w:r>
    </w:p>
    <w:p w14:paraId="239ED3F9" w14:textId="77777777" w:rsidR="00D0743B" w:rsidRPr="00B5050F" w:rsidRDefault="00D0743B" w:rsidP="008B4ED7">
      <w:pPr>
        <w:tabs>
          <w:tab w:val="clear" w:pos="567"/>
        </w:tabs>
      </w:pPr>
    </w:p>
    <w:p w14:paraId="1F36B26E" w14:textId="1881BFB9" w:rsidR="00D0743B" w:rsidRPr="00B5050F" w:rsidRDefault="00D0743B" w:rsidP="008B4ED7">
      <w:pPr>
        <w:tabs>
          <w:tab w:val="clear" w:pos="567"/>
        </w:tabs>
      </w:pPr>
      <w:r w:rsidRPr="00B5050F">
        <w:t xml:space="preserve">Raramente, os doentes a receber </w:t>
      </w:r>
      <w:r w:rsidR="00993AB6" w:rsidRPr="00B5050F">
        <w:rPr>
          <w:szCs w:val="20"/>
        </w:rPr>
        <w:t>Stoboclo</w:t>
      </w:r>
      <w:r w:rsidRPr="00B5050F">
        <w:t xml:space="preserve"> podem ter valores de cálcio baixos no sangue (hipocalcemia); valores de cálcio extremamente baixos no sangue podem levar a hospitalizações e podem até ser potencialmente fatais. Os sintomas incluem espasmos, contrações ou cãibras dos músculos, e/ou dormência ou formigueiro nos dedos das mãos e dos pés ou à volta da sua boca e/ou convulsões, confusão ou perda de consciência. Se algum destes sintomas se aplica a si, </w:t>
      </w:r>
      <w:r w:rsidRPr="00B5050F">
        <w:rPr>
          <w:b/>
        </w:rPr>
        <w:t>informe imediatamente o seu médico</w:t>
      </w:r>
      <w:r w:rsidRPr="00B5050F">
        <w:t>. Valores de cálcio baixos no sangue podem também originar uma alteração no ritmo do seu coração denominada prolongamento do intervalo QT que pode ser visto através de um eletrocardiograma (ECG).</w:t>
      </w:r>
    </w:p>
    <w:p w14:paraId="1067D791" w14:textId="77777777" w:rsidR="009608FC" w:rsidRPr="00B5050F" w:rsidRDefault="009608FC" w:rsidP="008B4ED7">
      <w:pPr>
        <w:tabs>
          <w:tab w:val="clear" w:pos="567"/>
        </w:tabs>
      </w:pPr>
    </w:p>
    <w:p w14:paraId="7AC59297" w14:textId="44A4E962" w:rsidR="00666C7C" w:rsidRPr="00B5050F" w:rsidRDefault="00666C7C" w:rsidP="008B4ED7">
      <w:pPr>
        <w:tabs>
          <w:tab w:val="clear" w:pos="567"/>
        </w:tabs>
      </w:pPr>
      <w:r w:rsidRPr="00B5050F">
        <w:t xml:space="preserve">Podem ocorrer raramente fraturas do osso da coxa em doentes a receber </w:t>
      </w:r>
      <w:r w:rsidR="00993AB6" w:rsidRPr="00B5050F">
        <w:rPr>
          <w:szCs w:val="20"/>
        </w:rPr>
        <w:t>Stoboclo</w:t>
      </w:r>
      <w:r w:rsidRPr="00B5050F">
        <w:t xml:space="preserve">. </w:t>
      </w:r>
      <w:r w:rsidRPr="00B5050F">
        <w:rPr>
          <w:b/>
        </w:rPr>
        <w:t>Contacte o seu médico</w:t>
      </w:r>
      <w:r w:rsidRPr="00B5050F">
        <w:t xml:space="preserve"> se sentir dores novas ou raras na sua coxa, anca ou virilha uma vez que tal poderá ser uma indicação precoce de uma possível fratura da coxa.</w:t>
      </w:r>
    </w:p>
    <w:p w14:paraId="08959E8C" w14:textId="77777777" w:rsidR="00666C7C" w:rsidRPr="00B5050F" w:rsidRDefault="00666C7C" w:rsidP="008B4ED7">
      <w:pPr>
        <w:tabs>
          <w:tab w:val="clear" w:pos="567"/>
        </w:tabs>
      </w:pPr>
    </w:p>
    <w:p w14:paraId="6EF025B7" w14:textId="0778B0C7" w:rsidR="00666C7C" w:rsidRPr="00B5050F" w:rsidRDefault="00666C7C" w:rsidP="008B4ED7">
      <w:pPr>
        <w:tabs>
          <w:tab w:val="clear" w:pos="567"/>
        </w:tabs>
      </w:pPr>
      <w:r w:rsidRPr="00B5050F">
        <w:t xml:space="preserve">Poderão ocorrer raramente reações alérgicas em doentes a receber </w:t>
      </w:r>
      <w:r w:rsidR="00993AB6" w:rsidRPr="00B5050F">
        <w:rPr>
          <w:szCs w:val="20"/>
        </w:rPr>
        <w:t>Stoboclo</w:t>
      </w:r>
      <w:r w:rsidRPr="00B5050F">
        <w:t xml:space="preserve">. Os sintomas incluem inchaço da cara, lábios, língua, garganta ou outras partes do corpo; erupção na pele, comichão ou urticária na pele, pieira ou dificuldade em respirar. </w:t>
      </w:r>
      <w:r w:rsidRPr="00B5050F">
        <w:rPr>
          <w:b/>
        </w:rPr>
        <w:t>Por favor informe o seu médico</w:t>
      </w:r>
      <w:r w:rsidRPr="00B5050F">
        <w:t xml:space="preserve"> se desenvolver algum destes sintomas enquanto está a ser tratado com </w:t>
      </w:r>
      <w:r w:rsidR="00993AB6" w:rsidRPr="00B5050F">
        <w:rPr>
          <w:szCs w:val="20"/>
        </w:rPr>
        <w:t>Stoboclo</w:t>
      </w:r>
      <w:r w:rsidRPr="00B5050F">
        <w:t>.</w:t>
      </w:r>
    </w:p>
    <w:p w14:paraId="0DE3DAEA" w14:textId="77777777" w:rsidR="005A07F5" w:rsidRPr="00B5050F" w:rsidRDefault="005A07F5" w:rsidP="008B4ED7">
      <w:pPr>
        <w:tabs>
          <w:tab w:val="clear" w:pos="567"/>
        </w:tabs>
      </w:pPr>
    </w:p>
    <w:p w14:paraId="7951F92E" w14:textId="77777777" w:rsidR="00E16AD0" w:rsidRPr="00B5050F" w:rsidRDefault="006C6FD9" w:rsidP="00F51F12">
      <w:pPr>
        <w:keepNext/>
      </w:pPr>
      <w:r w:rsidRPr="00B5050F">
        <w:rPr>
          <w:b/>
        </w:rPr>
        <w:t>Efeitos indesejáveis muito frequentes</w:t>
      </w:r>
      <w:r w:rsidRPr="00B5050F">
        <w:t xml:space="preserve"> (podem afetar mais de 1 em cada 10 pessoas):</w:t>
      </w:r>
    </w:p>
    <w:p w14:paraId="58D14010" w14:textId="77777777" w:rsidR="005A07F5" w:rsidRPr="00B5050F" w:rsidRDefault="005A07F5" w:rsidP="008B4ED7">
      <w:pPr>
        <w:keepNext/>
      </w:pPr>
    </w:p>
    <w:p w14:paraId="6E938472" w14:textId="77777777" w:rsidR="00420B9A" w:rsidRPr="00B5050F" w:rsidRDefault="00420B9A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B5050F">
        <w:t>dor no osso, articulação e/ou músculo que pode ser por vezes grave;</w:t>
      </w:r>
    </w:p>
    <w:p w14:paraId="2C4CF311" w14:textId="77777777" w:rsidR="006C6FD9" w:rsidRPr="00B5050F" w:rsidRDefault="006C6FD9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B5050F">
        <w:t>dor no braço ou na perna (dor nas extremidades).</w:t>
      </w:r>
    </w:p>
    <w:p w14:paraId="1F158B26" w14:textId="77777777" w:rsidR="006C6FD9" w:rsidRPr="00B5050F" w:rsidRDefault="006C6FD9" w:rsidP="008B4ED7">
      <w:pPr>
        <w:numPr>
          <w:ilvl w:val="12"/>
          <w:numId w:val="0"/>
        </w:numPr>
        <w:ind w:right="-2"/>
      </w:pPr>
    </w:p>
    <w:p w14:paraId="1887FE95" w14:textId="77777777" w:rsidR="00E16AD0" w:rsidRPr="00B5050F" w:rsidRDefault="00E16AD0" w:rsidP="00F51F12">
      <w:pPr>
        <w:keepNext/>
      </w:pPr>
      <w:r w:rsidRPr="00B5050F">
        <w:rPr>
          <w:b/>
        </w:rPr>
        <w:t>Efeitos indesejáveis frequentes</w:t>
      </w:r>
      <w:r w:rsidRPr="00B5050F">
        <w:t xml:space="preserve"> (podem afetar até 1 em cada 10 pessoas):</w:t>
      </w:r>
    </w:p>
    <w:p w14:paraId="343E6270" w14:textId="77777777" w:rsidR="00E16AD0" w:rsidRPr="00B5050F" w:rsidRDefault="00E16AD0" w:rsidP="008B4ED7">
      <w:pPr>
        <w:keepNext/>
      </w:pPr>
    </w:p>
    <w:p w14:paraId="58532107" w14:textId="77777777" w:rsidR="00E16AD0" w:rsidRPr="00B5050F" w:rsidRDefault="00E16AD0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B5050F">
        <w:t>dor ao urinar, urinar com frequência, sangue na urina, incapacidade para reter a urina;</w:t>
      </w:r>
    </w:p>
    <w:p w14:paraId="0826E82E" w14:textId="77777777" w:rsidR="00E16AD0" w:rsidRPr="00B5050F" w:rsidRDefault="00E16AD0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B5050F">
        <w:t>infeção do trato respiratório superior;</w:t>
      </w:r>
    </w:p>
    <w:p w14:paraId="57A5EFFF" w14:textId="77777777" w:rsidR="00E16AD0" w:rsidRPr="00B5050F" w:rsidRDefault="00E16AD0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B5050F">
        <w:t>dor, formigueiro ou dormência que se estende pela perna abaixo (ciática);</w:t>
      </w:r>
    </w:p>
    <w:p w14:paraId="13F4E7D3" w14:textId="77777777" w:rsidR="002F61D8" w:rsidRPr="00B5050F" w:rsidRDefault="00E16AD0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B5050F">
        <w:t>prisão de ventre;</w:t>
      </w:r>
    </w:p>
    <w:p w14:paraId="356E497E" w14:textId="77777777" w:rsidR="008603DE" w:rsidRPr="00B5050F" w:rsidRDefault="002F61D8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B5050F">
        <w:t>desconforto abdominal;</w:t>
      </w:r>
    </w:p>
    <w:p w14:paraId="63063752" w14:textId="77777777" w:rsidR="00E16AD0" w:rsidRPr="00B5050F" w:rsidRDefault="00E16AD0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B5050F">
        <w:t>erupção na pele;</w:t>
      </w:r>
    </w:p>
    <w:p w14:paraId="008528BF" w14:textId="77777777" w:rsidR="00F51D48" w:rsidRPr="00B5050F" w:rsidRDefault="006C6FD9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B5050F">
        <w:t>afeção da pele com comichão, vermelhidão e/ou secura (eczema);</w:t>
      </w:r>
    </w:p>
    <w:p w14:paraId="0F78E6B4" w14:textId="3C227791" w:rsidR="006C6FD9" w:rsidRPr="00B5050F" w:rsidRDefault="00F51D48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B5050F">
        <w:t>perda de cabelo (alop</w:t>
      </w:r>
      <w:r w:rsidR="004464E0">
        <w:t>e</w:t>
      </w:r>
      <w:r w:rsidRPr="00B5050F">
        <w:t>cia).</w:t>
      </w:r>
    </w:p>
    <w:p w14:paraId="2C374D87" w14:textId="77777777" w:rsidR="00E16AD0" w:rsidRPr="00B5050F" w:rsidRDefault="00E16AD0" w:rsidP="008B4ED7">
      <w:pPr>
        <w:pStyle w:val="lbltxt"/>
        <w:rPr>
          <w:b/>
          <w:noProof w:val="0"/>
          <w:szCs w:val="22"/>
        </w:rPr>
      </w:pPr>
    </w:p>
    <w:p w14:paraId="60A5F39E" w14:textId="77777777" w:rsidR="00E16AD0" w:rsidRPr="00B5050F" w:rsidRDefault="00E16AD0" w:rsidP="00F51F12">
      <w:pPr>
        <w:keepNext/>
      </w:pPr>
      <w:r w:rsidRPr="00B5050F">
        <w:rPr>
          <w:b/>
        </w:rPr>
        <w:t>Efeitos indesejáveis pouco frequentes</w:t>
      </w:r>
      <w:r w:rsidRPr="00B5050F">
        <w:t xml:space="preserve"> (podem afetar até 1 em cada 100 pessoas):</w:t>
      </w:r>
    </w:p>
    <w:p w14:paraId="597FE61A" w14:textId="77777777" w:rsidR="00E16AD0" w:rsidRPr="00B5050F" w:rsidRDefault="00E16AD0" w:rsidP="008B4ED7">
      <w:pPr>
        <w:keepNext/>
      </w:pPr>
    </w:p>
    <w:p w14:paraId="1AAB529B" w14:textId="77777777" w:rsidR="008603DE" w:rsidRPr="00B5050F" w:rsidRDefault="00E16AD0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B5050F">
        <w:t>febre, vómitos e dor ou desconforto abdominal (diverticulite);</w:t>
      </w:r>
    </w:p>
    <w:p w14:paraId="398CD203" w14:textId="77777777" w:rsidR="00E16AD0" w:rsidRPr="00B5050F" w:rsidRDefault="00E16AD0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B5050F">
        <w:t>infeção do ouvido;</w:t>
      </w:r>
    </w:p>
    <w:p w14:paraId="6A617E6D" w14:textId="1151D523" w:rsidR="000C454F" w:rsidRPr="00B5050F" w:rsidRDefault="000C454F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B5050F">
        <w:t xml:space="preserve">erupção que pode ocorrer na pele ou feridas na boca (erupções medicamentosas </w:t>
      </w:r>
      <w:r w:rsidR="00D067DF" w:rsidRPr="00B5050F">
        <w:t>liquenoides</w:t>
      </w:r>
      <w:r w:rsidRPr="00B5050F">
        <w:t>).</w:t>
      </w:r>
    </w:p>
    <w:p w14:paraId="393C046C" w14:textId="77777777" w:rsidR="00E16AD0" w:rsidRPr="00B5050F" w:rsidRDefault="00E16AD0" w:rsidP="008B4ED7"/>
    <w:p w14:paraId="4E82817E" w14:textId="0B6A62EE" w:rsidR="00E12724" w:rsidRPr="00B5050F" w:rsidRDefault="006D3004" w:rsidP="008B4ED7">
      <w:pPr>
        <w:keepNext/>
      </w:pPr>
      <w:r w:rsidRPr="00B5050F">
        <w:rPr>
          <w:b/>
        </w:rPr>
        <w:t>Efeitos indesejáveis muito raros</w:t>
      </w:r>
      <w:r w:rsidRPr="00B5050F">
        <w:t xml:space="preserve"> (podem afetar até 1 em cada 10</w:t>
      </w:r>
      <w:r w:rsidR="00040EBC">
        <w:t> </w:t>
      </w:r>
      <w:r w:rsidRPr="00B5050F">
        <w:t>000 pessoas):</w:t>
      </w:r>
    </w:p>
    <w:p w14:paraId="7FAEABF1" w14:textId="77777777" w:rsidR="006D3004" w:rsidRPr="00B5050F" w:rsidRDefault="006D3004" w:rsidP="008B4ED7">
      <w:pPr>
        <w:keepNext/>
      </w:pPr>
    </w:p>
    <w:p w14:paraId="6B072F57" w14:textId="77777777" w:rsidR="00E12724" w:rsidRPr="00B5050F" w:rsidRDefault="00177EBD" w:rsidP="00BE67EE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B5050F">
        <w:t>reação alérgica que pode danificar os vasos sanguíneos, sobretudo na pele (p. ex., manchas de cor púrpura ou vermelha</w:t>
      </w:r>
      <w:r w:rsidRPr="00B5050F">
        <w:noBreakHyphen/>
        <w:t>acastanhada, urticária ou úlceras cutâneas) (vasculite por hipersensibilidade).</w:t>
      </w:r>
    </w:p>
    <w:p w14:paraId="0DB000F0" w14:textId="77777777" w:rsidR="00E12724" w:rsidRPr="00B5050F" w:rsidRDefault="00E12724" w:rsidP="00F51F12"/>
    <w:p w14:paraId="3420B30E" w14:textId="77777777" w:rsidR="00DE7911" w:rsidRPr="00B5050F" w:rsidRDefault="00DE7911" w:rsidP="00F51F12">
      <w:pPr>
        <w:keepNext/>
      </w:pPr>
      <w:r w:rsidRPr="00B5050F">
        <w:rPr>
          <w:b/>
        </w:rPr>
        <w:t>Desconhecido</w:t>
      </w:r>
      <w:r w:rsidRPr="00B5050F">
        <w:t xml:space="preserve"> (não pode ser calculado a partir dos dados disponíveis):</w:t>
      </w:r>
    </w:p>
    <w:p w14:paraId="6581FEF1" w14:textId="77777777" w:rsidR="00DE7911" w:rsidRPr="00B5050F" w:rsidRDefault="00DE7911" w:rsidP="008B4ED7">
      <w:pPr>
        <w:keepNext/>
      </w:pPr>
    </w:p>
    <w:p w14:paraId="471E621B" w14:textId="77777777" w:rsidR="00252372" w:rsidRPr="00B5050F" w:rsidRDefault="00177EBD" w:rsidP="008B4ED7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B5050F">
        <w:t>fale com o seu médico se tiver dor de ouvido, corrimento do ouvido e/ou uma infeção do ouvido. Estes podem ser sinais de lesão óssea do ouvido.</w:t>
      </w:r>
    </w:p>
    <w:p w14:paraId="73A677A1" w14:textId="77777777" w:rsidR="00382BC2" w:rsidRPr="00B5050F" w:rsidRDefault="00382BC2" w:rsidP="008B4ED7"/>
    <w:p w14:paraId="544842D0" w14:textId="77777777" w:rsidR="008603DE" w:rsidRPr="00B5050F" w:rsidRDefault="00834859" w:rsidP="00F51F12">
      <w:pPr>
        <w:keepNext/>
        <w:tabs>
          <w:tab w:val="clear" w:pos="567"/>
        </w:tabs>
        <w:rPr>
          <w:b/>
          <w:bCs/>
        </w:rPr>
      </w:pPr>
      <w:r w:rsidRPr="00B5050F">
        <w:rPr>
          <w:b/>
        </w:rPr>
        <w:t>Comunicação de efeitos indesejáveis</w:t>
      </w:r>
    </w:p>
    <w:p w14:paraId="733811FB" w14:textId="77777777" w:rsidR="00834859" w:rsidRPr="00B5050F" w:rsidRDefault="00834859" w:rsidP="008B4ED7">
      <w:pPr>
        <w:keepNext/>
      </w:pPr>
    </w:p>
    <w:p w14:paraId="4916C404" w14:textId="77777777" w:rsidR="008603DE" w:rsidRPr="00B5050F" w:rsidRDefault="00834859" w:rsidP="008B4ED7">
      <w:pPr>
        <w:tabs>
          <w:tab w:val="clear" w:pos="567"/>
        </w:tabs>
      </w:pPr>
      <w:r w:rsidRPr="00B5050F">
        <w:t xml:space="preserve">Se tiver quaisquer efeitos indesejáveis, incluindo possíveis efeitos indesejáveis não indicados neste folheto, fale com o seu médico ou farmacêutico. Também poderá comunicar efeitos indesejáveis diretamente através do </w:t>
      </w:r>
      <w:r>
        <w:rPr>
          <w:highlight w:val="lightGray"/>
        </w:rPr>
        <w:t xml:space="preserve">sistema nacional de notificação mencionado no </w:t>
      </w:r>
      <w:r>
        <w:fldChar w:fldCharType="begin"/>
      </w:r>
      <w:r>
        <w:instrText>HYPERLINK "https://www.ema.europa.eu/documents/template-form/qrd-appendix-v-adverse-drug-reaction-reporting-details_en.docx"</w:instrText>
      </w:r>
      <w:r>
        <w:fldChar w:fldCharType="separate"/>
      </w:r>
      <w:r>
        <w:rPr>
          <w:rStyle w:val="ab"/>
          <w:highlight w:val="lightGray"/>
        </w:rPr>
        <w:t>Apêndice V</w:t>
      </w:r>
      <w:r>
        <w:fldChar w:fldCharType="end"/>
      </w:r>
      <w:r w:rsidRPr="00B5050F">
        <w:t>. Ao comunicar efeitos indesejáveis, estará a ajudar a fornecer mais informações sobre a segurança deste medicamento.</w:t>
      </w:r>
    </w:p>
    <w:p w14:paraId="096AB4C8" w14:textId="77777777" w:rsidR="00382BC2" w:rsidRPr="00B5050F" w:rsidRDefault="00382BC2" w:rsidP="008B4ED7">
      <w:pPr>
        <w:tabs>
          <w:tab w:val="clear" w:pos="567"/>
        </w:tabs>
      </w:pPr>
    </w:p>
    <w:p w14:paraId="5DA622A3" w14:textId="77777777" w:rsidR="00382BC2" w:rsidRPr="00B5050F" w:rsidRDefault="00382BC2" w:rsidP="008B4ED7">
      <w:pPr>
        <w:tabs>
          <w:tab w:val="clear" w:pos="567"/>
        </w:tabs>
      </w:pPr>
    </w:p>
    <w:p w14:paraId="498BBA14" w14:textId="0B61F551" w:rsidR="00382BC2" w:rsidRPr="00B5050F" w:rsidRDefault="00382BC2" w:rsidP="008B4ED7">
      <w:pPr>
        <w:keepNext/>
        <w:tabs>
          <w:tab w:val="clear" w:pos="567"/>
        </w:tabs>
        <w:ind w:left="567" w:hanging="567"/>
        <w:rPr>
          <w:b/>
        </w:rPr>
      </w:pPr>
      <w:r w:rsidRPr="00B5050F">
        <w:rPr>
          <w:b/>
        </w:rPr>
        <w:t>5.</w:t>
      </w:r>
      <w:r w:rsidRPr="00B5050F">
        <w:rPr>
          <w:b/>
        </w:rPr>
        <w:tab/>
        <w:t xml:space="preserve">Como conservar </w:t>
      </w:r>
      <w:r w:rsidR="00993AB6" w:rsidRPr="00B5050F">
        <w:rPr>
          <w:b/>
        </w:rPr>
        <w:t>Stoboclo</w:t>
      </w:r>
    </w:p>
    <w:p w14:paraId="106E7C91" w14:textId="77777777" w:rsidR="00382BC2" w:rsidRPr="00B5050F" w:rsidRDefault="00382BC2" w:rsidP="008B4ED7">
      <w:pPr>
        <w:keepNext/>
      </w:pPr>
    </w:p>
    <w:p w14:paraId="79AD7E58" w14:textId="77777777" w:rsidR="00382BC2" w:rsidRPr="00B5050F" w:rsidRDefault="00382BC2" w:rsidP="005D1ED2">
      <w:pPr>
        <w:keepNext/>
        <w:tabs>
          <w:tab w:val="clear" w:pos="567"/>
        </w:tabs>
      </w:pPr>
      <w:r w:rsidRPr="00B5050F">
        <w:t>Manter este medicamento fora da vista e do alcance das crianças.</w:t>
      </w:r>
    </w:p>
    <w:p w14:paraId="0FD4F49A" w14:textId="77777777" w:rsidR="00382BC2" w:rsidRPr="00B5050F" w:rsidRDefault="00382BC2" w:rsidP="008B4ED7">
      <w:pPr>
        <w:tabs>
          <w:tab w:val="clear" w:pos="567"/>
        </w:tabs>
      </w:pPr>
    </w:p>
    <w:p w14:paraId="77B86A85" w14:textId="77777777" w:rsidR="00382BC2" w:rsidRPr="00B5050F" w:rsidRDefault="00382BC2" w:rsidP="008B4ED7">
      <w:pPr>
        <w:tabs>
          <w:tab w:val="clear" w:pos="567"/>
        </w:tabs>
      </w:pPr>
      <w:r w:rsidRPr="00B5050F">
        <w:t>Não utilize este medicamento após o prazo de validade impresso no rótulo e na embalagem exterior, após EXP. O prazo de validade corresponde ao último dia do mês indicado.</w:t>
      </w:r>
    </w:p>
    <w:p w14:paraId="78DB6174" w14:textId="77777777" w:rsidR="00382BC2" w:rsidRPr="00B5050F" w:rsidRDefault="00382BC2" w:rsidP="008B4ED7">
      <w:pPr>
        <w:tabs>
          <w:tab w:val="clear" w:pos="567"/>
        </w:tabs>
      </w:pPr>
    </w:p>
    <w:p w14:paraId="1336AA23" w14:textId="77777777" w:rsidR="00382BC2" w:rsidRPr="00B5050F" w:rsidRDefault="00382BC2" w:rsidP="008B4ED7">
      <w:pPr>
        <w:tabs>
          <w:tab w:val="clear" w:pos="567"/>
        </w:tabs>
      </w:pPr>
      <w:r w:rsidRPr="00B5050F">
        <w:t>Conservar no frigorífico (2°C – 8°C).</w:t>
      </w:r>
    </w:p>
    <w:p w14:paraId="3329B218" w14:textId="77777777" w:rsidR="00382BC2" w:rsidRPr="00B5050F" w:rsidRDefault="00382BC2" w:rsidP="008B4ED7">
      <w:pPr>
        <w:tabs>
          <w:tab w:val="clear" w:pos="567"/>
        </w:tabs>
      </w:pPr>
      <w:r w:rsidRPr="00B5050F">
        <w:t>Não congelar.</w:t>
      </w:r>
    </w:p>
    <w:p w14:paraId="61A21118" w14:textId="77777777" w:rsidR="00601A36" w:rsidRPr="00B5050F" w:rsidRDefault="00601A36" w:rsidP="008B4ED7">
      <w:pPr>
        <w:tabs>
          <w:tab w:val="clear" w:pos="567"/>
        </w:tabs>
      </w:pPr>
      <w:r w:rsidRPr="00B5050F">
        <w:t>Manter a seringa pré</w:t>
      </w:r>
      <w:r w:rsidRPr="00B5050F">
        <w:noBreakHyphen/>
        <w:t>cheia dentro da embalagem exterior para proteger da luz.</w:t>
      </w:r>
    </w:p>
    <w:p w14:paraId="21769F69" w14:textId="77777777" w:rsidR="00382BC2" w:rsidRPr="00B5050F" w:rsidRDefault="00382BC2" w:rsidP="008B4ED7">
      <w:pPr>
        <w:tabs>
          <w:tab w:val="clear" w:pos="567"/>
        </w:tabs>
      </w:pPr>
    </w:p>
    <w:p w14:paraId="5ECE42E1" w14:textId="6FFF7FD7" w:rsidR="00382BC2" w:rsidRPr="00B5050F" w:rsidRDefault="00382BC2" w:rsidP="008B4ED7">
      <w:pPr>
        <w:tabs>
          <w:tab w:val="clear" w:pos="567"/>
        </w:tabs>
      </w:pPr>
      <w:r w:rsidRPr="00B5050F">
        <w:t>A sua seringa pré</w:t>
      </w:r>
      <w:r w:rsidRPr="00B5050F">
        <w:noBreakHyphen/>
        <w:t xml:space="preserve">cheia pode ficar fora do frigorífico até atingir a temperatura ambiente (até 25°C) antes de injetar. Assim tornará a injeção mais confortável. Uma vez fora do frigorífico para atingir a temperatura ambiente (até 25°C), a seringa </w:t>
      </w:r>
      <w:r w:rsidR="00174D83">
        <w:t>tem de</w:t>
      </w:r>
      <w:r w:rsidRPr="00B5050F">
        <w:t xml:space="preserve"> ser utilizada no prazo de </w:t>
      </w:r>
      <w:r w:rsidR="00993AB6" w:rsidRPr="00B5050F">
        <w:t>1 mês</w:t>
      </w:r>
      <w:r w:rsidRPr="00B5050F">
        <w:t>.</w:t>
      </w:r>
    </w:p>
    <w:p w14:paraId="29E8935F" w14:textId="77777777" w:rsidR="00382BC2" w:rsidRPr="00B5050F" w:rsidRDefault="00382BC2" w:rsidP="008B4ED7">
      <w:pPr>
        <w:tabs>
          <w:tab w:val="clear" w:pos="567"/>
        </w:tabs>
      </w:pPr>
    </w:p>
    <w:p w14:paraId="5A6A70FC" w14:textId="77777777" w:rsidR="00382BC2" w:rsidRPr="00B5050F" w:rsidRDefault="00382BC2" w:rsidP="008B4ED7">
      <w:pPr>
        <w:tabs>
          <w:tab w:val="clear" w:pos="567"/>
        </w:tabs>
      </w:pPr>
      <w:r w:rsidRPr="00B5050F">
        <w:t>Não deite fora quaisquer medicamentos na canalização ou no lixo doméstico. Pergunte ao seu farmacêutico como deitar fora os medicamentos que já não utiliza. Estas medidas ajudarão a proteger o ambiente.</w:t>
      </w:r>
    </w:p>
    <w:p w14:paraId="407D6CB5" w14:textId="77777777" w:rsidR="00382BC2" w:rsidRPr="00B5050F" w:rsidRDefault="00382BC2" w:rsidP="008B4ED7">
      <w:pPr>
        <w:tabs>
          <w:tab w:val="clear" w:pos="567"/>
        </w:tabs>
      </w:pPr>
    </w:p>
    <w:p w14:paraId="26C02A95" w14:textId="77777777" w:rsidR="00382BC2" w:rsidRPr="00B5050F" w:rsidRDefault="00382BC2" w:rsidP="008B4ED7">
      <w:pPr>
        <w:tabs>
          <w:tab w:val="clear" w:pos="567"/>
        </w:tabs>
      </w:pPr>
    </w:p>
    <w:p w14:paraId="352E4CE7" w14:textId="77777777" w:rsidR="008603DE" w:rsidRPr="00B5050F" w:rsidRDefault="00382BC2" w:rsidP="008B4ED7">
      <w:pPr>
        <w:keepNext/>
        <w:tabs>
          <w:tab w:val="clear" w:pos="567"/>
        </w:tabs>
        <w:ind w:left="567" w:hanging="567"/>
        <w:rPr>
          <w:b/>
        </w:rPr>
      </w:pPr>
      <w:r w:rsidRPr="00B5050F">
        <w:rPr>
          <w:b/>
        </w:rPr>
        <w:t>6.</w:t>
      </w:r>
      <w:r w:rsidRPr="00B5050F">
        <w:rPr>
          <w:b/>
        </w:rPr>
        <w:tab/>
        <w:t>Conteúdo da embalagem e outras informações</w:t>
      </w:r>
    </w:p>
    <w:p w14:paraId="4C490B4A" w14:textId="77777777" w:rsidR="00382BC2" w:rsidRPr="00B5050F" w:rsidRDefault="00382BC2" w:rsidP="008B4ED7">
      <w:pPr>
        <w:keepNext/>
      </w:pPr>
    </w:p>
    <w:p w14:paraId="2942F9C4" w14:textId="323BEE24" w:rsidR="00382BC2" w:rsidRPr="00B5050F" w:rsidRDefault="00382BC2" w:rsidP="00F51F12">
      <w:pPr>
        <w:keepNext/>
        <w:tabs>
          <w:tab w:val="clear" w:pos="567"/>
        </w:tabs>
        <w:rPr>
          <w:b/>
          <w:bCs/>
        </w:rPr>
      </w:pPr>
      <w:r w:rsidRPr="00B5050F">
        <w:rPr>
          <w:b/>
        </w:rPr>
        <w:t xml:space="preserve">Qual a composição de </w:t>
      </w:r>
      <w:r w:rsidR="00993AB6" w:rsidRPr="00B5050F">
        <w:rPr>
          <w:b/>
        </w:rPr>
        <w:t>Stoboclo</w:t>
      </w:r>
    </w:p>
    <w:p w14:paraId="09748C8E" w14:textId="77777777" w:rsidR="00382BC2" w:rsidRPr="00B5050F" w:rsidRDefault="00382BC2" w:rsidP="008B4ED7">
      <w:pPr>
        <w:keepNext/>
      </w:pPr>
    </w:p>
    <w:p w14:paraId="5740C77A" w14:textId="77777777" w:rsidR="00382BC2" w:rsidRPr="00B5050F" w:rsidRDefault="00382BC2" w:rsidP="00F51F12">
      <w:pPr>
        <w:numPr>
          <w:ilvl w:val="0"/>
          <w:numId w:val="56"/>
        </w:numPr>
        <w:ind w:left="567" w:hanging="567"/>
      </w:pPr>
      <w:r w:rsidRPr="00B5050F">
        <w:t>A substância ativa é denosumab. Cada seringa pré</w:t>
      </w:r>
      <w:r w:rsidRPr="00B5050F">
        <w:noBreakHyphen/>
        <w:t>cheia de 1 ml contém 60 mg de denosumab (60 mg/ml).</w:t>
      </w:r>
    </w:p>
    <w:p w14:paraId="6B316D62" w14:textId="6413D7B8" w:rsidR="008603DE" w:rsidRPr="00B5050F" w:rsidRDefault="00382BC2" w:rsidP="00F51F12">
      <w:pPr>
        <w:numPr>
          <w:ilvl w:val="0"/>
          <w:numId w:val="56"/>
        </w:numPr>
        <w:ind w:left="567" w:hanging="567"/>
      </w:pPr>
      <w:r w:rsidRPr="00B5050F">
        <w:t xml:space="preserve">Os outros componentes são ácido acético, </w:t>
      </w:r>
      <w:r w:rsidR="00993AB6" w:rsidRPr="00B5050F">
        <w:t xml:space="preserve">acetato </w:t>
      </w:r>
      <w:r w:rsidRPr="00B5050F">
        <w:t>de sódio</w:t>
      </w:r>
      <w:r w:rsidR="00993AB6" w:rsidRPr="00B5050F">
        <w:t xml:space="preserve"> tri-hidratado</w:t>
      </w:r>
      <w:r w:rsidRPr="00B5050F">
        <w:t>, sorbitol (E420), polissorbato 20</w:t>
      </w:r>
      <w:r w:rsidR="00993AB6" w:rsidRPr="00B5050F">
        <w:t xml:space="preserve"> (E432)</w:t>
      </w:r>
      <w:r w:rsidRPr="00B5050F">
        <w:t xml:space="preserve"> e água para preparações injetáveis.</w:t>
      </w:r>
    </w:p>
    <w:p w14:paraId="623E2F2D" w14:textId="77777777" w:rsidR="00382BC2" w:rsidRPr="00B5050F" w:rsidRDefault="00382BC2" w:rsidP="008B4ED7">
      <w:pPr>
        <w:ind w:right="-2"/>
      </w:pPr>
    </w:p>
    <w:p w14:paraId="06A4C4D1" w14:textId="68479877" w:rsidR="00382BC2" w:rsidRPr="00B5050F" w:rsidRDefault="00382BC2" w:rsidP="00F51F12">
      <w:pPr>
        <w:keepNext/>
        <w:tabs>
          <w:tab w:val="clear" w:pos="567"/>
        </w:tabs>
        <w:rPr>
          <w:b/>
          <w:bCs/>
        </w:rPr>
      </w:pPr>
      <w:r w:rsidRPr="00B5050F">
        <w:rPr>
          <w:b/>
        </w:rPr>
        <w:t xml:space="preserve">Qual o aspeto de </w:t>
      </w:r>
      <w:r w:rsidR="00993AB6" w:rsidRPr="00B5050F">
        <w:rPr>
          <w:b/>
          <w:bCs/>
        </w:rPr>
        <w:t>Stoboclo</w:t>
      </w:r>
      <w:r w:rsidRPr="00B5050F">
        <w:rPr>
          <w:b/>
        </w:rPr>
        <w:t xml:space="preserve"> e conteúdo da embalagem</w:t>
      </w:r>
    </w:p>
    <w:p w14:paraId="7A1F35E0" w14:textId="77777777" w:rsidR="00382BC2" w:rsidRPr="00B5050F" w:rsidRDefault="00382BC2" w:rsidP="008B4ED7">
      <w:pPr>
        <w:keepNext/>
      </w:pPr>
    </w:p>
    <w:p w14:paraId="1A62DC2C" w14:textId="0C6DF03A" w:rsidR="008603DE" w:rsidRPr="00B5050F" w:rsidRDefault="00993AB6" w:rsidP="008B4ED7">
      <w:pPr>
        <w:tabs>
          <w:tab w:val="clear" w:pos="567"/>
        </w:tabs>
      </w:pPr>
      <w:r w:rsidRPr="00B5050F">
        <w:t>Stoboclo</w:t>
      </w:r>
      <w:r w:rsidR="00382BC2" w:rsidRPr="00B5050F">
        <w:t xml:space="preserve"> é uma solução injetável límpida, incolor a amarel</w:t>
      </w:r>
      <w:r w:rsidR="00040EBC">
        <w:t>o-</w:t>
      </w:r>
      <w:r w:rsidRPr="00B5050F">
        <w:t>pálida</w:t>
      </w:r>
      <w:r w:rsidR="00382BC2" w:rsidRPr="00B5050F">
        <w:t xml:space="preserve"> fornecida numa seringa pré</w:t>
      </w:r>
      <w:r w:rsidR="00382BC2" w:rsidRPr="00B5050F">
        <w:noBreakHyphen/>
        <w:t>cheia pronta a utilizar.</w:t>
      </w:r>
    </w:p>
    <w:p w14:paraId="5DA538F5" w14:textId="77777777" w:rsidR="00382BC2" w:rsidRPr="00B5050F" w:rsidRDefault="00382BC2" w:rsidP="008B4ED7">
      <w:pPr>
        <w:tabs>
          <w:tab w:val="clear" w:pos="567"/>
        </w:tabs>
      </w:pPr>
    </w:p>
    <w:p w14:paraId="2686F8F4" w14:textId="70A5A10E" w:rsidR="00382BC2" w:rsidRPr="00B5050F" w:rsidRDefault="00382BC2" w:rsidP="00F51F12">
      <w:pPr>
        <w:keepNext/>
        <w:tabs>
          <w:tab w:val="clear" w:pos="567"/>
        </w:tabs>
      </w:pPr>
      <w:r w:rsidRPr="00B5050F">
        <w:t>Cada embalagem contém uma seringa pré</w:t>
      </w:r>
      <w:r w:rsidRPr="00B5050F">
        <w:noBreakHyphen/>
        <w:t xml:space="preserve">cheia com uma proteção </w:t>
      </w:r>
      <w:r w:rsidR="00993AB6" w:rsidRPr="00B5050F">
        <w:t>de segurança</w:t>
      </w:r>
      <w:r w:rsidRPr="00B5050F">
        <w:t>.</w:t>
      </w:r>
    </w:p>
    <w:p w14:paraId="343C2F60" w14:textId="77777777" w:rsidR="00601A36" w:rsidRPr="00B5050F" w:rsidRDefault="00601A36" w:rsidP="008B4ED7">
      <w:pPr>
        <w:tabs>
          <w:tab w:val="clear" w:pos="567"/>
        </w:tabs>
      </w:pPr>
    </w:p>
    <w:p w14:paraId="4236F47F" w14:textId="77777777" w:rsidR="00F54EEB" w:rsidRPr="00603CDE" w:rsidRDefault="00F54EEB" w:rsidP="008B4ED7">
      <w:pPr>
        <w:keepNext/>
        <w:autoSpaceDE w:val="0"/>
        <w:autoSpaceDN w:val="0"/>
        <w:adjustRightInd w:val="0"/>
        <w:rPr>
          <w:b/>
          <w:bCs/>
        </w:rPr>
      </w:pPr>
      <w:r w:rsidRPr="00603CDE">
        <w:rPr>
          <w:b/>
        </w:rPr>
        <w:t>Titular da Autorização de Introdução no Mercado</w:t>
      </w:r>
    </w:p>
    <w:p w14:paraId="514E7B2F" w14:textId="77777777" w:rsidR="00993AB6" w:rsidRPr="00340F20" w:rsidRDefault="00313547" w:rsidP="00993AB6">
      <w:pPr>
        <w:keepNext/>
        <w:autoSpaceDE w:val="0"/>
        <w:autoSpaceDN w:val="0"/>
        <w:adjustRightInd w:val="0"/>
        <w:rPr>
          <w:lang w:val="en-US"/>
        </w:rPr>
      </w:pPr>
      <w:r w:rsidRPr="00340F20">
        <w:rPr>
          <w:lang w:val="en-US"/>
        </w:rPr>
        <w:t>Celltrion Healthcare Hungary Kft.</w:t>
      </w:r>
    </w:p>
    <w:p w14:paraId="4AD8AC1D" w14:textId="77777777" w:rsidR="00993AB6" w:rsidRPr="00340F20" w:rsidRDefault="00313547" w:rsidP="00993AB6">
      <w:pPr>
        <w:keepNext/>
        <w:autoSpaceDE w:val="0"/>
        <w:autoSpaceDN w:val="0"/>
        <w:adjustRightInd w:val="0"/>
        <w:rPr>
          <w:lang w:val="en-US"/>
        </w:rPr>
      </w:pPr>
      <w:r w:rsidRPr="00340F20">
        <w:rPr>
          <w:lang w:val="en-US"/>
        </w:rPr>
        <w:t>1062 Budapest</w:t>
      </w:r>
    </w:p>
    <w:p w14:paraId="754FBFE8" w14:textId="77777777" w:rsidR="00993AB6" w:rsidRPr="00340F20" w:rsidRDefault="00313547" w:rsidP="00993AB6">
      <w:pPr>
        <w:keepNext/>
        <w:autoSpaceDE w:val="0"/>
        <w:autoSpaceDN w:val="0"/>
        <w:adjustRightInd w:val="0"/>
        <w:rPr>
          <w:lang w:val="en-US"/>
        </w:rPr>
      </w:pPr>
      <w:r w:rsidRPr="00340F20">
        <w:rPr>
          <w:lang w:val="en-US"/>
        </w:rPr>
        <w:t xml:space="preserve">Váci </w:t>
      </w:r>
      <w:proofErr w:type="spellStart"/>
      <w:r w:rsidRPr="00340F20">
        <w:rPr>
          <w:lang w:val="en-US"/>
        </w:rPr>
        <w:t>út</w:t>
      </w:r>
      <w:proofErr w:type="spellEnd"/>
      <w:r w:rsidRPr="00340F20">
        <w:rPr>
          <w:lang w:val="en-US"/>
        </w:rPr>
        <w:t xml:space="preserve"> 1-3. </w:t>
      </w:r>
      <w:proofErr w:type="spellStart"/>
      <w:r w:rsidRPr="00340F20">
        <w:rPr>
          <w:lang w:val="en-US"/>
        </w:rPr>
        <w:t>WestEnd</w:t>
      </w:r>
      <w:proofErr w:type="spellEnd"/>
      <w:r w:rsidRPr="00340F20">
        <w:rPr>
          <w:lang w:val="en-US"/>
        </w:rPr>
        <w:t xml:space="preserve"> Office Building B </w:t>
      </w:r>
      <w:proofErr w:type="spellStart"/>
      <w:r w:rsidRPr="00340F20">
        <w:rPr>
          <w:lang w:val="en-US"/>
        </w:rPr>
        <w:t>torony</w:t>
      </w:r>
      <w:proofErr w:type="spellEnd"/>
    </w:p>
    <w:p w14:paraId="008F276C" w14:textId="44DE4945" w:rsidR="00F54EEB" w:rsidRPr="00340F20" w:rsidRDefault="00313547" w:rsidP="008B4ED7">
      <w:pPr>
        <w:autoSpaceDE w:val="0"/>
        <w:autoSpaceDN w:val="0"/>
        <w:adjustRightInd w:val="0"/>
        <w:rPr>
          <w:lang w:val="en-US"/>
        </w:rPr>
      </w:pPr>
      <w:r w:rsidRPr="00340F20">
        <w:rPr>
          <w:lang w:val="en-US"/>
        </w:rPr>
        <w:t>Hungria</w:t>
      </w:r>
    </w:p>
    <w:p w14:paraId="0EE80BFD" w14:textId="77777777" w:rsidR="00085792" w:rsidRPr="00340F20" w:rsidRDefault="00085792" w:rsidP="008B4ED7">
      <w:pPr>
        <w:tabs>
          <w:tab w:val="clear" w:pos="567"/>
        </w:tabs>
        <w:rPr>
          <w:lang w:val="en-US"/>
        </w:rPr>
      </w:pPr>
    </w:p>
    <w:p w14:paraId="7720B3C3" w14:textId="77777777" w:rsidR="00085792" w:rsidRPr="00340F20" w:rsidRDefault="00085792" w:rsidP="008B4ED7">
      <w:pPr>
        <w:keepNext/>
        <w:autoSpaceDE w:val="0"/>
        <w:autoSpaceDN w:val="0"/>
        <w:adjustRightInd w:val="0"/>
        <w:rPr>
          <w:b/>
          <w:bCs/>
          <w:lang w:val="en-US"/>
        </w:rPr>
      </w:pPr>
      <w:r w:rsidRPr="00340F20">
        <w:rPr>
          <w:b/>
          <w:lang w:val="en-US"/>
        </w:rPr>
        <w:t>Fabricante</w:t>
      </w:r>
    </w:p>
    <w:p w14:paraId="3C9D36CA" w14:textId="77777777" w:rsidR="00993AB6" w:rsidRPr="00340F20" w:rsidRDefault="00313547" w:rsidP="00993AB6">
      <w:pPr>
        <w:keepNext/>
        <w:autoSpaceDE w:val="0"/>
        <w:autoSpaceDN w:val="0"/>
        <w:adjustRightInd w:val="0"/>
        <w:rPr>
          <w:lang w:val="en-US"/>
        </w:rPr>
      </w:pPr>
      <w:r w:rsidRPr="00340F20">
        <w:rPr>
          <w:lang w:val="en-US"/>
        </w:rPr>
        <w:t>Nuvisan France S.A.R.L</w:t>
      </w:r>
    </w:p>
    <w:p w14:paraId="764BB7AD" w14:textId="77777777" w:rsidR="00993AB6" w:rsidRPr="00340F20" w:rsidRDefault="00313547" w:rsidP="00993AB6">
      <w:pPr>
        <w:keepNext/>
        <w:autoSpaceDE w:val="0"/>
        <w:autoSpaceDN w:val="0"/>
        <w:adjustRightInd w:val="0"/>
        <w:rPr>
          <w:lang w:val="en-US"/>
        </w:rPr>
      </w:pPr>
      <w:r w:rsidRPr="00340F20">
        <w:rPr>
          <w:lang w:val="en-US"/>
        </w:rPr>
        <w:t>2400 Route des Colles,</w:t>
      </w:r>
    </w:p>
    <w:p w14:paraId="51D24EF3" w14:textId="77777777" w:rsidR="00993AB6" w:rsidRPr="00603CDE" w:rsidRDefault="00313547" w:rsidP="00993AB6">
      <w:pPr>
        <w:keepNext/>
        <w:autoSpaceDE w:val="0"/>
        <w:autoSpaceDN w:val="0"/>
        <w:adjustRightInd w:val="0"/>
      </w:pPr>
      <w:r w:rsidRPr="00603CDE">
        <w:t>Biot, 06410</w:t>
      </w:r>
    </w:p>
    <w:p w14:paraId="69972740" w14:textId="63DEB992" w:rsidR="00085792" w:rsidRPr="00603CDE" w:rsidRDefault="00313547" w:rsidP="008B4ED7">
      <w:pPr>
        <w:autoSpaceDE w:val="0"/>
        <w:autoSpaceDN w:val="0"/>
        <w:adjustRightInd w:val="0"/>
      </w:pPr>
      <w:r w:rsidRPr="00603CDE">
        <w:t>França</w:t>
      </w:r>
    </w:p>
    <w:p w14:paraId="66C9B7A9" w14:textId="77777777" w:rsidR="00382BC2" w:rsidRPr="00B5050F" w:rsidRDefault="00382BC2" w:rsidP="008B4ED7">
      <w:pPr>
        <w:tabs>
          <w:tab w:val="clear" w:pos="567"/>
        </w:tabs>
      </w:pPr>
    </w:p>
    <w:p w14:paraId="6397C06F" w14:textId="77777777" w:rsidR="007E53D0" w:rsidRPr="00A4407A" w:rsidRDefault="007E53D0" w:rsidP="008B4ED7">
      <w:pPr>
        <w:keepNext/>
        <w:autoSpaceDE w:val="0"/>
        <w:autoSpaceDN w:val="0"/>
        <w:adjustRightInd w:val="0"/>
        <w:rPr>
          <w:b/>
          <w:bCs/>
        </w:rPr>
      </w:pPr>
      <w:r w:rsidRPr="00A4407A">
        <w:rPr>
          <w:b/>
        </w:rPr>
        <w:lastRenderedPageBreak/>
        <w:t>Fabricante</w:t>
      </w:r>
    </w:p>
    <w:p w14:paraId="4FBE4DB2" w14:textId="77777777" w:rsidR="00993AB6" w:rsidRPr="00A4407A" w:rsidRDefault="00313547" w:rsidP="00993AB6">
      <w:pPr>
        <w:keepNext/>
        <w:autoSpaceDE w:val="0"/>
        <w:autoSpaceDN w:val="0"/>
        <w:adjustRightInd w:val="0"/>
      </w:pPr>
      <w:r w:rsidRPr="00A4407A">
        <w:t>Midas Pharma GmbH</w:t>
      </w:r>
    </w:p>
    <w:p w14:paraId="52B78AAB" w14:textId="77777777" w:rsidR="00993AB6" w:rsidRPr="00A4407A" w:rsidRDefault="00313547" w:rsidP="00993AB6">
      <w:pPr>
        <w:keepNext/>
        <w:autoSpaceDE w:val="0"/>
        <w:autoSpaceDN w:val="0"/>
        <w:adjustRightInd w:val="0"/>
        <w:rPr>
          <w:lang w:val="en-US"/>
        </w:rPr>
      </w:pPr>
      <w:proofErr w:type="spellStart"/>
      <w:r w:rsidRPr="00A4407A">
        <w:rPr>
          <w:lang w:val="en-US"/>
        </w:rPr>
        <w:t>Rheinstrasse</w:t>
      </w:r>
      <w:proofErr w:type="spellEnd"/>
      <w:r w:rsidRPr="00A4407A">
        <w:rPr>
          <w:lang w:val="en-US"/>
        </w:rPr>
        <w:t xml:space="preserve"> 49, West,</w:t>
      </w:r>
    </w:p>
    <w:p w14:paraId="664F9643" w14:textId="77777777" w:rsidR="00993AB6" w:rsidRPr="00A4407A" w:rsidRDefault="00313547" w:rsidP="00993AB6">
      <w:pPr>
        <w:keepNext/>
        <w:autoSpaceDE w:val="0"/>
        <w:autoSpaceDN w:val="0"/>
        <w:adjustRightInd w:val="0"/>
        <w:rPr>
          <w:lang w:val="en-US"/>
        </w:rPr>
      </w:pPr>
      <w:r w:rsidRPr="00A4407A">
        <w:rPr>
          <w:lang w:val="en-US"/>
        </w:rPr>
        <w:t xml:space="preserve">Ingelheim Am Rhein, </w:t>
      </w:r>
    </w:p>
    <w:p w14:paraId="164487DF" w14:textId="77777777" w:rsidR="00993AB6" w:rsidRPr="00A4407A" w:rsidRDefault="00313547" w:rsidP="00993AB6">
      <w:pPr>
        <w:keepNext/>
        <w:autoSpaceDE w:val="0"/>
        <w:autoSpaceDN w:val="0"/>
        <w:adjustRightInd w:val="0"/>
      </w:pPr>
      <w:r w:rsidRPr="00A4407A">
        <w:t>Rhineland-Palatinate, 55218</w:t>
      </w:r>
    </w:p>
    <w:p w14:paraId="5E1D2F55" w14:textId="77777777" w:rsidR="00993AB6" w:rsidRPr="00A4407A" w:rsidRDefault="00313547" w:rsidP="00993AB6">
      <w:pPr>
        <w:keepNext/>
        <w:autoSpaceDE w:val="0"/>
        <w:autoSpaceDN w:val="0"/>
        <w:adjustRightInd w:val="0"/>
      </w:pPr>
      <w:r w:rsidRPr="00A4407A">
        <w:t>Alemanha</w:t>
      </w:r>
    </w:p>
    <w:p w14:paraId="20ADA7FF" w14:textId="77777777" w:rsidR="00993AB6" w:rsidRPr="00A4407A" w:rsidRDefault="00993AB6" w:rsidP="00993AB6">
      <w:pPr>
        <w:keepNext/>
        <w:autoSpaceDE w:val="0"/>
        <w:autoSpaceDN w:val="0"/>
        <w:adjustRightInd w:val="0"/>
      </w:pPr>
    </w:p>
    <w:p w14:paraId="4112AC7E" w14:textId="77777777" w:rsidR="00993AB6" w:rsidRPr="00A4407A" w:rsidRDefault="00993AB6" w:rsidP="00993AB6">
      <w:pPr>
        <w:keepNext/>
        <w:autoSpaceDE w:val="0"/>
        <w:autoSpaceDN w:val="0"/>
        <w:adjustRightInd w:val="0"/>
        <w:rPr>
          <w:b/>
        </w:rPr>
      </w:pPr>
      <w:r w:rsidRPr="00A4407A">
        <w:rPr>
          <w:b/>
        </w:rPr>
        <w:t>Fabricante</w:t>
      </w:r>
    </w:p>
    <w:p w14:paraId="047022DC" w14:textId="77777777" w:rsidR="00993AB6" w:rsidRPr="00A4407A" w:rsidRDefault="00313547" w:rsidP="00993AB6">
      <w:pPr>
        <w:keepNext/>
        <w:autoSpaceDE w:val="0"/>
        <w:autoSpaceDN w:val="0"/>
        <w:adjustRightInd w:val="0"/>
      </w:pPr>
      <w:r w:rsidRPr="00A4407A">
        <w:t>Kymos S.L.</w:t>
      </w:r>
    </w:p>
    <w:p w14:paraId="5CF61787" w14:textId="77777777" w:rsidR="00993AB6" w:rsidRPr="00A4407A" w:rsidRDefault="00313547" w:rsidP="00993AB6">
      <w:pPr>
        <w:keepNext/>
        <w:autoSpaceDE w:val="0"/>
        <w:autoSpaceDN w:val="0"/>
        <w:adjustRightInd w:val="0"/>
      </w:pPr>
      <w:r w:rsidRPr="00A4407A">
        <w:t>Ronda de Can Fatjó, 7B</w:t>
      </w:r>
    </w:p>
    <w:p w14:paraId="67F18C6D" w14:textId="77777777" w:rsidR="00993AB6" w:rsidRPr="00A4407A" w:rsidRDefault="00313547" w:rsidP="00993AB6">
      <w:pPr>
        <w:keepNext/>
        <w:autoSpaceDE w:val="0"/>
        <w:autoSpaceDN w:val="0"/>
        <w:adjustRightInd w:val="0"/>
      </w:pPr>
      <w:r w:rsidRPr="00A4407A">
        <w:t>Parc Tecnològic del Vallès,</w:t>
      </w:r>
    </w:p>
    <w:p w14:paraId="38A53180" w14:textId="77777777" w:rsidR="00993AB6" w:rsidRPr="00A4407A" w:rsidRDefault="00313547" w:rsidP="00993AB6">
      <w:pPr>
        <w:keepNext/>
        <w:autoSpaceDE w:val="0"/>
        <w:autoSpaceDN w:val="0"/>
        <w:adjustRightInd w:val="0"/>
      </w:pPr>
      <w:r w:rsidRPr="00A4407A">
        <w:t xml:space="preserve">Cerdanyola del Vallès, </w:t>
      </w:r>
    </w:p>
    <w:p w14:paraId="3468D7AA" w14:textId="77777777" w:rsidR="00993AB6" w:rsidRPr="00A4407A" w:rsidRDefault="00313547" w:rsidP="00993AB6">
      <w:pPr>
        <w:keepNext/>
        <w:autoSpaceDE w:val="0"/>
        <w:autoSpaceDN w:val="0"/>
        <w:adjustRightInd w:val="0"/>
      </w:pPr>
      <w:r w:rsidRPr="00A4407A">
        <w:t>Barcelona, 08290</w:t>
      </w:r>
    </w:p>
    <w:p w14:paraId="639A902A" w14:textId="1EFC7131" w:rsidR="007E53D0" w:rsidRPr="00A4407A" w:rsidRDefault="00313547" w:rsidP="008B4ED7">
      <w:pPr>
        <w:autoSpaceDE w:val="0"/>
        <w:autoSpaceDN w:val="0"/>
        <w:adjustRightInd w:val="0"/>
      </w:pPr>
      <w:r w:rsidRPr="00A4407A">
        <w:t>Espanha</w:t>
      </w:r>
    </w:p>
    <w:p w14:paraId="3B9974A6" w14:textId="77777777" w:rsidR="007E53D0" w:rsidRPr="006A5A99" w:rsidRDefault="007E53D0" w:rsidP="008B4ED7">
      <w:pPr>
        <w:tabs>
          <w:tab w:val="clear" w:pos="567"/>
        </w:tabs>
      </w:pPr>
    </w:p>
    <w:p w14:paraId="091CD289" w14:textId="77777777" w:rsidR="00382BC2" w:rsidRPr="00B5050F" w:rsidRDefault="00382BC2" w:rsidP="00BE67EE">
      <w:pPr>
        <w:keepNext/>
        <w:tabs>
          <w:tab w:val="clear" w:pos="567"/>
        </w:tabs>
      </w:pPr>
      <w:r w:rsidRPr="00B5050F">
        <w:t>Para quaisquer informações sobre este medicamento, queira contactar o representante local do Titular da Autorização de Introdução no Mercado:</w:t>
      </w:r>
    </w:p>
    <w:p w14:paraId="31C57729" w14:textId="77777777" w:rsidR="00EE3AB1" w:rsidRPr="00B5050F" w:rsidRDefault="00EE3AB1" w:rsidP="00F51F12">
      <w:pPr>
        <w:keepNext/>
        <w:tabs>
          <w:tab w:val="clear" w:pos="567"/>
        </w:tabs>
      </w:pP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0E20F4" w:rsidRPr="000E20F4" w14:paraId="65801E26" w14:textId="77777777" w:rsidTr="00527191">
        <w:trPr>
          <w:trHeight w:val="1078"/>
        </w:trPr>
        <w:tc>
          <w:tcPr>
            <w:tcW w:w="4678" w:type="dxa"/>
          </w:tcPr>
          <w:p w14:paraId="3BD48257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  <w:r w:rsidRPr="000E20F4">
              <w:rPr>
                <w:rFonts w:eastAsia="Times New Roman"/>
                <w:b/>
                <w:noProof/>
                <w:lang w:val="en-US"/>
              </w:rPr>
              <w:t>België/Belgique/Belgien</w:t>
            </w:r>
          </w:p>
          <w:p w14:paraId="62990D85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0E20F4">
              <w:rPr>
                <w:rFonts w:eastAsia="Times New Roman"/>
                <w:noProof/>
                <w:lang w:val="en-US"/>
              </w:rPr>
              <w:t xml:space="preserve">Celltrion Healthcare Belgium BVBA </w:t>
            </w:r>
          </w:p>
          <w:p w14:paraId="24A89B9B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0E20F4">
              <w:rPr>
                <w:rFonts w:eastAsia="Times New Roman"/>
                <w:noProof/>
                <w:lang w:val="en-US"/>
              </w:rPr>
              <w:t>Tél/Tel: +32 1528 7418</w:t>
            </w:r>
          </w:p>
          <w:p w14:paraId="73665F8C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ind w:right="34"/>
              <w:rPr>
                <w:rFonts w:eastAsia="Times New Roman"/>
                <w:noProof/>
                <w:lang w:val="en-US"/>
              </w:rPr>
            </w:pPr>
            <w:hyperlink r:id="rId14" w:history="1">
              <w:r w:rsidRPr="000E20F4">
                <w:rPr>
                  <w:rFonts w:eastAsia="Times New Roman"/>
                  <w:color w:val="0000FF"/>
                  <w:u w:val="single"/>
                  <w:lang w:val="en-US"/>
                </w:rPr>
                <w:t>BEinfo@celltrionhc.com</w:t>
              </w:r>
            </w:hyperlink>
          </w:p>
          <w:p w14:paraId="396C80AF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ind w:right="34"/>
              <w:rPr>
                <w:rFonts w:eastAsia="Times New Roman"/>
                <w:noProof/>
                <w:lang w:val="en-US"/>
              </w:rPr>
            </w:pPr>
          </w:p>
        </w:tc>
        <w:tc>
          <w:tcPr>
            <w:tcW w:w="4678" w:type="dxa"/>
          </w:tcPr>
          <w:p w14:paraId="1291991C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0E20F4">
              <w:rPr>
                <w:rFonts w:eastAsia="Times New Roman"/>
                <w:b/>
                <w:noProof/>
                <w:lang w:val="en-US"/>
              </w:rPr>
              <w:t>Lietuva</w:t>
            </w:r>
          </w:p>
          <w:p w14:paraId="76AB9159" w14:textId="238D40C4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0E20F4">
              <w:rPr>
                <w:rFonts w:eastAsia="Times New Roman"/>
                <w:noProof/>
                <w:lang w:val="en-US"/>
              </w:rPr>
              <w:t>Celltrion Healthcare Hungary Kft.</w:t>
            </w:r>
          </w:p>
          <w:p w14:paraId="2EF3FCCB" w14:textId="7CFA56B9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0E20F4">
              <w:rPr>
                <w:rFonts w:eastAsia="Times New Roman"/>
                <w:noProof/>
                <w:lang w:val="en-US"/>
              </w:rPr>
              <w:t>Tel: +</w:t>
            </w:r>
            <w:r w:rsidRPr="000E20F4">
              <w:rPr>
                <w:rFonts w:eastAsia="맑은 고딕" w:hint="eastAsia"/>
                <w:noProof/>
                <w:lang w:val="en-US" w:eastAsia="ko-KR"/>
              </w:rPr>
              <w:t xml:space="preserve"> </w:t>
            </w:r>
            <w:r w:rsidRPr="000E20F4">
              <w:rPr>
                <w:rFonts w:eastAsia="Times New Roman"/>
                <w:noProof/>
                <w:lang w:val="en-US"/>
              </w:rPr>
              <w:t>36 1 231 0493</w:t>
            </w:r>
          </w:p>
          <w:p w14:paraId="6135BC27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it-IT"/>
              </w:rPr>
            </w:pPr>
          </w:p>
        </w:tc>
      </w:tr>
      <w:tr w:rsidR="000E20F4" w:rsidRPr="000E20F4" w14:paraId="70E04B07" w14:textId="77777777" w:rsidTr="00527191">
        <w:trPr>
          <w:trHeight w:val="927"/>
        </w:trPr>
        <w:tc>
          <w:tcPr>
            <w:tcW w:w="4678" w:type="dxa"/>
          </w:tcPr>
          <w:p w14:paraId="7F118CEA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val="it-IT"/>
              </w:rPr>
            </w:pPr>
            <w:proofErr w:type="spellStart"/>
            <w:r w:rsidRPr="000E20F4">
              <w:rPr>
                <w:rFonts w:eastAsia="Times New Roman"/>
                <w:b/>
                <w:bCs/>
                <w:lang w:val="en-US"/>
              </w:rPr>
              <w:t>България</w:t>
            </w:r>
            <w:proofErr w:type="spellEnd"/>
          </w:p>
          <w:p w14:paraId="5F57E989" w14:textId="2ADDE7E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0E20F4">
              <w:rPr>
                <w:rFonts w:eastAsia="Times New Roman"/>
                <w:noProof/>
                <w:lang w:val="en-US"/>
              </w:rPr>
              <w:t>Celltrion Healthcare Hungary Kft.</w:t>
            </w:r>
          </w:p>
          <w:p w14:paraId="4AA728C7" w14:textId="1E16439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0E20F4">
              <w:rPr>
                <w:rFonts w:eastAsia="Times New Roman"/>
                <w:noProof/>
                <w:lang w:val="en-US"/>
              </w:rPr>
              <w:t>Teл.: +36 1 231 0493</w:t>
            </w:r>
          </w:p>
          <w:p w14:paraId="09D42560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GB"/>
              </w:rPr>
            </w:pPr>
          </w:p>
        </w:tc>
        <w:tc>
          <w:tcPr>
            <w:tcW w:w="4678" w:type="dxa"/>
          </w:tcPr>
          <w:p w14:paraId="2AAA8781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it-IT"/>
              </w:rPr>
            </w:pPr>
            <w:r w:rsidRPr="000E20F4">
              <w:rPr>
                <w:rFonts w:eastAsia="Times New Roman"/>
                <w:b/>
                <w:noProof/>
                <w:lang w:val="it-IT"/>
              </w:rPr>
              <w:t>Luxembourg/Luxemburg</w:t>
            </w:r>
          </w:p>
          <w:p w14:paraId="6B1D191B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de-DE"/>
              </w:rPr>
            </w:pPr>
            <w:r w:rsidRPr="000E20F4">
              <w:rPr>
                <w:rFonts w:eastAsia="Times New Roman"/>
                <w:noProof/>
                <w:lang w:val="de-DE"/>
              </w:rPr>
              <w:t xml:space="preserve">Celltrion Healthcare Belgium BVBA </w:t>
            </w:r>
          </w:p>
          <w:p w14:paraId="56591851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lang w:val="en-US"/>
              </w:rPr>
            </w:pPr>
            <w:r w:rsidRPr="000E20F4">
              <w:rPr>
                <w:rFonts w:eastAsia="Times New Roman"/>
                <w:noProof/>
                <w:lang w:val="en-US"/>
              </w:rPr>
              <w:t>Té</w:t>
            </w:r>
            <w:r w:rsidRPr="000E20F4">
              <w:rPr>
                <w:rFonts w:eastAsia="Times New Roman"/>
                <w:lang w:val="en-US"/>
              </w:rPr>
              <w:t>l/Tel: +32 1528 7418</w:t>
            </w:r>
          </w:p>
          <w:p w14:paraId="3306D0D7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SimSun"/>
                <w:color w:val="0000FF"/>
                <w:u w:val="single"/>
                <w:lang w:val="en-US" w:eastAsia="en-GB"/>
              </w:rPr>
            </w:pPr>
            <w:hyperlink r:id="rId15" w:history="1">
              <w:r w:rsidRPr="000E20F4">
                <w:rPr>
                  <w:rFonts w:eastAsia="Times New Roman"/>
                  <w:color w:val="0000FF"/>
                  <w:u w:val="single"/>
                  <w:lang w:val="en-US"/>
                </w:rPr>
                <w:t>BEinfo@celltrionhc.com</w:t>
              </w:r>
            </w:hyperlink>
          </w:p>
          <w:p w14:paraId="278693C9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</w:p>
        </w:tc>
      </w:tr>
      <w:tr w:rsidR="000E20F4" w:rsidRPr="000E20F4" w14:paraId="136176AE" w14:textId="77777777" w:rsidTr="00527191">
        <w:trPr>
          <w:trHeight w:val="789"/>
        </w:trPr>
        <w:tc>
          <w:tcPr>
            <w:tcW w:w="4678" w:type="dxa"/>
          </w:tcPr>
          <w:p w14:paraId="67AB308B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sv-FI"/>
              </w:rPr>
            </w:pPr>
            <w:r w:rsidRPr="000E20F4">
              <w:rPr>
                <w:rFonts w:eastAsia="Times New Roman"/>
                <w:b/>
                <w:noProof/>
                <w:lang w:val="sv-FI"/>
              </w:rPr>
              <w:t>Česká republika</w:t>
            </w:r>
          </w:p>
          <w:p w14:paraId="2D723F01" w14:textId="572BB3F2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sv-FI"/>
              </w:rPr>
            </w:pPr>
            <w:r w:rsidRPr="000E20F4">
              <w:rPr>
                <w:rFonts w:eastAsia="Times New Roman"/>
                <w:noProof/>
                <w:lang w:val="sv-FI"/>
              </w:rPr>
              <w:t>Celltrion Healthcare Hungary Kft.</w:t>
            </w:r>
          </w:p>
          <w:p w14:paraId="12E7E288" w14:textId="42A33EAE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0E20F4">
              <w:rPr>
                <w:rFonts w:eastAsia="Times New Roman"/>
                <w:noProof/>
                <w:lang w:val="en-US"/>
              </w:rPr>
              <w:t>Tel: +36 1 231 0493</w:t>
            </w:r>
          </w:p>
          <w:p w14:paraId="64EA34B9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</w:p>
        </w:tc>
        <w:tc>
          <w:tcPr>
            <w:tcW w:w="4678" w:type="dxa"/>
          </w:tcPr>
          <w:p w14:paraId="07F59BB1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b/>
                <w:noProof/>
                <w:lang w:val="en-US"/>
              </w:rPr>
            </w:pPr>
            <w:r w:rsidRPr="000E20F4">
              <w:rPr>
                <w:rFonts w:eastAsia="Times New Roman"/>
                <w:b/>
                <w:noProof/>
                <w:lang w:val="en-US"/>
              </w:rPr>
              <w:t>Magyarország</w:t>
            </w:r>
          </w:p>
          <w:p w14:paraId="746279CA" w14:textId="0BA8650B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0E20F4">
              <w:rPr>
                <w:rFonts w:eastAsia="Times New Roman"/>
                <w:noProof/>
                <w:lang w:val="en-US"/>
              </w:rPr>
              <w:t>Celltrion Healthcare Hungary Kft.</w:t>
            </w:r>
          </w:p>
          <w:p w14:paraId="00E725D6" w14:textId="56390394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맑은 고딕"/>
                <w:noProof/>
                <w:lang w:val="en-US" w:eastAsia="fr-FR"/>
              </w:rPr>
            </w:pPr>
            <w:r w:rsidRPr="000E20F4">
              <w:rPr>
                <w:rFonts w:eastAsia="Times New Roman"/>
                <w:noProof/>
                <w:lang w:val="en-US"/>
              </w:rPr>
              <w:t>Tel.: +</w:t>
            </w:r>
            <w:r w:rsidRPr="000E20F4">
              <w:rPr>
                <w:rFonts w:eastAsia="맑은 고딕"/>
                <w:noProof/>
                <w:lang w:val="en-US" w:eastAsia="fr-FR"/>
              </w:rPr>
              <w:t>36 1 231 0493</w:t>
            </w:r>
          </w:p>
          <w:p w14:paraId="3EA32223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</w:p>
        </w:tc>
      </w:tr>
      <w:tr w:rsidR="000E20F4" w:rsidRPr="000E20F4" w14:paraId="3D4F13E5" w14:textId="77777777" w:rsidTr="00527191">
        <w:trPr>
          <w:trHeight w:val="1186"/>
        </w:trPr>
        <w:tc>
          <w:tcPr>
            <w:tcW w:w="4678" w:type="dxa"/>
          </w:tcPr>
          <w:p w14:paraId="1D12A79D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  <w:r w:rsidRPr="000E20F4">
              <w:rPr>
                <w:rFonts w:eastAsia="Times New Roman"/>
                <w:b/>
                <w:noProof/>
                <w:lang w:val="en-US"/>
              </w:rPr>
              <w:t>Danmark</w:t>
            </w:r>
          </w:p>
          <w:p w14:paraId="6FB4E090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0E20F4">
              <w:rPr>
                <w:rFonts w:eastAsia="Times New Roman"/>
                <w:noProof/>
                <w:lang w:val="en-US"/>
              </w:rPr>
              <w:t xml:space="preserve">Celltrion Healthcare Denmark ApS </w:t>
            </w:r>
          </w:p>
          <w:p w14:paraId="0917ECCD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lang w:val="en-US"/>
              </w:rPr>
            </w:pPr>
            <w:r w:rsidRPr="000E20F4">
              <w:rPr>
                <w:rFonts w:eastAsia="Times New Roman"/>
                <w:noProof/>
                <w:lang w:val="en-US"/>
              </w:rPr>
              <w:t>Tlf.: +45 3535 2989</w:t>
            </w:r>
          </w:p>
          <w:p w14:paraId="75E42AF1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맑은 고딕"/>
                <w:noProof/>
                <w:lang w:val="en-US" w:eastAsia="ko-KR"/>
              </w:rPr>
            </w:pPr>
            <w:hyperlink r:id="rId16" w:history="1">
              <w:r w:rsidRPr="000E20F4">
                <w:rPr>
                  <w:rFonts w:eastAsia="Times New Roman"/>
                  <w:color w:val="0000FF"/>
                  <w:u w:val="single"/>
                  <w:lang w:val="en-US"/>
                </w:rPr>
                <w:t>contact_dk@celltrionhc.com</w:t>
              </w:r>
            </w:hyperlink>
          </w:p>
          <w:p w14:paraId="4D5061C7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맑은 고딕"/>
                <w:noProof/>
                <w:lang w:val="en-US" w:eastAsia="ko-KR"/>
              </w:rPr>
            </w:pPr>
          </w:p>
        </w:tc>
        <w:tc>
          <w:tcPr>
            <w:tcW w:w="4678" w:type="dxa"/>
          </w:tcPr>
          <w:p w14:paraId="1FC3DD72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b/>
                <w:noProof/>
                <w:lang w:val="en-US"/>
              </w:rPr>
            </w:pPr>
            <w:r w:rsidRPr="000E20F4">
              <w:rPr>
                <w:rFonts w:eastAsia="Times New Roman"/>
                <w:b/>
                <w:noProof/>
                <w:lang w:val="en-US"/>
              </w:rPr>
              <w:t>Malta</w:t>
            </w:r>
          </w:p>
          <w:p w14:paraId="38132333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0E20F4">
              <w:rPr>
                <w:rFonts w:eastAsia="Times New Roman"/>
                <w:noProof/>
                <w:lang w:val="en-US"/>
              </w:rPr>
              <w:t>Mint Health Ltd</w:t>
            </w:r>
          </w:p>
          <w:p w14:paraId="513A2BA0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lang w:val="en-US" w:eastAsia="en-GB"/>
              </w:rPr>
            </w:pPr>
            <w:r w:rsidRPr="000E20F4">
              <w:rPr>
                <w:rFonts w:eastAsia="Times New Roman"/>
                <w:noProof/>
                <w:lang w:val="en-US"/>
              </w:rPr>
              <w:t>Tel: +</w:t>
            </w:r>
            <w:r w:rsidRPr="000E20F4">
              <w:rPr>
                <w:rFonts w:eastAsia="Times New Roman"/>
                <w:lang w:val="en-US" w:eastAsia="en-GB"/>
              </w:rPr>
              <w:t>356 2093 9800</w:t>
            </w:r>
          </w:p>
          <w:p w14:paraId="3FA879A2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</w:p>
        </w:tc>
      </w:tr>
      <w:tr w:rsidR="000E20F4" w:rsidRPr="000E20F4" w14:paraId="1DBCD336" w14:textId="77777777" w:rsidTr="00527191">
        <w:tc>
          <w:tcPr>
            <w:tcW w:w="4678" w:type="dxa"/>
          </w:tcPr>
          <w:p w14:paraId="1DBAFC14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noProof/>
                <w:lang w:val="de-DE"/>
              </w:rPr>
            </w:pPr>
            <w:r w:rsidRPr="000E20F4">
              <w:rPr>
                <w:rFonts w:eastAsia="Times New Roman"/>
                <w:b/>
                <w:noProof/>
                <w:lang w:val="de-DE"/>
              </w:rPr>
              <w:t>Deutschland</w:t>
            </w:r>
          </w:p>
          <w:p w14:paraId="29655479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de-DE"/>
              </w:rPr>
            </w:pPr>
            <w:r w:rsidRPr="000E20F4">
              <w:rPr>
                <w:rFonts w:eastAsia="Times New Roman"/>
                <w:noProof/>
                <w:lang w:val="de-DE"/>
              </w:rPr>
              <w:t>Celltrion Healthcare Deutschland GmbH</w:t>
            </w:r>
          </w:p>
          <w:p w14:paraId="2F666B31" w14:textId="31520CF0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lang w:val="de-DE"/>
              </w:rPr>
            </w:pPr>
            <w:r w:rsidRPr="000E20F4">
              <w:rPr>
                <w:rFonts w:eastAsia="Times New Roman"/>
                <w:noProof/>
                <w:lang w:val="de-DE"/>
              </w:rPr>
              <w:t>Tel: +49 303 464 941 50</w:t>
            </w:r>
          </w:p>
          <w:p w14:paraId="072B0A5A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de-DE"/>
              </w:rPr>
            </w:pPr>
            <w:hyperlink r:id="rId17" w:history="1">
              <w:r w:rsidRPr="000E20F4">
                <w:rPr>
                  <w:rFonts w:eastAsia="Times New Roman"/>
                  <w:color w:val="0000FF"/>
                  <w:u w:val="single"/>
                  <w:lang w:val="de-DE"/>
                </w:rPr>
                <w:t>infoDE@celltrionhc.com</w:t>
              </w:r>
            </w:hyperlink>
          </w:p>
          <w:p w14:paraId="1938C01E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de-DE"/>
              </w:rPr>
            </w:pPr>
          </w:p>
        </w:tc>
        <w:tc>
          <w:tcPr>
            <w:tcW w:w="4678" w:type="dxa"/>
          </w:tcPr>
          <w:p w14:paraId="312EF2D3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  <w:r w:rsidRPr="000E20F4">
              <w:rPr>
                <w:rFonts w:eastAsia="Times New Roman"/>
                <w:b/>
                <w:noProof/>
                <w:lang w:val="en-US"/>
              </w:rPr>
              <w:t>Nederland</w:t>
            </w:r>
          </w:p>
          <w:p w14:paraId="71265DC5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0E20F4">
              <w:rPr>
                <w:rFonts w:eastAsia="Times New Roman"/>
                <w:noProof/>
                <w:lang w:val="en-US"/>
              </w:rPr>
              <w:t xml:space="preserve">Celltrion Healthcare Netherlands B.V. </w:t>
            </w:r>
          </w:p>
          <w:p w14:paraId="67E83597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lang w:val="en-US"/>
              </w:rPr>
            </w:pPr>
            <w:r w:rsidRPr="000E20F4">
              <w:rPr>
                <w:rFonts w:eastAsia="Times New Roman"/>
                <w:noProof/>
                <w:lang w:val="en-US"/>
              </w:rPr>
              <w:t>Tel: +</w:t>
            </w:r>
            <w:r w:rsidRPr="000E20F4">
              <w:rPr>
                <w:rFonts w:eastAsia="Times New Roman"/>
                <w:lang w:val="en-US"/>
              </w:rPr>
              <w:t>31 20 888 7300</w:t>
            </w:r>
          </w:p>
          <w:p w14:paraId="525CD8C4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SimSun"/>
                <w:color w:val="0000FF"/>
                <w:u w:val="single"/>
                <w:lang w:val="en-US" w:eastAsia="en-GB"/>
              </w:rPr>
            </w:pPr>
            <w:hyperlink r:id="rId18" w:history="1">
              <w:r w:rsidRPr="000E20F4">
                <w:rPr>
                  <w:rFonts w:eastAsia="Times New Roman"/>
                  <w:color w:val="0000FF"/>
                  <w:u w:val="single"/>
                  <w:lang w:val="en-US"/>
                </w:rPr>
                <w:t>NLinfo@celltrionhc.com</w:t>
              </w:r>
            </w:hyperlink>
          </w:p>
          <w:p w14:paraId="4EF4BB28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</w:p>
        </w:tc>
      </w:tr>
      <w:tr w:rsidR="000E20F4" w:rsidRPr="000E20F4" w14:paraId="0D19B138" w14:textId="77777777" w:rsidTr="00527191">
        <w:trPr>
          <w:trHeight w:val="273"/>
        </w:trPr>
        <w:tc>
          <w:tcPr>
            <w:tcW w:w="4678" w:type="dxa"/>
          </w:tcPr>
          <w:p w14:paraId="6FFF84BF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b/>
                <w:bCs/>
                <w:noProof/>
                <w:lang w:val="en-US"/>
              </w:rPr>
            </w:pPr>
            <w:r w:rsidRPr="000E20F4">
              <w:rPr>
                <w:rFonts w:eastAsia="Times New Roman"/>
                <w:b/>
                <w:bCs/>
                <w:noProof/>
                <w:lang w:val="en-US"/>
              </w:rPr>
              <w:t>Eesti</w:t>
            </w:r>
          </w:p>
          <w:p w14:paraId="38949430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맑은 고딕"/>
                <w:noProof/>
                <w:lang w:val="en-US" w:eastAsia="ko-KR"/>
              </w:rPr>
            </w:pPr>
            <w:r w:rsidRPr="000E20F4">
              <w:rPr>
                <w:rFonts w:eastAsia="Times New Roman"/>
                <w:noProof/>
                <w:lang w:val="en-US"/>
              </w:rPr>
              <w:t xml:space="preserve">Celltrion Healthcare Hungary Kft. </w:t>
            </w:r>
          </w:p>
          <w:p w14:paraId="3705D892" w14:textId="77777777" w:rsidR="000E20F4" w:rsidRPr="00A4407A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맑은 고딕"/>
                <w:noProof/>
                <w:lang w:val="en-US" w:eastAsia="ko-KR"/>
              </w:rPr>
            </w:pPr>
            <w:r w:rsidRPr="000E20F4">
              <w:rPr>
                <w:rFonts w:eastAsia="맑은 고딕"/>
                <w:noProof/>
                <w:lang w:val="en-US" w:eastAsia="ko-KR"/>
              </w:rPr>
              <w:t>Tel: +36 1 231 0493</w:t>
            </w:r>
          </w:p>
          <w:p w14:paraId="7652186D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  <w:hyperlink r:id="rId19" w:history="1">
              <w:r w:rsidRPr="000E20F4">
                <w:rPr>
                  <w:rFonts w:eastAsia="Times New Roman"/>
                  <w:color w:val="0000FF"/>
                  <w:u w:val="single"/>
                  <w:lang w:val="en-US"/>
                </w:rPr>
                <w:t>contact_fi@celltrionhc.com</w:t>
              </w:r>
            </w:hyperlink>
          </w:p>
          <w:p w14:paraId="46800110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</w:p>
        </w:tc>
        <w:tc>
          <w:tcPr>
            <w:tcW w:w="4678" w:type="dxa"/>
          </w:tcPr>
          <w:p w14:paraId="37B59935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  <w:r w:rsidRPr="000E20F4">
              <w:rPr>
                <w:rFonts w:eastAsia="Times New Roman"/>
                <w:b/>
                <w:noProof/>
                <w:lang w:val="en-US"/>
              </w:rPr>
              <w:t>Norge</w:t>
            </w:r>
          </w:p>
          <w:p w14:paraId="4CC34A4A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0E20F4">
              <w:rPr>
                <w:rFonts w:eastAsia="Times New Roman"/>
                <w:noProof/>
                <w:lang w:val="en-US"/>
              </w:rPr>
              <w:t>Celltrion Healthcare Norway AS</w:t>
            </w:r>
          </w:p>
          <w:p w14:paraId="7B05D005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맑은 고딕"/>
                <w:noProof/>
                <w:lang w:val="en-US" w:eastAsia="ko-KR"/>
              </w:rPr>
            </w:pPr>
            <w:hyperlink r:id="rId20" w:history="1">
              <w:r w:rsidRPr="000E20F4">
                <w:rPr>
                  <w:rFonts w:eastAsia="Times New Roman"/>
                  <w:noProof/>
                  <w:color w:val="0000FF"/>
                  <w:u w:val="single"/>
                  <w:lang w:val="en-US"/>
                </w:rPr>
                <w:t>contact_no@celltrionhc.com</w:t>
              </w:r>
            </w:hyperlink>
          </w:p>
          <w:p w14:paraId="290A5989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맑은 고딕"/>
                <w:noProof/>
                <w:lang w:val="en-US" w:eastAsia="ko-KR"/>
              </w:rPr>
            </w:pPr>
          </w:p>
        </w:tc>
      </w:tr>
      <w:tr w:rsidR="000E20F4" w:rsidRPr="000E20F4" w14:paraId="4BFB9C9E" w14:textId="77777777" w:rsidTr="00527191">
        <w:tc>
          <w:tcPr>
            <w:tcW w:w="4678" w:type="dxa"/>
          </w:tcPr>
          <w:p w14:paraId="2DB059A8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noProof/>
                <w:lang w:val="el-GR"/>
              </w:rPr>
            </w:pPr>
            <w:r w:rsidRPr="000E20F4">
              <w:rPr>
                <w:rFonts w:eastAsia="Times New Roman"/>
                <w:b/>
                <w:noProof/>
                <w:lang w:val="el-GR"/>
              </w:rPr>
              <w:t>Ελλάδα</w:t>
            </w:r>
          </w:p>
          <w:p w14:paraId="616C513B" w14:textId="77777777" w:rsidR="000E20F4" w:rsidRPr="00187A3F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</w:rPr>
            </w:pPr>
            <w:r w:rsidRPr="000E20F4">
              <w:rPr>
                <w:rFonts w:eastAsia="Times New Roman"/>
                <w:noProof/>
                <w:lang w:val="en-GB"/>
              </w:rPr>
              <w:t>ΒΙΑΝΕΞ</w:t>
            </w:r>
            <w:r w:rsidRPr="00187A3F">
              <w:rPr>
                <w:rFonts w:eastAsia="Times New Roman"/>
                <w:noProof/>
              </w:rPr>
              <w:t xml:space="preserve"> </w:t>
            </w:r>
            <w:r w:rsidRPr="000E20F4">
              <w:rPr>
                <w:rFonts w:eastAsia="Times New Roman"/>
                <w:noProof/>
                <w:lang w:val="en-GB"/>
              </w:rPr>
              <w:t>Α</w:t>
            </w:r>
            <w:r w:rsidRPr="00187A3F">
              <w:rPr>
                <w:rFonts w:eastAsia="Times New Roman"/>
                <w:noProof/>
              </w:rPr>
              <w:t>.</w:t>
            </w:r>
            <w:r w:rsidRPr="000E20F4">
              <w:rPr>
                <w:rFonts w:eastAsia="Times New Roman"/>
                <w:noProof/>
                <w:lang w:val="en-GB"/>
              </w:rPr>
              <w:t>Ε</w:t>
            </w:r>
            <w:r w:rsidRPr="00187A3F">
              <w:rPr>
                <w:rFonts w:eastAsia="Times New Roman"/>
                <w:noProof/>
              </w:rPr>
              <w:t>.</w:t>
            </w:r>
          </w:p>
          <w:p w14:paraId="13751E0D" w14:textId="33C7254F" w:rsidR="000E20F4" w:rsidRPr="00A4407A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맑은 고딕"/>
                <w:noProof/>
                <w:lang w:val="en-GB" w:eastAsia="ko-KR"/>
              </w:rPr>
            </w:pPr>
            <w:r w:rsidRPr="000E20F4">
              <w:rPr>
                <w:rFonts w:eastAsia="Times New Roman"/>
                <w:noProof/>
                <w:lang w:val="en-GB"/>
              </w:rPr>
              <w:t>Τηλ: +30 210 8009111</w:t>
            </w:r>
          </w:p>
          <w:p w14:paraId="0F0E957E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el-GR"/>
              </w:rPr>
            </w:pPr>
          </w:p>
        </w:tc>
        <w:tc>
          <w:tcPr>
            <w:tcW w:w="4678" w:type="dxa"/>
          </w:tcPr>
          <w:p w14:paraId="3D89C22A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de-DE"/>
              </w:rPr>
            </w:pPr>
            <w:r w:rsidRPr="000E20F4">
              <w:rPr>
                <w:rFonts w:eastAsia="Times New Roman"/>
                <w:b/>
                <w:noProof/>
                <w:lang w:val="de-DE"/>
              </w:rPr>
              <w:t>Österreich</w:t>
            </w:r>
          </w:p>
          <w:p w14:paraId="68EA925B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0E20F4">
              <w:rPr>
                <w:rFonts w:eastAsia="Times New Roman"/>
              </w:rPr>
              <w:t>Astro-Pharma GmbH</w:t>
            </w:r>
          </w:p>
          <w:p w14:paraId="09FDA9BE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</w:rPr>
            </w:pPr>
            <w:r w:rsidRPr="000E20F4">
              <w:rPr>
                <w:rFonts w:eastAsia="Times New Roman"/>
              </w:rPr>
              <w:t>Tel: +43 1 97 99 860</w:t>
            </w:r>
          </w:p>
          <w:p w14:paraId="63659B17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</w:rPr>
            </w:pPr>
          </w:p>
        </w:tc>
      </w:tr>
      <w:tr w:rsidR="000E20F4" w:rsidRPr="000E20F4" w14:paraId="27A60376" w14:textId="77777777" w:rsidTr="00527191">
        <w:tc>
          <w:tcPr>
            <w:tcW w:w="4678" w:type="dxa"/>
          </w:tcPr>
          <w:p w14:paraId="0EB43C62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  <w:tab w:val="left" w:pos="4536"/>
              </w:tabs>
              <w:suppressAutoHyphens/>
              <w:autoSpaceDE w:val="0"/>
              <w:autoSpaceDN w:val="0"/>
              <w:rPr>
                <w:rFonts w:eastAsia="Times New Roman"/>
                <w:b/>
                <w:noProof/>
                <w:lang w:val="es-ES_tradnl"/>
              </w:rPr>
            </w:pPr>
            <w:r w:rsidRPr="000E20F4">
              <w:rPr>
                <w:rFonts w:eastAsia="Times New Roman"/>
                <w:b/>
                <w:noProof/>
                <w:lang w:val="es-ES_tradnl"/>
              </w:rPr>
              <w:t>España</w:t>
            </w:r>
          </w:p>
          <w:p w14:paraId="7F4C5756" w14:textId="77777777" w:rsidR="00C21444" w:rsidRDefault="00C21444" w:rsidP="00C21444">
            <w:pPr>
              <w:adjustRightInd w:val="0"/>
              <w:rPr>
                <w:ins w:id="0" w:author="만든 이"/>
                <w:rFonts w:eastAsiaTheme="minorEastAsia"/>
                <w:lang w:eastAsia="ko-KR"/>
              </w:rPr>
            </w:pPr>
            <w:ins w:id="1" w:author="만든 이">
              <w:r>
                <w:rPr>
                  <w:rFonts w:eastAsiaTheme="minorEastAsia" w:hint="eastAsia"/>
                  <w:lang w:eastAsia="ko-KR"/>
                </w:rPr>
                <w:t>Kern Pharma, S.L.</w:t>
              </w:r>
            </w:ins>
          </w:p>
          <w:p w14:paraId="337D2D0E" w14:textId="2EBF7AD5" w:rsidR="000E20F4" w:rsidRPr="000E20F4" w:rsidDel="00C21444" w:rsidRDefault="00C21444" w:rsidP="00C2144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del w:id="2" w:author="만든 이"/>
                <w:rFonts w:eastAsia="Times New Roman"/>
              </w:rPr>
            </w:pPr>
            <w:ins w:id="3" w:author="만든 이">
              <w:r>
                <w:rPr>
                  <w:rFonts w:eastAsiaTheme="minorEastAsia" w:hint="eastAsia"/>
                  <w:lang w:eastAsia="ko-KR"/>
                </w:rPr>
                <w:t>Tel: +34 93 700 2525</w:t>
              </w:r>
            </w:ins>
            <w:del w:id="4" w:author="만든 이">
              <w:r w:rsidR="000E20F4" w:rsidRPr="000E20F4" w:rsidDel="00C21444">
                <w:rPr>
                  <w:rFonts w:eastAsia="Times New Roman"/>
                </w:rPr>
                <w:delText>CELLTRION FARMACEUTICA (ESPAÑA) S.L</w:delText>
              </w:r>
              <w:r w:rsidR="000E20F4" w:rsidRPr="000E20F4" w:rsidDel="00C21444">
                <w:rPr>
                  <w:rFonts w:eastAsia="맑은 고딕" w:hint="eastAsia"/>
                  <w:lang w:eastAsia="ko-KR"/>
                </w:rPr>
                <w:delText>.</w:delText>
              </w:r>
            </w:del>
          </w:p>
          <w:p w14:paraId="6436476D" w14:textId="56EF0CFD" w:rsidR="000E20F4" w:rsidRPr="00A4407A" w:rsidDel="00C2144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del w:id="5" w:author="만든 이"/>
                <w:rFonts w:eastAsia="맑은 고딕"/>
                <w:lang w:eastAsia="ko-KR"/>
              </w:rPr>
            </w:pPr>
            <w:del w:id="6" w:author="만든 이">
              <w:r w:rsidRPr="000E20F4" w:rsidDel="00C21444">
                <w:rPr>
                  <w:rFonts w:eastAsia="Times New Roman"/>
                </w:rPr>
                <w:delText>Tel: +34 910498478</w:delText>
              </w:r>
            </w:del>
          </w:p>
          <w:p w14:paraId="115F1C88" w14:textId="0F24513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맑은 고딕"/>
                <w:lang w:eastAsia="ko-KR"/>
              </w:rPr>
            </w:pPr>
            <w:del w:id="7" w:author="만든 이">
              <w:r w:rsidDel="00C21444">
                <w:fldChar w:fldCharType="begin"/>
              </w:r>
              <w:r w:rsidDel="00C21444">
                <w:delInstrText>HYPERLINK "mailto:contact_es@celltrion.com"</w:delInstrText>
              </w:r>
              <w:r w:rsidDel="00C21444">
                <w:fldChar w:fldCharType="separate"/>
              </w:r>
              <w:r w:rsidRPr="000E20F4" w:rsidDel="00C21444">
                <w:rPr>
                  <w:rFonts w:eastAsia="맑은 고딕"/>
                  <w:color w:val="0000FF"/>
                  <w:u w:val="single"/>
                  <w:lang w:eastAsia="ko-KR"/>
                </w:rPr>
                <w:delText>contact_es@celltrion.com</w:delText>
              </w:r>
              <w:r w:rsidDel="00C21444">
                <w:fldChar w:fldCharType="end"/>
              </w:r>
            </w:del>
          </w:p>
          <w:p w14:paraId="08D65185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맑은 고딕"/>
                <w:lang w:eastAsia="ko-KR"/>
              </w:rPr>
            </w:pPr>
          </w:p>
        </w:tc>
        <w:tc>
          <w:tcPr>
            <w:tcW w:w="4678" w:type="dxa"/>
          </w:tcPr>
          <w:p w14:paraId="21021311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b/>
                <w:bCs/>
                <w:i/>
                <w:iCs/>
                <w:noProof/>
                <w:lang w:val="pl-PL"/>
              </w:rPr>
            </w:pPr>
            <w:r w:rsidRPr="000E20F4">
              <w:rPr>
                <w:rFonts w:eastAsia="Times New Roman"/>
                <w:b/>
                <w:noProof/>
                <w:lang w:val="pl-PL"/>
              </w:rPr>
              <w:t>Polska</w:t>
            </w:r>
          </w:p>
          <w:p w14:paraId="67A22C0B" w14:textId="665977A1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sv-FI"/>
              </w:rPr>
            </w:pPr>
            <w:r w:rsidRPr="000E20F4">
              <w:rPr>
                <w:rFonts w:eastAsia="Times New Roman"/>
                <w:noProof/>
                <w:lang w:val="sv-FI"/>
              </w:rPr>
              <w:t>Celltrion Healthcare Hungary Kft.</w:t>
            </w:r>
          </w:p>
          <w:p w14:paraId="53809D07" w14:textId="114F5001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0E20F4">
              <w:rPr>
                <w:rFonts w:eastAsia="Times New Roman"/>
                <w:noProof/>
                <w:lang w:val="en-US"/>
              </w:rPr>
              <w:t>Tel.: +36 1 231 0493</w:t>
            </w:r>
          </w:p>
          <w:p w14:paraId="0814F920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</w:p>
        </w:tc>
      </w:tr>
      <w:tr w:rsidR="000E20F4" w:rsidRPr="000E20F4" w14:paraId="5B635FA0" w14:textId="77777777" w:rsidTr="00527191">
        <w:tc>
          <w:tcPr>
            <w:tcW w:w="4678" w:type="dxa"/>
          </w:tcPr>
          <w:p w14:paraId="26DFA09B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  <w:tab w:val="left" w:pos="4536"/>
              </w:tabs>
              <w:suppressAutoHyphens/>
              <w:autoSpaceDE w:val="0"/>
              <w:autoSpaceDN w:val="0"/>
              <w:rPr>
                <w:rFonts w:eastAsia="Times New Roman"/>
                <w:b/>
                <w:noProof/>
                <w:lang w:val="en-US"/>
              </w:rPr>
            </w:pPr>
            <w:r w:rsidRPr="000E20F4">
              <w:rPr>
                <w:rFonts w:eastAsia="Times New Roman"/>
                <w:b/>
                <w:noProof/>
                <w:lang w:val="en-US"/>
              </w:rPr>
              <w:t>France</w:t>
            </w:r>
          </w:p>
          <w:p w14:paraId="6C2132DF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0E20F4">
              <w:rPr>
                <w:rFonts w:eastAsia="Times New Roman"/>
                <w:noProof/>
                <w:lang w:val="en-US"/>
              </w:rPr>
              <w:t>Celltrion Healthcare France SAS</w:t>
            </w:r>
          </w:p>
          <w:p w14:paraId="50A989AD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GB"/>
              </w:rPr>
            </w:pPr>
            <w:r w:rsidRPr="000E20F4">
              <w:rPr>
                <w:rFonts w:eastAsia="Times New Roman"/>
                <w:noProof/>
                <w:lang w:val="en-US"/>
              </w:rPr>
              <w:lastRenderedPageBreak/>
              <w:t>Tél: +33 (0)1 71 25 27 00</w:t>
            </w:r>
          </w:p>
          <w:p w14:paraId="131384A6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b/>
                <w:noProof/>
                <w:lang w:val="fr-FR"/>
              </w:rPr>
            </w:pPr>
          </w:p>
        </w:tc>
        <w:tc>
          <w:tcPr>
            <w:tcW w:w="4678" w:type="dxa"/>
          </w:tcPr>
          <w:p w14:paraId="6ED47CC3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</w:rPr>
            </w:pPr>
            <w:r w:rsidRPr="000E20F4">
              <w:rPr>
                <w:rFonts w:eastAsia="Times New Roman"/>
                <w:b/>
                <w:noProof/>
              </w:rPr>
              <w:lastRenderedPageBreak/>
              <w:t>Portugal</w:t>
            </w:r>
          </w:p>
          <w:p w14:paraId="68C34856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0E20F4">
              <w:rPr>
                <w:rFonts w:eastAsia="Times New Roman"/>
              </w:rPr>
              <w:t xml:space="preserve">CELLTRION PORTUGAL, UNIPESSOAL LDA </w:t>
            </w:r>
            <w:r w:rsidRPr="000E20F4">
              <w:rPr>
                <w:rFonts w:eastAsia="Times New Roman"/>
              </w:rPr>
              <w:br/>
            </w:r>
            <w:r w:rsidRPr="000E20F4">
              <w:rPr>
                <w:rFonts w:eastAsia="Times New Roman"/>
                <w:noProof/>
                <w:lang w:val="en-US"/>
              </w:rPr>
              <w:lastRenderedPageBreak/>
              <w:t>Tel: +351 21 936 8542</w:t>
            </w:r>
          </w:p>
          <w:p w14:paraId="26BB030E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맑은 고딕"/>
                <w:noProof/>
                <w:lang w:eastAsia="ko-KR"/>
              </w:rPr>
            </w:pPr>
            <w:hyperlink r:id="rId21" w:history="1">
              <w:r w:rsidRPr="000E20F4">
                <w:rPr>
                  <w:rFonts w:eastAsia="Times New Roman"/>
                  <w:noProof/>
                  <w:color w:val="0000FF"/>
                  <w:u w:val="single"/>
                </w:rPr>
                <w:t>contact_pt@celltrion.com</w:t>
              </w:r>
            </w:hyperlink>
          </w:p>
          <w:p w14:paraId="6F70F491" w14:textId="77777777" w:rsidR="000E20F4" w:rsidRPr="00A4407A" w:rsidRDefault="000E20F4" w:rsidP="000E20F4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맑은 고딕"/>
                <w:noProof/>
                <w:lang w:eastAsia="ko-KR"/>
              </w:rPr>
            </w:pPr>
          </w:p>
        </w:tc>
      </w:tr>
      <w:tr w:rsidR="000E20F4" w:rsidRPr="000E20F4" w14:paraId="6ABD65FF" w14:textId="77777777" w:rsidTr="00527191">
        <w:tc>
          <w:tcPr>
            <w:tcW w:w="4678" w:type="dxa"/>
          </w:tcPr>
          <w:p w14:paraId="0E586E32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lang w:val="sv-FI"/>
              </w:rPr>
            </w:pPr>
            <w:r w:rsidRPr="000E20F4">
              <w:rPr>
                <w:rFonts w:eastAsia="Times New Roman"/>
                <w:lang w:val="sv-FI"/>
              </w:rPr>
              <w:lastRenderedPageBreak/>
              <w:br w:type="page"/>
            </w:r>
            <w:r w:rsidRPr="000E20F4">
              <w:rPr>
                <w:rFonts w:eastAsia="Times New Roman"/>
                <w:b/>
                <w:lang w:val="sv-FI"/>
              </w:rPr>
              <w:t>Hrvatska</w:t>
            </w:r>
          </w:p>
          <w:p w14:paraId="71882B4F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lang w:val="sv-FI"/>
              </w:rPr>
            </w:pPr>
            <w:r w:rsidRPr="000E20F4">
              <w:rPr>
                <w:rFonts w:eastAsia="Times New Roman"/>
                <w:lang w:val="sv-FI"/>
              </w:rPr>
              <w:t>Oktal Pharma d.o.o.</w:t>
            </w:r>
          </w:p>
          <w:p w14:paraId="0FF269EB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GB"/>
              </w:rPr>
            </w:pPr>
            <w:r w:rsidRPr="000E20F4">
              <w:rPr>
                <w:rFonts w:eastAsia="Times New Roman"/>
                <w:noProof/>
                <w:lang w:val="en-US"/>
              </w:rPr>
              <w:t>Tel: +385 1 6595 777</w:t>
            </w:r>
          </w:p>
          <w:p w14:paraId="61D6055B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</w:p>
        </w:tc>
        <w:tc>
          <w:tcPr>
            <w:tcW w:w="4678" w:type="dxa"/>
          </w:tcPr>
          <w:p w14:paraId="6A985B9B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b/>
                <w:noProof/>
                <w:lang w:val="en-US"/>
              </w:rPr>
            </w:pPr>
            <w:r w:rsidRPr="000E20F4">
              <w:rPr>
                <w:rFonts w:eastAsia="Times New Roman"/>
                <w:b/>
                <w:noProof/>
                <w:lang w:val="en-US"/>
              </w:rPr>
              <w:t>România</w:t>
            </w:r>
          </w:p>
          <w:p w14:paraId="71FF4A8F" w14:textId="2ABCFB26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0E20F4">
              <w:rPr>
                <w:rFonts w:eastAsia="Times New Roman"/>
                <w:noProof/>
                <w:lang w:val="en-US"/>
              </w:rPr>
              <w:t>Celltrion Healthcare Hungary Kft.</w:t>
            </w:r>
          </w:p>
          <w:p w14:paraId="69DC3673" w14:textId="2EFBB0E8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0E20F4">
              <w:rPr>
                <w:rFonts w:eastAsia="Times New Roman"/>
                <w:noProof/>
                <w:lang w:val="en-US"/>
              </w:rPr>
              <w:t>Tel: +36 1 231 0493</w:t>
            </w:r>
          </w:p>
          <w:p w14:paraId="4021C633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</w:p>
        </w:tc>
      </w:tr>
      <w:tr w:rsidR="000E20F4" w:rsidRPr="000E20F4" w14:paraId="77F569DE" w14:textId="77777777" w:rsidTr="00527191">
        <w:tc>
          <w:tcPr>
            <w:tcW w:w="4678" w:type="dxa"/>
          </w:tcPr>
          <w:p w14:paraId="7EFECECF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noProof/>
                <w:lang w:val="nb-NO"/>
              </w:rPr>
            </w:pPr>
            <w:r w:rsidRPr="000E20F4">
              <w:rPr>
                <w:rFonts w:eastAsia="Times New Roman"/>
                <w:b/>
                <w:noProof/>
                <w:lang w:val="nb-NO"/>
              </w:rPr>
              <w:t>Ireland</w:t>
            </w:r>
          </w:p>
          <w:p w14:paraId="1050DFFA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0E20F4">
              <w:rPr>
                <w:rFonts w:eastAsia="Times New Roman"/>
                <w:noProof/>
                <w:lang w:val="en-US"/>
              </w:rPr>
              <w:t xml:space="preserve">Celltrion Healthcare Ireland Limited </w:t>
            </w:r>
          </w:p>
          <w:p w14:paraId="09AD2834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0E20F4">
              <w:rPr>
                <w:rFonts w:eastAsia="Times New Roman"/>
                <w:noProof/>
                <w:lang w:val="en-US"/>
              </w:rPr>
              <w:t>Tel: +353 1 223 4026</w:t>
            </w:r>
          </w:p>
          <w:p w14:paraId="52EC1713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  <w:hyperlink r:id="rId22" w:history="1">
              <w:r w:rsidRPr="000E20F4">
                <w:rPr>
                  <w:rFonts w:eastAsia="Times New Roman"/>
                  <w:color w:val="0000FF"/>
                  <w:u w:val="single"/>
                  <w:lang w:val="en-US"/>
                </w:rPr>
                <w:t>enquiry_ie@celltrionhc.com</w:t>
              </w:r>
            </w:hyperlink>
          </w:p>
          <w:p w14:paraId="463E18FB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noProof/>
                <w:lang w:val="en-GB"/>
              </w:rPr>
            </w:pPr>
          </w:p>
        </w:tc>
        <w:tc>
          <w:tcPr>
            <w:tcW w:w="4678" w:type="dxa"/>
          </w:tcPr>
          <w:p w14:paraId="5751304C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  <w:r w:rsidRPr="000E20F4">
              <w:rPr>
                <w:rFonts w:eastAsia="Times New Roman"/>
                <w:b/>
                <w:noProof/>
                <w:lang w:val="en-US"/>
              </w:rPr>
              <w:t>Slovenija</w:t>
            </w:r>
          </w:p>
          <w:p w14:paraId="60B6A8A7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0E20F4">
              <w:rPr>
                <w:rFonts w:eastAsia="Times New Roman"/>
                <w:noProof/>
                <w:lang w:val="en-US"/>
              </w:rPr>
              <w:t>OPH Oktal Pharma d.o.o.</w:t>
            </w:r>
          </w:p>
          <w:p w14:paraId="5A70EEBA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0E20F4">
              <w:rPr>
                <w:rFonts w:eastAsia="Times New Roman"/>
                <w:noProof/>
                <w:lang w:val="en-US"/>
              </w:rPr>
              <w:t>Tel: +386 1 519 29 22</w:t>
            </w:r>
          </w:p>
          <w:p w14:paraId="39832A2A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b/>
                <w:noProof/>
                <w:lang w:val="en-US"/>
              </w:rPr>
            </w:pPr>
          </w:p>
        </w:tc>
      </w:tr>
      <w:tr w:rsidR="000E20F4" w:rsidRPr="000E20F4" w14:paraId="59C8121D" w14:textId="77777777" w:rsidTr="00527191">
        <w:tc>
          <w:tcPr>
            <w:tcW w:w="4678" w:type="dxa"/>
          </w:tcPr>
          <w:p w14:paraId="1CEB56F9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b/>
                <w:noProof/>
                <w:lang w:val="en-US"/>
              </w:rPr>
            </w:pPr>
            <w:r w:rsidRPr="000E20F4">
              <w:rPr>
                <w:rFonts w:eastAsia="Times New Roman"/>
                <w:b/>
                <w:noProof/>
                <w:lang w:val="en-US"/>
              </w:rPr>
              <w:t>Ísland</w:t>
            </w:r>
          </w:p>
          <w:p w14:paraId="0B744289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맑은 고딕"/>
                <w:noProof/>
                <w:lang w:val="en-US" w:eastAsia="ko-KR"/>
              </w:rPr>
            </w:pPr>
            <w:r w:rsidRPr="000E20F4">
              <w:rPr>
                <w:rFonts w:eastAsia="Times New Roman"/>
                <w:noProof/>
                <w:lang w:val="en-US"/>
              </w:rPr>
              <w:t xml:space="preserve">Celltrion Healthcare Hungary Kft. </w:t>
            </w:r>
          </w:p>
          <w:p w14:paraId="06293E77" w14:textId="77777777" w:rsidR="000E20F4" w:rsidRPr="00A4407A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맑은 고딕"/>
                <w:noProof/>
                <w:lang w:val="en-US" w:eastAsia="ko-KR"/>
              </w:rPr>
            </w:pPr>
            <w:r w:rsidRPr="000E20F4">
              <w:rPr>
                <w:rFonts w:eastAsia="맑은 고딕"/>
                <w:noProof/>
                <w:lang w:val="en-US" w:eastAsia="ko-KR"/>
              </w:rPr>
              <w:t>Sími: +36 1 231 0493</w:t>
            </w:r>
          </w:p>
          <w:p w14:paraId="774E13A6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  <w:hyperlink r:id="rId23" w:history="1">
              <w:r w:rsidRPr="000E20F4">
                <w:rPr>
                  <w:rFonts w:eastAsia="Times New Roman"/>
                  <w:color w:val="0000FF"/>
                  <w:u w:val="single"/>
                  <w:lang w:val="en-US"/>
                </w:rPr>
                <w:t>contact_fi@celltrionhc.com</w:t>
              </w:r>
            </w:hyperlink>
          </w:p>
          <w:p w14:paraId="0954BEE5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</w:p>
        </w:tc>
        <w:tc>
          <w:tcPr>
            <w:tcW w:w="4678" w:type="dxa"/>
          </w:tcPr>
          <w:p w14:paraId="132C06C6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b/>
                <w:noProof/>
                <w:lang w:val="sv-FI"/>
              </w:rPr>
            </w:pPr>
            <w:r w:rsidRPr="000E20F4">
              <w:rPr>
                <w:rFonts w:eastAsia="Times New Roman"/>
                <w:b/>
                <w:noProof/>
                <w:lang w:val="sv-FI"/>
              </w:rPr>
              <w:t>Slovenská republika</w:t>
            </w:r>
          </w:p>
          <w:p w14:paraId="1B0C9A85" w14:textId="08BE6E6E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sv-FI"/>
              </w:rPr>
            </w:pPr>
            <w:r w:rsidRPr="000E20F4">
              <w:rPr>
                <w:rFonts w:eastAsia="Times New Roman"/>
                <w:noProof/>
                <w:lang w:val="sv-FI"/>
              </w:rPr>
              <w:t>Celltrion Healthcare Hungary Kft.</w:t>
            </w:r>
          </w:p>
          <w:p w14:paraId="4D90A9D2" w14:textId="0C9F23A4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0E20F4">
              <w:rPr>
                <w:rFonts w:eastAsia="Times New Roman"/>
                <w:noProof/>
                <w:lang w:val="en-US"/>
              </w:rPr>
              <w:t>Tel: +36 1 231 0493</w:t>
            </w:r>
          </w:p>
          <w:p w14:paraId="41CFBE65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b/>
                <w:noProof/>
                <w:color w:val="008000"/>
                <w:lang w:val="en-US"/>
              </w:rPr>
            </w:pPr>
          </w:p>
        </w:tc>
      </w:tr>
      <w:tr w:rsidR="000E20F4" w:rsidRPr="000E20F4" w14:paraId="505DC0CC" w14:textId="77777777" w:rsidTr="00527191">
        <w:tc>
          <w:tcPr>
            <w:tcW w:w="4678" w:type="dxa"/>
          </w:tcPr>
          <w:p w14:paraId="6B6BD22D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noProof/>
                <w:lang w:val="it-IT"/>
              </w:rPr>
            </w:pPr>
            <w:r w:rsidRPr="000E20F4">
              <w:rPr>
                <w:rFonts w:eastAsia="Times New Roman"/>
                <w:b/>
                <w:noProof/>
                <w:lang w:val="it-IT"/>
              </w:rPr>
              <w:t>Italia</w:t>
            </w:r>
          </w:p>
          <w:p w14:paraId="226AFAEA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0E20F4">
              <w:rPr>
                <w:rFonts w:eastAsia="Times New Roman"/>
                <w:noProof/>
                <w:lang w:val="en-US"/>
              </w:rPr>
              <w:t xml:space="preserve">Celltrion Healthcare Italy S.R.L. </w:t>
            </w:r>
          </w:p>
          <w:p w14:paraId="7D28B281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0E20F4">
              <w:rPr>
                <w:rFonts w:eastAsia="Times New Roman"/>
                <w:noProof/>
                <w:lang w:val="en-US"/>
              </w:rPr>
              <w:t>Tel: +39 0247927040</w:t>
            </w:r>
          </w:p>
          <w:p w14:paraId="1D54F45A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SimSun"/>
                <w:color w:val="0000FF"/>
                <w:u w:val="single"/>
                <w:lang w:val="en-US" w:eastAsia="en-GB"/>
              </w:rPr>
            </w:pPr>
            <w:hyperlink r:id="rId24" w:history="1">
              <w:r w:rsidRPr="000E20F4">
                <w:rPr>
                  <w:rFonts w:eastAsia="Times New Roman"/>
                  <w:color w:val="0000FF"/>
                  <w:u w:val="single"/>
                  <w:lang w:val="en-US"/>
                </w:rPr>
                <w:t>celltrionhealthcare_italy@legalmail.it</w:t>
              </w:r>
            </w:hyperlink>
          </w:p>
          <w:p w14:paraId="5F2EF357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b/>
                <w:noProof/>
                <w:lang w:val="it-IT"/>
              </w:rPr>
            </w:pPr>
          </w:p>
        </w:tc>
        <w:tc>
          <w:tcPr>
            <w:tcW w:w="4678" w:type="dxa"/>
          </w:tcPr>
          <w:p w14:paraId="273A37DC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  <w:tab w:val="left" w:pos="4536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en-GB"/>
              </w:rPr>
            </w:pPr>
            <w:r w:rsidRPr="000E20F4">
              <w:rPr>
                <w:rFonts w:eastAsia="Times New Roman"/>
                <w:b/>
                <w:noProof/>
                <w:lang w:val="en-GB"/>
              </w:rPr>
              <w:t>Suomi/Finland</w:t>
            </w:r>
          </w:p>
          <w:p w14:paraId="7F7DB1EF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0E20F4">
              <w:rPr>
                <w:rFonts w:eastAsia="Times New Roman"/>
                <w:noProof/>
                <w:lang w:val="en-US"/>
              </w:rPr>
              <w:t>Celltrion Healthcare Finland Oy.</w:t>
            </w:r>
          </w:p>
          <w:p w14:paraId="142014D0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0E20F4">
              <w:rPr>
                <w:rFonts w:eastAsia="Times New Roman"/>
                <w:noProof/>
                <w:lang w:val="en-US"/>
              </w:rPr>
              <w:t>Puh/Tel: +358 29 170 7755</w:t>
            </w:r>
          </w:p>
          <w:p w14:paraId="2DCB3420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  <w:hyperlink r:id="rId25" w:history="1">
              <w:r w:rsidRPr="000E20F4">
                <w:rPr>
                  <w:rFonts w:eastAsia="Times New Roman"/>
                  <w:color w:val="0000FF"/>
                  <w:u w:val="single"/>
                  <w:lang w:val="en-US"/>
                </w:rPr>
                <w:t>contact_fi@celltrionhc.com</w:t>
              </w:r>
            </w:hyperlink>
          </w:p>
          <w:p w14:paraId="679B6AD1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</w:p>
        </w:tc>
      </w:tr>
      <w:tr w:rsidR="000E20F4" w:rsidRPr="000E20F4" w14:paraId="3EB0EFDC" w14:textId="77777777" w:rsidTr="00527191">
        <w:tc>
          <w:tcPr>
            <w:tcW w:w="4678" w:type="dxa"/>
          </w:tcPr>
          <w:p w14:paraId="37BA2907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b/>
                <w:noProof/>
                <w:lang w:val="el-GR"/>
              </w:rPr>
            </w:pPr>
            <w:r w:rsidRPr="000E20F4">
              <w:rPr>
                <w:rFonts w:eastAsia="Times New Roman"/>
                <w:b/>
                <w:noProof/>
                <w:lang w:val="el-GR"/>
              </w:rPr>
              <w:t>Κύπρος</w:t>
            </w:r>
          </w:p>
          <w:p w14:paraId="7BC4BFFD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0E20F4">
              <w:rPr>
                <w:rFonts w:eastAsia="Times New Roman"/>
                <w:noProof/>
                <w:lang w:val="en-US"/>
              </w:rPr>
              <w:t>C.A. Papaellinas Ltd</w:t>
            </w:r>
          </w:p>
          <w:p w14:paraId="460653EE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GB"/>
              </w:rPr>
            </w:pPr>
            <w:r w:rsidRPr="000E20F4">
              <w:rPr>
                <w:rFonts w:eastAsia="Times New Roman"/>
                <w:noProof/>
                <w:lang w:val="en-US"/>
              </w:rPr>
              <w:t>Τηλ: +357 22741741</w:t>
            </w:r>
          </w:p>
          <w:p w14:paraId="7BCEB796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b/>
                <w:noProof/>
                <w:lang w:val="el-GR"/>
              </w:rPr>
            </w:pPr>
          </w:p>
        </w:tc>
        <w:tc>
          <w:tcPr>
            <w:tcW w:w="4678" w:type="dxa"/>
          </w:tcPr>
          <w:p w14:paraId="4465E56F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  <w:tab w:val="left" w:pos="4536"/>
              </w:tabs>
              <w:suppressAutoHyphens/>
              <w:autoSpaceDE w:val="0"/>
              <w:autoSpaceDN w:val="0"/>
              <w:rPr>
                <w:rFonts w:eastAsia="Times New Roman"/>
                <w:b/>
                <w:noProof/>
                <w:lang w:val="el-GR"/>
              </w:rPr>
            </w:pPr>
            <w:r w:rsidRPr="000E20F4">
              <w:rPr>
                <w:rFonts w:eastAsia="Times New Roman"/>
                <w:b/>
                <w:noProof/>
                <w:lang w:val="en-US"/>
              </w:rPr>
              <w:t>Sverige</w:t>
            </w:r>
          </w:p>
          <w:p w14:paraId="141FBB8D" w14:textId="50270E76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0E20F4">
              <w:rPr>
                <w:rFonts w:eastAsia="Times New Roman"/>
                <w:noProof/>
                <w:lang w:val="en-US"/>
              </w:rPr>
              <w:t xml:space="preserve">Celltrion Sweden AB </w:t>
            </w:r>
          </w:p>
          <w:p w14:paraId="206ADD1A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  <w:tab w:val="left" w:pos="4536"/>
              </w:tabs>
              <w:suppressAutoHyphens/>
              <w:autoSpaceDE w:val="0"/>
              <w:autoSpaceDN w:val="0"/>
              <w:rPr>
                <w:rFonts w:eastAsia="Times New Roman"/>
                <w:b/>
                <w:noProof/>
                <w:lang w:val="en-US"/>
              </w:rPr>
            </w:pPr>
            <w:hyperlink r:id="rId26" w:history="1">
              <w:r w:rsidRPr="000E20F4">
                <w:rPr>
                  <w:rFonts w:eastAsia="Times New Roman" w:hint="eastAsia"/>
                  <w:noProof/>
                  <w:color w:val="0000FF"/>
                  <w:u w:val="single"/>
                  <w:lang w:val="en-US"/>
                </w:rPr>
                <w:t>contact_se@celltrionhc.com</w:t>
              </w:r>
            </w:hyperlink>
          </w:p>
        </w:tc>
      </w:tr>
      <w:tr w:rsidR="000E20F4" w:rsidRPr="000E20F4" w14:paraId="7D00EF2E" w14:textId="77777777" w:rsidTr="00527191">
        <w:tc>
          <w:tcPr>
            <w:tcW w:w="4678" w:type="dxa"/>
          </w:tcPr>
          <w:p w14:paraId="24EE945B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b/>
                <w:noProof/>
                <w:lang w:val="en-US"/>
              </w:rPr>
            </w:pPr>
            <w:r w:rsidRPr="000E20F4">
              <w:rPr>
                <w:rFonts w:eastAsia="Times New Roman"/>
                <w:b/>
                <w:noProof/>
                <w:lang w:val="en-US"/>
              </w:rPr>
              <w:t>Latvija</w:t>
            </w:r>
          </w:p>
          <w:p w14:paraId="6FBE1AD5" w14:textId="0562B470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0E20F4">
              <w:rPr>
                <w:rFonts w:eastAsia="Times New Roman"/>
                <w:noProof/>
                <w:lang w:val="en-US"/>
              </w:rPr>
              <w:t>Celltrion Healthcare Hungary Kft.</w:t>
            </w:r>
          </w:p>
          <w:p w14:paraId="6B184AEC" w14:textId="36B0F1EC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adjustRightInd w:val="0"/>
              <w:rPr>
                <w:rFonts w:eastAsia="Times New Roman"/>
                <w:noProof/>
                <w:lang w:val="en-US"/>
              </w:rPr>
            </w:pPr>
            <w:r w:rsidRPr="000E20F4">
              <w:rPr>
                <w:rFonts w:eastAsia="맑은 고딕" w:hint="eastAsia"/>
                <w:noProof/>
                <w:lang w:val="en-US" w:eastAsia="ko-KR"/>
              </w:rPr>
              <w:t>Tel</w:t>
            </w:r>
            <w:r w:rsidRPr="000E20F4">
              <w:rPr>
                <w:rFonts w:eastAsia="Times New Roman"/>
                <w:noProof/>
                <w:lang w:val="en-US"/>
              </w:rPr>
              <w:t>: +36 1 231 0493</w:t>
            </w:r>
          </w:p>
          <w:p w14:paraId="1DFF2F28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</w:rPr>
            </w:pPr>
          </w:p>
          <w:p w14:paraId="61C0C8E7" w14:textId="77777777" w:rsidR="000E20F4" w:rsidRPr="000E20F4" w:rsidRDefault="000E20F4" w:rsidP="000E20F4">
            <w:pPr>
              <w:widowControl w:val="0"/>
              <w:tabs>
                <w:tab w:val="clear" w:pos="567"/>
                <w:tab w:val="left" w:pos="-720"/>
              </w:tabs>
              <w:suppressAutoHyphens/>
              <w:autoSpaceDE w:val="0"/>
              <w:autoSpaceDN w:val="0"/>
              <w:rPr>
                <w:rFonts w:eastAsia="Times New Roman"/>
                <w:noProof/>
              </w:rPr>
            </w:pPr>
          </w:p>
        </w:tc>
        <w:tc>
          <w:tcPr>
            <w:tcW w:w="4678" w:type="dxa"/>
          </w:tcPr>
          <w:p w14:paraId="3BE828AD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</w:p>
          <w:p w14:paraId="546D37C2" w14:textId="77777777" w:rsidR="000E20F4" w:rsidRPr="000E20F4" w:rsidRDefault="000E20F4" w:rsidP="000E20F4">
            <w:pPr>
              <w:widowControl w:val="0"/>
              <w:tabs>
                <w:tab w:val="clear" w:pos="567"/>
              </w:tabs>
              <w:autoSpaceDE w:val="0"/>
              <w:autoSpaceDN w:val="0"/>
              <w:rPr>
                <w:rFonts w:eastAsia="Times New Roman"/>
                <w:noProof/>
                <w:lang w:val="en-US"/>
              </w:rPr>
            </w:pPr>
          </w:p>
        </w:tc>
      </w:tr>
    </w:tbl>
    <w:p w14:paraId="60A5A083" w14:textId="77777777" w:rsidR="008603DE" w:rsidRPr="00B5050F" w:rsidRDefault="00382BC2" w:rsidP="00F51F12">
      <w:pPr>
        <w:keepNext/>
        <w:tabs>
          <w:tab w:val="clear" w:pos="567"/>
        </w:tabs>
        <w:rPr>
          <w:b/>
          <w:bCs/>
        </w:rPr>
      </w:pPr>
      <w:r w:rsidRPr="00B5050F">
        <w:rPr>
          <w:b/>
        </w:rPr>
        <w:t>Este folheto informativo foi revisto pela última vez em</w:t>
      </w:r>
    </w:p>
    <w:p w14:paraId="4D0BADDC" w14:textId="77777777" w:rsidR="00382BC2" w:rsidRPr="00B5050F" w:rsidRDefault="00382BC2" w:rsidP="008B4ED7">
      <w:pPr>
        <w:keepNext/>
      </w:pPr>
    </w:p>
    <w:p w14:paraId="5419BCD1" w14:textId="77777777" w:rsidR="00420B9A" w:rsidRPr="00B5050F" w:rsidRDefault="00420B9A" w:rsidP="00F51F12">
      <w:pPr>
        <w:keepNext/>
        <w:tabs>
          <w:tab w:val="clear" w:pos="567"/>
        </w:tabs>
        <w:rPr>
          <w:b/>
          <w:bCs/>
        </w:rPr>
      </w:pPr>
      <w:r w:rsidRPr="00B5050F">
        <w:rPr>
          <w:b/>
        </w:rPr>
        <w:t>Outras fontes de informação</w:t>
      </w:r>
    </w:p>
    <w:p w14:paraId="7A6D8D57" w14:textId="77777777" w:rsidR="00420B9A" w:rsidRPr="00B5050F" w:rsidRDefault="00420B9A" w:rsidP="00210844">
      <w:pPr>
        <w:keepNext/>
        <w:tabs>
          <w:tab w:val="clear" w:pos="567"/>
        </w:tabs>
      </w:pPr>
    </w:p>
    <w:p w14:paraId="57D446A1" w14:textId="1266EC4D" w:rsidR="00382BC2" w:rsidRPr="00B5050F" w:rsidRDefault="00382BC2" w:rsidP="008B4ED7">
      <w:pPr>
        <w:tabs>
          <w:tab w:val="clear" w:pos="567"/>
        </w:tabs>
      </w:pPr>
      <w:r w:rsidRPr="00B5050F">
        <w:t xml:space="preserve">Está disponível informação pormenorizada sobre este medicamento no sítio da Internet da Agência Europeia de Medicamentos: </w:t>
      </w:r>
      <w:hyperlink r:id="rId27" w:history="1">
        <w:r w:rsidR="00275C52" w:rsidRPr="00B5050F">
          <w:rPr>
            <w:rStyle w:val="ab"/>
          </w:rPr>
          <w:t>https://www.ema.europa.eu</w:t>
        </w:r>
      </w:hyperlink>
      <w:r w:rsidR="00275C52" w:rsidRPr="00B5050F">
        <w:rPr>
          <w:lang w:eastAsia="ko-KR"/>
        </w:rPr>
        <w:t>.</w:t>
      </w:r>
    </w:p>
    <w:p w14:paraId="05A66A6E" w14:textId="77777777" w:rsidR="00382BC2" w:rsidRPr="00B5050F" w:rsidRDefault="00382BC2" w:rsidP="008B4ED7">
      <w:pPr>
        <w:tabs>
          <w:tab w:val="clear" w:pos="567"/>
        </w:tabs>
      </w:pPr>
    </w:p>
    <w:p w14:paraId="5C4DAC91" w14:textId="77777777" w:rsidR="00382BC2" w:rsidRPr="00B5050F" w:rsidRDefault="00382BC2" w:rsidP="008B4ED7">
      <w:pPr>
        <w:numPr>
          <w:ilvl w:val="12"/>
          <w:numId w:val="0"/>
        </w:numPr>
        <w:ind w:right="-2"/>
      </w:pPr>
      <w:r w:rsidRPr="00B5050F">
        <w:t>---------------------------------------------------------------------------------------------------------------------------</w:t>
      </w:r>
    </w:p>
    <w:p w14:paraId="2AE20FC4" w14:textId="1183F4E2" w:rsidR="00A22519" w:rsidRDefault="00A22519" w:rsidP="00323042">
      <w:pPr>
        <w:keepNext/>
        <w:tabs>
          <w:tab w:val="clear" w:pos="567"/>
        </w:tabs>
        <w:rPr>
          <w:rFonts w:eastAsia="맑은 고딕"/>
          <w:lang w:eastAsia="ko-KR"/>
        </w:rPr>
      </w:pPr>
    </w:p>
    <w:p w14:paraId="65D1957A" w14:textId="77777777" w:rsidR="00152353" w:rsidRPr="00152353" w:rsidRDefault="00152353" w:rsidP="00323042">
      <w:pPr>
        <w:keepNext/>
        <w:tabs>
          <w:tab w:val="clear" w:pos="567"/>
        </w:tabs>
        <w:rPr>
          <w:rFonts w:eastAsia="맑은 고딕"/>
          <w:lang w:eastAsia="ko-KR"/>
        </w:rPr>
      </w:pPr>
    </w:p>
    <w:p w14:paraId="7F40D59B" w14:textId="77777777" w:rsidR="00323042" w:rsidRPr="00323042" w:rsidRDefault="001F5614" w:rsidP="00323042">
      <w:pPr>
        <w:keepNext/>
        <w:tabs>
          <w:tab w:val="clear" w:pos="567"/>
        </w:tabs>
        <w:rPr>
          <w:rFonts w:eastAsia="맑은 고딕"/>
          <w:b/>
          <w:bCs/>
          <w:lang w:eastAsia="zh-CN"/>
        </w:rPr>
      </w:pPr>
      <w:r>
        <w:rPr>
          <w:rFonts w:eastAsia="맑은 고딕"/>
          <w:b/>
          <w:bCs/>
          <w:lang w:eastAsia="zh-CN"/>
        </w:rPr>
        <w:t>Instruções de utilização</w:t>
      </w:r>
      <w:r w:rsidR="00323042" w:rsidRPr="00323042">
        <w:rPr>
          <w:rFonts w:eastAsia="맑은 고딕"/>
          <w:b/>
          <w:bCs/>
          <w:lang w:eastAsia="zh-CN"/>
        </w:rPr>
        <w:t>:</w:t>
      </w:r>
    </w:p>
    <w:p w14:paraId="754F8C26" w14:textId="77777777" w:rsidR="00323042" w:rsidRPr="00323042" w:rsidRDefault="00323042" w:rsidP="00323042">
      <w:pPr>
        <w:keepNext/>
        <w:tabs>
          <w:tab w:val="clear" w:pos="567"/>
        </w:tabs>
        <w:rPr>
          <w:rFonts w:eastAsia="맑은 고딕"/>
          <w:lang w:eastAsia="zh-CN"/>
        </w:rPr>
      </w:pPr>
    </w:p>
    <w:p w14:paraId="07C07CED" w14:textId="44CCFBDE" w:rsidR="00323042" w:rsidRPr="00323042" w:rsidRDefault="001F5614" w:rsidP="00323042">
      <w:pPr>
        <w:tabs>
          <w:tab w:val="clear" w:pos="567"/>
        </w:tabs>
        <w:rPr>
          <w:rFonts w:eastAsia="맑은 고딕"/>
          <w:lang w:eastAsia="zh-CN"/>
        </w:rPr>
      </w:pPr>
      <w:r>
        <w:rPr>
          <w:rFonts w:eastAsia="맑은 고딕"/>
          <w:lang w:eastAsia="zh-CN"/>
        </w:rPr>
        <w:t xml:space="preserve">Leia e siga as instruções de utilização incluídas com a sua seringa </w:t>
      </w:r>
      <w:r w:rsidRPr="00B5050F">
        <w:t>pré</w:t>
      </w:r>
      <w:r w:rsidRPr="00B5050F">
        <w:noBreakHyphen/>
        <w:t>cheia</w:t>
      </w:r>
      <w:r w:rsidR="00323042" w:rsidRPr="00323042">
        <w:rPr>
          <w:rFonts w:eastAsia="맑은 고딕"/>
          <w:lang w:eastAsia="zh-CN"/>
        </w:rPr>
        <w:t xml:space="preserve"> Stoboclo </w:t>
      </w:r>
      <w:r>
        <w:rPr>
          <w:rFonts w:eastAsia="맑은 고딕"/>
          <w:lang w:eastAsia="zh-CN"/>
        </w:rPr>
        <w:t>antes</w:t>
      </w:r>
      <w:r w:rsidR="00914CA9">
        <w:rPr>
          <w:rFonts w:eastAsia="맑은 고딕"/>
          <w:lang w:eastAsia="zh-CN"/>
        </w:rPr>
        <w:t xml:space="preserve"> </w:t>
      </w:r>
      <w:r>
        <w:rPr>
          <w:rFonts w:eastAsia="맑은 고딕"/>
          <w:lang w:eastAsia="zh-CN"/>
        </w:rPr>
        <w:t>de começar a utiliz</w:t>
      </w:r>
      <w:r w:rsidR="00EE3CC9">
        <w:rPr>
          <w:rFonts w:eastAsia="맑은 고딕"/>
          <w:lang w:eastAsia="zh-CN"/>
        </w:rPr>
        <w:t>á-la</w:t>
      </w:r>
      <w:r>
        <w:rPr>
          <w:rFonts w:eastAsia="맑은 고딕"/>
          <w:lang w:eastAsia="zh-CN"/>
        </w:rPr>
        <w:t xml:space="preserve"> e </w:t>
      </w:r>
      <w:r w:rsidR="00EE3CC9">
        <w:rPr>
          <w:rFonts w:eastAsia="맑은 고딕"/>
          <w:lang w:eastAsia="zh-CN"/>
        </w:rPr>
        <w:t>sempre</w:t>
      </w:r>
      <w:r>
        <w:rPr>
          <w:rFonts w:eastAsia="맑은 고딕"/>
          <w:lang w:eastAsia="zh-CN"/>
        </w:rPr>
        <w:t xml:space="preserve"> que se reabastecer. Pode haver informações novas</w:t>
      </w:r>
      <w:r w:rsidR="00323042" w:rsidRPr="00323042">
        <w:rPr>
          <w:rFonts w:eastAsia="맑은 고딕"/>
          <w:lang w:eastAsia="zh-CN"/>
        </w:rPr>
        <w:t xml:space="preserve">. Stoboclo </w:t>
      </w:r>
      <w:r>
        <w:rPr>
          <w:rFonts w:eastAsia="맑은 고딕"/>
          <w:lang w:eastAsia="zh-CN"/>
        </w:rPr>
        <w:t>pode ser administrado por profissionais de saúde, por prestadores de cuidados ou por doentes que tenham sido instruídos para a autoadministração</w:t>
      </w:r>
      <w:r w:rsidR="00323042" w:rsidRPr="00323042">
        <w:rPr>
          <w:rFonts w:eastAsia="맑은 고딕"/>
          <w:lang w:eastAsia="zh-CN"/>
        </w:rPr>
        <w:t xml:space="preserve">. </w:t>
      </w:r>
      <w:r>
        <w:rPr>
          <w:rFonts w:eastAsia="맑은 고딕"/>
          <w:lang w:eastAsia="zh-CN"/>
        </w:rPr>
        <w:t xml:space="preserve">Fale com o seu médico </w:t>
      </w:r>
      <w:r w:rsidRPr="001F5614">
        <w:rPr>
          <w:rFonts w:eastAsia="맑은 고딕"/>
          <w:lang w:eastAsia="zh-CN"/>
        </w:rPr>
        <w:t>se tiver quaisquer dúvidas sobre administrar uma autoinjeção</w:t>
      </w:r>
      <w:r w:rsidR="00323042" w:rsidRPr="00323042">
        <w:rPr>
          <w:rFonts w:eastAsia="맑은 고딕"/>
          <w:lang w:eastAsia="zh-CN"/>
        </w:rPr>
        <w:t>.</w:t>
      </w:r>
    </w:p>
    <w:p w14:paraId="7E8551F5" w14:textId="77777777" w:rsidR="00323042" w:rsidRPr="00323042" w:rsidRDefault="00323042" w:rsidP="00323042">
      <w:pPr>
        <w:tabs>
          <w:tab w:val="clear" w:pos="567"/>
        </w:tabs>
        <w:rPr>
          <w:rFonts w:eastAsia="맑은 고딕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63"/>
      </w:tblGrid>
      <w:tr w:rsidR="00323042" w:rsidRPr="00323042" w14:paraId="0DD68D74" w14:textId="77777777" w:rsidTr="00516C12">
        <w:trPr>
          <w:cantSplit/>
        </w:trPr>
        <w:tc>
          <w:tcPr>
            <w:tcW w:w="10068" w:type="dxa"/>
          </w:tcPr>
          <w:p w14:paraId="5BA6173E" w14:textId="77777777" w:rsidR="00323042" w:rsidRPr="00323042" w:rsidRDefault="00C24BB3" w:rsidP="00323042">
            <w:pPr>
              <w:keepNext/>
              <w:tabs>
                <w:tab w:val="clear" w:pos="567"/>
              </w:tabs>
              <w:rPr>
                <w:rFonts w:eastAsia="맑은 고딕"/>
                <w:b/>
                <w:bCs/>
                <w:lang w:eastAsia="zh-CN"/>
              </w:rPr>
            </w:pPr>
            <w:r>
              <w:rPr>
                <w:rFonts w:eastAsia="맑은 고딕"/>
                <w:b/>
                <w:bCs/>
                <w:lang w:eastAsia="zh-CN"/>
              </w:rPr>
              <w:lastRenderedPageBreak/>
              <w:t>Informações importantes</w:t>
            </w:r>
          </w:p>
        </w:tc>
      </w:tr>
      <w:tr w:rsidR="00323042" w:rsidRPr="00323042" w14:paraId="2C475A45" w14:textId="77777777" w:rsidTr="00516C12">
        <w:trPr>
          <w:cantSplit/>
        </w:trPr>
        <w:tc>
          <w:tcPr>
            <w:tcW w:w="10068" w:type="dxa"/>
          </w:tcPr>
          <w:p w14:paraId="7AFD4C24" w14:textId="77777777" w:rsidR="00323042" w:rsidRPr="00323042" w:rsidRDefault="00323042" w:rsidP="00323042">
            <w:pPr>
              <w:numPr>
                <w:ilvl w:val="0"/>
                <w:numId w:val="58"/>
              </w:numPr>
              <w:tabs>
                <w:tab w:val="clear" w:pos="567"/>
              </w:tabs>
              <w:suppressAutoHyphens/>
              <w:ind w:left="567" w:hanging="567"/>
              <w:rPr>
                <w:rFonts w:eastAsia="맑은 고딕"/>
                <w:lang w:eastAsia="zh-CN"/>
              </w:rPr>
            </w:pPr>
            <w:r w:rsidRPr="00323042">
              <w:rPr>
                <w:rFonts w:eastAsia="맑은 고딕"/>
                <w:lang w:eastAsia="zh-CN"/>
              </w:rPr>
              <w:t xml:space="preserve">Stoboclo </w:t>
            </w:r>
            <w:r w:rsidR="00C24BB3">
              <w:rPr>
                <w:rFonts w:eastAsia="맑은 고딕"/>
                <w:lang w:eastAsia="zh-CN"/>
              </w:rPr>
              <w:t>é administrado através de uma injeção no tecido mesmo por baixo da pele</w:t>
            </w:r>
            <w:r w:rsidRPr="00323042">
              <w:rPr>
                <w:rFonts w:eastAsia="맑은 고딕"/>
                <w:lang w:eastAsia="zh-CN"/>
              </w:rPr>
              <w:t xml:space="preserve"> (</w:t>
            </w:r>
            <w:r w:rsidR="00C24BB3">
              <w:rPr>
                <w:rFonts w:eastAsia="맑은 고딕"/>
                <w:lang w:eastAsia="zh-CN"/>
              </w:rPr>
              <w:t>injeção subcutânea</w:t>
            </w:r>
            <w:r w:rsidRPr="00323042">
              <w:rPr>
                <w:rFonts w:eastAsia="맑은 고딕"/>
                <w:lang w:eastAsia="zh-CN"/>
              </w:rPr>
              <w:t>).</w:t>
            </w:r>
          </w:p>
          <w:p w14:paraId="625EF956" w14:textId="77777777" w:rsidR="00323042" w:rsidRPr="00323042" w:rsidRDefault="00815655" w:rsidP="00323042">
            <w:pPr>
              <w:numPr>
                <w:ilvl w:val="0"/>
                <w:numId w:val="58"/>
              </w:numPr>
              <w:tabs>
                <w:tab w:val="clear" w:pos="567"/>
              </w:tabs>
              <w:suppressAutoHyphens/>
              <w:ind w:left="567" w:hanging="567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b/>
                <w:lang w:eastAsia="zh-CN"/>
              </w:rPr>
              <w:t>Não</w:t>
            </w:r>
            <w:r w:rsidR="00323042" w:rsidRPr="00323042">
              <w:rPr>
                <w:rFonts w:eastAsia="맑은 고딕"/>
                <w:b/>
                <w:lang w:eastAsia="zh-CN"/>
              </w:rPr>
              <w:t xml:space="preserve"> </w:t>
            </w:r>
            <w:r w:rsidRPr="00815655">
              <w:rPr>
                <w:rFonts w:eastAsia="맑은 고딕"/>
                <w:bCs/>
                <w:lang w:eastAsia="zh-CN"/>
              </w:rPr>
              <w:t xml:space="preserve">abra a embalagem exterior selada até estar pronto(a) para utilizar a seringa </w:t>
            </w:r>
            <w:r w:rsidRPr="00B5050F">
              <w:t>pré</w:t>
            </w:r>
            <w:r w:rsidRPr="00B5050F">
              <w:noBreakHyphen/>
              <w:t>cheia</w:t>
            </w:r>
            <w:r w:rsidR="00323042" w:rsidRPr="00323042">
              <w:rPr>
                <w:rFonts w:eastAsia="맑은 고딕"/>
                <w:bCs/>
                <w:lang w:eastAsia="zh-CN"/>
              </w:rPr>
              <w:t>.</w:t>
            </w:r>
          </w:p>
          <w:p w14:paraId="7090469C" w14:textId="0E8FBFBD" w:rsidR="00323042" w:rsidRPr="00323042" w:rsidRDefault="00815655" w:rsidP="00323042">
            <w:pPr>
              <w:numPr>
                <w:ilvl w:val="0"/>
                <w:numId w:val="58"/>
              </w:numPr>
              <w:tabs>
                <w:tab w:val="clear" w:pos="567"/>
              </w:tabs>
              <w:suppressAutoHyphens/>
              <w:ind w:left="567" w:hanging="567"/>
              <w:rPr>
                <w:rFonts w:eastAsia="맑은 고딕"/>
                <w:b/>
                <w:lang w:eastAsia="zh-CN"/>
              </w:rPr>
            </w:pPr>
            <w:r>
              <w:rPr>
                <w:rFonts w:eastAsia="맑은 고딕"/>
                <w:b/>
                <w:lang w:eastAsia="zh-CN"/>
              </w:rPr>
              <w:t>Não</w:t>
            </w:r>
            <w:r w:rsidR="00323042" w:rsidRPr="00323042">
              <w:rPr>
                <w:rFonts w:eastAsia="맑은 고딕"/>
                <w:b/>
                <w:lang w:eastAsia="zh-CN"/>
              </w:rPr>
              <w:t xml:space="preserve"> </w:t>
            </w:r>
            <w:r w:rsidRPr="00815655">
              <w:rPr>
                <w:rFonts w:eastAsia="맑은 고딕"/>
                <w:bCs/>
                <w:lang w:eastAsia="zh-CN"/>
              </w:rPr>
              <w:t xml:space="preserve">retire a </w:t>
            </w:r>
            <w:r w:rsidR="00D70A5F">
              <w:rPr>
                <w:rFonts w:eastAsia="맑은 고딕"/>
                <w:bCs/>
                <w:lang w:eastAsia="zh-CN"/>
              </w:rPr>
              <w:t>tampa</w:t>
            </w:r>
            <w:r w:rsidRPr="00815655">
              <w:rPr>
                <w:rFonts w:eastAsia="맑은 고딕"/>
                <w:bCs/>
                <w:lang w:eastAsia="zh-CN"/>
              </w:rPr>
              <w:t xml:space="preserve"> </w:t>
            </w:r>
            <w:r>
              <w:rPr>
                <w:rFonts w:eastAsia="맑은 고딕"/>
                <w:bCs/>
                <w:lang w:eastAsia="zh-CN"/>
              </w:rPr>
              <w:t xml:space="preserve">da agulha da </w:t>
            </w:r>
            <w:r w:rsidRPr="00815655">
              <w:rPr>
                <w:rFonts w:eastAsia="맑은 고딕"/>
                <w:bCs/>
                <w:lang w:eastAsia="zh-CN"/>
              </w:rPr>
              <w:t xml:space="preserve">seringa </w:t>
            </w:r>
            <w:r w:rsidRPr="00B5050F">
              <w:t>pré</w:t>
            </w:r>
            <w:r w:rsidRPr="00B5050F">
              <w:noBreakHyphen/>
              <w:t>cheia</w:t>
            </w:r>
            <w:r>
              <w:t xml:space="preserve"> </w:t>
            </w:r>
            <w:r w:rsidRPr="00815655">
              <w:rPr>
                <w:rFonts w:eastAsia="맑은 고딕"/>
                <w:bCs/>
                <w:lang w:eastAsia="zh-CN"/>
              </w:rPr>
              <w:t>até imediatamente antes de administrar a injeção</w:t>
            </w:r>
            <w:r w:rsidR="00323042" w:rsidRPr="00323042">
              <w:rPr>
                <w:rFonts w:eastAsia="맑은 고딕"/>
                <w:bCs/>
                <w:lang w:eastAsia="zh-CN"/>
              </w:rPr>
              <w:t>.</w:t>
            </w:r>
          </w:p>
          <w:p w14:paraId="69F1BDDD" w14:textId="77777777" w:rsidR="00323042" w:rsidRPr="00323042" w:rsidRDefault="00815655" w:rsidP="00323042">
            <w:pPr>
              <w:numPr>
                <w:ilvl w:val="0"/>
                <w:numId w:val="58"/>
              </w:numPr>
              <w:tabs>
                <w:tab w:val="clear" w:pos="567"/>
              </w:tabs>
              <w:suppressAutoHyphens/>
              <w:ind w:left="567" w:hanging="567"/>
              <w:rPr>
                <w:rFonts w:eastAsia="맑은 고딕"/>
                <w:b/>
                <w:lang w:eastAsia="zh-CN"/>
              </w:rPr>
            </w:pPr>
            <w:r>
              <w:rPr>
                <w:rFonts w:eastAsia="맑은 고딕"/>
                <w:b/>
                <w:lang w:eastAsia="zh-CN"/>
              </w:rPr>
              <w:t>Não</w:t>
            </w:r>
            <w:r w:rsidR="00323042" w:rsidRPr="00323042">
              <w:rPr>
                <w:rFonts w:eastAsia="맑은 고딕"/>
                <w:b/>
                <w:spacing w:val="-3"/>
                <w:lang w:eastAsia="zh-CN"/>
              </w:rPr>
              <w:t xml:space="preserve"> </w:t>
            </w:r>
            <w:r>
              <w:rPr>
                <w:rFonts w:eastAsia="맑은 고딕"/>
                <w:lang w:eastAsia="zh-CN"/>
              </w:rPr>
              <w:t xml:space="preserve">tente ativar a </w:t>
            </w:r>
            <w:r w:rsidRPr="00815655">
              <w:rPr>
                <w:rFonts w:eastAsia="맑은 고딕"/>
                <w:bCs/>
                <w:lang w:eastAsia="zh-CN"/>
              </w:rPr>
              <w:t xml:space="preserve">seringa </w:t>
            </w:r>
            <w:r w:rsidRPr="00B5050F">
              <w:t>pré</w:t>
            </w:r>
            <w:r w:rsidRPr="00B5050F">
              <w:noBreakHyphen/>
              <w:t>cheia</w:t>
            </w:r>
            <w:r>
              <w:t xml:space="preserve"> antes da injeção</w:t>
            </w:r>
            <w:r w:rsidR="00323042" w:rsidRPr="00323042">
              <w:rPr>
                <w:rFonts w:eastAsia="맑은 고딕"/>
                <w:spacing w:val="-2"/>
                <w:lang w:eastAsia="zh-CN"/>
              </w:rPr>
              <w:t>.</w:t>
            </w:r>
          </w:p>
          <w:p w14:paraId="7A0DB667" w14:textId="77777777" w:rsidR="00323042" w:rsidRPr="00323042" w:rsidRDefault="00815655" w:rsidP="00323042">
            <w:pPr>
              <w:numPr>
                <w:ilvl w:val="0"/>
                <w:numId w:val="58"/>
              </w:numPr>
              <w:tabs>
                <w:tab w:val="clear" w:pos="567"/>
              </w:tabs>
              <w:suppressAutoHyphens/>
              <w:ind w:left="567" w:hanging="567"/>
              <w:rPr>
                <w:rFonts w:eastAsia="맑은 고딕"/>
                <w:b/>
                <w:lang w:eastAsia="zh-CN"/>
              </w:rPr>
            </w:pPr>
            <w:r>
              <w:rPr>
                <w:rFonts w:eastAsia="맑은 고딕"/>
                <w:b/>
                <w:lang w:eastAsia="zh-CN"/>
              </w:rPr>
              <w:t>Não</w:t>
            </w:r>
            <w:r w:rsidR="00323042" w:rsidRPr="00323042">
              <w:rPr>
                <w:rFonts w:eastAsia="맑은 고딕"/>
                <w:b/>
                <w:spacing w:val="-4"/>
                <w:lang w:eastAsia="zh-CN"/>
              </w:rPr>
              <w:t xml:space="preserve"> </w:t>
            </w:r>
            <w:r>
              <w:rPr>
                <w:rFonts w:eastAsia="맑은 고딕"/>
                <w:lang w:eastAsia="zh-CN"/>
              </w:rPr>
              <w:t xml:space="preserve">tente retirar </w:t>
            </w:r>
            <w:r>
              <w:t xml:space="preserve">a proteção de segurança transparente </w:t>
            </w:r>
            <w:r>
              <w:rPr>
                <w:rFonts w:eastAsia="맑은 고딕"/>
                <w:lang w:eastAsia="zh-CN"/>
              </w:rPr>
              <w:t xml:space="preserve">da </w:t>
            </w:r>
            <w:r w:rsidRPr="00815655">
              <w:rPr>
                <w:rFonts w:eastAsia="맑은 고딕"/>
                <w:bCs/>
                <w:lang w:eastAsia="zh-CN"/>
              </w:rPr>
              <w:t xml:space="preserve">seringa </w:t>
            </w:r>
            <w:r w:rsidRPr="00B5050F">
              <w:t>pré</w:t>
            </w:r>
            <w:r w:rsidRPr="00B5050F">
              <w:noBreakHyphen/>
              <w:t>cheia</w:t>
            </w:r>
            <w:r w:rsidR="00323042" w:rsidRPr="00323042">
              <w:rPr>
                <w:rFonts w:eastAsia="맑은 고딕"/>
                <w:spacing w:val="-2"/>
                <w:lang w:eastAsia="zh-CN"/>
              </w:rPr>
              <w:t>.</w:t>
            </w:r>
          </w:p>
          <w:p w14:paraId="7B1B7591" w14:textId="52D008A3" w:rsidR="00323042" w:rsidRPr="00323042" w:rsidRDefault="00815655" w:rsidP="00323042">
            <w:pPr>
              <w:numPr>
                <w:ilvl w:val="0"/>
                <w:numId w:val="58"/>
              </w:numPr>
              <w:tabs>
                <w:tab w:val="clear" w:pos="567"/>
              </w:tabs>
              <w:suppressAutoHyphens/>
              <w:ind w:left="567" w:hanging="567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b/>
                <w:bCs/>
                <w:lang w:eastAsia="zh-CN"/>
              </w:rPr>
              <w:t>Não</w:t>
            </w:r>
            <w:r w:rsidR="00323042" w:rsidRPr="00323042">
              <w:rPr>
                <w:rFonts w:eastAsia="맑은 고딕"/>
                <w:lang w:eastAsia="zh-CN"/>
              </w:rPr>
              <w:t xml:space="preserve"> </w:t>
            </w:r>
            <w:r>
              <w:rPr>
                <w:rFonts w:eastAsia="맑은 고딕"/>
                <w:lang w:eastAsia="zh-CN"/>
              </w:rPr>
              <w:t xml:space="preserve">utilize </w:t>
            </w:r>
            <w:r w:rsidRPr="00815655">
              <w:rPr>
                <w:rFonts w:eastAsia="맑은 고딕"/>
                <w:bCs/>
                <w:lang w:eastAsia="zh-CN"/>
              </w:rPr>
              <w:t xml:space="preserve">a seringa </w:t>
            </w:r>
            <w:r w:rsidRPr="00B5050F">
              <w:t>pré</w:t>
            </w:r>
            <w:r w:rsidRPr="00B5050F">
              <w:noBreakHyphen/>
              <w:t>cheia</w:t>
            </w:r>
            <w:r>
              <w:t xml:space="preserve"> </w:t>
            </w:r>
            <w:r w:rsidRPr="00815655">
              <w:rPr>
                <w:rFonts w:eastAsia="맑은 고딕"/>
                <w:lang w:eastAsia="zh-CN"/>
              </w:rPr>
              <w:t xml:space="preserve">se tiver </w:t>
            </w:r>
            <w:r>
              <w:rPr>
                <w:rFonts w:eastAsia="맑은 고딕"/>
                <w:lang w:eastAsia="zh-CN"/>
              </w:rPr>
              <w:t xml:space="preserve">sido deixada </w:t>
            </w:r>
            <w:r w:rsidRPr="00815655">
              <w:rPr>
                <w:rFonts w:eastAsia="맑은 고딕"/>
                <w:lang w:eastAsia="zh-CN"/>
              </w:rPr>
              <w:t>ca</w:t>
            </w:r>
            <w:r>
              <w:rPr>
                <w:rFonts w:eastAsia="맑은 고딕"/>
                <w:lang w:eastAsia="zh-CN"/>
              </w:rPr>
              <w:t>ir</w:t>
            </w:r>
            <w:r w:rsidRPr="00815655">
              <w:rPr>
                <w:rFonts w:eastAsia="맑은 고딕"/>
                <w:lang w:eastAsia="zh-CN"/>
              </w:rPr>
              <w:t xml:space="preserve"> numa superfície dura</w:t>
            </w:r>
            <w:r w:rsidR="00323042" w:rsidRPr="00323042">
              <w:rPr>
                <w:rFonts w:eastAsia="맑은 고딕"/>
                <w:lang w:eastAsia="zh-CN"/>
              </w:rPr>
              <w:t xml:space="preserve">. </w:t>
            </w:r>
            <w:r>
              <w:rPr>
                <w:rFonts w:eastAsia="맑은 고딕"/>
                <w:lang w:eastAsia="zh-CN"/>
              </w:rPr>
              <w:t xml:space="preserve">Utilize uma </w:t>
            </w:r>
            <w:r w:rsidR="00FE5716">
              <w:rPr>
                <w:rFonts w:eastAsia="맑은 고딕"/>
                <w:lang w:eastAsia="zh-CN"/>
              </w:rPr>
              <w:t xml:space="preserve">nova </w:t>
            </w:r>
            <w:r w:rsidRPr="00815655">
              <w:rPr>
                <w:rFonts w:eastAsia="맑은 고딕"/>
                <w:bCs/>
                <w:lang w:eastAsia="zh-CN"/>
              </w:rPr>
              <w:t xml:space="preserve">seringa </w:t>
            </w:r>
            <w:r w:rsidRPr="00B5050F">
              <w:t>pré</w:t>
            </w:r>
            <w:r w:rsidRPr="00B5050F">
              <w:noBreakHyphen/>
              <w:t>cheia</w:t>
            </w:r>
            <w:r w:rsidR="00323042" w:rsidRPr="00323042">
              <w:rPr>
                <w:rFonts w:eastAsia="맑은 고딕"/>
                <w:lang w:eastAsia="zh-CN"/>
              </w:rPr>
              <w:t>.</w:t>
            </w:r>
          </w:p>
          <w:p w14:paraId="677A2818" w14:textId="7FE54260" w:rsidR="00323042" w:rsidRPr="00323042" w:rsidRDefault="00A74807" w:rsidP="00323042">
            <w:pPr>
              <w:numPr>
                <w:ilvl w:val="0"/>
                <w:numId w:val="58"/>
              </w:numPr>
              <w:tabs>
                <w:tab w:val="clear" w:pos="567"/>
              </w:tabs>
              <w:suppressAutoHyphens/>
              <w:ind w:left="567" w:hanging="567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b/>
                <w:bCs/>
                <w:lang w:eastAsia="zh-CN"/>
              </w:rPr>
              <w:t>Não</w:t>
            </w:r>
            <w:r>
              <w:rPr>
                <w:rFonts w:eastAsia="맑은 고딕"/>
                <w:lang w:eastAsia="zh-CN"/>
              </w:rPr>
              <w:t xml:space="preserve"> agite a </w:t>
            </w:r>
            <w:r w:rsidRPr="00815655">
              <w:rPr>
                <w:rFonts w:eastAsia="맑은 고딕"/>
                <w:bCs/>
                <w:lang w:eastAsia="zh-CN"/>
              </w:rPr>
              <w:t xml:space="preserve">seringa </w:t>
            </w:r>
            <w:r w:rsidRPr="00B5050F">
              <w:t>pré</w:t>
            </w:r>
            <w:r w:rsidRPr="00B5050F">
              <w:noBreakHyphen/>
              <w:t>cheia</w:t>
            </w:r>
            <w:r w:rsidR="00323042" w:rsidRPr="00323042">
              <w:rPr>
                <w:rFonts w:eastAsia="맑은 고딕"/>
                <w:lang w:eastAsia="zh-CN"/>
              </w:rPr>
              <w:t xml:space="preserve">. </w:t>
            </w:r>
            <w:r w:rsidRPr="00A74807">
              <w:rPr>
                <w:rFonts w:eastAsia="맑은 고딕"/>
                <w:lang w:eastAsia="zh-CN"/>
              </w:rPr>
              <w:t xml:space="preserve">Uma agitação </w:t>
            </w:r>
            <w:r w:rsidR="00FE5716">
              <w:rPr>
                <w:rFonts w:eastAsia="맑은 고딕"/>
                <w:lang w:eastAsia="zh-CN"/>
              </w:rPr>
              <w:t>vigorosa</w:t>
            </w:r>
            <w:r w:rsidRPr="00A74807">
              <w:rPr>
                <w:rFonts w:eastAsia="맑은 고딕"/>
                <w:lang w:eastAsia="zh-CN"/>
              </w:rPr>
              <w:t xml:space="preserve"> pode danificar o</w:t>
            </w:r>
            <w:r>
              <w:rPr>
                <w:rFonts w:eastAsia="맑은 고딕"/>
                <w:lang w:eastAsia="zh-CN"/>
              </w:rPr>
              <w:t xml:space="preserve"> medicamento</w:t>
            </w:r>
            <w:r w:rsidR="00323042" w:rsidRPr="00323042">
              <w:rPr>
                <w:rFonts w:eastAsia="맑은 고딕"/>
                <w:lang w:eastAsia="zh-CN"/>
              </w:rPr>
              <w:t>.</w:t>
            </w:r>
          </w:p>
          <w:p w14:paraId="54611AA0" w14:textId="1958EE0C" w:rsidR="00323042" w:rsidRPr="00323042" w:rsidRDefault="00A74807" w:rsidP="00A74807">
            <w:pPr>
              <w:numPr>
                <w:ilvl w:val="0"/>
                <w:numId w:val="58"/>
              </w:numPr>
              <w:tabs>
                <w:tab w:val="clear" w:pos="567"/>
              </w:tabs>
              <w:suppressAutoHyphens/>
              <w:ind w:left="567" w:hanging="567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bCs/>
                <w:lang w:eastAsia="zh-CN"/>
              </w:rPr>
              <w:t xml:space="preserve">A </w:t>
            </w:r>
            <w:r w:rsidRPr="00815655">
              <w:rPr>
                <w:rFonts w:eastAsia="맑은 고딕"/>
                <w:bCs/>
                <w:lang w:eastAsia="zh-CN"/>
              </w:rPr>
              <w:t xml:space="preserve">seringa </w:t>
            </w:r>
            <w:r w:rsidRPr="00B5050F">
              <w:t>pré</w:t>
            </w:r>
            <w:r w:rsidRPr="00B5050F">
              <w:noBreakHyphen/>
              <w:t>cheia</w:t>
            </w:r>
            <w:r>
              <w:t xml:space="preserve"> não pode ser reutilizada</w:t>
            </w:r>
            <w:r w:rsidR="00323042" w:rsidRPr="00323042">
              <w:rPr>
                <w:rFonts w:eastAsia="맑은 고딕"/>
                <w:bCs/>
                <w:lang w:eastAsia="zh-CN"/>
              </w:rPr>
              <w:t xml:space="preserve">. </w:t>
            </w:r>
            <w:r>
              <w:rPr>
                <w:rFonts w:eastAsia="맑은 고딕"/>
                <w:bCs/>
                <w:lang w:eastAsia="zh-CN"/>
              </w:rPr>
              <w:t xml:space="preserve">Elimine a </w:t>
            </w:r>
            <w:r w:rsidRPr="00815655">
              <w:rPr>
                <w:rFonts w:eastAsia="맑은 고딕"/>
                <w:bCs/>
                <w:lang w:eastAsia="zh-CN"/>
              </w:rPr>
              <w:t xml:space="preserve">seringa </w:t>
            </w:r>
            <w:r w:rsidRPr="00B5050F">
              <w:t>pré</w:t>
            </w:r>
            <w:r w:rsidRPr="00B5050F">
              <w:noBreakHyphen/>
              <w:t>cheia</w:t>
            </w:r>
            <w:r>
              <w:t xml:space="preserve"> usada </w:t>
            </w:r>
            <w:r w:rsidRPr="00A74807">
              <w:t xml:space="preserve">imediatamente após a utilização num recipiente para eliminação de objetos </w:t>
            </w:r>
            <w:r w:rsidR="00FE5716">
              <w:t>perfuro</w:t>
            </w:r>
            <w:r w:rsidRPr="00A74807">
              <w:t>cortantes</w:t>
            </w:r>
            <w:r w:rsidR="00323042" w:rsidRPr="00323042">
              <w:rPr>
                <w:rFonts w:eastAsia="맑은 고딕"/>
                <w:bCs/>
                <w:lang w:eastAsia="zh-CN"/>
              </w:rPr>
              <w:t xml:space="preserve"> (</w:t>
            </w:r>
            <w:r>
              <w:rPr>
                <w:rFonts w:eastAsia="맑은 고딕"/>
                <w:bCs/>
                <w:lang w:eastAsia="zh-CN"/>
              </w:rPr>
              <w:t>ver o</w:t>
            </w:r>
            <w:r w:rsidR="00323042" w:rsidRPr="00323042">
              <w:rPr>
                <w:rFonts w:eastAsia="맑은 고딕"/>
                <w:bCs/>
                <w:lang w:eastAsia="zh-CN"/>
              </w:rPr>
              <w:t xml:space="preserve"> </w:t>
            </w:r>
            <w:r>
              <w:rPr>
                <w:rFonts w:eastAsia="맑은 고딕"/>
                <w:b/>
                <w:lang w:eastAsia="zh-CN"/>
              </w:rPr>
              <w:t>Passo</w:t>
            </w:r>
            <w:r w:rsidR="00323042" w:rsidRPr="00323042">
              <w:rPr>
                <w:rFonts w:eastAsia="맑은 고딕"/>
                <w:b/>
                <w:lang w:eastAsia="zh-CN"/>
              </w:rPr>
              <w:t xml:space="preserve"> 15. </w:t>
            </w:r>
            <w:r>
              <w:rPr>
                <w:rFonts w:eastAsia="맑은 고딕"/>
                <w:b/>
                <w:lang w:eastAsia="zh-CN"/>
              </w:rPr>
              <w:t>Eliminar</w:t>
            </w:r>
            <w:r w:rsidR="00323042" w:rsidRPr="00323042">
              <w:rPr>
                <w:rFonts w:eastAsia="맑은 고딕"/>
                <w:b/>
                <w:lang w:eastAsia="zh-CN"/>
              </w:rPr>
              <w:t xml:space="preserve"> Stoboclo</w:t>
            </w:r>
            <w:r w:rsidR="00323042" w:rsidRPr="00323042">
              <w:rPr>
                <w:rFonts w:eastAsia="맑은 고딕"/>
                <w:bCs/>
                <w:lang w:eastAsia="zh-CN"/>
              </w:rPr>
              <w:t>).</w:t>
            </w:r>
          </w:p>
        </w:tc>
      </w:tr>
    </w:tbl>
    <w:p w14:paraId="485EE35B" w14:textId="77777777" w:rsidR="00323042" w:rsidRPr="00323042" w:rsidRDefault="00323042" w:rsidP="00323042">
      <w:pPr>
        <w:tabs>
          <w:tab w:val="clear" w:pos="567"/>
        </w:tabs>
        <w:rPr>
          <w:rFonts w:eastAsia="맑은 고딕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63"/>
      </w:tblGrid>
      <w:tr w:rsidR="00323042" w:rsidRPr="00323042" w14:paraId="1E987860" w14:textId="77777777" w:rsidTr="00516C12">
        <w:trPr>
          <w:cantSplit/>
        </w:trPr>
        <w:tc>
          <w:tcPr>
            <w:tcW w:w="10068" w:type="dxa"/>
          </w:tcPr>
          <w:p w14:paraId="7B44EF2D" w14:textId="77777777" w:rsidR="00323042" w:rsidRPr="00323042" w:rsidRDefault="00DF6FEE" w:rsidP="00323042">
            <w:pPr>
              <w:keepNext/>
              <w:tabs>
                <w:tab w:val="clear" w:pos="567"/>
              </w:tabs>
              <w:rPr>
                <w:rFonts w:eastAsia="맑은 고딕"/>
                <w:b/>
                <w:bCs/>
                <w:lang w:eastAsia="zh-CN"/>
              </w:rPr>
            </w:pPr>
            <w:r>
              <w:rPr>
                <w:rFonts w:eastAsia="맑은 고딕"/>
                <w:b/>
                <w:bCs/>
                <w:lang w:eastAsia="zh-CN"/>
              </w:rPr>
              <w:t>Conservar</w:t>
            </w:r>
            <w:r w:rsidR="00323042" w:rsidRPr="00323042">
              <w:rPr>
                <w:rFonts w:eastAsia="맑은 고딕"/>
                <w:b/>
                <w:bCs/>
                <w:lang w:eastAsia="zh-CN"/>
              </w:rPr>
              <w:t xml:space="preserve"> Stoboclo</w:t>
            </w:r>
          </w:p>
        </w:tc>
      </w:tr>
      <w:tr w:rsidR="00323042" w:rsidRPr="00323042" w14:paraId="76BD4757" w14:textId="77777777" w:rsidTr="00516C12">
        <w:trPr>
          <w:cantSplit/>
        </w:trPr>
        <w:tc>
          <w:tcPr>
            <w:tcW w:w="10068" w:type="dxa"/>
          </w:tcPr>
          <w:p w14:paraId="5A4ECB6C" w14:textId="77777777" w:rsidR="00323042" w:rsidRPr="00323042" w:rsidRDefault="00DF6FEE" w:rsidP="00323042">
            <w:pPr>
              <w:numPr>
                <w:ilvl w:val="0"/>
                <w:numId w:val="58"/>
              </w:numPr>
              <w:tabs>
                <w:tab w:val="clear" w:pos="567"/>
              </w:tabs>
              <w:suppressAutoHyphens/>
              <w:ind w:left="567" w:hanging="567"/>
              <w:rPr>
                <w:rFonts w:eastAsia="맑은 고딕"/>
                <w:b/>
                <w:bCs/>
                <w:lang w:eastAsia="zh-CN"/>
              </w:rPr>
            </w:pPr>
            <w:r>
              <w:rPr>
                <w:rFonts w:eastAsia="맑은 고딕"/>
                <w:b/>
                <w:bCs/>
                <w:lang w:eastAsia="zh-CN"/>
              </w:rPr>
              <w:t xml:space="preserve">Manter </w:t>
            </w:r>
            <w:r w:rsidRPr="00DF6FEE">
              <w:rPr>
                <w:rFonts w:eastAsia="맑은 고딕"/>
                <w:b/>
                <w:bCs/>
                <w:lang w:eastAsia="zh-CN"/>
              </w:rPr>
              <w:t xml:space="preserve">a seringa </w:t>
            </w:r>
            <w:r w:rsidRPr="00DF6FEE">
              <w:rPr>
                <w:b/>
              </w:rPr>
              <w:t>pré</w:t>
            </w:r>
            <w:r w:rsidRPr="00DF6FEE">
              <w:rPr>
                <w:b/>
              </w:rPr>
              <w:noBreakHyphen/>
              <w:t>cheia</w:t>
            </w:r>
            <w:r>
              <w:rPr>
                <w:b/>
              </w:rPr>
              <w:t xml:space="preserve"> </w:t>
            </w:r>
            <w:r w:rsidRPr="00DF6FEE">
              <w:rPr>
                <w:b/>
              </w:rPr>
              <w:t>fora da vista e do alcance das crianças</w:t>
            </w:r>
            <w:r w:rsidR="00323042" w:rsidRPr="00DF6FEE">
              <w:rPr>
                <w:rFonts w:eastAsia="맑은 고딕"/>
                <w:b/>
                <w:bCs/>
                <w:lang w:eastAsia="zh-CN"/>
              </w:rPr>
              <w:t>.</w:t>
            </w:r>
            <w:r>
              <w:rPr>
                <w:rFonts w:eastAsia="맑은 고딕"/>
                <w:b/>
                <w:bCs/>
                <w:lang w:eastAsia="zh-CN"/>
              </w:rPr>
              <w:t xml:space="preserve"> </w:t>
            </w:r>
            <w:r w:rsidRPr="00DF6FEE">
              <w:rPr>
                <w:rFonts w:eastAsia="맑은 고딕"/>
                <w:b/>
                <w:bCs/>
                <w:lang w:eastAsia="zh-CN"/>
              </w:rPr>
              <w:t>Contém peças</w:t>
            </w:r>
            <w:r>
              <w:rPr>
                <w:rFonts w:eastAsia="맑은 고딕"/>
                <w:b/>
                <w:bCs/>
                <w:lang w:eastAsia="zh-CN"/>
              </w:rPr>
              <w:t xml:space="preserve"> pequenas.</w:t>
            </w:r>
          </w:p>
          <w:p w14:paraId="1BDED231" w14:textId="35E19724" w:rsidR="00323042" w:rsidRPr="00323042" w:rsidRDefault="00DF6FEE" w:rsidP="00323042">
            <w:pPr>
              <w:numPr>
                <w:ilvl w:val="0"/>
                <w:numId w:val="58"/>
              </w:numPr>
              <w:tabs>
                <w:tab w:val="clear" w:pos="567"/>
              </w:tabs>
              <w:suppressAutoHyphens/>
              <w:ind w:left="567" w:hanging="567"/>
              <w:rPr>
                <w:rFonts w:eastAsia="맑은 고딕"/>
                <w:lang w:eastAsia="zh-CN"/>
              </w:rPr>
            </w:pPr>
            <w:r w:rsidRPr="00DF6FEE">
              <w:rPr>
                <w:rFonts w:eastAsia="맑은 고딕"/>
                <w:lang w:eastAsia="zh-CN"/>
              </w:rPr>
              <w:t xml:space="preserve">Conservar a seringa </w:t>
            </w:r>
            <w:r w:rsidRPr="00DF6FEE">
              <w:t>pré</w:t>
            </w:r>
            <w:r w:rsidRPr="00DF6FEE">
              <w:noBreakHyphen/>
              <w:t>cheia</w:t>
            </w:r>
            <w:r w:rsidRPr="00DF6FEE">
              <w:rPr>
                <w:rFonts w:eastAsia="맑은 고딕"/>
                <w:lang w:eastAsia="zh-CN"/>
              </w:rPr>
              <w:t xml:space="preserve"> no frigorífico entre</w:t>
            </w:r>
            <w:r w:rsidR="00323042" w:rsidRPr="00323042">
              <w:rPr>
                <w:rFonts w:eastAsia="맑은 고딕"/>
                <w:lang w:eastAsia="zh-CN"/>
              </w:rPr>
              <w:t xml:space="preserve"> 2</w:t>
            </w:r>
            <w:r w:rsidR="00FE5716">
              <w:rPr>
                <w:rFonts w:eastAsia="맑은 고딕"/>
                <w:lang w:eastAsia="zh-CN"/>
              </w:rPr>
              <w:t> </w:t>
            </w:r>
            <w:r w:rsidR="00323042" w:rsidRPr="00323042">
              <w:rPr>
                <w:rFonts w:eastAsia="맑은 고딕"/>
                <w:lang w:eastAsia="zh-CN"/>
              </w:rPr>
              <w:t xml:space="preserve">°C </w:t>
            </w:r>
            <w:r>
              <w:rPr>
                <w:rFonts w:eastAsia="맑은 고딕"/>
                <w:lang w:eastAsia="zh-CN"/>
              </w:rPr>
              <w:t>e</w:t>
            </w:r>
            <w:r w:rsidR="00323042" w:rsidRPr="00323042">
              <w:rPr>
                <w:rFonts w:eastAsia="맑은 고딕"/>
                <w:lang w:eastAsia="zh-CN"/>
              </w:rPr>
              <w:t xml:space="preserve"> 8</w:t>
            </w:r>
            <w:r w:rsidR="00FE5716">
              <w:rPr>
                <w:rFonts w:eastAsia="맑은 고딕"/>
                <w:lang w:eastAsia="zh-CN"/>
              </w:rPr>
              <w:t> °</w:t>
            </w:r>
            <w:r w:rsidR="00323042" w:rsidRPr="00323042">
              <w:rPr>
                <w:rFonts w:eastAsia="맑은 고딕"/>
                <w:lang w:eastAsia="zh-CN"/>
              </w:rPr>
              <w:t xml:space="preserve">C. </w:t>
            </w:r>
            <w:r>
              <w:rPr>
                <w:rFonts w:eastAsia="맑은 고딕"/>
                <w:b/>
                <w:bCs/>
                <w:lang w:eastAsia="zh-CN"/>
              </w:rPr>
              <w:t>Não</w:t>
            </w:r>
            <w:r w:rsidR="00323042" w:rsidRPr="00323042">
              <w:rPr>
                <w:rFonts w:eastAsia="맑은 고딕"/>
                <w:lang w:eastAsia="zh-CN"/>
              </w:rPr>
              <w:t xml:space="preserve"> </w:t>
            </w:r>
            <w:r>
              <w:rPr>
                <w:rFonts w:eastAsia="맑은 고딕"/>
                <w:lang w:eastAsia="zh-CN"/>
              </w:rPr>
              <w:t>congelar</w:t>
            </w:r>
            <w:r w:rsidR="00323042" w:rsidRPr="00323042">
              <w:rPr>
                <w:rFonts w:eastAsia="맑은 고딕"/>
                <w:lang w:eastAsia="zh-CN"/>
              </w:rPr>
              <w:t>.</w:t>
            </w:r>
          </w:p>
          <w:p w14:paraId="4E32611D" w14:textId="77777777" w:rsidR="00323042" w:rsidRPr="00323042" w:rsidRDefault="00DF6FEE" w:rsidP="00323042">
            <w:pPr>
              <w:numPr>
                <w:ilvl w:val="0"/>
                <w:numId w:val="58"/>
              </w:numPr>
              <w:tabs>
                <w:tab w:val="clear" w:pos="567"/>
              </w:tabs>
              <w:suppressAutoHyphens/>
              <w:ind w:left="567" w:hanging="567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lang w:eastAsia="zh-CN"/>
              </w:rPr>
              <w:t>Depois de ser retirado do frigorífico</w:t>
            </w:r>
            <w:r w:rsidR="00323042" w:rsidRPr="00323042">
              <w:rPr>
                <w:rFonts w:eastAsia="맑은 고딕"/>
                <w:lang w:eastAsia="zh-CN"/>
              </w:rPr>
              <w:t xml:space="preserve">, Stoboclo </w:t>
            </w:r>
            <w:r>
              <w:rPr>
                <w:rFonts w:eastAsia="맑은 고딕"/>
                <w:lang w:eastAsia="zh-CN"/>
              </w:rPr>
              <w:t>não pode ser exposto a temperaturas superiores a</w:t>
            </w:r>
            <w:r w:rsidR="00323042" w:rsidRPr="00323042">
              <w:rPr>
                <w:rFonts w:eastAsia="맑은 고딕"/>
                <w:lang w:eastAsia="zh-CN"/>
              </w:rPr>
              <w:t xml:space="preserve"> 25 °C. Stoboclo </w:t>
            </w:r>
            <w:r>
              <w:rPr>
                <w:rFonts w:eastAsia="맑은 고딕"/>
                <w:lang w:eastAsia="zh-CN"/>
              </w:rPr>
              <w:t>tem de ser conservado na respetiva embalagem de origem e utilizado num prazo de</w:t>
            </w:r>
            <w:r w:rsidR="00323042" w:rsidRPr="00323042">
              <w:rPr>
                <w:rFonts w:eastAsia="맑은 고딕"/>
                <w:lang w:eastAsia="zh-CN"/>
              </w:rPr>
              <w:t xml:space="preserve"> 30 </w:t>
            </w:r>
            <w:r>
              <w:rPr>
                <w:rFonts w:eastAsia="맑은 고딕"/>
                <w:lang w:eastAsia="zh-CN"/>
              </w:rPr>
              <w:t>dias</w:t>
            </w:r>
            <w:r w:rsidR="00323042" w:rsidRPr="00323042">
              <w:rPr>
                <w:rFonts w:eastAsia="맑은 고딕"/>
                <w:lang w:eastAsia="zh-CN"/>
              </w:rPr>
              <w:t xml:space="preserve">. </w:t>
            </w:r>
            <w:r>
              <w:rPr>
                <w:rFonts w:eastAsia="맑은 고딕"/>
                <w:lang w:eastAsia="zh-CN"/>
              </w:rPr>
              <w:t>Se não for utilizado no período de 1 mês</w:t>
            </w:r>
            <w:r w:rsidR="00323042" w:rsidRPr="00323042">
              <w:rPr>
                <w:rFonts w:eastAsia="맑은 고딕"/>
                <w:lang w:eastAsia="zh-CN"/>
              </w:rPr>
              <w:t xml:space="preserve">, Stoboclo </w:t>
            </w:r>
            <w:r>
              <w:rPr>
                <w:rFonts w:eastAsia="맑은 고딕"/>
                <w:lang w:eastAsia="zh-CN"/>
              </w:rPr>
              <w:t>deve ser eliminado</w:t>
            </w:r>
            <w:r w:rsidR="00323042" w:rsidRPr="00323042">
              <w:rPr>
                <w:rFonts w:eastAsia="맑은 고딕"/>
                <w:lang w:eastAsia="zh-CN"/>
              </w:rPr>
              <w:t>.</w:t>
            </w:r>
          </w:p>
          <w:p w14:paraId="7DC48207" w14:textId="6EC4D4A2" w:rsidR="00323042" w:rsidRPr="00323042" w:rsidRDefault="00DF6FEE" w:rsidP="00771A2E">
            <w:pPr>
              <w:numPr>
                <w:ilvl w:val="0"/>
                <w:numId w:val="59"/>
              </w:numPr>
              <w:tabs>
                <w:tab w:val="clear" w:pos="567"/>
              </w:tabs>
              <w:suppressAutoHyphens/>
              <w:ind w:left="567" w:hanging="567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lang w:eastAsia="zh-CN"/>
              </w:rPr>
              <w:t xml:space="preserve">Conservar a </w:t>
            </w:r>
            <w:r w:rsidRPr="00DF6FEE">
              <w:rPr>
                <w:rFonts w:eastAsia="맑은 고딕"/>
                <w:lang w:eastAsia="zh-CN"/>
              </w:rPr>
              <w:t xml:space="preserve">seringa </w:t>
            </w:r>
            <w:r w:rsidRPr="00DF6FEE">
              <w:t>pré</w:t>
            </w:r>
            <w:r w:rsidRPr="00DF6FEE">
              <w:noBreakHyphen/>
              <w:t>cheia</w:t>
            </w:r>
            <w:r>
              <w:t xml:space="preserve"> selada dentro da respetiva embalagem </w:t>
            </w:r>
            <w:r w:rsidR="00771A2E">
              <w:t>exterior</w:t>
            </w:r>
            <w:r>
              <w:t xml:space="preserve"> para</w:t>
            </w:r>
            <w:r w:rsidR="00FE5716">
              <w:t xml:space="preserve"> a</w:t>
            </w:r>
            <w:r>
              <w:t xml:space="preserve"> proteger da luz</w:t>
            </w:r>
            <w:r w:rsidR="00323042" w:rsidRPr="00323042">
              <w:rPr>
                <w:rFonts w:eastAsia="맑은 고딕"/>
                <w:lang w:eastAsia="zh-CN"/>
              </w:rPr>
              <w:t>.</w:t>
            </w:r>
          </w:p>
        </w:tc>
      </w:tr>
    </w:tbl>
    <w:p w14:paraId="5666DE19" w14:textId="77777777" w:rsidR="00323042" w:rsidRPr="00323042" w:rsidRDefault="00323042" w:rsidP="00323042">
      <w:pPr>
        <w:tabs>
          <w:tab w:val="clear" w:pos="567"/>
        </w:tabs>
        <w:rPr>
          <w:rFonts w:eastAsia="맑은 고딕"/>
          <w:lang w:eastAsia="ko-K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063"/>
      </w:tblGrid>
      <w:tr w:rsidR="00323042" w:rsidRPr="00323042" w14:paraId="533DA0B7" w14:textId="77777777" w:rsidTr="00516C12">
        <w:trPr>
          <w:cantSplit/>
        </w:trPr>
        <w:tc>
          <w:tcPr>
            <w:tcW w:w="10068" w:type="dxa"/>
            <w:tcBorders>
              <w:bottom w:val="single" w:sz="4" w:space="0" w:color="auto"/>
            </w:tcBorders>
          </w:tcPr>
          <w:p w14:paraId="43634AE9" w14:textId="77777777" w:rsidR="00323042" w:rsidRPr="00323042" w:rsidRDefault="00323042" w:rsidP="00562E01">
            <w:pPr>
              <w:keepNext/>
              <w:tabs>
                <w:tab w:val="clear" w:pos="567"/>
              </w:tabs>
              <w:rPr>
                <w:rFonts w:eastAsia="맑은 고딕"/>
                <w:b/>
                <w:bCs/>
                <w:lang w:eastAsia="zh-CN"/>
              </w:rPr>
            </w:pPr>
            <w:r w:rsidRPr="00323042">
              <w:rPr>
                <w:rFonts w:eastAsia="맑은 고딕"/>
                <w:b/>
                <w:bCs/>
                <w:lang w:eastAsia="zh-CN"/>
              </w:rPr>
              <w:t>P</w:t>
            </w:r>
            <w:r w:rsidR="00562E01">
              <w:rPr>
                <w:rFonts w:eastAsia="맑은 고딕"/>
                <w:b/>
                <w:bCs/>
                <w:lang w:eastAsia="zh-CN"/>
              </w:rPr>
              <w:t xml:space="preserve">eças da </w:t>
            </w:r>
            <w:r w:rsidR="00562E01" w:rsidRPr="00DF6FEE">
              <w:rPr>
                <w:rFonts w:eastAsia="맑은 고딕"/>
                <w:b/>
                <w:bCs/>
                <w:lang w:eastAsia="zh-CN"/>
              </w:rPr>
              <w:t xml:space="preserve">seringa </w:t>
            </w:r>
            <w:r w:rsidR="00562E01" w:rsidRPr="00DF6FEE">
              <w:rPr>
                <w:b/>
              </w:rPr>
              <w:t>pré</w:t>
            </w:r>
            <w:r w:rsidR="00562E01" w:rsidRPr="00DF6FEE">
              <w:rPr>
                <w:b/>
              </w:rPr>
              <w:noBreakHyphen/>
              <w:t>cheia</w:t>
            </w:r>
            <w:r w:rsidRPr="00323042">
              <w:rPr>
                <w:rFonts w:eastAsia="맑은 고딕"/>
                <w:b/>
                <w:bCs/>
                <w:lang w:eastAsia="zh-CN"/>
              </w:rPr>
              <w:t xml:space="preserve"> (</w:t>
            </w:r>
            <w:r w:rsidR="00562E01">
              <w:rPr>
                <w:rFonts w:eastAsia="맑은 고딕"/>
                <w:b/>
                <w:bCs/>
                <w:lang w:eastAsia="zh-CN"/>
              </w:rPr>
              <w:t>ver a</w:t>
            </w:r>
            <w:r w:rsidRPr="00323042">
              <w:rPr>
                <w:rFonts w:eastAsia="맑은 고딕"/>
                <w:b/>
                <w:bCs/>
                <w:lang w:eastAsia="zh-CN"/>
              </w:rPr>
              <w:t xml:space="preserve"> Figur</w:t>
            </w:r>
            <w:r w:rsidR="00562E01">
              <w:rPr>
                <w:rFonts w:eastAsia="맑은 고딕"/>
                <w:b/>
                <w:bCs/>
                <w:lang w:eastAsia="zh-CN"/>
              </w:rPr>
              <w:t>a</w:t>
            </w:r>
            <w:r w:rsidRPr="00323042">
              <w:rPr>
                <w:rFonts w:eastAsia="맑은 고딕"/>
                <w:b/>
                <w:bCs/>
                <w:lang w:eastAsia="zh-CN"/>
              </w:rPr>
              <w:t> A)</w:t>
            </w:r>
          </w:p>
        </w:tc>
      </w:tr>
      <w:tr w:rsidR="00323042" w:rsidRPr="00323042" w14:paraId="12C45686" w14:textId="77777777" w:rsidTr="00516C12">
        <w:trPr>
          <w:cantSplit/>
        </w:trPr>
        <w:tc>
          <w:tcPr>
            <w:tcW w:w="10068" w:type="dxa"/>
            <w:tcBorders>
              <w:bottom w:val="nil"/>
            </w:tcBorders>
          </w:tcPr>
          <w:p w14:paraId="7E4B5EAC" w14:textId="77777777" w:rsidR="00323042" w:rsidRPr="00323042" w:rsidRDefault="00323042" w:rsidP="00323042">
            <w:pPr>
              <w:tabs>
                <w:tab w:val="clear" w:pos="567"/>
              </w:tabs>
              <w:jc w:val="center"/>
              <w:rPr>
                <w:rFonts w:eastAsia="맑은 고딕"/>
                <w:lang w:eastAsia="zh-CN"/>
              </w:rPr>
            </w:pPr>
          </w:p>
          <w:p w14:paraId="2C7BF6A7" w14:textId="67380212" w:rsidR="00323042" w:rsidRPr="00323042" w:rsidRDefault="0077602B" w:rsidP="00323042">
            <w:pPr>
              <w:keepNext/>
              <w:tabs>
                <w:tab w:val="clear" w:pos="567"/>
              </w:tabs>
              <w:jc w:val="center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noProof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43392" behindDoc="0" locked="1" layoutInCell="1" allowOverlap="1" wp14:anchorId="0737EFDF" wp14:editId="412C9AB6">
                      <wp:simplePos x="0" y="0"/>
                      <wp:positionH relativeFrom="column">
                        <wp:posOffset>2954020</wp:posOffset>
                      </wp:positionH>
                      <wp:positionV relativeFrom="page">
                        <wp:posOffset>237490</wp:posOffset>
                      </wp:positionV>
                      <wp:extent cx="1276350" cy="290195"/>
                      <wp:effectExtent l="0" t="0" r="0" b="0"/>
                      <wp:wrapNone/>
                      <wp:docPr id="42" name="Caixa de texto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1E41554" w14:textId="3423DE7C" w:rsidR="00516C12" w:rsidRPr="00556D80" w:rsidRDefault="00ED365C" w:rsidP="0032304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s-ES"/>
                                    </w:rPr>
                                  </w:pPr>
                                  <w:r w:rsidRPr="00ED365C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s-ES"/>
                                    </w:rPr>
                                    <w:t>Depois de utilizar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37EF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42" o:spid="_x0000_s1026" type="#_x0000_t202" style="position:absolute;left:0;text-align:left;margin-left:232.6pt;margin-top:18.7pt;width:100.5pt;height:22.85pt;z-index:251643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" filled="f" stroked="f">
                      <v:textbox inset="0,0,0,0">
                        <w:txbxContent>
                          <w:p w14:paraId="11E41554" w14:textId="3423DE7C" w:rsidR="00516C12" w:rsidRPr="00556D80" w:rsidRDefault="00ED365C" w:rsidP="003230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</w:pPr>
                            <w:r w:rsidRPr="00ED365C">
                              <w:rPr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  <w:t>Depois de utilizar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eastAsia="맑은 고딕"/>
                <w:noProof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42368" behindDoc="0" locked="1" layoutInCell="1" allowOverlap="1" wp14:anchorId="07FA02E0" wp14:editId="1FA84C7E">
                      <wp:simplePos x="0" y="0"/>
                      <wp:positionH relativeFrom="column">
                        <wp:posOffset>1595120</wp:posOffset>
                      </wp:positionH>
                      <wp:positionV relativeFrom="page">
                        <wp:posOffset>237490</wp:posOffset>
                      </wp:positionV>
                      <wp:extent cx="1276350" cy="290195"/>
                      <wp:effectExtent l="0" t="0" r="0" b="0"/>
                      <wp:wrapNone/>
                      <wp:docPr id="41" name="Caixa de texto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1D49117" w14:textId="5F1B05AD" w:rsidR="00516C12" w:rsidRPr="00556D80" w:rsidRDefault="00ED365C" w:rsidP="0032304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s-ES"/>
                                    </w:rPr>
                                  </w:pPr>
                                  <w:r w:rsidRPr="00ED365C">
                                    <w:rPr>
                                      <w:rFonts w:ascii="Arial" w:hAnsi="Arial" w:cs="Arial"/>
                                      <w:b/>
                                      <w:bCs/>
                                      <w:lang w:val="es-ES"/>
                                    </w:rPr>
                                    <w:t>Antes de utilizar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A02E0" id="Caixa de texto 41" o:spid="_x0000_s1027" type="#_x0000_t202" style="position:absolute;left:0;text-align:left;margin-left:125.6pt;margin-top:18.7pt;width:100.5pt;height:22.85pt;z-index:251642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" filled="f" stroked="f">
                      <v:textbox inset="0,0,0,0">
                        <w:txbxContent>
                          <w:p w14:paraId="51D49117" w14:textId="5F1B05AD" w:rsidR="00516C12" w:rsidRPr="00556D80" w:rsidRDefault="00ED365C" w:rsidP="003230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</w:pPr>
                            <w:r w:rsidRPr="00ED365C">
                              <w:rPr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  <w:t>Antes de utilizar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eastAsia="맑은 고딕"/>
                <w:noProof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44416" behindDoc="0" locked="1" layoutInCell="1" allowOverlap="1" wp14:anchorId="1D4CFC15" wp14:editId="385F253A">
                      <wp:simplePos x="0" y="0"/>
                      <wp:positionH relativeFrom="column">
                        <wp:posOffset>2699385</wp:posOffset>
                      </wp:positionH>
                      <wp:positionV relativeFrom="page">
                        <wp:posOffset>2680335</wp:posOffset>
                      </wp:positionV>
                      <wp:extent cx="458470" cy="196850"/>
                      <wp:effectExtent l="0" t="0" r="0" b="0"/>
                      <wp:wrapNone/>
                      <wp:docPr id="40" name="Caixa de texto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470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C542124" w14:textId="2497B6F7" w:rsidR="00516C12" w:rsidRPr="00556D80" w:rsidRDefault="00ED365C" w:rsidP="0032304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ED365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s-ES"/>
                                    </w:rPr>
                                    <w:t>Tampa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CFC15" id="Caixa de texto 40" o:spid="_x0000_s1028" type="#_x0000_t202" style="position:absolute;left:0;text-align:left;margin-left:212.55pt;margin-top:211.05pt;width:36.1pt;height:15.5pt;z-index:25164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" stroked="f">
                      <v:textbox inset="0,0,0,0">
                        <w:txbxContent>
                          <w:p w14:paraId="3C542124" w14:textId="2497B6F7" w:rsidR="00516C12" w:rsidRPr="00556D80" w:rsidRDefault="00ED365C" w:rsidP="003230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ED365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Tampa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eastAsia="맑은 고딕"/>
                <w:noProof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41344" behindDoc="0" locked="1" layoutInCell="1" allowOverlap="1" wp14:anchorId="2D6F67A7" wp14:editId="018D7899">
                      <wp:simplePos x="0" y="0"/>
                      <wp:positionH relativeFrom="column">
                        <wp:posOffset>2503170</wp:posOffset>
                      </wp:positionH>
                      <wp:positionV relativeFrom="page">
                        <wp:posOffset>1920240</wp:posOffset>
                      </wp:positionV>
                      <wp:extent cx="768985" cy="290195"/>
                      <wp:effectExtent l="0" t="0" r="0" b="0"/>
                      <wp:wrapNone/>
                      <wp:docPr id="39" name="Caixa de texto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8985" cy="290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163A18A" w14:textId="1577D232" w:rsidR="00516C12" w:rsidRPr="00556D80" w:rsidRDefault="00ED365C" w:rsidP="0032304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ED365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s-ES"/>
                                    </w:rPr>
                                    <w:t>Proteção de segurança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6F67A7" id="Caixa de texto 39" o:spid="_x0000_s1029" type="#_x0000_t202" style="position:absolute;left:0;text-align:left;margin-left:197.1pt;margin-top:151.2pt;width:60.55pt;height:22.85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" stroked="f">
                      <v:textbox inset="0,0,0,0">
                        <w:txbxContent>
                          <w:p w14:paraId="4163A18A" w14:textId="1577D232" w:rsidR="00516C12" w:rsidRPr="00556D80" w:rsidRDefault="00ED365C" w:rsidP="003230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ED365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Proteção de segurança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eastAsia="맑은 고딕"/>
                <w:noProof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40320" behindDoc="0" locked="1" layoutInCell="1" allowOverlap="1" wp14:anchorId="25E84A16" wp14:editId="662A8E43">
                      <wp:simplePos x="0" y="0"/>
                      <wp:positionH relativeFrom="column">
                        <wp:posOffset>2531745</wp:posOffset>
                      </wp:positionH>
                      <wp:positionV relativeFrom="page">
                        <wp:posOffset>1586865</wp:posOffset>
                      </wp:positionV>
                      <wp:extent cx="759460" cy="290195"/>
                      <wp:effectExtent l="0" t="0" r="0" b="0"/>
                      <wp:wrapNone/>
                      <wp:docPr id="38" name="Caixa de text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9460" cy="290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359979" w14:textId="21E6151C" w:rsidR="00516C12" w:rsidRPr="00556D80" w:rsidRDefault="00ED365C" w:rsidP="0032304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ED365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s-ES"/>
                                    </w:rPr>
                                    <w:t>Janela de visualização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E84A16" id="Caixa de texto 38" o:spid="_x0000_s1030" type="#_x0000_t202" style="position:absolute;left:0;text-align:left;margin-left:199.35pt;margin-top:124.95pt;width:59.8pt;height:22.85pt;z-index:251640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" stroked="f">
                      <v:textbox inset="0,0,0,0">
                        <w:txbxContent>
                          <w:p w14:paraId="76359979" w14:textId="21E6151C" w:rsidR="00516C12" w:rsidRPr="00556D80" w:rsidRDefault="00ED365C" w:rsidP="003230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ED365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Janela de visualização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eastAsia="맑은 고딕"/>
                <w:noProof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39296" behindDoc="0" locked="1" layoutInCell="1" allowOverlap="1" wp14:anchorId="5B6EEE5B" wp14:editId="587C1907">
                      <wp:simplePos x="0" y="0"/>
                      <wp:positionH relativeFrom="column">
                        <wp:posOffset>2680335</wp:posOffset>
                      </wp:positionH>
                      <wp:positionV relativeFrom="page">
                        <wp:posOffset>1143635</wp:posOffset>
                      </wp:positionV>
                      <wp:extent cx="461010" cy="604520"/>
                      <wp:effectExtent l="0" t="0" r="0" b="0"/>
                      <wp:wrapNone/>
                      <wp:docPr id="37" name="Caixa de text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10" cy="604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A2877B8" w14:textId="46504FDF" w:rsidR="00516C12" w:rsidRPr="00556D80" w:rsidRDefault="00ED365C" w:rsidP="0032304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ED365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s-ES"/>
                                    </w:rPr>
                                    <w:t>Apoio para os dedos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EEE5B" id="Caixa de texto 37" o:spid="_x0000_s1031" type="#_x0000_t202" style="position:absolute;left:0;text-align:left;margin-left:211.05pt;margin-top:90.05pt;width:36.3pt;height:47.6pt;z-index:251639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" stroked="f">
                      <v:textbox inset="0,0,0,0">
                        <w:txbxContent>
                          <w:p w14:paraId="1A2877B8" w14:textId="46504FDF" w:rsidR="00516C12" w:rsidRPr="00556D80" w:rsidRDefault="00ED365C" w:rsidP="003230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ED365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Apoio para os dedos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eastAsia="맑은 고딕"/>
                <w:noProof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37248" behindDoc="0" locked="1" layoutInCell="1" allowOverlap="1" wp14:anchorId="49BAF405" wp14:editId="239D6ACC">
                      <wp:simplePos x="0" y="0"/>
                      <wp:positionH relativeFrom="column">
                        <wp:posOffset>2642870</wp:posOffset>
                      </wp:positionH>
                      <wp:positionV relativeFrom="page">
                        <wp:posOffset>805815</wp:posOffset>
                      </wp:positionV>
                      <wp:extent cx="523240" cy="290195"/>
                      <wp:effectExtent l="0" t="0" r="0" b="0"/>
                      <wp:wrapNone/>
                      <wp:docPr id="36" name="Caixa de texto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240" cy="290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9A47717" w14:textId="67C72675" w:rsidR="00516C12" w:rsidRPr="00556D80" w:rsidRDefault="00ED365C" w:rsidP="0032304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ED365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s-ES"/>
                                    </w:rPr>
                                    <w:t>Haste do êmbolo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AF405" id="Caixa de texto 36" o:spid="_x0000_s1032" type="#_x0000_t202" style="position:absolute;left:0;text-align:left;margin-left:208.1pt;margin-top:63.45pt;width:41.2pt;height:22.85pt;z-index:251637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" stroked="f">
                      <v:textbox inset="0,0,0,0">
                        <w:txbxContent>
                          <w:p w14:paraId="29A47717" w14:textId="67C72675" w:rsidR="00516C12" w:rsidRPr="00556D80" w:rsidRDefault="00ED365C" w:rsidP="003230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ED365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Haste do êmbolo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eastAsia="맑은 고딕"/>
                <w:noProof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38272" behindDoc="0" locked="1" layoutInCell="1" allowOverlap="1" wp14:anchorId="01A25D23" wp14:editId="0199AE4F">
                      <wp:simplePos x="0" y="0"/>
                      <wp:positionH relativeFrom="column">
                        <wp:posOffset>2719070</wp:posOffset>
                      </wp:positionH>
                      <wp:positionV relativeFrom="page">
                        <wp:posOffset>2250440</wp:posOffset>
                      </wp:positionV>
                      <wp:extent cx="1241425" cy="290195"/>
                      <wp:effectExtent l="0" t="0" r="0" b="0"/>
                      <wp:wrapNone/>
                      <wp:docPr id="35" name="Caixa de text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142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7D97E37" w14:textId="5A8D69AC" w:rsidR="00516C12" w:rsidRPr="00556D80" w:rsidRDefault="00ED365C" w:rsidP="00323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ED365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s-ES"/>
                                    </w:rPr>
                                    <w:t>Agulha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A25D23" id="Caixa de texto 35" o:spid="_x0000_s1033" type="#_x0000_t202" style="position:absolute;left:0;text-align:left;margin-left:214.1pt;margin-top:177.2pt;width:97.75pt;height:22.85pt;z-index:251638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" filled="f" stroked="f">
                      <v:textbox inset="0,0,0,0">
                        <w:txbxContent>
                          <w:p w14:paraId="17D97E37" w14:textId="5A8D69AC" w:rsidR="00516C12" w:rsidRPr="00556D80" w:rsidRDefault="00ED365C" w:rsidP="00323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ED365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Agulha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eastAsia="맑은 고딕"/>
                <w:noProof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36224" behindDoc="0" locked="1" layoutInCell="1" allowOverlap="1" wp14:anchorId="4CDBC515" wp14:editId="23832C8D">
                      <wp:simplePos x="0" y="0"/>
                      <wp:positionH relativeFrom="column">
                        <wp:posOffset>3874770</wp:posOffset>
                      </wp:positionH>
                      <wp:positionV relativeFrom="page">
                        <wp:posOffset>1748790</wp:posOffset>
                      </wp:positionV>
                      <wp:extent cx="1241425" cy="290195"/>
                      <wp:effectExtent l="0" t="0" r="0" b="0"/>
                      <wp:wrapNone/>
                      <wp:docPr id="34" name="Caixa de texto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142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E6EB0F7" w14:textId="4DF4F4DB" w:rsidR="00516C12" w:rsidRPr="00556D80" w:rsidRDefault="00ED365C" w:rsidP="00323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ED365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s-ES"/>
                                    </w:rPr>
                                    <w:t>Agulha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BC515" id="Caixa de texto 34" o:spid="_x0000_s1034" type="#_x0000_t202" style="position:absolute;left:0;text-align:left;margin-left:305.1pt;margin-top:137.7pt;width:97.75pt;height:22.85pt;z-index:251636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" filled="f" stroked="f">
                      <v:textbox inset="0,0,0,0">
                        <w:txbxContent>
                          <w:p w14:paraId="5E6EB0F7" w14:textId="4DF4F4DB" w:rsidR="00516C12" w:rsidRPr="00556D80" w:rsidRDefault="00ED365C" w:rsidP="00323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ED365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Agulha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eastAsia="맑은 고딕"/>
                <w:noProof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35200" behindDoc="0" locked="1" layoutInCell="1" allowOverlap="1" wp14:anchorId="26248768" wp14:editId="449D2FD5">
                      <wp:simplePos x="0" y="0"/>
                      <wp:positionH relativeFrom="column">
                        <wp:posOffset>712470</wp:posOffset>
                      </wp:positionH>
                      <wp:positionV relativeFrom="page">
                        <wp:posOffset>1767205</wp:posOffset>
                      </wp:positionV>
                      <wp:extent cx="1241425" cy="290195"/>
                      <wp:effectExtent l="0" t="0" r="0" b="0"/>
                      <wp:wrapNone/>
                      <wp:docPr id="33" name="Caixa de text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142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F61F1AA" w14:textId="77BDC8A3" w:rsidR="00516C12" w:rsidRPr="00556D80" w:rsidRDefault="00ED365C" w:rsidP="00323042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ED365C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s-ES"/>
                                    </w:rPr>
                                    <w:t>Medicamento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248768" id="Caixa de texto 33" o:spid="_x0000_s1035" type="#_x0000_t202" style="position:absolute;left:0;text-align:left;margin-left:56.1pt;margin-top:139.15pt;width:97.75pt;height:22.85pt;z-index:251635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" filled="f" stroked="f">
                      <v:textbox inset="0,0,0,0">
                        <w:txbxContent>
                          <w:p w14:paraId="0F61F1AA" w14:textId="77BDC8A3" w:rsidR="00516C12" w:rsidRPr="00556D80" w:rsidRDefault="00ED365C" w:rsidP="00323042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ED365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Medicamento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eastAsia="맑은 고딕"/>
                <w:noProof/>
                <w:lang w:eastAsia="pt-PT"/>
              </w:rPr>
              <w:drawing>
                <wp:inline distT="0" distB="0" distL="0" distR="0" wp14:anchorId="626B5860" wp14:editId="3C01DA96">
                  <wp:extent cx="3041650" cy="2863850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650" cy="286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B23C69" w14:textId="77777777" w:rsidR="00323042" w:rsidRPr="00323042" w:rsidRDefault="00323042" w:rsidP="00323042">
            <w:pPr>
              <w:keepNext/>
              <w:tabs>
                <w:tab w:val="clear" w:pos="567"/>
              </w:tabs>
              <w:jc w:val="center"/>
              <w:rPr>
                <w:rFonts w:eastAsia="맑은 고딕"/>
                <w:lang w:eastAsia="ko-KR"/>
              </w:rPr>
            </w:pPr>
          </w:p>
        </w:tc>
      </w:tr>
      <w:tr w:rsidR="00323042" w:rsidRPr="00323042" w14:paraId="2D4B3E77" w14:textId="77777777" w:rsidTr="00516C12">
        <w:trPr>
          <w:cantSplit/>
        </w:trPr>
        <w:tc>
          <w:tcPr>
            <w:tcW w:w="10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0602" w14:textId="77777777" w:rsidR="00323042" w:rsidRPr="00323042" w:rsidRDefault="00323042" w:rsidP="00562E01">
            <w:pPr>
              <w:tabs>
                <w:tab w:val="clear" w:pos="567"/>
              </w:tabs>
              <w:jc w:val="center"/>
              <w:rPr>
                <w:rFonts w:eastAsia="맑은 고딕"/>
                <w:b/>
                <w:bCs/>
                <w:lang w:eastAsia="zh-CN"/>
              </w:rPr>
            </w:pPr>
            <w:r w:rsidRPr="00323042">
              <w:rPr>
                <w:rFonts w:eastAsia="맑은 고딕"/>
                <w:b/>
                <w:bCs/>
                <w:lang w:eastAsia="ko-KR"/>
              </w:rPr>
              <w:t>Figur</w:t>
            </w:r>
            <w:r w:rsidR="00562E01">
              <w:rPr>
                <w:rFonts w:eastAsia="맑은 고딕"/>
                <w:b/>
                <w:bCs/>
                <w:lang w:eastAsia="ko-KR"/>
              </w:rPr>
              <w:t>a</w:t>
            </w:r>
            <w:r w:rsidRPr="00323042">
              <w:rPr>
                <w:rFonts w:eastAsia="맑은 고딕"/>
                <w:b/>
                <w:bCs/>
                <w:lang w:eastAsia="ko-KR"/>
              </w:rPr>
              <w:t xml:space="preserve"> A</w:t>
            </w:r>
          </w:p>
        </w:tc>
      </w:tr>
    </w:tbl>
    <w:p w14:paraId="3AA81680" w14:textId="77777777" w:rsidR="00323042" w:rsidRPr="00323042" w:rsidRDefault="00323042" w:rsidP="00323042">
      <w:pPr>
        <w:tabs>
          <w:tab w:val="clear" w:pos="567"/>
        </w:tabs>
        <w:rPr>
          <w:rFonts w:eastAsia="맑은 고딕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010"/>
        <w:gridCol w:w="6053"/>
      </w:tblGrid>
      <w:tr w:rsidR="00323042" w:rsidRPr="00323042" w14:paraId="4549BE9E" w14:textId="77777777" w:rsidTr="00516C12">
        <w:trPr>
          <w:cantSplit/>
          <w:tblHeader/>
        </w:trPr>
        <w:tc>
          <w:tcPr>
            <w:tcW w:w="9064" w:type="dxa"/>
            <w:gridSpan w:val="2"/>
            <w:tcBorders>
              <w:bottom w:val="single" w:sz="4" w:space="0" w:color="auto"/>
            </w:tcBorders>
          </w:tcPr>
          <w:p w14:paraId="5D73F9F9" w14:textId="77777777" w:rsidR="00323042" w:rsidRPr="00323042" w:rsidRDefault="00C15761" w:rsidP="00323042">
            <w:pPr>
              <w:keepNext/>
              <w:tabs>
                <w:tab w:val="clear" w:pos="567"/>
              </w:tabs>
              <w:suppressAutoHyphens/>
              <w:rPr>
                <w:rFonts w:eastAsia="맑은 고딕"/>
                <w:b/>
                <w:bCs/>
                <w:lang w:eastAsia="zh-CN"/>
              </w:rPr>
            </w:pPr>
            <w:r w:rsidRPr="00C15761">
              <w:rPr>
                <w:rFonts w:eastAsia="맑은 고딕"/>
                <w:b/>
                <w:bCs/>
                <w:lang w:eastAsia="zh-CN"/>
              </w:rPr>
              <w:lastRenderedPageBreak/>
              <w:t>Preparar para a injeção</w:t>
            </w:r>
          </w:p>
        </w:tc>
      </w:tr>
      <w:tr w:rsidR="00323042" w:rsidRPr="00323042" w14:paraId="18834E68" w14:textId="77777777" w:rsidTr="00516C12">
        <w:trPr>
          <w:cantSplit/>
        </w:trPr>
        <w:tc>
          <w:tcPr>
            <w:tcW w:w="3010" w:type="dxa"/>
            <w:tcBorders>
              <w:bottom w:val="nil"/>
              <w:right w:val="nil"/>
            </w:tcBorders>
            <w:vAlign w:val="center"/>
          </w:tcPr>
          <w:p w14:paraId="39228239" w14:textId="69894312" w:rsidR="00323042" w:rsidRPr="00323042" w:rsidRDefault="0077602B" w:rsidP="00323042">
            <w:pPr>
              <w:keepNext/>
              <w:tabs>
                <w:tab w:val="clear" w:pos="567"/>
              </w:tabs>
              <w:suppressAutoHyphens/>
              <w:jc w:val="center"/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noProof/>
                <w:lang w:eastAsia="ko-KR"/>
              </w:rPr>
              <mc:AlternateContent>
                <mc:Choice Requires="wps">
                  <w:drawing>
                    <wp:anchor distT="45720" distB="45720" distL="114300" distR="114300" simplePos="0" relativeHeight="251652608" behindDoc="0" locked="1" layoutInCell="1" allowOverlap="1" wp14:anchorId="4B2A5289" wp14:editId="5C84B10E">
                      <wp:simplePos x="0" y="0"/>
                      <wp:positionH relativeFrom="column">
                        <wp:posOffset>406400</wp:posOffset>
                      </wp:positionH>
                      <wp:positionV relativeFrom="page">
                        <wp:posOffset>989330</wp:posOffset>
                      </wp:positionV>
                      <wp:extent cx="250825" cy="290195"/>
                      <wp:effectExtent l="0" t="0" r="0" b="0"/>
                      <wp:wrapNone/>
                      <wp:docPr id="32" name="Caixa de text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82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40DE620" w14:textId="77777777" w:rsidR="00516C12" w:rsidRPr="003866BF" w:rsidRDefault="00516C12" w:rsidP="00323042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8"/>
                                      <w:szCs w:val="8"/>
                                      <w:lang w:val="es-ES"/>
                                    </w:rPr>
                                  </w:pPr>
                                  <w:r w:rsidRPr="003866BF">
                                    <w:rPr>
                                      <w:rFonts w:ascii="Arial Narrow" w:hAnsi="Arial Narrow" w:cs="Arial"/>
                                      <w:sz w:val="8"/>
                                      <w:szCs w:val="8"/>
                                      <w:lang w:val="es-ES"/>
                                    </w:rPr>
                                    <w:t>ALCOHOL WIPE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A5289" id="Caixa de texto 32" o:spid="_x0000_s1036" type="#_x0000_t202" style="position:absolute;left:0;text-align:left;margin-left:32pt;margin-top:77.9pt;width:19.75pt;height:22.8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" filled="f" stroked="f">
                      <v:textbox inset="0,0,0,0">
                        <w:txbxContent>
                          <w:p w14:paraId="540DE620" w14:textId="77777777" w:rsidR="00516C12" w:rsidRPr="003866BF" w:rsidRDefault="00516C12" w:rsidP="00323042">
                            <w:pPr>
                              <w:jc w:val="center"/>
                              <w:rPr>
                                <w:rFonts w:ascii="Arial Narrow" w:hAnsi="Arial Narrow" w:cs="Arial"/>
                                <w:sz w:val="8"/>
                                <w:szCs w:val="8"/>
                                <w:lang w:val="es-ES"/>
                              </w:rPr>
                            </w:pPr>
                            <w:r w:rsidRPr="003866BF">
                              <w:rPr>
                                <w:rFonts w:ascii="Arial Narrow" w:hAnsi="Arial Narrow" w:cs="Arial"/>
                                <w:sz w:val="8"/>
                                <w:szCs w:val="8"/>
                                <w:lang w:val="es-ES"/>
                              </w:rPr>
                              <w:t>ALCOHOL WIPE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7BEAA1D7" w14:textId="0C6596EB" w:rsidR="00323042" w:rsidRPr="00323042" w:rsidRDefault="0077602B" w:rsidP="00323042">
            <w:pPr>
              <w:keepNext/>
              <w:tabs>
                <w:tab w:val="clear" w:pos="567"/>
              </w:tabs>
              <w:suppressAutoHyphens/>
              <w:jc w:val="center"/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noProof/>
                <w:lang w:eastAsia="ko-KR"/>
              </w:rPr>
              <mc:AlternateContent>
                <mc:Choice Requires="wps">
                  <w:drawing>
                    <wp:anchor distT="45720" distB="45720" distL="114300" distR="114300" simplePos="0" relativeHeight="251651584" behindDoc="0" locked="1" layoutInCell="1" allowOverlap="1" wp14:anchorId="31AD2EAF" wp14:editId="37B0958A">
                      <wp:simplePos x="0" y="0"/>
                      <wp:positionH relativeFrom="column">
                        <wp:posOffset>847090</wp:posOffset>
                      </wp:positionH>
                      <wp:positionV relativeFrom="page">
                        <wp:posOffset>2552700</wp:posOffset>
                      </wp:positionV>
                      <wp:extent cx="1172210" cy="388620"/>
                      <wp:effectExtent l="0" t="0" r="0" b="0"/>
                      <wp:wrapNone/>
                      <wp:docPr id="31" name="Caixa de text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2210" cy="388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9E87778" w14:textId="5C47C973" w:rsidR="00516C12" w:rsidRPr="00237B1F" w:rsidRDefault="00471233" w:rsidP="0032304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47123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  <w:t>Recipiente para eliminação de objetos perfurocortantes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AD2EAF" id="Caixa de texto 31" o:spid="_x0000_s1037" type="#_x0000_t202" style="position:absolute;left:0;text-align:left;margin-left:66.7pt;margin-top:201pt;width:92.3pt;height:30.6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" filled="f" stroked="f">
                      <v:textbox inset="0,0,0,0">
                        <w:txbxContent>
                          <w:p w14:paraId="69E87778" w14:textId="5C47C973" w:rsidR="00516C12" w:rsidRPr="00237B1F" w:rsidRDefault="00471233" w:rsidP="0032304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47123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Recipiente para eliminação de objetos perfurocortantes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eastAsia="맑은 고딕"/>
                <w:noProof/>
                <w:lang w:eastAsia="ko-KR"/>
              </w:rPr>
              <mc:AlternateContent>
                <mc:Choice Requires="wps">
                  <w:drawing>
                    <wp:anchor distT="45720" distB="45720" distL="114300" distR="114300" simplePos="0" relativeHeight="251650560" behindDoc="0" locked="1" layoutInCell="1" allowOverlap="1" wp14:anchorId="5BE4AC0A" wp14:editId="3262FC77">
                      <wp:simplePos x="0" y="0"/>
                      <wp:positionH relativeFrom="column">
                        <wp:posOffset>843280</wp:posOffset>
                      </wp:positionH>
                      <wp:positionV relativeFrom="page">
                        <wp:posOffset>2003425</wp:posOffset>
                      </wp:positionV>
                      <wp:extent cx="866775" cy="290195"/>
                      <wp:effectExtent l="0" t="0" r="0" b="0"/>
                      <wp:wrapNone/>
                      <wp:docPr id="30" name="Caixa de text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B305EC" w14:textId="1266AC12" w:rsidR="00516C12" w:rsidRPr="00237B1F" w:rsidRDefault="00471233" w:rsidP="0032304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47123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  <w:t>Penso adesivo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4AC0A" id="Caixa de texto 30" o:spid="_x0000_s1038" type="#_x0000_t202" style="position:absolute;left:0;text-align:left;margin-left:66.4pt;margin-top:157.75pt;width:68.25pt;height:22.85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" filled="f" stroked="f">
                      <v:textbox inset="0,0,0,0">
                        <w:txbxContent>
                          <w:p w14:paraId="1EB305EC" w14:textId="1266AC12" w:rsidR="00516C12" w:rsidRPr="00237B1F" w:rsidRDefault="00471233" w:rsidP="0032304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47123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Penso adesivo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eastAsia="맑은 고딕"/>
                <w:noProof/>
                <w:lang w:eastAsia="ko-KR"/>
              </w:rPr>
              <mc:AlternateContent>
                <mc:Choice Requires="wps">
                  <w:drawing>
                    <wp:anchor distT="45720" distB="45720" distL="114300" distR="114300" simplePos="0" relativeHeight="251648512" behindDoc="0" locked="1" layoutInCell="1" allowOverlap="1" wp14:anchorId="6EA8EBDF" wp14:editId="71C81558">
                      <wp:simplePos x="0" y="0"/>
                      <wp:positionH relativeFrom="column">
                        <wp:posOffset>854710</wp:posOffset>
                      </wp:positionH>
                      <wp:positionV relativeFrom="page">
                        <wp:posOffset>944880</wp:posOffset>
                      </wp:positionV>
                      <wp:extent cx="962025" cy="290195"/>
                      <wp:effectExtent l="0" t="0" r="0" b="0"/>
                      <wp:wrapNone/>
                      <wp:docPr id="29" name="Caixa de text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0C3A719" w14:textId="6F59AA94" w:rsidR="00516C12" w:rsidRPr="00237B1F" w:rsidRDefault="00471233" w:rsidP="0032304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47123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  <w:t>Toalhete com álcool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8EBDF" id="Caixa de texto 29" o:spid="_x0000_s1039" type="#_x0000_t202" style="position:absolute;left:0;text-align:left;margin-left:67.3pt;margin-top:74.4pt;width:75.75pt;height:22.85pt;z-index: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" filled="f" stroked="f">
                      <v:textbox inset="0,0,0,0">
                        <w:txbxContent>
                          <w:p w14:paraId="20C3A719" w14:textId="6F59AA94" w:rsidR="00516C12" w:rsidRPr="00237B1F" w:rsidRDefault="00471233" w:rsidP="0032304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47123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Toalhete com álcool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eastAsia="맑은 고딕"/>
                <w:noProof/>
                <w:lang w:eastAsia="ko-KR"/>
              </w:rPr>
              <mc:AlternateContent>
                <mc:Choice Requires="wps">
                  <w:drawing>
                    <wp:anchor distT="45720" distB="45720" distL="114300" distR="114300" simplePos="0" relativeHeight="251649536" behindDoc="0" locked="1" layoutInCell="1" allowOverlap="1" wp14:anchorId="616DCDF5" wp14:editId="0221F5D0">
                      <wp:simplePos x="0" y="0"/>
                      <wp:positionH relativeFrom="column">
                        <wp:posOffset>842645</wp:posOffset>
                      </wp:positionH>
                      <wp:positionV relativeFrom="page">
                        <wp:posOffset>1468120</wp:posOffset>
                      </wp:positionV>
                      <wp:extent cx="962025" cy="290195"/>
                      <wp:effectExtent l="0" t="0" r="0" b="0"/>
                      <wp:wrapNone/>
                      <wp:docPr id="28" name="Caixa de text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93822DC" w14:textId="52AC2F4C" w:rsidR="00516C12" w:rsidRPr="00237B1F" w:rsidRDefault="00471233" w:rsidP="0032304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47123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  <w:t>Bola de algodão ou gaze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DCDF5" id="Caixa de texto 28" o:spid="_x0000_s1040" type="#_x0000_t202" style="position:absolute;left:0;text-align:left;margin-left:66.35pt;margin-top:115.6pt;width:75.75pt;height:22.8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" filled="f" stroked="f">
                      <v:textbox inset="0,0,0,0">
                        <w:txbxContent>
                          <w:p w14:paraId="293822DC" w14:textId="52AC2F4C" w:rsidR="00516C12" w:rsidRPr="00237B1F" w:rsidRDefault="00471233" w:rsidP="0032304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47123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Bola de algodão ou gaze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eastAsia="맑은 고딕"/>
                <w:noProof/>
                <w:lang w:eastAsia="ko-KR"/>
              </w:rPr>
              <mc:AlternateContent>
                <mc:Choice Requires="wps">
                  <w:drawing>
                    <wp:anchor distT="45720" distB="45720" distL="114300" distR="114300" simplePos="0" relativeHeight="251647488" behindDoc="0" locked="1" layoutInCell="1" allowOverlap="1" wp14:anchorId="4C832B43" wp14:editId="23AD6248">
                      <wp:simplePos x="0" y="0"/>
                      <wp:positionH relativeFrom="column">
                        <wp:posOffset>848360</wp:posOffset>
                      </wp:positionH>
                      <wp:positionV relativeFrom="page">
                        <wp:posOffset>190500</wp:posOffset>
                      </wp:positionV>
                      <wp:extent cx="1079500" cy="455930"/>
                      <wp:effectExtent l="0" t="0" r="0" b="0"/>
                      <wp:wrapNone/>
                      <wp:docPr id="27" name="Caixa de text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0" cy="4559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D40299" w14:textId="11120AA5" w:rsidR="00516C12" w:rsidRPr="00237B1F" w:rsidRDefault="00471233" w:rsidP="00323042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47123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lang w:val="es-ES"/>
                                    </w:rPr>
                                    <w:t>Embalagem exterior com a seringa pré cheia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32B43" id="Caixa de texto 27" o:spid="_x0000_s1041" type="#_x0000_t202" style="position:absolute;left:0;text-align:left;margin-left:66.8pt;margin-top:15pt;width:85pt;height:35.9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" filled="f" stroked="f">
                      <v:textbox inset="0,0,0,0">
                        <w:txbxContent>
                          <w:p w14:paraId="71D40299" w14:textId="11120AA5" w:rsidR="00516C12" w:rsidRPr="00237B1F" w:rsidRDefault="00471233" w:rsidP="0032304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471233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"/>
                              </w:rPr>
                              <w:t>Embalagem exterior com a seringa pré cheia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eastAsia="맑은 고딕"/>
                <w:noProof/>
                <w:lang w:eastAsia="pt-PT"/>
              </w:rPr>
              <w:drawing>
                <wp:inline distT="0" distB="0" distL="0" distR="0" wp14:anchorId="5F1F7B76" wp14:editId="006E44BF">
                  <wp:extent cx="1739900" cy="285750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4FACD7" w14:textId="77777777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jc w:val="center"/>
              <w:rPr>
                <w:rFonts w:eastAsia="맑은 고딕"/>
                <w:lang w:eastAsia="ko-KR"/>
              </w:rPr>
            </w:pPr>
          </w:p>
        </w:tc>
        <w:tc>
          <w:tcPr>
            <w:tcW w:w="6054" w:type="dxa"/>
            <w:vMerge w:val="restart"/>
            <w:tcBorders>
              <w:left w:val="nil"/>
            </w:tcBorders>
          </w:tcPr>
          <w:p w14:paraId="52A69822" w14:textId="77777777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4" w:hanging="284"/>
              <w:rPr>
                <w:rFonts w:eastAsia="맑은 고딕"/>
                <w:b/>
                <w:bCs/>
                <w:lang w:eastAsia="zh-CN"/>
              </w:rPr>
            </w:pPr>
            <w:r w:rsidRPr="00323042">
              <w:rPr>
                <w:rFonts w:eastAsia="맑은 고딕"/>
                <w:b/>
                <w:bCs/>
                <w:lang w:eastAsia="zh-CN"/>
              </w:rPr>
              <w:t>1.</w:t>
            </w:r>
            <w:r w:rsidRPr="00323042">
              <w:rPr>
                <w:rFonts w:eastAsia="맑은 고딕"/>
                <w:b/>
                <w:bCs/>
                <w:lang w:eastAsia="zh-CN"/>
              </w:rPr>
              <w:tab/>
            </w:r>
            <w:r w:rsidR="00C15761" w:rsidRPr="00C15761">
              <w:rPr>
                <w:rFonts w:eastAsia="맑은 고딕"/>
                <w:b/>
                <w:bCs/>
                <w:lang w:eastAsia="zh-CN"/>
              </w:rPr>
              <w:t>Reunir os materiais necessários para a injeção</w:t>
            </w:r>
            <w:r w:rsidRPr="00323042">
              <w:rPr>
                <w:rFonts w:eastAsia="맑은 고딕"/>
                <w:b/>
                <w:bCs/>
                <w:lang w:eastAsia="zh-CN"/>
              </w:rPr>
              <w:t>.</w:t>
            </w:r>
          </w:p>
          <w:p w14:paraId="5C273D12" w14:textId="77777777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3"/>
              <w:rPr>
                <w:rFonts w:eastAsia="맑은 고딕"/>
                <w:lang w:eastAsia="zh-CN"/>
              </w:rPr>
            </w:pPr>
            <w:r w:rsidRPr="00323042">
              <w:rPr>
                <w:rFonts w:eastAsia="맑은 고딕"/>
                <w:lang w:eastAsia="zh-CN"/>
              </w:rPr>
              <w:t xml:space="preserve">1a. </w:t>
            </w:r>
            <w:r w:rsidR="00C15761" w:rsidRPr="00C15761">
              <w:rPr>
                <w:rFonts w:eastAsia="맑은 고딕"/>
                <w:lang w:eastAsia="zh-CN"/>
              </w:rPr>
              <w:t>Prepare uma superfície limpa e plana, como uma mesa ou bancada, num local bem iluminado</w:t>
            </w:r>
            <w:r w:rsidRPr="00323042">
              <w:rPr>
                <w:rFonts w:eastAsia="맑은 고딕"/>
                <w:lang w:eastAsia="zh-CN"/>
              </w:rPr>
              <w:t>.</w:t>
            </w:r>
          </w:p>
          <w:p w14:paraId="685ECAE1" w14:textId="5D02AD63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3"/>
              <w:rPr>
                <w:rFonts w:eastAsia="맑은 고딕"/>
                <w:lang w:eastAsia="zh-CN"/>
              </w:rPr>
            </w:pPr>
            <w:r w:rsidRPr="00323042">
              <w:rPr>
                <w:rFonts w:eastAsia="맑은 고딕"/>
                <w:lang w:eastAsia="zh-CN"/>
              </w:rPr>
              <w:t xml:space="preserve">1b. </w:t>
            </w:r>
            <w:r w:rsidR="00C15761">
              <w:rPr>
                <w:rFonts w:eastAsia="맑은 고딕"/>
                <w:lang w:eastAsia="zh-CN"/>
              </w:rPr>
              <w:t>Retire do frigorífico a embalagem exterior co</w:t>
            </w:r>
            <w:r w:rsidR="00FE5716">
              <w:rPr>
                <w:rFonts w:eastAsia="맑은 고딕"/>
                <w:lang w:eastAsia="zh-CN"/>
              </w:rPr>
              <w:t>m</w:t>
            </w:r>
            <w:r w:rsidR="00C15761">
              <w:rPr>
                <w:rFonts w:eastAsia="맑은 고딕"/>
                <w:lang w:eastAsia="zh-CN"/>
              </w:rPr>
              <w:t xml:space="preserve"> a </w:t>
            </w:r>
            <w:r w:rsidR="00BB539B">
              <w:rPr>
                <w:rFonts w:eastAsia="맑은 고딕"/>
                <w:lang w:eastAsia="zh-CN"/>
              </w:rPr>
              <w:t xml:space="preserve">seringa </w:t>
            </w:r>
            <w:r w:rsidR="00C15761" w:rsidRPr="00DF6FEE">
              <w:t>pré</w:t>
            </w:r>
            <w:r w:rsidR="00C15761" w:rsidRPr="00DF6FEE">
              <w:noBreakHyphen/>
              <w:t>cheia</w:t>
            </w:r>
            <w:r w:rsidRPr="00323042">
              <w:rPr>
                <w:rFonts w:eastAsia="맑은 고딕"/>
                <w:lang w:eastAsia="zh-CN"/>
              </w:rPr>
              <w:t>.</w:t>
            </w:r>
          </w:p>
          <w:p w14:paraId="179A16CC" w14:textId="77777777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3"/>
              <w:rPr>
                <w:rFonts w:eastAsia="맑은 고딕"/>
                <w:lang w:eastAsia="zh-CN"/>
              </w:rPr>
            </w:pPr>
            <w:r w:rsidRPr="00323042">
              <w:rPr>
                <w:rFonts w:eastAsia="맑은 고딕"/>
                <w:lang w:eastAsia="zh-CN"/>
              </w:rPr>
              <w:t xml:space="preserve">1c. </w:t>
            </w:r>
            <w:r w:rsidR="00C15761" w:rsidRPr="00C15761">
              <w:rPr>
                <w:rFonts w:eastAsia="맑은 고딕"/>
                <w:lang w:eastAsia="zh-CN"/>
              </w:rPr>
              <w:t>Assegure-se de que tem os seguintes materiais</w:t>
            </w:r>
            <w:r w:rsidRPr="00323042">
              <w:rPr>
                <w:rFonts w:eastAsia="맑은 고딕"/>
                <w:lang w:eastAsia="zh-CN"/>
              </w:rPr>
              <w:t xml:space="preserve"> (</w:t>
            </w:r>
            <w:r w:rsidR="00C15761">
              <w:rPr>
                <w:rFonts w:eastAsia="맑은 고딕"/>
                <w:lang w:eastAsia="zh-CN"/>
              </w:rPr>
              <w:t>ver a</w:t>
            </w:r>
            <w:r w:rsidRPr="00323042">
              <w:rPr>
                <w:rFonts w:eastAsia="맑은 고딕"/>
                <w:lang w:eastAsia="zh-CN"/>
              </w:rPr>
              <w:t xml:space="preserve"> </w:t>
            </w:r>
            <w:r w:rsidRPr="00323042">
              <w:rPr>
                <w:rFonts w:eastAsia="맑은 고딕"/>
                <w:b/>
                <w:bCs/>
                <w:lang w:eastAsia="zh-CN"/>
              </w:rPr>
              <w:t>Figur</w:t>
            </w:r>
            <w:r w:rsidR="00C15761">
              <w:rPr>
                <w:rFonts w:eastAsia="맑은 고딕"/>
                <w:b/>
                <w:bCs/>
                <w:lang w:eastAsia="zh-CN"/>
              </w:rPr>
              <w:t>a</w:t>
            </w:r>
            <w:r w:rsidRPr="00323042">
              <w:rPr>
                <w:rFonts w:eastAsia="맑은 고딕"/>
                <w:b/>
                <w:bCs/>
                <w:lang w:eastAsia="zh-CN"/>
              </w:rPr>
              <w:t> B</w:t>
            </w:r>
            <w:r w:rsidRPr="00323042">
              <w:rPr>
                <w:rFonts w:eastAsia="맑은 고딕"/>
                <w:lang w:eastAsia="zh-CN"/>
              </w:rPr>
              <w:t>):</w:t>
            </w:r>
          </w:p>
          <w:p w14:paraId="0D6949A8" w14:textId="73BF272E" w:rsidR="00323042" w:rsidRPr="00323042" w:rsidRDefault="00C15761" w:rsidP="00323042">
            <w:pPr>
              <w:keepNext/>
              <w:numPr>
                <w:ilvl w:val="0"/>
                <w:numId w:val="57"/>
              </w:numPr>
              <w:tabs>
                <w:tab w:val="clear" w:pos="567"/>
                <w:tab w:val="left" w:pos="851"/>
              </w:tabs>
              <w:suppressAutoHyphens/>
              <w:ind w:left="851" w:hanging="284"/>
              <w:rPr>
                <w:rFonts w:eastAsia="맑은 고딕"/>
                <w:lang w:eastAsia="zh-CN"/>
              </w:rPr>
            </w:pPr>
            <w:r w:rsidRPr="00C15761">
              <w:rPr>
                <w:rFonts w:eastAsia="맑은 고딕"/>
                <w:lang w:eastAsia="zh-CN"/>
              </w:rPr>
              <w:t>Embalagem exterior co</w:t>
            </w:r>
            <w:r w:rsidR="00FE5716">
              <w:rPr>
                <w:rFonts w:eastAsia="맑은 고딕"/>
                <w:lang w:eastAsia="zh-CN"/>
              </w:rPr>
              <w:t>m</w:t>
            </w:r>
            <w:r w:rsidRPr="00C15761">
              <w:rPr>
                <w:rFonts w:eastAsia="맑은 고딕"/>
                <w:lang w:eastAsia="zh-CN"/>
              </w:rPr>
              <w:t xml:space="preserve"> a seringa</w:t>
            </w:r>
            <w:r>
              <w:rPr>
                <w:rFonts w:eastAsia="맑은 고딕"/>
                <w:lang w:eastAsia="zh-CN"/>
              </w:rPr>
              <w:t xml:space="preserve"> </w:t>
            </w:r>
            <w:r w:rsidRPr="00DF6FEE">
              <w:t>pré</w:t>
            </w:r>
            <w:r w:rsidRPr="00DF6FEE">
              <w:noBreakHyphen/>
              <w:t>cheia</w:t>
            </w:r>
          </w:p>
          <w:p w14:paraId="1B3B78B1" w14:textId="77777777" w:rsidR="00323042" w:rsidRPr="00323042" w:rsidRDefault="00C15761" w:rsidP="00323042">
            <w:pPr>
              <w:keepNext/>
              <w:tabs>
                <w:tab w:val="clear" w:pos="567"/>
              </w:tabs>
              <w:suppressAutoHyphens/>
              <w:ind w:left="567"/>
              <w:rPr>
                <w:rFonts w:eastAsia="맑은 고딕"/>
                <w:b/>
                <w:bCs/>
                <w:lang w:eastAsia="zh-CN"/>
              </w:rPr>
            </w:pPr>
            <w:r w:rsidRPr="00C15761">
              <w:rPr>
                <w:rFonts w:eastAsia="맑은 고딕"/>
                <w:b/>
                <w:bCs/>
                <w:lang w:eastAsia="zh-CN"/>
              </w:rPr>
              <w:t>Não incluídos na embalagem exterior</w:t>
            </w:r>
            <w:r w:rsidR="00323042" w:rsidRPr="00323042">
              <w:rPr>
                <w:rFonts w:eastAsia="맑은 고딕"/>
                <w:b/>
                <w:bCs/>
                <w:lang w:eastAsia="zh-CN"/>
              </w:rPr>
              <w:t>:</w:t>
            </w:r>
          </w:p>
          <w:p w14:paraId="5391DCCA" w14:textId="77777777" w:rsidR="00323042" w:rsidRPr="00323042" w:rsidRDefault="00C15761" w:rsidP="00323042">
            <w:pPr>
              <w:keepNext/>
              <w:numPr>
                <w:ilvl w:val="0"/>
                <w:numId w:val="57"/>
              </w:numPr>
              <w:tabs>
                <w:tab w:val="clear" w:pos="567"/>
                <w:tab w:val="left" w:pos="851"/>
              </w:tabs>
              <w:suppressAutoHyphens/>
              <w:ind w:left="851" w:hanging="284"/>
              <w:rPr>
                <w:rFonts w:eastAsia="맑은 고딕"/>
                <w:lang w:eastAsia="zh-CN"/>
              </w:rPr>
            </w:pPr>
            <w:r w:rsidRPr="00C15761">
              <w:rPr>
                <w:rFonts w:eastAsia="맑은 고딕"/>
                <w:lang w:eastAsia="zh-CN"/>
              </w:rPr>
              <w:t>Toalhete com álcool</w:t>
            </w:r>
          </w:p>
          <w:p w14:paraId="1DD01DF5" w14:textId="77777777" w:rsidR="00323042" w:rsidRPr="00323042" w:rsidRDefault="00C15761" w:rsidP="00323042">
            <w:pPr>
              <w:keepNext/>
              <w:numPr>
                <w:ilvl w:val="0"/>
                <w:numId w:val="57"/>
              </w:numPr>
              <w:tabs>
                <w:tab w:val="clear" w:pos="567"/>
                <w:tab w:val="left" w:pos="851"/>
              </w:tabs>
              <w:suppressAutoHyphens/>
              <w:ind w:left="851" w:hanging="284"/>
              <w:rPr>
                <w:rFonts w:eastAsia="맑은 고딕"/>
                <w:lang w:eastAsia="zh-CN"/>
              </w:rPr>
            </w:pPr>
            <w:r w:rsidRPr="00C15761">
              <w:rPr>
                <w:rFonts w:eastAsia="맑은 고딕"/>
                <w:lang w:eastAsia="zh-CN"/>
              </w:rPr>
              <w:t>Bola de algodão ou gaze</w:t>
            </w:r>
          </w:p>
          <w:p w14:paraId="5419FB0C" w14:textId="77777777" w:rsidR="00323042" w:rsidRPr="00323042" w:rsidRDefault="00C15761" w:rsidP="00323042">
            <w:pPr>
              <w:keepNext/>
              <w:numPr>
                <w:ilvl w:val="0"/>
                <w:numId w:val="57"/>
              </w:numPr>
              <w:tabs>
                <w:tab w:val="clear" w:pos="567"/>
                <w:tab w:val="left" w:pos="851"/>
              </w:tabs>
              <w:suppressAutoHyphens/>
              <w:ind w:left="851" w:hanging="284"/>
              <w:rPr>
                <w:rFonts w:eastAsia="맑은 고딕"/>
                <w:lang w:eastAsia="zh-CN"/>
              </w:rPr>
            </w:pPr>
            <w:r w:rsidRPr="00C15761">
              <w:rPr>
                <w:rFonts w:eastAsia="맑은 고딕"/>
                <w:lang w:eastAsia="zh-CN"/>
              </w:rPr>
              <w:t>Penso adesivo</w:t>
            </w:r>
          </w:p>
          <w:p w14:paraId="03C0DA4C" w14:textId="2A8DF08A" w:rsidR="00323042" w:rsidRPr="00323042" w:rsidRDefault="00C15761" w:rsidP="00323042">
            <w:pPr>
              <w:keepNext/>
              <w:numPr>
                <w:ilvl w:val="0"/>
                <w:numId w:val="57"/>
              </w:numPr>
              <w:tabs>
                <w:tab w:val="clear" w:pos="567"/>
                <w:tab w:val="left" w:pos="851"/>
              </w:tabs>
              <w:suppressAutoHyphens/>
              <w:ind w:left="851" w:hanging="284"/>
              <w:rPr>
                <w:rFonts w:eastAsia="맑은 고딕"/>
                <w:lang w:eastAsia="zh-CN"/>
              </w:rPr>
            </w:pPr>
            <w:r w:rsidRPr="00C15761">
              <w:rPr>
                <w:rFonts w:eastAsia="맑은 고딕"/>
                <w:lang w:eastAsia="zh-CN"/>
              </w:rPr>
              <w:t xml:space="preserve">Recipiente para eliminação de objetos </w:t>
            </w:r>
            <w:r w:rsidR="00FF6AD5">
              <w:rPr>
                <w:rFonts w:eastAsia="맑은 고딕"/>
                <w:lang w:eastAsia="zh-CN"/>
              </w:rPr>
              <w:t>perfuro</w:t>
            </w:r>
            <w:r w:rsidRPr="00C15761">
              <w:rPr>
                <w:rFonts w:eastAsia="맑은 고딕"/>
                <w:lang w:eastAsia="zh-CN"/>
              </w:rPr>
              <w:t>cortantes</w:t>
            </w:r>
          </w:p>
        </w:tc>
      </w:tr>
      <w:tr w:rsidR="00323042" w:rsidRPr="00323042" w14:paraId="1123176E" w14:textId="77777777" w:rsidTr="00516C12">
        <w:trPr>
          <w:cantSplit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63B97C" w14:textId="77777777" w:rsidR="00323042" w:rsidRPr="00323042" w:rsidRDefault="00323042" w:rsidP="00F57F3C">
            <w:pPr>
              <w:tabs>
                <w:tab w:val="clear" w:pos="567"/>
              </w:tabs>
              <w:suppressAutoHyphens/>
              <w:jc w:val="center"/>
              <w:rPr>
                <w:rFonts w:eastAsia="맑은 고딕"/>
                <w:b/>
                <w:bCs/>
                <w:lang w:eastAsia="ko-KR"/>
              </w:rPr>
            </w:pPr>
            <w:r w:rsidRPr="00323042">
              <w:rPr>
                <w:rFonts w:eastAsia="맑은 고딕"/>
                <w:b/>
                <w:bCs/>
                <w:lang w:eastAsia="ko-KR"/>
              </w:rPr>
              <w:t>Figur</w:t>
            </w:r>
            <w:r w:rsidR="00F57F3C">
              <w:rPr>
                <w:rFonts w:eastAsia="맑은 고딕"/>
                <w:b/>
                <w:bCs/>
                <w:lang w:eastAsia="ko-KR"/>
              </w:rPr>
              <w:t>a</w:t>
            </w:r>
            <w:r w:rsidRPr="00323042">
              <w:rPr>
                <w:rFonts w:eastAsia="맑은 고딕"/>
                <w:b/>
                <w:bCs/>
                <w:lang w:eastAsia="ko-KR"/>
              </w:rPr>
              <w:t xml:space="preserve"> B</w:t>
            </w:r>
          </w:p>
        </w:tc>
        <w:tc>
          <w:tcPr>
            <w:tcW w:w="6054" w:type="dxa"/>
            <w:vMerge/>
            <w:tcBorders>
              <w:left w:val="nil"/>
              <w:bottom w:val="single" w:sz="4" w:space="0" w:color="auto"/>
            </w:tcBorders>
          </w:tcPr>
          <w:p w14:paraId="0CCF8B63" w14:textId="77777777" w:rsidR="00323042" w:rsidRPr="00323042" w:rsidRDefault="00323042" w:rsidP="00323042">
            <w:pPr>
              <w:tabs>
                <w:tab w:val="clear" w:pos="567"/>
              </w:tabs>
              <w:suppressAutoHyphens/>
              <w:rPr>
                <w:rFonts w:eastAsia="맑은 고딕"/>
                <w:b/>
                <w:bCs/>
                <w:lang w:eastAsia="zh-CN"/>
              </w:rPr>
            </w:pPr>
          </w:p>
        </w:tc>
      </w:tr>
      <w:tr w:rsidR="00323042" w:rsidRPr="00323042" w14:paraId="720D2C44" w14:textId="77777777" w:rsidTr="00516C12">
        <w:trPr>
          <w:cantSplit/>
        </w:trPr>
        <w:tc>
          <w:tcPr>
            <w:tcW w:w="301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A469D3D" w14:textId="6FC3BE82" w:rsidR="00323042" w:rsidRPr="00323042" w:rsidRDefault="0077602B" w:rsidP="00323042">
            <w:pPr>
              <w:keepNext/>
              <w:tabs>
                <w:tab w:val="clear" w:pos="567"/>
              </w:tabs>
              <w:suppressAutoHyphens/>
              <w:jc w:val="center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noProof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4656" behindDoc="0" locked="1" layoutInCell="1" allowOverlap="1" wp14:anchorId="55D03AB4" wp14:editId="532C9101">
                      <wp:simplePos x="0" y="0"/>
                      <wp:positionH relativeFrom="column">
                        <wp:posOffset>1149985</wp:posOffset>
                      </wp:positionH>
                      <wp:positionV relativeFrom="page">
                        <wp:posOffset>1577340</wp:posOffset>
                      </wp:positionV>
                      <wp:extent cx="866775" cy="290195"/>
                      <wp:effectExtent l="0" t="0" r="0" b="0"/>
                      <wp:wrapNone/>
                      <wp:docPr id="26" name="Caixa de texto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58A726" w14:textId="0AAC0797" w:rsidR="00516C12" w:rsidRPr="00B15769" w:rsidRDefault="00471233" w:rsidP="00323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r w:rsidRPr="004712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0"/>
                                      <w:szCs w:val="10"/>
                                      <w:lang w:val="es-ES"/>
                                    </w:rPr>
                                    <w:t>VAL.: MM AAAA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D03AB4" id="Caixa de texto 26" o:spid="_x0000_s1042" type="#_x0000_t202" style="position:absolute;left:0;text-align:left;margin-left:90.55pt;margin-top:124.2pt;width:68.25pt;height:22.8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" filled="f" stroked="f">
                      <v:textbox inset="0,0,0,0">
                        <w:txbxContent>
                          <w:p w14:paraId="2E58A726" w14:textId="0AAC0797" w:rsidR="00516C12" w:rsidRPr="00B15769" w:rsidRDefault="00471233" w:rsidP="00323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  <w:lang w:val="es-ES"/>
                              </w:rPr>
                            </w:pPr>
                            <w:r w:rsidRPr="00471233">
                              <w:rPr>
                                <w:rFonts w:ascii="Arial" w:hAnsi="Arial" w:cs="Arial"/>
                                <w:b/>
                                <w:bCs/>
                                <w:sz w:val="10"/>
                                <w:szCs w:val="10"/>
                                <w:lang w:val="es-ES"/>
                              </w:rPr>
                              <w:t>VAL.: MM AAAA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eastAsia="맑은 고딕"/>
                <w:noProof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3632" behindDoc="0" locked="1" layoutInCell="1" allowOverlap="1" wp14:anchorId="3068E741" wp14:editId="6027B9F5">
                      <wp:simplePos x="0" y="0"/>
                      <wp:positionH relativeFrom="column">
                        <wp:posOffset>925195</wp:posOffset>
                      </wp:positionH>
                      <wp:positionV relativeFrom="page">
                        <wp:posOffset>735330</wp:posOffset>
                      </wp:positionV>
                      <wp:extent cx="866775" cy="290195"/>
                      <wp:effectExtent l="0" t="0" r="0" b="0"/>
                      <wp:wrapNone/>
                      <wp:docPr id="25" name="Caixa de text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290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F424272" w14:textId="6FB3CC9C" w:rsidR="00516C12" w:rsidRPr="00B15769" w:rsidRDefault="00471233" w:rsidP="00323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4712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  <w:lang w:val="es-ES"/>
                                    </w:rPr>
                                    <w:t>VAL.: MM AAAA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68E741" id="Caixa de texto 25" o:spid="_x0000_s1043" type="#_x0000_t202" style="position:absolute;left:0;text-align:left;margin-left:72.85pt;margin-top:57.9pt;width:68.25pt;height:22.8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" filled="f" stroked="f">
                      <v:textbox inset="0,0,0,0">
                        <w:txbxContent>
                          <w:p w14:paraId="1F424272" w14:textId="6FB3CC9C" w:rsidR="00516C12" w:rsidRPr="00B15769" w:rsidRDefault="00471233" w:rsidP="00323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471233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ES"/>
                              </w:rPr>
                              <w:t>VAL.: MM AAAA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520ADFEC" w14:textId="3E305D74" w:rsidR="00323042" w:rsidRPr="00323042" w:rsidRDefault="0077602B" w:rsidP="00323042">
            <w:pPr>
              <w:keepNext/>
              <w:tabs>
                <w:tab w:val="clear" w:pos="567"/>
              </w:tabs>
              <w:suppressAutoHyphens/>
              <w:jc w:val="center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noProof/>
                <w:lang w:eastAsia="pt-PT"/>
              </w:rPr>
              <w:drawing>
                <wp:inline distT="0" distB="0" distL="0" distR="0" wp14:anchorId="437C769D" wp14:editId="1066434B">
                  <wp:extent cx="1778000" cy="1943100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4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0" cy="194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3D501E" w14:textId="77777777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jc w:val="center"/>
              <w:rPr>
                <w:rFonts w:eastAsia="맑은 고딕"/>
                <w:lang w:eastAsia="zh-CN"/>
              </w:rPr>
            </w:pPr>
          </w:p>
        </w:tc>
        <w:tc>
          <w:tcPr>
            <w:tcW w:w="6054" w:type="dxa"/>
            <w:vMerge w:val="restart"/>
            <w:tcBorders>
              <w:top w:val="single" w:sz="4" w:space="0" w:color="auto"/>
              <w:left w:val="nil"/>
            </w:tcBorders>
          </w:tcPr>
          <w:p w14:paraId="793755ED" w14:textId="77777777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4" w:hanging="284"/>
              <w:rPr>
                <w:rFonts w:eastAsia="맑은 고딕"/>
                <w:b/>
                <w:bCs/>
                <w:lang w:eastAsia="zh-CN"/>
              </w:rPr>
            </w:pPr>
            <w:r w:rsidRPr="00323042">
              <w:rPr>
                <w:rFonts w:eastAsia="맑은 고딕"/>
                <w:b/>
                <w:bCs/>
                <w:lang w:eastAsia="zh-CN"/>
              </w:rPr>
              <w:t>2.</w:t>
            </w:r>
            <w:r w:rsidRPr="00323042">
              <w:rPr>
                <w:rFonts w:eastAsia="맑은 고딕"/>
                <w:b/>
                <w:bCs/>
                <w:lang w:eastAsia="zh-CN"/>
              </w:rPr>
              <w:tab/>
            </w:r>
            <w:r w:rsidR="00F57F3C" w:rsidRPr="00F57F3C">
              <w:rPr>
                <w:rFonts w:eastAsia="맑은 고딕"/>
                <w:b/>
                <w:bCs/>
                <w:lang w:eastAsia="zh-CN"/>
              </w:rPr>
              <w:t>Verificar o prazo de validade na embalagem exterior</w:t>
            </w:r>
            <w:r w:rsidRPr="00323042">
              <w:rPr>
                <w:rFonts w:eastAsia="맑은 고딕"/>
                <w:b/>
                <w:bCs/>
                <w:lang w:eastAsia="zh-CN"/>
              </w:rPr>
              <w:t xml:space="preserve"> (</w:t>
            </w:r>
            <w:r w:rsidR="00F57F3C">
              <w:rPr>
                <w:rFonts w:eastAsia="맑은 고딕"/>
                <w:b/>
                <w:bCs/>
                <w:lang w:eastAsia="zh-CN"/>
              </w:rPr>
              <w:t>ver a</w:t>
            </w:r>
            <w:r w:rsidRPr="00323042">
              <w:rPr>
                <w:rFonts w:eastAsia="맑은 고딕"/>
                <w:b/>
                <w:bCs/>
                <w:lang w:eastAsia="zh-CN"/>
              </w:rPr>
              <w:t xml:space="preserve"> Figur</w:t>
            </w:r>
            <w:r w:rsidR="00F57F3C">
              <w:rPr>
                <w:rFonts w:eastAsia="맑은 고딕"/>
                <w:b/>
                <w:bCs/>
                <w:lang w:eastAsia="zh-CN"/>
              </w:rPr>
              <w:t>a</w:t>
            </w:r>
            <w:r w:rsidRPr="00323042">
              <w:rPr>
                <w:rFonts w:eastAsia="맑은 고딕"/>
                <w:b/>
                <w:bCs/>
                <w:lang w:eastAsia="zh-CN"/>
              </w:rPr>
              <w:t> C).</w:t>
            </w:r>
          </w:p>
          <w:p w14:paraId="5AE86CCB" w14:textId="77777777" w:rsidR="00323042" w:rsidRPr="00323042" w:rsidRDefault="00F57F3C" w:rsidP="00323042">
            <w:pPr>
              <w:keepNext/>
              <w:numPr>
                <w:ilvl w:val="0"/>
                <w:numId w:val="59"/>
              </w:numPr>
              <w:tabs>
                <w:tab w:val="clear" w:pos="567"/>
              </w:tabs>
              <w:suppressAutoHyphens/>
              <w:ind w:left="568" w:hanging="284"/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b/>
                <w:bCs/>
                <w:lang w:eastAsia="zh-CN"/>
              </w:rPr>
              <w:t>Não</w:t>
            </w:r>
            <w:r w:rsidR="00323042" w:rsidRPr="00323042">
              <w:rPr>
                <w:rFonts w:eastAsia="맑은 고딕"/>
                <w:lang w:eastAsia="zh-CN"/>
              </w:rPr>
              <w:t xml:space="preserve"> </w:t>
            </w:r>
            <w:r w:rsidRPr="00F57F3C">
              <w:rPr>
                <w:rFonts w:eastAsia="맑은 고딕"/>
                <w:lang w:eastAsia="zh-CN"/>
              </w:rPr>
              <w:t>utilize após o prazo de validade. Se o prazo de validade já tiver passado, devolva toda a embalagem à farmácia</w:t>
            </w:r>
            <w:r w:rsidR="00323042" w:rsidRPr="00323042">
              <w:rPr>
                <w:rFonts w:eastAsia="맑은 고딕"/>
                <w:lang w:eastAsia="zh-CN"/>
              </w:rPr>
              <w:t>.</w:t>
            </w:r>
          </w:p>
          <w:p w14:paraId="21A27FCA" w14:textId="77777777" w:rsidR="00323042" w:rsidRPr="00323042" w:rsidRDefault="00F57F3C" w:rsidP="00323042">
            <w:pPr>
              <w:keepNext/>
              <w:numPr>
                <w:ilvl w:val="0"/>
                <w:numId w:val="59"/>
              </w:numPr>
              <w:tabs>
                <w:tab w:val="clear" w:pos="567"/>
              </w:tabs>
              <w:suppressAutoHyphens/>
              <w:ind w:left="568" w:hanging="284"/>
              <w:rPr>
                <w:rFonts w:eastAsia="맑은 고딕"/>
                <w:lang w:eastAsia="ko-KR"/>
              </w:rPr>
            </w:pPr>
            <w:r w:rsidRPr="00F57F3C">
              <w:rPr>
                <w:rFonts w:eastAsia="맑은 고딕"/>
                <w:lang w:eastAsia="ko-KR"/>
              </w:rPr>
              <w:t xml:space="preserve">O prazo de validade </w:t>
            </w:r>
            <w:r>
              <w:rPr>
                <w:rFonts w:eastAsia="맑은 고딕"/>
                <w:lang w:eastAsia="ko-KR"/>
              </w:rPr>
              <w:t xml:space="preserve">impresso </w:t>
            </w:r>
            <w:r w:rsidRPr="00F57F3C">
              <w:rPr>
                <w:rFonts w:eastAsia="맑은 고딕"/>
                <w:lang w:eastAsia="ko-KR"/>
              </w:rPr>
              <w:t>corresponde ao último dia do mês indicado</w:t>
            </w:r>
            <w:r w:rsidR="00323042" w:rsidRPr="00323042">
              <w:rPr>
                <w:rFonts w:eastAsia="맑은 고딕"/>
                <w:lang w:eastAsia="ko-KR"/>
              </w:rPr>
              <w:t>.</w:t>
            </w:r>
          </w:p>
        </w:tc>
      </w:tr>
      <w:tr w:rsidR="00323042" w:rsidRPr="00323042" w14:paraId="66D2233F" w14:textId="77777777" w:rsidTr="00516C12">
        <w:trPr>
          <w:cantSplit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681C45" w14:textId="77777777" w:rsidR="00323042" w:rsidRPr="00323042" w:rsidRDefault="00323042" w:rsidP="00F57F3C">
            <w:pPr>
              <w:tabs>
                <w:tab w:val="clear" w:pos="567"/>
              </w:tabs>
              <w:suppressAutoHyphens/>
              <w:jc w:val="center"/>
              <w:rPr>
                <w:rFonts w:eastAsia="맑은 고딕"/>
                <w:lang w:eastAsia="zh-CN"/>
              </w:rPr>
            </w:pPr>
            <w:r w:rsidRPr="00323042">
              <w:rPr>
                <w:rFonts w:eastAsia="맑은 고딕"/>
                <w:b/>
                <w:bCs/>
                <w:lang w:eastAsia="ko-KR"/>
              </w:rPr>
              <w:t>Figur</w:t>
            </w:r>
            <w:r w:rsidR="00F57F3C">
              <w:rPr>
                <w:rFonts w:eastAsia="맑은 고딕"/>
                <w:b/>
                <w:bCs/>
                <w:lang w:eastAsia="ko-KR"/>
              </w:rPr>
              <w:t>a</w:t>
            </w:r>
            <w:r w:rsidRPr="00323042">
              <w:rPr>
                <w:rFonts w:eastAsia="맑은 고딕"/>
                <w:b/>
                <w:bCs/>
                <w:lang w:eastAsia="ko-KR"/>
              </w:rPr>
              <w:t xml:space="preserve"> C</w:t>
            </w:r>
          </w:p>
        </w:tc>
        <w:tc>
          <w:tcPr>
            <w:tcW w:w="6054" w:type="dxa"/>
            <w:vMerge/>
            <w:tcBorders>
              <w:left w:val="nil"/>
              <w:bottom w:val="single" w:sz="4" w:space="0" w:color="auto"/>
            </w:tcBorders>
          </w:tcPr>
          <w:p w14:paraId="7B116EBC" w14:textId="77777777" w:rsidR="00323042" w:rsidRPr="00323042" w:rsidRDefault="00323042" w:rsidP="00323042">
            <w:pPr>
              <w:tabs>
                <w:tab w:val="clear" w:pos="567"/>
              </w:tabs>
              <w:suppressAutoHyphens/>
              <w:rPr>
                <w:rFonts w:eastAsia="맑은 고딕"/>
                <w:b/>
                <w:bCs/>
                <w:lang w:eastAsia="zh-CN"/>
              </w:rPr>
            </w:pPr>
          </w:p>
        </w:tc>
      </w:tr>
      <w:tr w:rsidR="00323042" w:rsidRPr="00323042" w14:paraId="7631FDB7" w14:textId="77777777" w:rsidTr="00516C12">
        <w:trPr>
          <w:cantSplit/>
        </w:trPr>
        <w:tc>
          <w:tcPr>
            <w:tcW w:w="301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69F18F5" w14:textId="77777777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jc w:val="center"/>
              <w:rPr>
                <w:rFonts w:eastAsia="맑은 고딕"/>
                <w:lang w:eastAsia="zh-CN"/>
              </w:rPr>
            </w:pPr>
          </w:p>
          <w:p w14:paraId="408D2627" w14:textId="69092BB9" w:rsidR="00323042" w:rsidRPr="00323042" w:rsidRDefault="0077602B" w:rsidP="00323042">
            <w:pPr>
              <w:keepNext/>
              <w:tabs>
                <w:tab w:val="clear" w:pos="567"/>
              </w:tabs>
              <w:suppressAutoHyphens/>
              <w:jc w:val="center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noProof/>
                <w:lang w:eastAsia="pt-PT"/>
              </w:rPr>
              <w:drawing>
                <wp:inline distT="0" distB="0" distL="0" distR="0" wp14:anchorId="18DF4240" wp14:editId="6170B5F8">
                  <wp:extent cx="1778000" cy="2165350"/>
                  <wp:effectExtent l="0" t="0" r="0" b="0"/>
                  <wp:docPr id="6" name="Imagem 6" descr="스케치, 그림, 클립아트, 만화 영화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스케치, 그림, 클립아트, 만화 영화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000" cy="216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FD7406" w14:textId="77777777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jc w:val="center"/>
              <w:rPr>
                <w:rFonts w:eastAsia="맑은 고딕"/>
                <w:lang w:eastAsia="ko-KR"/>
              </w:rPr>
            </w:pPr>
          </w:p>
        </w:tc>
        <w:tc>
          <w:tcPr>
            <w:tcW w:w="6054" w:type="dxa"/>
            <w:vMerge w:val="restart"/>
            <w:tcBorders>
              <w:top w:val="single" w:sz="4" w:space="0" w:color="auto"/>
              <w:left w:val="nil"/>
            </w:tcBorders>
          </w:tcPr>
          <w:p w14:paraId="7358B316" w14:textId="77777777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4" w:hanging="284"/>
              <w:rPr>
                <w:rFonts w:eastAsia="맑은 고딕"/>
                <w:b/>
                <w:bCs/>
                <w:lang w:eastAsia="ko-KR"/>
              </w:rPr>
            </w:pPr>
            <w:r w:rsidRPr="00323042">
              <w:rPr>
                <w:rFonts w:eastAsia="맑은 고딕"/>
                <w:b/>
                <w:bCs/>
                <w:lang w:eastAsia="ko-KR"/>
              </w:rPr>
              <w:t>3.</w:t>
            </w:r>
            <w:r w:rsidRPr="00323042">
              <w:rPr>
                <w:rFonts w:eastAsia="맑은 고딕"/>
                <w:b/>
                <w:bCs/>
                <w:lang w:eastAsia="zh-CN"/>
              </w:rPr>
              <w:tab/>
            </w:r>
            <w:r w:rsidR="009A5CE2">
              <w:rPr>
                <w:rFonts w:eastAsia="맑은 고딕"/>
                <w:b/>
                <w:bCs/>
                <w:lang w:eastAsia="zh-CN"/>
              </w:rPr>
              <w:t xml:space="preserve">Retirar a </w:t>
            </w:r>
            <w:r w:rsidR="009A5CE2" w:rsidRPr="00426C35">
              <w:rPr>
                <w:rFonts w:eastAsia="맑은 고딕"/>
                <w:b/>
                <w:bCs/>
                <w:lang w:eastAsia="zh-CN"/>
              </w:rPr>
              <w:t xml:space="preserve">seringa </w:t>
            </w:r>
            <w:r w:rsidR="009A5CE2" w:rsidRPr="00426C35">
              <w:rPr>
                <w:b/>
              </w:rPr>
              <w:t>pré</w:t>
            </w:r>
            <w:r w:rsidR="009A5CE2" w:rsidRPr="00426C35">
              <w:rPr>
                <w:b/>
              </w:rPr>
              <w:noBreakHyphen/>
              <w:t>cheia</w:t>
            </w:r>
            <w:r w:rsidR="009A5CE2">
              <w:t xml:space="preserve"> </w:t>
            </w:r>
            <w:r w:rsidR="009A5CE2">
              <w:rPr>
                <w:rFonts w:eastAsia="맑은 고딕"/>
                <w:b/>
                <w:bCs/>
                <w:lang w:eastAsia="zh-CN"/>
              </w:rPr>
              <w:t>da embalagem exterior</w:t>
            </w:r>
            <w:r w:rsidRPr="00323042">
              <w:rPr>
                <w:rFonts w:eastAsia="맑은 고딕"/>
                <w:b/>
                <w:bCs/>
                <w:lang w:eastAsia="ko-KR"/>
              </w:rPr>
              <w:t>.</w:t>
            </w:r>
          </w:p>
          <w:p w14:paraId="2CDB59F1" w14:textId="62FDB4D9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3"/>
              <w:rPr>
                <w:rFonts w:eastAsia="맑은 고딕"/>
                <w:lang w:eastAsia="zh-CN"/>
              </w:rPr>
            </w:pPr>
            <w:r w:rsidRPr="00323042">
              <w:rPr>
                <w:rFonts w:eastAsia="맑은 고딕"/>
                <w:lang w:eastAsia="zh-CN"/>
              </w:rPr>
              <w:t xml:space="preserve">3a. </w:t>
            </w:r>
            <w:r w:rsidR="00426C35" w:rsidRPr="00426C35">
              <w:rPr>
                <w:rFonts w:eastAsia="맑은 고딕"/>
                <w:lang w:eastAsia="zh-CN"/>
              </w:rPr>
              <w:t xml:space="preserve">Abra a embalagem exterior. Pegando na seringa pelo corpo, retire a seringa </w:t>
            </w:r>
            <w:r w:rsidR="00426C35" w:rsidRPr="00DF6FEE">
              <w:t>pré</w:t>
            </w:r>
            <w:r w:rsidR="00426C35" w:rsidRPr="00DF6FEE">
              <w:noBreakHyphen/>
              <w:t>cheia</w:t>
            </w:r>
            <w:r w:rsidR="00426C35" w:rsidRPr="00426C35">
              <w:rPr>
                <w:rFonts w:eastAsia="맑은 고딕"/>
                <w:lang w:eastAsia="zh-CN"/>
              </w:rPr>
              <w:t xml:space="preserve"> da embalagem exterior</w:t>
            </w:r>
            <w:r w:rsidRPr="00323042">
              <w:rPr>
                <w:rFonts w:eastAsia="맑은 고딕"/>
                <w:lang w:eastAsia="zh-CN"/>
              </w:rPr>
              <w:t xml:space="preserve"> (</w:t>
            </w:r>
            <w:r w:rsidR="00426C35">
              <w:rPr>
                <w:rFonts w:eastAsia="맑은 고딕"/>
                <w:lang w:eastAsia="zh-CN"/>
              </w:rPr>
              <w:t>ver a</w:t>
            </w:r>
            <w:r w:rsidRPr="00323042">
              <w:rPr>
                <w:rFonts w:eastAsia="맑은 고딕"/>
                <w:lang w:eastAsia="zh-CN"/>
              </w:rPr>
              <w:t xml:space="preserve"> </w:t>
            </w:r>
            <w:r w:rsidRPr="00323042">
              <w:rPr>
                <w:rFonts w:eastAsia="맑은 고딕"/>
                <w:b/>
                <w:bCs/>
                <w:lang w:eastAsia="zh-CN"/>
              </w:rPr>
              <w:t>Figur</w:t>
            </w:r>
            <w:r w:rsidR="00426C35">
              <w:rPr>
                <w:rFonts w:eastAsia="맑은 고딕"/>
                <w:b/>
                <w:bCs/>
                <w:lang w:eastAsia="zh-CN"/>
              </w:rPr>
              <w:t>a</w:t>
            </w:r>
            <w:r w:rsidRPr="00323042">
              <w:rPr>
                <w:rFonts w:eastAsia="맑은 고딕"/>
                <w:b/>
                <w:bCs/>
                <w:lang w:eastAsia="zh-CN"/>
              </w:rPr>
              <w:t> D</w:t>
            </w:r>
            <w:r w:rsidRPr="00323042">
              <w:rPr>
                <w:rFonts w:eastAsia="맑은 고딕"/>
                <w:lang w:eastAsia="zh-CN"/>
              </w:rPr>
              <w:t>).</w:t>
            </w:r>
          </w:p>
          <w:p w14:paraId="76164232" w14:textId="5C0F4EFB" w:rsidR="00323042" w:rsidRPr="00323042" w:rsidRDefault="00426C35" w:rsidP="00323042">
            <w:pPr>
              <w:keepNext/>
              <w:numPr>
                <w:ilvl w:val="0"/>
                <w:numId w:val="59"/>
              </w:numPr>
              <w:tabs>
                <w:tab w:val="clear" w:pos="567"/>
                <w:tab w:val="left" w:pos="851"/>
              </w:tabs>
              <w:suppressAutoHyphens/>
              <w:ind w:left="851" w:hanging="284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b/>
                <w:bCs/>
                <w:lang w:eastAsia="zh-CN"/>
              </w:rPr>
              <w:t>Não</w:t>
            </w:r>
            <w:r w:rsidR="00323042" w:rsidRPr="00323042">
              <w:rPr>
                <w:rFonts w:eastAsia="맑은 고딕"/>
                <w:b/>
                <w:bCs/>
                <w:lang w:eastAsia="zh-CN"/>
              </w:rPr>
              <w:t xml:space="preserve"> </w:t>
            </w:r>
            <w:r>
              <w:rPr>
                <w:rFonts w:eastAsia="맑은 고딕"/>
                <w:lang w:eastAsia="zh-CN"/>
              </w:rPr>
              <w:t>segure pela cabeça da haste do êmbolo</w:t>
            </w:r>
            <w:r w:rsidR="00323042" w:rsidRPr="00323042">
              <w:rPr>
                <w:rFonts w:eastAsia="맑은 고딕"/>
                <w:lang w:eastAsia="zh-CN"/>
              </w:rPr>
              <w:t xml:space="preserve">, </w:t>
            </w:r>
            <w:r w:rsidR="00AC3193">
              <w:rPr>
                <w:rFonts w:eastAsia="맑은 고딕"/>
                <w:lang w:eastAsia="zh-CN"/>
              </w:rPr>
              <w:t xml:space="preserve">pela </w:t>
            </w:r>
            <w:r>
              <w:rPr>
                <w:rFonts w:eastAsia="맑은 고딕"/>
                <w:lang w:eastAsia="zh-CN"/>
              </w:rPr>
              <w:t>haste do êmbolo</w:t>
            </w:r>
            <w:r w:rsidR="00323042" w:rsidRPr="00323042">
              <w:rPr>
                <w:rFonts w:eastAsia="맑은 고딕"/>
                <w:lang w:eastAsia="zh-CN"/>
              </w:rPr>
              <w:t xml:space="preserve">, </w:t>
            </w:r>
            <w:r w:rsidR="00AC3193">
              <w:rPr>
                <w:rFonts w:eastAsia="맑은 고딕"/>
                <w:lang w:eastAsia="zh-CN"/>
              </w:rPr>
              <w:t xml:space="preserve">pela </w:t>
            </w:r>
            <w:r>
              <w:rPr>
                <w:rFonts w:eastAsia="맑은 고딕"/>
                <w:lang w:eastAsia="zh-CN"/>
              </w:rPr>
              <w:t>proteção de segurança</w:t>
            </w:r>
            <w:r w:rsidR="001F449C">
              <w:rPr>
                <w:rFonts w:eastAsia="맑은 고딕"/>
                <w:lang w:eastAsia="zh-CN"/>
              </w:rPr>
              <w:t xml:space="preserve"> nem pelas aletas ou pela tampa</w:t>
            </w:r>
            <w:r w:rsidR="00102953">
              <w:rPr>
                <w:rFonts w:eastAsia="맑은 고딕"/>
                <w:lang w:eastAsia="zh-CN"/>
              </w:rPr>
              <w:t xml:space="preserve"> </w:t>
            </w:r>
            <w:r>
              <w:rPr>
                <w:rFonts w:eastAsia="맑은 고딕"/>
                <w:lang w:eastAsia="zh-CN"/>
              </w:rPr>
              <w:t>da agulha</w:t>
            </w:r>
            <w:r w:rsidR="00323042" w:rsidRPr="00323042">
              <w:rPr>
                <w:rFonts w:eastAsia="맑은 고딕"/>
                <w:lang w:eastAsia="zh-CN"/>
              </w:rPr>
              <w:t>.</w:t>
            </w:r>
          </w:p>
          <w:p w14:paraId="4EF67B96" w14:textId="77777777" w:rsidR="00323042" w:rsidRPr="00323042" w:rsidRDefault="00426C35" w:rsidP="00323042">
            <w:pPr>
              <w:keepNext/>
              <w:numPr>
                <w:ilvl w:val="0"/>
                <w:numId w:val="59"/>
              </w:numPr>
              <w:tabs>
                <w:tab w:val="clear" w:pos="567"/>
                <w:tab w:val="left" w:pos="851"/>
              </w:tabs>
              <w:suppressAutoHyphens/>
              <w:ind w:left="851" w:hanging="284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b/>
                <w:bCs/>
                <w:lang w:eastAsia="zh-CN"/>
              </w:rPr>
              <w:t>Não</w:t>
            </w:r>
            <w:r w:rsidR="00323042" w:rsidRPr="00323042">
              <w:rPr>
                <w:rFonts w:eastAsia="맑은 고딕"/>
                <w:lang w:eastAsia="zh-CN"/>
              </w:rPr>
              <w:t xml:space="preserve"> </w:t>
            </w:r>
            <w:r w:rsidRPr="00426C35">
              <w:rPr>
                <w:rFonts w:eastAsia="맑은 고딕"/>
                <w:lang w:eastAsia="zh-CN"/>
              </w:rPr>
              <w:t>puxe a haste do êmbolo para trás em nenhuma</w:t>
            </w:r>
            <w:r>
              <w:rPr>
                <w:rFonts w:eastAsia="맑은 고딕"/>
                <w:lang w:eastAsia="zh-CN"/>
              </w:rPr>
              <w:t xml:space="preserve"> altura</w:t>
            </w:r>
            <w:r w:rsidR="00323042" w:rsidRPr="00323042">
              <w:rPr>
                <w:rFonts w:eastAsia="맑은 고딕"/>
                <w:lang w:eastAsia="zh-CN"/>
              </w:rPr>
              <w:t>.</w:t>
            </w:r>
          </w:p>
          <w:p w14:paraId="60F01A68" w14:textId="77777777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rPr>
                <w:rFonts w:eastAsia="맑은 고딕"/>
                <w:lang w:eastAsia="zh-CN"/>
              </w:rPr>
            </w:pPr>
          </w:p>
        </w:tc>
      </w:tr>
      <w:tr w:rsidR="00323042" w:rsidRPr="00323042" w14:paraId="5C4437B0" w14:textId="77777777" w:rsidTr="00516C12">
        <w:trPr>
          <w:cantSplit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DF51EF" w14:textId="77777777" w:rsidR="00323042" w:rsidRPr="00323042" w:rsidRDefault="00323042" w:rsidP="00516C12">
            <w:pPr>
              <w:tabs>
                <w:tab w:val="clear" w:pos="567"/>
              </w:tabs>
              <w:suppressAutoHyphens/>
              <w:jc w:val="center"/>
              <w:rPr>
                <w:rFonts w:eastAsia="맑은 고딕"/>
                <w:b/>
                <w:bCs/>
                <w:lang w:eastAsia="zh-CN"/>
              </w:rPr>
            </w:pPr>
            <w:r w:rsidRPr="00323042">
              <w:rPr>
                <w:rFonts w:eastAsia="맑은 고딕"/>
                <w:b/>
                <w:bCs/>
                <w:lang w:eastAsia="ko-KR"/>
              </w:rPr>
              <w:t>Figur</w:t>
            </w:r>
            <w:r w:rsidR="00516C12">
              <w:rPr>
                <w:rFonts w:eastAsia="맑은 고딕"/>
                <w:b/>
                <w:bCs/>
                <w:lang w:eastAsia="ko-KR"/>
              </w:rPr>
              <w:t>a</w:t>
            </w:r>
            <w:r w:rsidRPr="00323042">
              <w:rPr>
                <w:rFonts w:eastAsia="맑은 고딕"/>
                <w:b/>
                <w:bCs/>
                <w:lang w:eastAsia="ko-KR"/>
              </w:rPr>
              <w:t xml:space="preserve"> D</w:t>
            </w:r>
          </w:p>
        </w:tc>
        <w:tc>
          <w:tcPr>
            <w:tcW w:w="6054" w:type="dxa"/>
            <w:vMerge/>
            <w:tcBorders>
              <w:left w:val="nil"/>
              <w:bottom w:val="single" w:sz="4" w:space="0" w:color="auto"/>
            </w:tcBorders>
          </w:tcPr>
          <w:p w14:paraId="705732C9" w14:textId="77777777" w:rsidR="00323042" w:rsidRPr="00323042" w:rsidRDefault="00323042" w:rsidP="00323042">
            <w:pPr>
              <w:tabs>
                <w:tab w:val="clear" w:pos="567"/>
              </w:tabs>
              <w:suppressAutoHyphens/>
              <w:rPr>
                <w:rFonts w:eastAsia="맑은 고딕"/>
                <w:b/>
                <w:bCs/>
                <w:lang w:eastAsia="ko-KR"/>
              </w:rPr>
            </w:pPr>
          </w:p>
        </w:tc>
      </w:tr>
      <w:tr w:rsidR="00323042" w:rsidRPr="00323042" w14:paraId="3359C576" w14:textId="77777777" w:rsidTr="00516C12">
        <w:trPr>
          <w:cantSplit/>
        </w:trPr>
        <w:tc>
          <w:tcPr>
            <w:tcW w:w="301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0193FB7" w14:textId="482FB782" w:rsidR="00323042" w:rsidRPr="00323042" w:rsidRDefault="0077602B" w:rsidP="00323042">
            <w:pPr>
              <w:keepNext/>
              <w:tabs>
                <w:tab w:val="clear" w:pos="567"/>
              </w:tabs>
              <w:jc w:val="center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noProof/>
                <w:lang w:eastAsia="zh-C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5680" behindDoc="0" locked="1" layoutInCell="1" allowOverlap="1" wp14:anchorId="47FD433A" wp14:editId="19F7882C">
                      <wp:simplePos x="0" y="0"/>
                      <wp:positionH relativeFrom="column">
                        <wp:posOffset>1021080</wp:posOffset>
                      </wp:positionH>
                      <wp:positionV relativeFrom="page">
                        <wp:posOffset>1401445</wp:posOffset>
                      </wp:positionV>
                      <wp:extent cx="779145" cy="263525"/>
                      <wp:effectExtent l="0" t="0" r="0" b="0"/>
                      <wp:wrapNone/>
                      <wp:docPr id="24" name="Caixa de text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9145" cy="263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7F70DE5" w14:textId="7BFF2419" w:rsidR="00516C12" w:rsidRPr="00D723EF" w:rsidRDefault="00471233" w:rsidP="00323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1"/>
                                      <w:szCs w:val="11"/>
                                      <w:lang w:val="es-ES"/>
                                    </w:rPr>
                                  </w:pPr>
                                  <w:r w:rsidRPr="004712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1"/>
                                      <w:szCs w:val="11"/>
                                      <w:lang w:val="es-ES"/>
                                    </w:rPr>
                                    <w:t>VAL.: MM AAAA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D433A" id="Caixa de texto 24" o:spid="_x0000_s1044" type="#_x0000_t202" style="position:absolute;left:0;text-align:left;margin-left:80.4pt;margin-top:110.35pt;width:61.35pt;height:20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" filled="f" stroked="f">
                      <v:textbox inset="0,0,0,0">
                        <w:txbxContent>
                          <w:p w14:paraId="17F70DE5" w14:textId="7BFF2419" w:rsidR="00516C12" w:rsidRPr="00D723EF" w:rsidRDefault="00471233" w:rsidP="00323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  <w:lang w:val="es-ES"/>
                              </w:rPr>
                            </w:pPr>
                            <w:r w:rsidRPr="00471233">
                              <w:rPr>
                                <w:rFonts w:ascii="Arial" w:hAnsi="Arial" w:cs="Arial"/>
                                <w:b/>
                                <w:bCs/>
                                <w:sz w:val="11"/>
                                <w:szCs w:val="11"/>
                                <w:lang w:val="es-ES"/>
                              </w:rPr>
                              <w:t>VAL.: MM AAAA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23AE3516" w14:textId="754FD229" w:rsidR="00323042" w:rsidRPr="00323042" w:rsidRDefault="0077602B" w:rsidP="00323042">
            <w:pPr>
              <w:keepNext/>
              <w:tabs>
                <w:tab w:val="clear" w:pos="567"/>
              </w:tabs>
              <w:jc w:val="center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noProof/>
                <w:lang w:eastAsia="pt-PT"/>
              </w:rPr>
              <w:drawing>
                <wp:inline distT="0" distB="0" distL="0" distR="0" wp14:anchorId="5A08E7D4" wp14:editId="69CFBC1E">
                  <wp:extent cx="1676400" cy="2063750"/>
                  <wp:effectExtent l="0" t="0" r="0" b="0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206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374C28" w14:textId="77777777" w:rsidR="00323042" w:rsidRPr="00323042" w:rsidRDefault="00323042" w:rsidP="00323042">
            <w:pPr>
              <w:keepNext/>
              <w:tabs>
                <w:tab w:val="clear" w:pos="567"/>
              </w:tabs>
              <w:jc w:val="center"/>
              <w:rPr>
                <w:rFonts w:eastAsia="맑은 고딕"/>
                <w:lang w:eastAsia="ko-KR"/>
              </w:rPr>
            </w:pPr>
          </w:p>
        </w:tc>
        <w:tc>
          <w:tcPr>
            <w:tcW w:w="6054" w:type="dxa"/>
            <w:vMerge w:val="restart"/>
            <w:tcBorders>
              <w:top w:val="single" w:sz="4" w:space="0" w:color="auto"/>
              <w:left w:val="nil"/>
            </w:tcBorders>
          </w:tcPr>
          <w:p w14:paraId="7D717916" w14:textId="77777777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4" w:hanging="284"/>
              <w:rPr>
                <w:rFonts w:eastAsia="맑은 고딕"/>
                <w:b/>
                <w:bCs/>
                <w:lang w:eastAsia="zh-CN"/>
              </w:rPr>
            </w:pPr>
            <w:r w:rsidRPr="00323042">
              <w:rPr>
                <w:rFonts w:eastAsia="맑은 고딕"/>
                <w:b/>
                <w:bCs/>
                <w:lang w:eastAsia="ko-KR"/>
              </w:rPr>
              <w:t>4</w:t>
            </w:r>
            <w:r w:rsidRPr="00323042">
              <w:rPr>
                <w:rFonts w:eastAsia="맑은 고딕"/>
                <w:b/>
                <w:bCs/>
                <w:lang w:eastAsia="zh-CN"/>
              </w:rPr>
              <w:t>.</w:t>
            </w:r>
            <w:r w:rsidRPr="00323042">
              <w:rPr>
                <w:rFonts w:eastAsia="맑은 고딕"/>
                <w:b/>
                <w:bCs/>
                <w:lang w:eastAsia="zh-CN"/>
              </w:rPr>
              <w:tab/>
            </w:r>
            <w:r w:rsidR="00516C12">
              <w:rPr>
                <w:rFonts w:eastAsia="맑은 고딕"/>
                <w:b/>
                <w:bCs/>
                <w:lang w:eastAsia="zh-CN"/>
              </w:rPr>
              <w:t xml:space="preserve">Inspecionar a </w:t>
            </w:r>
            <w:r w:rsidR="00516C12" w:rsidRPr="00516C12">
              <w:rPr>
                <w:rFonts w:eastAsia="맑은 고딕"/>
                <w:b/>
                <w:bCs/>
                <w:lang w:eastAsia="zh-CN"/>
              </w:rPr>
              <w:t xml:space="preserve">seringa </w:t>
            </w:r>
            <w:r w:rsidR="00516C12" w:rsidRPr="00516C12">
              <w:rPr>
                <w:b/>
              </w:rPr>
              <w:t>pré</w:t>
            </w:r>
            <w:r w:rsidR="00516C12" w:rsidRPr="00516C12">
              <w:rPr>
                <w:b/>
              </w:rPr>
              <w:noBreakHyphen/>
              <w:t>cheia</w:t>
            </w:r>
            <w:r w:rsidRPr="00323042">
              <w:rPr>
                <w:rFonts w:eastAsia="맑은 고딕"/>
                <w:b/>
                <w:bCs/>
                <w:lang w:eastAsia="zh-CN"/>
              </w:rPr>
              <w:t>.</w:t>
            </w:r>
          </w:p>
          <w:p w14:paraId="053F4A31" w14:textId="77777777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3"/>
              <w:rPr>
                <w:rFonts w:eastAsia="맑은 고딕"/>
                <w:lang w:eastAsia="zh-CN"/>
              </w:rPr>
            </w:pPr>
            <w:r w:rsidRPr="00323042">
              <w:rPr>
                <w:rFonts w:eastAsia="맑은 고딕"/>
                <w:lang w:eastAsia="ko-KR"/>
              </w:rPr>
              <w:t>4</w:t>
            </w:r>
            <w:r w:rsidRPr="00323042">
              <w:rPr>
                <w:rFonts w:eastAsia="맑은 고딕"/>
                <w:lang w:eastAsia="zh-CN"/>
              </w:rPr>
              <w:t xml:space="preserve">a. </w:t>
            </w:r>
            <w:r w:rsidR="00516C12" w:rsidRPr="00516C12">
              <w:rPr>
                <w:rFonts w:eastAsia="맑은 고딕"/>
                <w:lang w:eastAsia="zh-CN"/>
              </w:rPr>
              <w:t xml:space="preserve">Olhe para a seringa </w:t>
            </w:r>
            <w:r w:rsidR="00516C12" w:rsidRPr="00516C12">
              <w:t>pré</w:t>
            </w:r>
            <w:r w:rsidR="00516C12" w:rsidRPr="00516C12">
              <w:noBreakHyphen/>
              <w:t>cheia</w:t>
            </w:r>
            <w:r w:rsidR="00516C12" w:rsidRPr="00516C12">
              <w:rPr>
                <w:rFonts w:eastAsia="맑은 고딕"/>
                <w:lang w:eastAsia="zh-CN"/>
              </w:rPr>
              <w:t xml:space="preserve"> e certifique-se de que tem o</w:t>
            </w:r>
            <w:r w:rsidRPr="00323042">
              <w:rPr>
                <w:rFonts w:eastAsia="맑은 고딕"/>
                <w:lang w:eastAsia="zh-CN"/>
              </w:rPr>
              <w:t xml:space="preserve"> </w:t>
            </w:r>
            <w:r w:rsidR="00516C12" w:rsidRPr="00516C12">
              <w:rPr>
                <w:rFonts w:eastAsia="맑은 고딕"/>
                <w:lang w:eastAsia="zh-CN"/>
              </w:rPr>
              <w:t>medicamento correto</w:t>
            </w:r>
            <w:r w:rsidR="00516C12">
              <w:rPr>
                <w:rFonts w:eastAsia="맑은 고딕"/>
                <w:lang w:eastAsia="zh-CN"/>
              </w:rPr>
              <w:t xml:space="preserve"> </w:t>
            </w:r>
            <w:r w:rsidRPr="00323042">
              <w:rPr>
                <w:rFonts w:eastAsia="맑은 고딕"/>
                <w:lang w:eastAsia="zh-CN"/>
              </w:rPr>
              <w:t>(Stoboclo).</w:t>
            </w:r>
          </w:p>
          <w:p w14:paraId="680DDD64" w14:textId="77777777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3"/>
              <w:rPr>
                <w:rFonts w:eastAsia="맑은 고딕"/>
                <w:lang w:eastAsia="zh-CN"/>
              </w:rPr>
            </w:pPr>
            <w:r w:rsidRPr="00323042">
              <w:rPr>
                <w:rFonts w:eastAsia="맑은 고딕"/>
                <w:lang w:eastAsia="zh-CN"/>
              </w:rPr>
              <w:t xml:space="preserve">4b. </w:t>
            </w:r>
            <w:r w:rsidR="00516C12" w:rsidRPr="00516C12">
              <w:rPr>
                <w:rFonts w:eastAsia="맑은 고딕"/>
                <w:lang w:eastAsia="zh-CN"/>
              </w:rPr>
              <w:t xml:space="preserve">Olhe para a seringa </w:t>
            </w:r>
            <w:r w:rsidR="00516C12" w:rsidRPr="00516C12">
              <w:t>pré</w:t>
            </w:r>
            <w:r w:rsidR="00516C12" w:rsidRPr="00516C12">
              <w:noBreakHyphen/>
              <w:t>cheia</w:t>
            </w:r>
            <w:r w:rsidR="00516C12" w:rsidRPr="00516C12">
              <w:rPr>
                <w:rFonts w:eastAsia="맑은 고딕"/>
                <w:lang w:eastAsia="zh-CN"/>
              </w:rPr>
              <w:t xml:space="preserve"> e certifique-se de que</w:t>
            </w:r>
            <w:r w:rsidR="00516C12">
              <w:rPr>
                <w:rFonts w:eastAsia="맑은 고딕"/>
                <w:lang w:eastAsia="zh-CN"/>
              </w:rPr>
              <w:t xml:space="preserve"> não está rachada ou danificada</w:t>
            </w:r>
            <w:r w:rsidRPr="00323042">
              <w:rPr>
                <w:rFonts w:eastAsia="맑은 고딕"/>
                <w:lang w:eastAsia="zh-CN"/>
              </w:rPr>
              <w:t>.</w:t>
            </w:r>
          </w:p>
          <w:p w14:paraId="76F329E1" w14:textId="77777777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3"/>
              <w:rPr>
                <w:rFonts w:eastAsia="맑은 고딕"/>
                <w:lang w:eastAsia="zh-CN"/>
              </w:rPr>
            </w:pPr>
            <w:r w:rsidRPr="00323042">
              <w:rPr>
                <w:rFonts w:eastAsia="맑은 고딕"/>
                <w:lang w:eastAsia="zh-CN"/>
              </w:rPr>
              <w:t xml:space="preserve">4c. </w:t>
            </w:r>
            <w:r w:rsidR="00516C12" w:rsidRPr="00516C12">
              <w:rPr>
                <w:rFonts w:eastAsia="맑은 고딕"/>
                <w:lang w:eastAsia="zh-CN"/>
              </w:rPr>
              <w:t>Verifique o prazo de validade no rótulo da seringa</w:t>
            </w:r>
            <w:r w:rsidR="00516C12">
              <w:rPr>
                <w:rFonts w:eastAsia="맑은 고딕"/>
                <w:lang w:eastAsia="zh-CN"/>
              </w:rPr>
              <w:t xml:space="preserve"> </w:t>
            </w:r>
            <w:r w:rsidR="00516C12" w:rsidRPr="00516C12">
              <w:t>pré</w:t>
            </w:r>
            <w:r w:rsidR="00516C12" w:rsidRPr="00516C12">
              <w:noBreakHyphen/>
              <w:t>cheia</w:t>
            </w:r>
            <w:r w:rsidRPr="00323042">
              <w:rPr>
                <w:rFonts w:eastAsia="맑은 고딕"/>
                <w:lang w:eastAsia="zh-CN"/>
              </w:rPr>
              <w:t xml:space="preserve"> (</w:t>
            </w:r>
            <w:r w:rsidR="00516C12">
              <w:rPr>
                <w:rFonts w:eastAsia="맑은 고딕"/>
                <w:lang w:eastAsia="zh-CN"/>
              </w:rPr>
              <w:t>ver a</w:t>
            </w:r>
            <w:r w:rsidRPr="00323042">
              <w:rPr>
                <w:rFonts w:eastAsia="맑은 고딕"/>
                <w:lang w:eastAsia="zh-CN"/>
              </w:rPr>
              <w:t xml:space="preserve"> </w:t>
            </w:r>
            <w:r w:rsidRPr="00323042">
              <w:rPr>
                <w:rFonts w:eastAsia="맑은 고딕"/>
                <w:b/>
                <w:bCs/>
                <w:lang w:eastAsia="zh-CN"/>
              </w:rPr>
              <w:t>Figur</w:t>
            </w:r>
            <w:r w:rsidR="00516C12">
              <w:rPr>
                <w:rFonts w:eastAsia="맑은 고딕"/>
                <w:b/>
                <w:bCs/>
                <w:lang w:eastAsia="zh-CN"/>
              </w:rPr>
              <w:t>a</w:t>
            </w:r>
            <w:r w:rsidRPr="00323042">
              <w:rPr>
                <w:rFonts w:eastAsia="맑은 고딕"/>
                <w:b/>
                <w:bCs/>
                <w:lang w:eastAsia="zh-CN"/>
              </w:rPr>
              <w:t> </w:t>
            </w:r>
            <w:r w:rsidRPr="00323042">
              <w:rPr>
                <w:rFonts w:eastAsia="맑은 고딕"/>
                <w:b/>
                <w:bCs/>
                <w:lang w:eastAsia="ko-KR"/>
              </w:rPr>
              <w:t>E</w:t>
            </w:r>
            <w:r w:rsidRPr="00323042">
              <w:rPr>
                <w:rFonts w:eastAsia="맑은 고딕"/>
                <w:lang w:eastAsia="zh-CN"/>
              </w:rPr>
              <w:t>).</w:t>
            </w:r>
          </w:p>
          <w:p w14:paraId="699A93CC" w14:textId="0541253C" w:rsidR="00323042" w:rsidRPr="00323042" w:rsidRDefault="00516C12" w:rsidP="00323042">
            <w:pPr>
              <w:keepNext/>
              <w:numPr>
                <w:ilvl w:val="0"/>
                <w:numId w:val="59"/>
              </w:numPr>
              <w:tabs>
                <w:tab w:val="clear" w:pos="567"/>
                <w:tab w:val="left" w:pos="851"/>
              </w:tabs>
              <w:suppressAutoHyphens/>
              <w:ind w:left="851" w:hanging="284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b/>
                <w:bCs/>
                <w:lang w:eastAsia="zh-CN"/>
              </w:rPr>
              <w:t>Não</w:t>
            </w:r>
            <w:r w:rsidR="00323042" w:rsidRPr="00323042">
              <w:rPr>
                <w:rFonts w:eastAsia="맑은 고딕"/>
                <w:lang w:eastAsia="zh-CN"/>
              </w:rPr>
              <w:t xml:space="preserve"> </w:t>
            </w:r>
            <w:r>
              <w:rPr>
                <w:rFonts w:eastAsia="맑은 고딕"/>
                <w:lang w:eastAsia="zh-CN"/>
              </w:rPr>
              <w:t xml:space="preserve">utilize se a </w:t>
            </w:r>
            <w:r w:rsidR="00F644E7">
              <w:rPr>
                <w:rFonts w:eastAsia="맑은 고딕"/>
                <w:lang w:eastAsia="zh-CN"/>
              </w:rPr>
              <w:t>tampa</w:t>
            </w:r>
            <w:r>
              <w:rPr>
                <w:rFonts w:eastAsia="맑은 고딕"/>
                <w:lang w:eastAsia="zh-CN"/>
              </w:rPr>
              <w:t xml:space="preserve"> da agulha não estiver presente ou não estiver bem</w:t>
            </w:r>
            <w:r w:rsidR="00185E4D">
              <w:rPr>
                <w:rFonts w:eastAsia="맑은 고딕"/>
                <w:lang w:eastAsia="zh-CN"/>
              </w:rPr>
              <w:t xml:space="preserve"> fixa</w:t>
            </w:r>
            <w:r w:rsidR="00323042" w:rsidRPr="00323042">
              <w:rPr>
                <w:rFonts w:eastAsia="맑은 고딕"/>
                <w:lang w:eastAsia="zh-CN"/>
              </w:rPr>
              <w:t>.</w:t>
            </w:r>
          </w:p>
          <w:p w14:paraId="6A24EB13" w14:textId="77777777" w:rsidR="00323042" w:rsidRPr="00323042" w:rsidRDefault="00516C12" w:rsidP="00323042">
            <w:pPr>
              <w:keepNext/>
              <w:numPr>
                <w:ilvl w:val="0"/>
                <w:numId w:val="59"/>
              </w:numPr>
              <w:tabs>
                <w:tab w:val="clear" w:pos="567"/>
                <w:tab w:val="left" w:pos="851"/>
              </w:tabs>
              <w:suppressAutoHyphens/>
              <w:ind w:left="851" w:hanging="284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b/>
                <w:bCs/>
                <w:lang w:eastAsia="zh-CN"/>
              </w:rPr>
              <w:t>Não</w:t>
            </w:r>
            <w:r w:rsidR="00323042" w:rsidRPr="00323042">
              <w:rPr>
                <w:rFonts w:eastAsia="맑은 고딕"/>
                <w:lang w:eastAsia="zh-CN"/>
              </w:rPr>
              <w:t xml:space="preserve"> </w:t>
            </w:r>
            <w:r w:rsidRPr="00516C12">
              <w:rPr>
                <w:rFonts w:eastAsia="맑은 고딕"/>
                <w:lang w:eastAsia="zh-CN"/>
              </w:rPr>
              <w:t>utilize após o prazo de validade</w:t>
            </w:r>
            <w:r w:rsidR="00323042" w:rsidRPr="00323042">
              <w:rPr>
                <w:rFonts w:eastAsia="맑은 고딕"/>
                <w:lang w:eastAsia="zh-CN"/>
              </w:rPr>
              <w:t>.</w:t>
            </w:r>
          </w:p>
          <w:p w14:paraId="255B1C4F" w14:textId="77777777" w:rsidR="00323042" w:rsidRPr="00323042" w:rsidRDefault="00516C12" w:rsidP="00516C12">
            <w:pPr>
              <w:keepNext/>
              <w:numPr>
                <w:ilvl w:val="0"/>
                <w:numId w:val="59"/>
              </w:numPr>
              <w:tabs>
                <w:tab w:val="clear" w:pos="567"/>
                <w:tab w:val="left" w:pos="851"/>
              </w:tabs>
              <w:suppressAutoHyphens/>
              <w:ind w:left="851" w:hanging="284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b/>
                <w:bCs/>
                <w:lang w:eastAsia="zh-CN"/>
              </w:rPr>
              <w:t>Não</w:t>
            </w:r>
            <w:r w:rsidR="00323042" w:rsidRPr="00323042">
              <w:rPr>
                <w:rFonts w:eastAsia="맑은 고딕"/>
                <w:lang w:eastAsia="zh-CN"/>
              </w:rPr>
              <w:t xml:space="preserve"> </w:t>
            </w:r>
            <w:r w:rsidRPr="00516C12">
              <w:rPr>
                <w:rFonts w:eastAsia="맑은 고딕"/>
                <w:lang w:eastAsia="zh-CN"/>
              </w:rPr>
              <w:t>agite a seringa</w:t>
            </w:r>
            <w:r>
              <w:rPr>
                <w:rFonts w:eastAsia="맑은 고딕"/>
                <w:lang w:eastAsia="zh-CN"/>
              </w:rPr>
              <w:t xml:space="preserve"> </w:t>
            </w:r>
            <w:r w:rsidRPr="00516C12">
              <w:t>pré</w:t>
            </w:r>
            <w:r w:rsidRPr="00516C12">
              <w:noBreakHyphen/>
              <w:t>cheia</w:t>
            </w:r>
            <w:r w:rsidR="00323042" w:rsidRPr="00323042">
              <w:rPr>
                <w:rFonts w:eastAsia="맑은 고딕"/>
                <w:lang w:eastAsia="zh-CN"/>
              </w:rPr>
              <w:t>.</w:t>
            </w:r>
          </w:p>
        </w:tc>
      </w:tr>
      <w:tr w:rsidR="00323042" w:rsidRPr="00323042" w14:paraId="5127DBD8" w14:textId="77777777" w:rsidTr="00516C12">
        <w:trPr>
          <w:cantSplit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5F913A4" w14:textId="77777777" w:rsidR="00323042" w:rsidRPr="00323042" w:rsidRDefault="00323042" w:rsidP="00185E4D">
            <w:pPr>
              <w:tabs>
                <w:tab w:val="clear" w:pos="567"/>
              </w:tabs>
              <w:jc w:val="center"/>
              <w:rPr>
                <w:rFonts w:eastAsia="맑은 고딕"/>
                <w:b/>
                <w:bCs/>
                <w:lang w:eastAsia="zh-CN"/>
              </w:rPr>
            </w:pPr>
            <w:r w:rsidRPr="00323042">
              <w:rPr>
                <w:rFonts w:eastAsia="맑은 고딕"/>
                <w:b/>
                <w:bCs/>
                <w:lang w:eastAsia="ko-KR"/>
              </w:rPr>
              <w:t>Figur</w:t>
            </w:r>
            <w:r w:rsidR="00185E4D">
              <w:rPr>
                <w:rFonts w:eastAsia="맑은 고딕"/>
                <w:b/>
                <w:bCs/>
                <w:lang w:eastAsia="ko-KR"/>
              </w:rPr>
              <w:t>a</w:t>
            </w:r>
            <w:r w:rsidRPr="00323042">
              <w:rPr>
                <w:rFonts w:eastAsia="맑은 고딕"/>
                <w:b/>
                <w:bCs/>
                <w:lang w:eastAsia="ko-KR"/>
              </w:rPr>
              <w:t xml:space="preserve"> E</w:t>
            </w:r>
          </w:p>
        </w:tc>
        <w:tc>
          <w:tcPr>
            <w:tcW w:w="6054" w:type="dxa"/>
            <w:vMerge/>
            <w:tcBorders>
              <w:left w:val="nil"/>
              <w:bottom w:val="single" w:sz="4" w:space="0" w:color="auto"/>
            </w:tcBorders>
          </w:tcPr>
          <w:p w14:paraId="0F7330E8" w14:textId="77777777" w:rsidR="00323042" w:rsidRPr="00323042" w:rsidRDefault="00323042" w:rsidP="00323042">
            <w:pPr>
              <w:tabs>
                <w:tab w:val="clear" w:pos="567"/>
              </w:tabs>
              <w:suppressAutoHyphens/>
              <w:rPr>
                <w:rFonts w:eastAsia="맑은 고딕"/>
                <w:b/>
                <w:bCs/>
                <w:lang w:eastAsia="zh-CN"/>
              </w:rPr>
            </w:pPr>
          </w:p>
        </w:tc>
      </w:tr>
      <w:tr w:rsidR="00323042" w:rsidRPr="00323042" w14:paraId="088F3330" w14:textId="77777777" w:rsidTr="00516C12">
        <w:trPr>
          <w:cantSplit/>
        </w:trPr>
        <w:tc>
          <w:tcPr>
            <w:tcW w:w="301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129C3B7" w14:textId="77777777" w:rsidR="00323042" w:rsidRPr="00323042" w:rsidRDefault="00323042" w:rsidP="00323042">
            <w:pPr>
              <w:keepNext/>
              <w:tabs>
                <w:tab w:val="clear" w:pos="567"/>
              </w:tabs>
              <w:jc w:val="center"/>
              <w:rPr>
                <w:rFonts w:eastAsia="맑은 고딕"/>
                <w:lang w:eastAsia="zh-CN"/>
              </w:rPr>
            </w:pPr>
          </w:p>
          <w:p w14:paraId="3A45F994" w14:textId="041EA231" w:rsidR="00323042" w:rsidRPr="00323042" w:rsidRDefault="0077602B" w:rsidP="00323042">
            <w:pPr>
              <w:keepNext/>
              <w:tabs>
                <w:tab w:val="clear" w:pos="567"/>
              </w:tabs>
              <w:jc w:val="center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noProof/>
                <w:lang w:eastAsia="pt-PT"/>
              </w:rPr>
              <w:drawing>
                <wp:inline distT="0" distB="0" distL="0" distR="0" wp14:anchorId="22B28F1A" wp14:editId="01B12680">
                  <wp:extent cx="1651000" cy="2051050"/>
                  <wp:effectExtent l="0" t="0" r="0" b="0"/>
                  <wp:docPr id="8" name="Imagem 8" descr="스케치, 그림, 일러스트레이션, 검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스케치, 그림, 일러스트레이션, 검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205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848227" w14:textId="77777777" w:rsidR="00323042" w:rsidRPr="00323042" w:rsidRDefault="00323042" w:rsidP="00323042">
            <w:pPr>
              <w:keepNext/>
              <w:tabs>
                <w:tab w:val="clear" w:pos="567"/>
              </w:tabs>
              <w:jc w:val="center"/>
              <w:rPr>
                <w:rFonts w:eastAsia="맑은 고딕"/>
                <w:lang w:eastAsia="ko-KR"/>
              </w:rPr>
            </w:pPr>
          </w:p>
        </w:tc>
        <w:tc>
          <w:tcPr>
            <w:tcW w:w="6054" w:type="dxa"/>
            <w:vMerge w:val="restart"/>
            <w:tcBorders>
              <w:top w:val="single" w:sz="4" w:space="0" w:color="auto"/>
              <w:left w:val="nil"/>
            </w:tcBorders>
          </w:tcPr>
          <w:p w14:paraId="5B81D9DF" w14:textId="77777777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4" w:hanging="284"/>
              <w:rPr>
                <w:rFonts w:eastAsia="맑은 고딕"/>
                <w:b/>
                <w:bCs/>
                <w:lang w:eastAsia="ko-KR"/>
              </w:rPr>
            </w:pPr>
            <w:r w:rsidRPr="00323042">
              <w:rPr>
                <w:rFonts w:eastAsia="맑은 고딕"/>
                <w:b/>
                <w:bCs/>
                <w:lang w:eastAsia="ko-KR"/>
              </w:rPr>
              <w:t>5.</w:t>
            </w:r>
            <w:r w:rsidRPr="00323042">
              <w:rPr>
                <w:rFonts w:eastAsia="맑은 고딕"/>
                <w:b/>
                <w:bCs/>
                <w:lang w:eastAsia="zh-CN"/>
              </w:rPr>
              <w:tab/>
            </w:r>
            <w:r w:rsidR="00185E4D" w:rsidRPr="00185E4D">
              <w:rPr>
                <w:rFonts w:eastAsia="맑은 고딕"/>
                <w:b/>
                <w:bCs/>
                <w:lang w:eastAsia="zh-CN"/>
              </w:rPr>
              <w:t>Inspecionar o medicamento</w:t>
            </w:r>
            <w:r w:rsidRPr="00323042">
              <w:rPr>
                <w:rFonts w:eastAsia="맑은 고딕"/>
                <w:b/>
                <w:bCs/>
                <w:lang w:eastAsia="ko-KR"/>
              </w:rPr>
              <w:t>.</w:t>
            </w:r>
          </w:p>
          <w:p w14:paraId="1F9039B3" w14:textId="3A0FC8AA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3"/>
              <w:rPr>
                <w:rFonts w:eastAsia="맑은 고딕"/>
                <w:lang w:eastAsia="ko-KR"/>
              </w:rPr>
            </w:pPr>
            <w:r w:rsidRPr="00323042">
              <w:rPr>
                <w:rFonts w:eastAsia="맑은 고딕"/>
                <w:lang w:eastAsia="ko-KR"/>
              </w:rPr>
              <w:t xml:space="preserve">5a. </w:t>
            </w:r>
            <w:r w:rsidR="00185E4D">
              <w:rPr>
                <w:rFonts w:eastAsia="맑은 고딕"/>
                <w:lang w:eastAsia="ko-KR"/>
              </w:rPr>
              <w:t>Olhe para o medicamento e confirme que o líquido é transparente, incolor a amarelo</w:t>
            </w:r>
            <w:r w:rsidR="00AA35AC">
              <w:rPr>
                <w:rFonts w:eastAsia="맑은 고딕"/>
                <w:lang w:eastAsia="ko-KR"/>
              </w:rPr>
              <w:t>-</w:t>
            </w:r>
            <w:r w:rsidR="00185E4D">
              <w:rPr>
                <w:rFonts w:eastAsia="맑은 고딕"/>
                <w:lang w:eastAsia="ko-KR"/>
              </w:rPr>
              <w:t>pálido e não contém partículas ou flocos visíveis</w:t>
            </w:r>
            <w:r w:rsidRPr="00323042">
              <w:rPr>
                <w:rFonts w:eastAsia="맑은 고딕"/>
                <w:lang w:eastAsia="ko-KR"/>
              </w:rPr>
              <w:t xml:space="preserve"> (</w:t>
            </w:r>
            <w:r w:rsidR="00185E4D">
              <w:rPr>
                <w:rFonts w:eastAsia="맑은 고딕"/>
                <w:lang w:eastAsia="ko-KR"/>
              </w:rPr>
              <w:t>ver a</w:t>
            </w:r>
            <w:r w:rsidRPr="00323042">
              <w:rPr>
                <w:rFonts w:eastAsia="맑은 고딕"/>
                <w:lang w:eastAsia="ko-KR"/>
              </w:rPr>
              <w:t xml:space="preserve"> </w:t>
            </w:r>
            <w:r w:rsidRPr="00323042">
              <w:rPr>
                <w:rFonts w:eastAsia="맑은 고딕"/>
                <w:b/>
                <w:bCs/>
                <w:lang w:eastAsia="ko-KR"/>
              </w:rPr>
              <w:t>Figur</w:t>
            </w:r>
            <w:r w:rsidR="00185E4D">
              <w:rPr>
                <w:rFonts w:eastAsia="맑은 고딕"/>
                <w:b/>
                <w:bCs/>
                <w:lang w:eastAsia="ko-KR"/>
              </w:rPr>
              <w:t>a</w:t>
            </w:r>
            <w:r w:rsidRPr="00323042">
              <w:rPr>
                <w:rFonts w:eastAsia="맑은 고딕"/>
                <w:b/>
                <w:bCs/>
                <w:lang w:eastAsia="ko-KR"/>
              </w:rPr>
              <w:t> F</w:t>
            </w:r>
            <w:r w:rsidRPr="00323042">
              <w:rPr>
                <w:rFonts w:eastAsia="맑은 고딕"/>
                <w:lang w:eastAsia="ko-KR"/>
              </w:rPr>
              <w:t>).</w:t>
            </w:r>
          </w:p>
          <w:p w14:paraId="7B023AE6" w14:textId="77777777" w:rsidR="00323042" w:rsidRPr="00323042" w:rsidRDefault="00185E4D" w:rsidP="00323042">
            <w:pPr>
              <w:keepNext/>
              <w:numPr>
                <w:ilvl w:val="0"/>
                <w:numId w:val="59"/>
              </w:numPr>
              <w:tabs>
                <w:tab w:val="clear" w:pos="567"/>
                <w:tab w:val="left" w:pos="851"/>
              </w:tabs>
              <w:suppressAutoHyphens/>
              <w:ind w:left="851" w:hanging="284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b/>
                <w:bCs/>
                <w:lang w:eastAsia="zh-CN"/>
              </w:rPr>
              <w:t>Não</w:t>
            </w:r>
            <w:r w:rsidR="00323042" w:rsidRPr="00323042">
              <w:rPr>
                <w:rFonts w:eastAsia="맑은 고딕"/>
                <w:b/>
                <w:bCs/>
                <w:lang w:eastAsia="zh-CN"/>
              </w:rPr>
              <w:t xml:space="preserve"> </w:t>
            </w:r>
            <w:r>
              <w:rPr>
                <w:rFonts w:eastAsia="맑은 고딕"/>
                <w:lang w:eastAsia="zh-CN"/>
              </w:rPr>
              <w:t xml:space="preserve">utilize a seringa </w:t>
            </w:r>
            <w:r w:rsidRPr="00516C12">
              <w:t>pré</w:t>
            </w:r>
            <w:r w:rsidRPr="00516C12">
              <w:noBreakHyphen/>
              <w:t>cheia</w:t>
            </w:r>
            <w:r>
              <w:t xml:space="preserve"> </w:t>
            </w:r>
            <w:r>
              <w:rPr>
                <w:rFonts w:eastAsia="맑은 고딕"/>
                <w:lang w:eastAsia="zh-CN"/>
              </w:rPr>
              <w:t>se o líquido apresentar descoloração ou turvação ou contiver partículas ou flocos visíveis</w:t>
            </w:r>
            <w:r w:rsidR="00323042" w:rsidRPr="00323042">
              <w:rPr>
                <w:rFonts w:eastAsia="맑은 고딕"/>
                <w:lang w:eastAsia="zh-CN"/>
              </w:rPr>
              <w:t>.</w:t>
            </w:r>
          </w:p>
          <w:p w14:paraId="1F9A9692" w14:textId="77777777" w:rsidR="00323042" w:rsidRPr="00323042" w:rsidRDefault="00185E4D" w:rsidP="00323042">
            <w:pPr>
              <w:keepNext/>
              <w:numPr>
                <w:ilvl w:val="0"/>
                <w:numId w:val="59"/>
              </w:numPr>
              <w:tabs>
                <w:tab w:val="clear" w:pos="567"/>
                <w:tab w:val="left" w:pos="851"/>
              </w:tabs>
              <w:suppressAutoHyphens/>
              <w:ind w:left="851" w:hanging="284"/>
              <w:rPr>
                <w:rFonts w:eastAsia="맑은 고딕"/>
                <w:lang w:eastAsia="zh-CN"/>
              </w:rPr>
            </w:pPr>
            <w:r w:rsidRPr="00185E4D">
              <w:rPr>
                <w:rFonts w:eastAsia="맑은 고딕"/>
                <w:lang w:eastAsia="zh-CN"/>
              </w:rPr>
              <w:t>Poderá ver bolhas de ar no líquido. Isso é normal</w:t>
            </w:r>
            <w:r w:rsidR="00323042" w:rsidRPr="00323042">
              <w:rPr>
                <w:rFonts w:eastAsia="맑은 고딕"/>
                <w:lang w:eastAsia="zh-CN"/>
              </w:rPr>
              <w:t>.</w:t>
            </w:r>
          </w:p>
        </w:tc>
      </w:tr>
      <w:tr w:rsidR="00323042" w:rsidRPr="00323042" w14:paraId="583450A8" w14:textId="77777777" w:rsidTr="00516C12">
        <w:trPr>
          <w:cantSplit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AB6B3C" w14:textId="77777777" w:rsidR="00323042" w:rsidRPr="00323042" w:rsidRDefault="00323042" w:rsidP="00845425">
            <w:pPr>
              <w:tabs>
                <w:tab w:val="clear" w:pos="567"/>
              </w:tabs>
              <w:jc w:val="center"/>
              <w:rPr>
                <w:rFonts w:eastAsia="맑은 고딕"/>
                <w:b/>
                <w:bCs/>
                <w:lang w:eastAsia="zh-CN"/>
              </w:rPr>
            </w:pPr>
            <w:r w:rsidRPr="00323042">
              <w:rPr>
                <w:rFonts w:eastAsia="맑은 고딕"/>
                <w:b/>
                <w:bCs/>
                <w:lang w:eastAsia="ko-KR"/>
              </w:rPr>
              <w:t>Figur</w:t>
            </w:r>
            <w:r w:rsidR="00845425">
              <w:rPr>
                <w:rFonts w:eastAsia="맑은 고딕"/>
                <w:b/>
                <w:bCs/>
                <w:lang w:eastAsia="ko-KR"/>
              </w:rPr>
              <w:t>a</w:t>
            </w:r>
            <w:r w:rsidRPr="00323042">
              <w:rPr>
                <w:rFonts w:eastAsia="맑은 고딕"/>
                <w:b/>
                <w:bCs/>
                <w:lang w:eastAsia="ko-KR"/>
              </w:rPr>
              <w:t xml:space="preserve"> F</w:t>
            </w:r>
          </w:p>
        </w:tc>
        <w:tc>
          <w:tcPr>
            <w:tcW w:w="6054" w:type="dxa"/>
            <w:vMerge/>
            <w:tcBorders>
              <w:left w:val="nil"/>
              <w:bottom w:val="single" w:sz="4" w:space="0" w:color="auto"/>
            </w:tcBorders>
          </w:tcPr>
          <w:p w14:paraId="633DE2D7" w14:textId="77777777" w:rsidR="00323042" w:rsidRPr="00323042" w:rsidRDefault="00323042" w:rsidP="00323042">
            <w:pPr>
              <w:tabs>
                <w:tab w:val="clear" w:pos="567"/>
              </w:tabs>
              <w:suppressAutoHyphens/>
              <w:rPr>
                <w:rFonts w:eastAsia="맑은 고딕"/>
                <w:b/>
                <w:bCs/>
                <w:lang w:eastAsia="ko-KR"/>
              </w:rPr>
            </w:pPr>
          </w:p>
        </w:tc>
      </w:tr>
      <w:tr w:rsidR="00323042" w:rsidRPr="00323042" w14:paraId="22E070B5" w14:textId="77777777" w:rsidTr="00516C12">
        <w:trPr>
          <w:cantSplit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A073537" w14:textId="77777777" w:rsidR="00323042" w:rsidRPr="00323042" w:rsidRDefault="00323042" w:rsidP="00323042">
            <w:pPr>
              <w:keepNext/>
              <w:tabs>
                <w:tab w:val="clear" w:pos="567"/>
              </w:tabs>
              <w:jc w:val="center"/>
              <w:rPr>
                <w:rFonts w:eastAsia="맑은 고딕"/>
                <w:lang w:eastAsia="zh-CN"/>
              </w:rPr>
            </w:pPr>
          </w:p>
          <w:p w14:paraId="3191664F" w14:textId="5DCE045E" w:rsidR="00323042" w:rsidRPr="00323042" w:rsidRDefault="0077602B" w:rsidP="00323042">
            <w:pPr>
              <w:keepNext/>
              <w:tabs>
                <w:tab w:val="clear" w:pos="567"/>
              </w:tabs>
              <w:jc w:val="center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noProof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6704" behindDoc="0" locked="1" layoutInCell="1" allowOverlap="1" wp14:anchorId="37289F2E" wp14:editId="06860081">
                      <wp:simplePos x="0" y="0"/>
                      <wp:positionH relativeFrom="column">
                        <wp:posOffset>922020</wp:posOffset>
                      </wp:positionH>
                      <wp:positionV relativeFrom="page">
                        <wp:posOffset>407670</wp:posOffset>
                      </wp:positionV>
                      <wp:extent cx="685800" cy="417195"/>
                      <wp:effectExtent l="0" t="0" r="0" b="0"/>
                      <wp:wrapNone/>
                      <wp:docPr id="23" name="Caixa de texto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417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FE089B8" w14:textId="76B240C9" w:rsidR="00516C12" w:rsidRPr="00D723EF" w:rsidRDefault="00516C12" w:rsidP="0032304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D723E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val="es-ES"/>
                                    </w:rPr>
                                    <w:t>30 minut</w:t>
                                  </w:r>
                                  <w:r w:rsidR="0047123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val="es-ES"/>
                                    </w:rPr>
                                    <w:t>os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89F2E" id="Caixa de texto 23" o:spid="_x0000_s1045" type="#_x0000_t202" style="position:absolute;left:0;text-align:left;margin-left:72.6pt;margin-top:32.1pt;width:54pt;height:32.8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" filled="f" stroked="f">
                      <v:textbox inset="0,0,0,0">
                        <w:txbxContent>
                          <w:p w14:paraId="5FE089B8" w14:textId="76B240C9" w:rsidR="00516C12" w:rsidRPr="00D723EF" w:rsidRDefault="00516C12" w:rsidP="003230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D723E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30 minut</w:t>
                            </w:r>
                            <w:r w:rsidR="0047123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os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eastAsia="맑은 고딕"/>
                <w:noProof/>
                <w:lang w:eastAsia="pt-PT"/>
              </w:rPr>
              <w:drawing>
                <wp:inline distT="0" distB="0" distL="0" distR="0" wp14:anchorId="2C6F6D2C" wp14:editId="0876F3BA">
                  <wp:extent cx="1670050" cy="1790700"/>
                  <wp:effectExtent l="0" t="0" r="0" b="0"/>
                  <wp:docPr id="9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0EAAAF" w14:textId="77777777" w:rsidR="00323042" w:rsidRPr="00323042" w:rsidRDefault="00323042" w:rsidP="00323042">
            <w:pPr>
              <w:keepNext/>
              <w:tabs>
                <w:tab w:val="clear" w:pos="567"/>
              </w:tabs>
              <w:jc w:val="center"/>
              <w:rPr>
                <w:rFonts w:eastAsia="맑은 고딕"/>
                <w:lang w:eastAsia="ko-KR"/>
              </w:rPr>
            </w:pPr>
          </w:p>
        </w:tc>
        <w:tc>
          <w:tcPr>
            <w:tcW w:w="6054" w:type="dxa"/>
            <w:vMerge w:val="restart"/>
            <w:tcBorders>
              <w:top w:val="single" w:sz="4" w:space="0" w:color="auto"/>
              <w:left w:val="nil"/>
            </w:tcBorders>
          </w:tcPr>
          <w:p w14:paraId="77B6C813" w14:textId="77777777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4" w:hanging="284"/>
              <w:rPr>
                <w:rFonts w:eastAsia="맑은 고딕"/>
                <w:b/>
                <w:bCs/>
                <w:lang w:eastAsia="zh-CN"/>
              </w:rPr>
            </w:pPr>
            <w:r w:rsidRPr="00323042">
              <w:rPr>
                <w:rFonts w:eastAsia="맑은 고딕"/>
                <w:b/>
                <w:bCs/>
                <w:lang w:eastAsia="ko-KR"/>
              </w:rPr>
              <w:t>6</w:t>
            </w:r>
            <w:r w:rsidRPr="00323042">
              <w:rPr>
                <w:rFonts w:eastAsia="맑은 고딕"/>
                <w:b/>
                <w:bCs/>
                <w:lang w:eastAsia="zh-CN"/>
              </w:rPr>
              <w:t>.</w:t>
            </w:r>
            <w:r w:rsidRPr="00323042">
              <w:rPr>
                <w:rFonts w:eastAsia="맑은 고딕"/>
                <w:b/>
                <w:bCs/>
                <w:lang w:eastAsia="zh-CN"/>
              </w:rPr>
              <w:tab/>
            </w:r>
            <w:r w:rsidR="00845425" w:rsidRPr="00845425">
              <w:rPr>
                <w:rFonts w:eastAsia="맑은 고딕"/>
                <w:b/>
                <w:bCs/>
                <w:lang w:eastAsia="zh-CN"/>
              </w:rPr>
              <w:t>Aguardar 30 minutos</w:t>
            </w:r>
            <w:r w:rsidRPr="00323042">
              <w:rPr>
                <w:rFonts w:eastAsia="맑은 고딕"/>
                <w:b/>
                <w:bCs/>
                <w:lang w:eastAsia="zh-CN"/>
              </w:rPr>
              <w:t>.</w:t>
            </w:r>
          </w:p>
          <w:p w14:paraId="3A266C33" w14:textId="77777777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3"/>
              <w:rPr>
                <w:rFonts w:eastAsia="맑은 고딕"/>
                <w:lang w:eastAsia="zh-CN"/>
              </w:rPr>
            </w:pPr>
            <w:r w:rsidRPr="00323042">
              <w:rPr>
                <w:rFonts w:eastAsia="맑은 고딕"/>
                <w:lang w:eastAsia="ko-KR"/>
              </w:rPr>
              <w:t>6</w:t>
            </w:r>
            <w:r w:rsidRPr="00323042">
              <w:rPr>
                <w:rFonts w:eastAsia="맑은 고딕"/>
                <w:lang w:eastAsia="zh-CN"/>
              </w:rPr>
              <w:t xml:space="preserve">a. </w:t>
            </w:r>
            <w:r w:rsidR="00845425" w:rsidRPr="00845425">
              <w:rPr>
                <w:rFonts w:eastAsia="맑은 고딕"/>
                <w:lang w:eastAsia="zh-CN"/>
              </w:rPr>
              <w:t xml:space="preserve">Deixe a seringa </w:t>
            </w:r>
            <w:r w:rsidR="00DB7C7F" w:rsidRPr="00516C12">
              <w:t>pré</w:t>
            </w:r>
            <w:r w:rsidR="00DB7C7F" w:rsidRPr="00516C12">
              <w:noBreakHyphen/>
              <w:t>cheia</w:t>
            </w:r>
            <w:r w:rsidR="00845425" w:rsidRPr="00845425">
              <w:rPr>
                <w:rFonts w:eastAsia="맑은 고딕"/>
                <w:lang w:eastAsia="zh-CN"/>
              </w:rPr>
              <w:t xml:space="preserve"> fora da caixa durante </w:t>
            </w:r>
            <w:r w:rsidRPr="00323042">
              <w:rPr>
                <w:rFonts w:eastAsia="맑은 고딕"/>
                <w:lang w:eastAsia="zh-CN"/>
              </w:rPr>
              <w:t>30</w:t>
            </w:r>
            <w:r w:rsidR="00845425">
              <w:rPr>
                <w:rFonts w:eastAsia="맑은 고딕"/>
                <w:lang w:eastAsia="zh-CN"/>
              </w:rPr>
              <w:t> </w:t>
            </w:r>
            <w:r w:rsidR="00845425" w:rsidRPr="00845425">
              <w:rPr>
                <w:rFonts w:eastAsia="맑은 고딕"/>
                <w:lang w:eastAsia="zh-CN"/>
              </w:rPr>
              <w:t>minutos à temperatura ambiente</w:t>
            </w:r>
            <w:r w:rsidRPr="00323042">
              <w:rPr>
                <w:rFonts w:eastAsia="맑은 고딕"/>
                <w:lang w:eastAsia="zh-CN"/>
              </w:rPr>
              <w:t xml:space="preserve"> (20 °C </w:t>
            </w:r>
            <w:r w:rsidR="00845425">
              <w:rPr>
                <w:rFonts w:eastAsia="맑은 고딕"/>
                <w:lang w:eastAsia="zh-CN"/>
              </w:rPr>
              <w:t>a</w:t>
            </w:r>
            <w:r w:rsidRPr="00323042">
              <w:rPr>
                <w:rFonts w:eastAsia="맑은 고딕"/>
                <w:lang w:eastAsia="zh-CN"/>
              </w:rPr>
              <w:t xml:space="preserve"> 25 °C)</w:t>
            </w:r>
            <w:r w:rsidR="00845425">
              <w:rPr>
                <w:rFonts w:eastAsia="맑은 고딕"/>
                <w:lang w:eastAsia="zh-CN"/>
              </w:rPr>
              <w:t>,</w:t>
            </w:r>
            <w:r w:rsidRPr="00323042">
              <w:rPr>
                <w:rFonts w:eastAsia="맑은 고딕"/>
                <w:lang w:eastAsia="zh-CN"/>
              </w:rPr>
              <w:t xml:space="preserve"> </w:t>
            </w:r>
            <w:r w:rsidR="00845425">
              <w:rPr>
                <w:rFonts w:eastAsia="맑은 고딕"/>
                <w:lang w:eastAsia="zh-CN"/>
              </w:rPr>
              <w:t xml:space="preserve">para </w:t>
            </w:r>
            <w:r w:rsidR="00845425" w:rsidRPr="00845425">
              <w:rPr>
                <w:rFonts w:eastAsia="맑은 고딕"/>
                <w:lang w:eastAsia="zh-CN"/>
              </w:rPr>
              <w:t>permitir que aqueça</w:t>
            </w:r>
            <w:r w:rsidRPr="00323042">
              <w:rPr>
                <w:rFonts w:eastAsia="맑은 고딕"/>
                <w:lang w:eastAsia="zh-CN"/>
              </w:rPr>
              <w:t xml:space="preserve"> (</w:t>
            </w:r>
            <w:r w:rsidR="00845425">
              <w:rPr>
                <w:rFonts w:eastAsia="맑은 고딕"/>
                <w:lang w:eastAsia="zh-CN"/>
              </w:rPr>
              <w:t>ver a</w:t>
            </w:r>
            <w:r w:rsidRPr="00323042">
              <w:rPr>
                <w:rFonts w:eastAsia="맑은 고딕"/>
                <w:lang w:eastAsia="zh-CN"/>
              </w:rPr>
              <w:t xml:space="preserve"> </w:t>
            </w:r>
            <w:r w:rsidRPr="00323042">
              <w:rPr>
                <w:rFonts w:eastAsia="맑은 고딕"/>
                <w:b/>
                <w:bCs/>
                <w:lang w:eastAsia="zh-CN"/>
              </w:rPr>
              <w:t>Figur</w:t>
            </w:r>
            <w:r w:rsidR="00845425">
              <w:rPr>
                <w:rFonts w:eastAsia="맑은 고딕"/>
                <w:b/>
                <w:bCs/>
                <w:lang w:eastAsia="zh-CN"/>
              </w:rPr>
              <w:t>a</w:t>
            </w:r>
            <w:r w:rsidRPr="00323042">
              <w:rPr>
                <w:rFonts w:eastAsia="맑은 고딕"/>
                <w:b/>
                <w:bCs/>
                <w:lang w:eastAsia="zh-CN"/>
              </w:rPr>
              <w:t> </w:t>
            </w:r>
            <w:r w:rsidRPr="00323042">
              <w:rPr>
                <w:rFonts w:eastAsia="맑은 고딕"/>
                <w:b/>
                <w:bCs/>
                <w:lang w:eastAsia="ko-KR"/>
              </w:rPr>
              <w:t>G</w:t>
            </w:r>
            <w:r w:rsidRPr="00323042">
              <w:rPr>
                <w:rFonts w:eastAsia="맑은 고딕"/>
                <w:lang w:eastAsia="zh-CN"/>
              </w:rPr>
              <w:t>).</w:t>
            </w:r>
          </w:p>
          <w:p w14:paraId="6F11BE8F" w14:textId="77777777" w:rsidR="00323042" w:rsidRPr="00323042" w:rsidRDefault="00845425" w:rsidP="00323042">
            <w:pPr>
              <w:keepNext/>
              <w:numPr>
                <w:ilvl w:val="0"/>
                <w:numId w:val="59"/>
              </w:numPr>
              <w:tabs>
                <w:tab w:val="clear" w:pos="567"/>
                <w:tab w:val="left" w:pos="851"/>
              </w:tabs>
              <w:suppressAutoHyphens/>
              <w:ind w:left="851" w:hanging="284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b/>
                <w:bCs/>
                <w:lang w:eastAsia="zh-CN"/>
              </w:rPr>
              <w:t>Não</w:t>
            </w:r>
            <w:r w:rsidR="00323042" w:rsidRPr="00323042">
              <w:rPr>
                <w:rFonts w:eastAsia="맑은 고딕"/>
                <w:lang w:eastAsia="zh-CN"/>
              </w:rPr>
              <w:t xml:space="preserve"> </w:t>
            </w:r>
            <w:r w:rsidR="00DB7C7F" w:rsidRPr="00DB7C7F">
              <w:rPr>
                <w:rFonts w:eastAsia="맑은 고딕"/>
                <w:lang w:eastAsia="zh-CN"/>
              </w:rPr>
              <w:t xml:space="preserve">aqueça a seringa </w:t>
            </w:r>
            <w:r w:rsidR="00DB7C7F" w:rsidRPr="00516C12">
              <w:t>pré</w:t>
            </w:r>
            <w:r w:rsidR="00DB7C7F" w:rsidRPr="00516C12">
              <w:noBreakHyphen/>
              <w:t>cheia</w:t>
            </w:r>
            <w:r w:rsidR="00DB7C7F" w:rsidRPr="00DB7C7F">
              <w:rPr>
                <w:rFonts w:eastAsia="맑은 고딕"/>
                <w:lang w:eastAsia="zh-CN"/>
              </w:rPr>
              <w:t xml:space="preserve"> utilizando fontes de</w:t>
            </w:r>
            <w:r w:rsidR="00DB7C7F">
              <w:rPr>
                <w:rFonts w:eastAsia="맑은 고딕"/>
                <w:lang w:eastAsia="zh-CN"/>
              </w:rPr>
              <w:t xml:space="preserve"> </w:t>
            </w:r>
            <w:r w:rsidR="00DB7C7F" w:rsidRPr="00DB7C7F">
              <w:rPr>
                <w:rFonts w:eastAsia="맑은 고딕"/>
                <w:lang w:eastAsia="zh-CN"/>
              </w:rPr>
              <w:t>calor, como água quente ou um micro-ondas</w:t>
            </w:r>
            <w:r w:rsidR="00323042" w:rsidRPr="00323042">
              <w:rPr>
                <w:rFonts w:eastAsia="맑은 고딕"/>
                <w:lang w:eastAsia="zh-CN"/>
              </w:rPr>
              <w:t>.</w:t>
            </w:r>
          </w:p>
          <w:p w14:paraId="16C87295" w14:textId="77777777" w:rsidR="00323042" w:rsidRPr="00323042" w:rsidRDefault="00DB7C7F" w:rsidP="00DB7C7F">
            <w:pPr>
              <w:keepNext/>
              <w:numPr>
                <w:ilvl w:val="0"/>
                <w:numId w:val="59"/>
              </w:numPr>
              <w:tabs>
                <w:tab w:val="clear" w:pos="567"/>
                <w:tab w:val="left" w:pos="851"/>
              </w:tabs>
              <w:suppressAutoHyphens/>
              <w:ind w:left="851" w:hanging="284"/>
              <w:rPr>
                <w:rFonts w:eastAsia="맑은 고딕"/>
                <w:b/>
                <w:bCs/>
                <w:lang w:eastAsia="ko-KR"/>
              </w:rPr>
            </w:pPr>
            <w:r>
              <w:rPr>
                <w:rFonts w:eastAsia="맑은 고딕"/>
                <w:lang w:eastAsia="zh-CN"/>
              </w:rPr>
              <w:t>Se a seringa não atingir a temperatura ambiente, isso poderá tornar a injeção desconfortável</w:t>
            </w:r>
            <w:r w:rsidR="00323042" w:rsidRPr="00323042">
              <w:rPr>
                <w:rFonts w:eastAsia="맑은 고딕"/>
                <w:lang w:eastAsia="zh-CN"/>
              </w:rPr>
              <w:t>.</w:t>
            </w:r>
          </w:p>
        </w:tc>
      </w:tr>
      <w:tr w:rsidR="00323042" w:rsidRPr="00323042" w14:paraId="1C7DC932" w14:textId="77777777" w:rsidTr="00516C12">
        <w:trPr>
          <w:cantSplit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509A89" w14:textId="77777777" w:rsidR="00323042" w:rsidRPr="00323042" w:rsidRDefault="00323042" w:rsidP="00DB7C7F">
            <w:pPr>
              <w:tabs>
                <w:tab w:val="clear" w:pos="567"/>
              </w:tabs>
              <w:jc w:val="center"/>
              <w:rPr>
                <w:rFonts w:eastAsia="맑은 고딕"/>
                <w:b/>
                <w:bCs/>
                <w:lang w:eastAsia="ko-KR"/>
              </w:rPr>
            </w:pPr>
            <w:r w:rsidRPr="00323042">
              <w:rPr>
                <w:rFonts w:eastAsia="맑은 고딕"/>
                <w:b/>
                <w:bCs/>
                <w:lang w:eastAsia="ko-KR"/>
              </w:rPr>
              <w:t>Figur</w:t>
            </w:r>
            <w:r w:rsidR="00DB7C7F">
              <w:rPr>
                <w:rFonts w:eastAsia="맑은 고딕"/>
                <w:b/>
                <w:bCs/>
                <w:lang w:eastAsia="ko-KR"/>
              </w:rPr>
              <w:t>a</w:t>
            </w:r>
            <w:r w:rsidRPr="00323042">
              <w:rPr>
                <w:rFonts w:eastAsia="맑은 고딕"/>
                <w:b/>
                <w:bCs/>
                <w:lang w:eastAsia="ko-KR"/>
              </w:rPr>
              <w:t xml:space="preserve"> G</w:t>
            </w:r>
          </w:p>
        </w:tc>
        <w:tc>
          <w:tcPr>
            <w:tcW w:w="6054" w:type="dxa"/>
            <w:vMerge/>
            <w:tcBorders>
              <w:left w:val="nil"/>
              <w:bottom w:val="single" w:sz="4" w:space="0" w:color="auto"/>
            </w:tcBorders>
          </w:tcPr>
          <w:p w14:paraId="0A4537E4" w14:textId="77777777" w:rsidR="00323042" w:rsidRPr="00323042" w:rsidRDefault="00323042" w:rsidP="00323042">
            <w:pPr>
              <w:tabs>
                <w:tab w:val="clear" w:pos="567"/>
              </w:tabs>
              <w:suppressAutoHyphens/>
              <w:rPr>
                <w:rFonts w:eastAsia="맑은 고딕"/>
                <w:b/>
                <w:bCs/>
                <w:lang w:eastAsia="ko-KR"/>
              </w:rPr>
            </w:pPr>
          </w:p>
        </w:tc>
      </w:tr>
      <w:tr w:rsidR="00323042" w:rsidRPr="00323042" w14:paraId="46281459" w14:textId="77777777" w:rsidTr="00516C12">
        <w:trPr>
          <w:cantSplit/>
        </w:trPr>
        <w:tc>
          <w:tcPr>
            <w:tcW w:w="301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09C52D1" w14:textId="7A44CF3C" w:rsidR="00323042" w:rsidRPr="00323042" w:rsidRDefault="0077602B" w:rsidP="00323042">
            <w:pPr>
              <w:keepNext/>
              <w:tabs>
                <w:tab w:val="clear" w:pos="567"/>
              </w:tabs>
              <w:jc w:val="center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noProof/>
                <w:lang w:eastAsia="zh-CN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8752" behindDoc="0" locked="1" layoutInCell="1" allowOverlap="1" wp14:anchorId="49BBF312" wp14:editId="600D5362">
                      <wp:simplePos x="0" y="0"/>
                      <wp:positionH relativeFrom="column">
                        <wp:posOffset>618490</wp:posOffset>
                      </wp:positionH>
                      <wp:positionV relativeFrom="page">
                        <wp:posOffset>560705</wp:posOffset>
                      </wp:positionV>
                      <wp:extent cx="1330960" cy="374650"/>
                      <wp:effectExtent l="0" t="0" r="0" b="0"/>
                      <wp:wrapNone/>
                      <wp:docPr id="22" name="Caixa de text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0960" cy="374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0FAA272" w14:textId="6C1C46EC" w:rsidR="00516C12" w:rsidRPr="00603CDE" w:rsidRDefault="00471233" w:rsidP="00323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603C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s-ES"/>
                                    </w:rPr>
                                    <w:t>Autoinjeção e prestador de cuidados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BF312" id="Caixa de texto 22" o:spid="_x0000_s1046" type="#_x0000_t202" style="position:absolute;left:0;text-align:left;margin-left:48.7pt;margin-top:44.15pt;width:104.8pt;height:29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" filled="f" stroked="f">
                      <v:textbox inset="0,0,0,0">
                        <w:txbxContent>
                          <w:p w14:paraId="40FAA272" w14:textId="6C1C46EC" w:rsidR="00516C12" w:rsidRPr="00603CDE" w:rsidRDefault="00471233" w:rsidP="00323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603CD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Autoinjeção e prestador de cuidados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eastAsia="맑은 고딕"/>
                <w:noProof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1" layoutInCell="1" allowOverlap="1" wp14:anchorId="4A68DB52" wp14:editId="1D91805D">
                      <wp:simplePos x="0" y="0"/>
                      <wp:positionH relativeFrom="column">
                        <wp:posOffset>621665</wp:posOffset>
                      </wp:positionH>
                      <wp:positionV relativeFrom="page">
                        <wp:posOffset>89535</wp:posOffset>
                      </wp:positionV>
                      <wp:extent cx="1184910" cy="393065"/>
                      <wp:effectExtent l="0" t="0" r="0" b="0"/>
                      <wp:wrapNone/>
                      <wp:docPr id="21" name="Caixa de text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4910" cy="393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48E405E" w14:textId="2AB59464" w:rsidR="00516C12" w:rsidRPr="00603CDE" w:rsidRDefault="00471233" w:rsidP="00323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603CD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val="es-ES"/>
                                    </w:rPr>
                                    <w:t>APENAS prestador de cuidados e profissional de saúde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8DB52" id="Caixa de texto 21" o:spid="_x0000_s1047" type="#_x0000_t202" style="position:absolute;left:0;text-align:left;margin-left:48.95pt;margin-top:7.05pt;width:93.3pt;height:30.9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" filled="f" stroked="f">
                      <v:textbox inset="0,0,0,0">
                        <w:txbxContent>
                          <w:p w14:paraId="548E405E" w14:textId="2AB59464" w:rsidR="00516C12" w:rsidRPr="00603CDE" w:rsidRDefault="00471233" w:rsidP="00323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603CD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APENAS prestador de cuidados e profissional de saúde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2821D2A0" w14:textId="42C82EFC" w:rsidR="00323042" w:rsidRPr="00323042" w:rsidRDefault="0077602B" w:rsidP="00323042">
            <w:pPr>
              <w:keepNext/>
              <w:tabs>
                <w:tab w:val="clear" w:pos="567"/>
              </w:tabs>
              <w:jc w:val="center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noProof/>
                <w:lang w:eastAsia="pt-PT"/>
              </w:rPr>
              <w:drawing>
                <wp:inline distT="0" distB="0" distL="0" distR="0" wp14:anchorId="33B2B434" wp14:editId="13CAE569">
                  <wp:extent cx="1504950" cy="2565400"/>
                  <wp:effectExtent l="0" t="0" r="0" b="0"/>
                  <wp:docPr id="10" name="Image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256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9A0E88" w14:textId="77777777" w:rsidR="00323042" w:rsidRPr="00323042" w:rsidRDefault="00323042" w:rsidP="00323042">
            <w:pPr>
              <w:keepNext/>
              <w:tabs>
                <w:tab w:val="clear" w:pos="567"/>
              </w:tabs>
              <w:jc w:val="center"/>
              <w:rPr>
                <w:rFonts w:eastAsia="맑은 고딕"/>
                <w:lang w:eastAsia="ko-KR"/>
              </w:rPr>
            </w:pPr>
          </w:p>
        </w:tc>
        <w:tc>
          <w:tcPr>
            <w:tcW w:w="6054" w:type="dxa"/>
            <w:vMerge w:val="restart"/>
            <w:tcBorders>
              <w:top w:val="single" w:sz="4" w:space="0" w:color="auto"/>
              <w:left w:val="nil"/>
            </w:tcBorders>
          </w:tcPr>
          <w:p w14:paraId="152C390C" w14:textId="77777777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4" w:hanging="284"/>
              <w:rPr>
                <w:rFonts w:eastAsia="맑은 고딕"/>
                <w:b/>
                <w:bCs/>
                <w:lang w:eastAsia="zh-CN"/>
              </w:rPr>
            </w:pPr>
            <w:r w:rsidRPr="00323042">
              <w:rPr>
                <w:rFonts w:eastAsia="맑은 고딕"/>
                <w:b/>
                <w:bCs/>
                <w:lang w:eastAsia="zh-CN"/>
              </w:rPr>
              <w:t>7.</w:t>
            </w:r>
            <w:r w:rsidRPr="00323042">
              <w:rPr>
                <w:rFonts w:eastAsia="맑은 고딕"/>
                <w:b/>
                <w:bCs/>
                <w:lang w:eastAsia="zh-CN"/>
              </w:rPr>
              <w:tab/>
            </w:r>
            <w:r w:rsidR="00A55769" w:rsidRPr="00A55769">
              <w:rPr>
                <w:rFonts w:eastAsia="맑은 고딕"/>
                <w:b/>
                <w:bCs/>
                <w:lang w:eastAsia="zh-CN"/>
              </w:rPr>
              <w:t>Escolher um local de injeção adequado</w:t>
            </w:r>
            <w:r w:rsidRPr="00323042">
              <w:rPr>
                <w:rFonts w:eastAsia="맑은 고딕"/>
                <w:b/>
                <w:bCs/>
                <w:lang w:eastAsia="zh-CN"/>
              </w:rPr>
              <w:t xml:space="preserve"> (</w:t>
            </w:r>
            <w:r w:rsidR="00A55769">
              <w:rPr>
                <w:rFonts w:eastAsia="맑은 고딕"/>
                <w:b/>
                <w:bCs/>
                <w:lang w:eastAsia="zh-CN"/>
              </w:rPr>
              <w:t>ver a</w:t>
            </w:r>
            <w:r w:rsidRPr="00323042">
              <w:rPr>
                <w:rFonts w:eastAsia="맑은 고딕"/>
                <w:b/>
                <w:bCs/>
                <w:lang w:eastAsia="zh-CN"/>
              </w:rPr>
              <w:t xml:space="preserve"> Figur</w:t>
            </w:r>
            <w:r w:rsidR="00A55769">
              <w:rPr>
                <w:rFonts w:eastAsia="맑은 고딕"/>
                <w:b/>
                <w:bCs/>
                <w:lang w:eastAsia="zh-CN"/>
              </w:rPr>
              <w:t>a</w:t>
            </w:r>
            <w:r w:rsidRPr="00323042">
              <w:rPr>
                <w:rFonts w:eastAsia="맑은 고딕"/>
                <w:b/>
                <w:bCs/>
                <w:lang w:eastAsia="zh-CN"/>
              </w:rPr>
              <w:t> H).</w:t>
            </w:r>
          </w:p>
          <w:p w14:paraId="5C953954" w14:textId="77777777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3"/>
              <w:rPr>
                <w:rFonts w:eastAsia="맑은 고딕"/>
                <w:lang w:eastAsia="zh-CN"/>
              </w:rPr>
            </w:pPr>
            <w:r w:rsidRPr="00323042">
              <w:rPr>
                <w:rFonts w:eastAsia="맑은 고딕"/>
                <w:lang w:eastAsia="zh-CN"/>
              </w:rPr>
              <w:t xml:space="preserve">7a. </w:t>
            </w:r>
            <w:r w:rsidR="00A55769" w:rsidRPr="00A55769">
              <w:rPr>
                <w:rFonts w:eastAsia="맑은 고딕"/>
                <w:lang w:eastAsia="zh-CN"/>
              </w:rPr>
              <w:t>Pode injetar nos locais seguintes</w:t>
            </w:r>
            <w:r w:rsidRPr="00323042">
              <w:rPr>
                <w:rFonts w:eastAsia="맑은 고딕"/>
                <w:lang w:eastAsia="zh-CN"/>
              </w:rPr>
              <w:t xml:space="preserve">: </w:t>
            </w:r>
          </w:p>
          <w:p w14:paraId="63C53FA7" w14:textId="77777777" w:rsidR="00323042" w:rsidRPr="00323042" w:rsidRDefault="00A55769" w:rsidP="00323042">
            <w:pPr>
              <w:keepNext/>
              <w:numPr>
                <w:ilvl w:val="0"/>
                <w:numId w:val="57"/>
              </w:numPr>
              <w:tabs>
                <w:tab w:val="clear" w:pos="567"/>
                <w:tab w:val="left" w:pos="851"/>
              </w:tabs>
              <w:suppressAutoHyphens/>
              <w:ind w:left="851" w:hanging="284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lang w:eastAsia="zh-CN"/>
              </w:rPr>
              <w:t>p</w:t>
            </w:r>
            <w:r w:rsidRPr="00A55769">
              <w:rPr>
                <w:rFonts w:eastAsia="맑은 고딕"/>
                <w:lang w:eastAsia="zh-CN"/>
              </w:rPr>
              <w:t>arte superior das coxas</w:t>
            </w:r>
            <w:r>
              <w:rPr>
                <w:rFonts w:eastAsia="맑은 고딕"/>
                <w:lang w:eastAsia="zh-CN"/>
              </w:rPr>
              <w:t>;</w:t>
            </w:r>
          </w:p>
          <w:p w14:paraId="2127D857" w14:textId="77777777" w:rsidR="00323042" w:rsidRPr="00323042" w:rsidRDefault="00A55769" w:rsidP="00323042">
            <w:pPr>
              <w:keepNext/>
              <w:numPr>
                <w:ilvl w:val="0"/>
                <w:numId w:val="57"/>
              </w:numPr>
              <w:tabs>
                <w:tab w:val="clear" w:pos="567"/>
                <w:tab w:val="left" w:pos="851"/>
              </w:tabs>
              <w:suppressAutoHyphens/>
              <w:ind w:left="851" w:hanging="284"/>
              <w:rPr>
                <w:rFonts w:eastAsia="맑은 고딕"/>
                <w:lang w:eastAsia="zh-CN"/>
              </w:rPr>
            </w:pPr>
            <w:r w:rsidRPr="00A55769">
              <w:rPr>
                <w:rFonts w:eastAsia="맑은 고딕"/>
                <w:lang w:eastAsia="zh-CN"/>
              </w:rPr>
              <w:t>abdómen, exceto nos</w:t>
            </w:r>
            <w:r w:rsidR="00323042" w:rsidRPr="00323042">
              <w:rPr>
                <w:rFonts w:eastAsia="맑은 고딕"/>
                <w:lang w:eastAsia="zh-CN"/>
              </w:rPr>
              <w:t xml:space="preserve"> 5 cm </w:t>
            </w:r>
            <w:r>
              <w:rPr>
                <w:rFonts w:eastAsia="맑은 고딕"/>
                <w:lang w:eastAsia="zh-CN"/>
              </w:rPr>
              <w:t xml:space="preserve">ao </w:t>
            </w:r>
            <w:r w:rsidRPr="00A55769">
              <w:rPr>
                <w:rFonts w:eastAsia="맑은 고딕"/>
                <w:lang w:eastAsia="zh-CN"/>
              </w:rPr>
              <w:t>redor do umbigo</w:t>
            </w:r>
            <w:r>
              <w:rPr>
                <w:rFonts w:eastAsia="맑은 고딕"/>
                <w:lang w:eastAsia="zh-CN"/>
              </w:rPr>
              <w:t>;</w:t>
            </w:r>
          </w:p>
          <w:p w14:paraId="10A33FF3" w14:textId="77D9BB6A" w:rsidR="00323042" w:rsidRPr="00323042" w:rsidRDefault="00A55769" w:rsidP="00323042">
            <w:pPr>
              <w:keepNext/>
              <w:numPr>
                <w:ilvl w:val="0"/>
                <w:numId w:val="57"/>
              </w:numPr>
              <w:tabs>
                <w:tab w:val="clear" w:pos="567"/>
                <w:tab w:val="left" w:pos="851"/>
              </w:tabs>
              <w:suppressAutoHyphens/>
              <w:ind w:left="851" w:hanging="284"/>
              <w:rPr>
                <w:rFonts w:eastAsia="맑은 고딕"/>
                <w:lang w:eastAsia="zh-CN"/>
              </w:rPr>
            </w:pPr>
            <w:r w:rsidRPr="00A55769">
              <w:rPr>
                <w:rFonts w:eastAsia="맑은 고딕"/>
                <w:lang w:eastAsia="zh-CN"/>
              </w:rPr>
              <w:t>parte exter</w:t>
            </w:r>
            <w:r w:rsidR="009C6321">
              <w:rPr>
                <w:rFonts w:eastAsia="맑은 고딕"/>
                <w:lang w:eastAsia="zh-CN"/>
              </w:rPr>
              <w:t>na</w:t>
            </w:r>
            <w:r w:rsidRPr="00A55769">
              <w:rPr>
                <w:rFonts w:eastAsia="맑은 고딕"/>
                <w:lang w:eastAsia="zh-CN"/>
              </w:rPr>
              <w:t xml:space="preserve"> do</w:t>
            </w:r>
            <w:r>
              <w:rPr>
                <w:rFonts w:eastAsia="맑은 고딕"/>
                <w:lang w:eastAsia="zh-CN"/>
              </w:rPr>
              <w:t>s</w:t>
            </w:r>
            <w:r w:rsidRPr="00A55769">
              <w:rPr>
                <w:rFonts w:eastAsia="맑은 고딕"/>
                <w:lang w:eastAsia="zh-CN"/>
              </w:rPr>
              <w:t xml:space="preserve"> braço</w:t>
            </w:r>
            <w:r>
              <w:rPr>
                <w:rFonts w:eastAsia="맑은 고딕"/>
                <w:lang w:eastAsia="zh-CN"/>
              </w:rPr>
              <w:t>s</w:t>
            </w:r>
            <w:r w:rsidR="00323042" w:rsidRPr="00323042">
              <w:rPr>
                <w:rFonts w:eastAsia="맑은 고딕"/>
                <w:lang w:eastAsia="zh-CN"/>
              </w:rPr>
              <w:t xml:space="preserve"> (</w:t>
            </w:r>
            <w:r>
              <w:rPr>
                <w:rFonts w:eastAsia="맑은 고딕"/>
                <w:lang w:eastAsia="zh-CN"/>
              </w:rPr>
              <w:t>apenas se for prestador de cuidados ou profissional de saúde</w:t>
            </w:r>
            <w:r w:rsidR="00323042" w:rsidRPr="00323042">
              <w:rPr>
                <w:rFonts w:eastAsia="맑은 고딕"/>
                <w:lang w:eastAsia="zh-CN"/>
              </w:rPr>
              <w:t>).</w:t>
            </w:r>
          </w:p>
          <w:p w14:paraId="61D9058C" w14:textId="4956394A" w:rsidR="00323042" w:rsidRPr="00323042" w:rsidRDefault="004C645A" w:rsidP="00323042">
            <w:pPr>
              <w:keepNext/>
              <w:numPr>
                <w:ilvl w:val="0"/>
                <w:numId w:val="59"/>
              </w:numPr>
              <w:tabs>
                <w:tab w:val="clear" w:pos="567"/>
                <w:tab w:val="left" w:pos="851"/>
              </w:tabs>
              <w:suppressAutoHyphens/>
              <w:ind w:left="851" w:hanging="284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b/>
                <w:bCs/>
                <w:lang w:eastAsia="zh-CN"/>
              </w:rPr>
              <w:t>Não</w:t>
            </w:r>
            <w:r w:rsidR="00323042" w:rsidRPr="00323042">
              <w:rPr>
                <w:rFonts w:eastAsia="맑은 고딕"/>
                <w:lang w:eastAsia="zh-CN"/>
              </w:rPr>
              <w:t xml:space="preserve"> </w:t>
            </w:r>
            <w:r w:rsidRPr="004C645A">
              <w:rPr>
                <w:rFonts w:eastAsia="맑은 고딕"/>
                <w:lang w:eastAsia="zh-CN"/>
              </w:rPr>
              <w:t xml:space="preserve">injete em sinais, cicatrizes, </w:t>
            </w:r>
            <w:r w:rsidR="000C31C5">
              <w:rPr>
                <w:rFonts w:eastAsia="맑은 고딕"/>
                <w:lang w:eastAsia="zh-CN"/>
              </w:rPr>
              <w:t>nódoas negras (equimoses)</w:t>
            </w:r>
            <w:r w:rsidRPr="004C645A">
              <w:rPr>
                <w:rFonts w:eastAsia="맑은 고딕"/>
                <w:lang w:eastAsia="zh-CN"/>
              </w:rPr>
              <w:t xml:space="preserve"> ou áreas nas quais a</w:t>
            </w:r>
            <w:r>
              <w:rPr>
                <w:rFonts w:eastAsia="맑은 고딕"/>
                <w:lang w:eastAsia="zh-CN"/>
              </w:rPr>
              <w:t xml:space="preserve"> pele esteja sensível, vermelha ou</w:t>
            </w:r>
            <w:r w:rsidRPr="004C645A">
              <w:rPr>
                <w:rFonts w:eastAsia="맑은 고딕"/>
                <w:lang w:eastAsia="zh-CN"/>
              </w:rPr>
              <w:t xml:space="preserve"> dura</w:t>
            </w:r>
            <w:r w:rsidR="000C31C5">
              <w:rPr>
                <w:rFonts w:eastAsia="맑은 고딕"/>
                <w:lang w:eastAsia="zh-CN"/>
              </w:rPr>
              <w:t>,</w:t>
            </w:r>
            <w:r w:rsidRPr="004C645A">
              <w:rPr>
                <w:rFonts w:eastAsia="맑은 고딕"/>
                <w:lang w:eastAsia="zh-CN"/>
              </w:rPr>
              <w:t xml:space="preserve"> ou </w:t>
            </w:r>
            <w:r>
              <w:rPr>
                <w:rFonts w:eastAsia="맑은 고딕"/>
                <w:lang w:eastAsia="zh-CN"/>
              </w:rPr>
              <w:t xml:space="preserve">se houver </w:t>
            </w:r>
            <w:r w:rsidRPr="004C645A">
              <w:rPr>
                <w:rFonts w:eastAsia="맑은 고딕"/>
                <w:lang w:eastAsia="zh-CN"/>
              </w:rPr>
              <w:t>fissura</w:t>
            </w:r>
            <w:r>
              <w:rPr>
                <w:rFonts w:eastAsia="맑은 고딕"/>
                <w:lang w:eastAsia="zh-CN"/>
              </w:rPr>
              <w:t>s na pele</w:t>
            </w:r>
            <w:r w:rsidR="00323042" w:rsidRPr="00323042">
              <w:rPr>
                <w:rFonts w:eastAsia="맑은 고딕"/>
                <w:lang w:eastAsia="zh-CN"/>
              </w:rPr>
              <w:t>.</w:t>
            </w:r>
          </w:p>
          <w:p w14:paraId="5DB6B582" w14:textId="77777777" w:rsidR="00323042" w:rsidRPr="00323042" w:rsidRDefault="004A7F3A" w:rsidP="00323042">
            <w:pPr>
              <w:keepNext/>
              <w:numPr>
                <w:ilvl w:val="0"/>
                <w:numId w:val="59"/>
              </w:numPr>
              <w:tabs>
                <w:tab w:val="clear" w:pos="567"/>
                <w:tab w:val="left" w:pos="851"/>
              </w:tabs>
              <w:suppressAutoHyphens/>
              <w:ind w:left="851" w:hanging="284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b/>
                <w:bCs/>
                <w:lang w:eastAsia="zh-CN"/>
              </w:rPr>
              <w:t>Não</w:t>
            </w:r>
            <w:r w:rsidR="00323042" w:rsidRPr="00323042">
              <w:rPr>
                <w:rFonts w:eastAsia="맑은 고딕"/>
                <w:lang w:eastAsia="zh-CN"/>
              </w:rPr>
              <w:t xml:space="preserve"> </w:t>
            </w:r>
            <w:r w:rsidRPr="004A7F3A">
              <w:rPr>
                <w:rFonts w:eastAsia="맑은 고딕"/>
                <w:lang w:eastAsia="zh-CN"/>
              </w:rPr>
              <w:t>injete através da roupa</w:t>
            </w:r>
            <w:r w:rsidR="00323042" w:rsidRPr="00323042">
              <w:rPr>
                <w:rFonts w:eastAsia="맑은 고딕"/>
                <w:lang w:eastAsia="zh-CN"/>
              </w:rPr>
              <w:t>.</w:t>
            </w:r>
          </w:p>
          <w:p w14:paraId="455E1A69" w14:textId="522385B3" w:rsidR="00323042" w:rsidRPr="00323042" w:rsidRDefault="00323042" w:rsidP="00E96DCA">
            <w:pPr>
              <w:keepNext/>
              <w:tabs>
                <w:tab w:val="clear" w:pos="567"/>
              </w:tabs>
              <w:suppressAutoHyphens/>
              <w:ind w:left="283"/>
              <w:rPr>
                <w:rFonts w:eastAsia="맑은 고딕"/>
                <w:lang w:eastAsia="ko-KR"/>
              </w:rPr>
            </w:pPr>
            <w:r w:rsidRPr="00323042">
              <w:rPr>
                <w:rFonts w:eastAsia="맑은 고딕"/>
                <w:lang w:eastAsia="zh-CN"/>
              </w:rPr>
              <w:t xml:space="preserve">7b. </w:t>
            </w:r>
            <w:r w:rsidR="00E96DCA" w:rsidRPr="00E96DCA">
              <w:rPr>
                <w:rFonts w:eastAsia="맑은 고딕"/>
                <w:lang w:eastAsia="zh-CN"/>
              </w:rPr>
              <w:t>Escolha um local de injeção diferente para cada nova injeção</w:t>
            </w:r>
            <w:r w:rsidR="000C31C5">
              <w:rPr>
                <w:rFonts w:eastAsia="맑은 고딕"/>
                <w:lang w:eastAsia="zh-CN"/>
              </w:rPr>
              <w:t xml:space="preserve"> a</w:t>
            </w:r>
            <w:r w:rsidR="00E96DCA">
              <w:rPr>
                <w:rFonts w:eastAsia="맑은 고딕"/>
                <w:lang w:eastAsia="zh-CN"/>
              </w:rPr>
              <w:t>,</w:t>
            </w:r>
            <w:r w:rsidRPr="00323042">
              <w:rPr>
                <w:rFonts w:eastAsia="맑은 고딕"/>
                <w:lang w:eastAsia="zh-CN"/>
              </w:rPr>
              <w:t xml:space="preserve"> </w:t>
            </w:r>
            <w:r w:rsidR="00E96DCA">
              <w:rPr>
                <w:rFonts w:eastAsia="맑은 고딕"/>
                <w:lang w:eastAsia="zh-CN"/>
              </w:rPr>
              <w:t>pelo menos</w:t>
            </w:r>
            <w:r w:rsidR="000C31C5">
              <w:rPr>
                <w:rFonts w:eastAsia="맑은 고딕"/>
                <w:lang w:eastAsia="zh-CN"/>
              </w:rPr>
              <w:t>,</w:t>
            </w:r>
            <w:r w:rsidRPr="00323042">
              <w:rPr>
                <w:rFonts w:eastAsia="맑은 고딕"/>
                <w:lang w:eastAsia="zh-CN"/>
              </w:rPr>
              <w:t xml:space="preserve"> 2</w:t>
            </w:r>
            <w:r w:rsidR="00E96DCA">
              <w:rPr>
                <w:rFonts w:eastAsia="맑은 고딕"/>
                <w:lang w:eastAsia="zh-CN"/>
              </w:rPr>
              <w:t>,</w:t>
            </w:r>
            <w:r w:rsidRPr="00323042">
              <w:rPr>
                <w:rFonts w:eastAsia="맑은 고딕"/>
                <w:lang w:eastAsia="zh-CN"/>
              </w:rPr>
              <w:t xml:space="preserve">5 cm </w:t>
            </w:r>
            <w:r w:rsidR="00E96DCA" w:rsidRPr="00E96DCA">
              <w:rPr>
                <w:rFonts w:eastAsia="맑은 고딕"/>
                <w:lang w:eastAsia="zh-CN"/>
              </w:rPr>
              <w:t>da área utilizada para a última</w:t>
            </w:r>
            <w:r w:rsidRPr="00323042">
              <w:rPr>
                <w:rFonts w:eastAsia="맑은 고딕"/>
                <w:lang w:eastAsia="zh-CN"/>
              </w:rPr>
              <w:t xml:space="preserve"> </w:t>
            </w:r>
            <w:r w:rsidR="00E96DCA">
              <w:rPr>
                <w:rFonts w:eastAsia="맑은 고딕"/>
                <w:lang w:eastAsia="zh-CN"/>
              </w:rPr>
              <w:t>injeção</w:t>
            </w:r>
            <w:r w:rsidRPr="00323042">
              <w:rPr>
                <w:rFonts w:eastAsia="맑은 고딕"/>
                <w:lang w:eastAsia="zh-CN"/>
              </w:rPr>
              <w:t>.</w:t>
            </w:r>
          </w:p>
        </w:tc>
      </w:tr>
      <w:tr w:rsidR="00323042" w:rsidRPr="00323042" w14:paraId="0015F4FC" w14:textId="77777777" w:rsidTr="00516C12">
        <w:trPr>
          <w:cantSplit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A16AE2" w14:textId="77777777" w:rsidR="00323042" w:rsidRPr="00323042" w:rsidRDefault="00323042" w:rsidP="0022448C">
            <w:pPr>
              <w:tabs>
                <w:tab w:val="clear" w:pos="567"/>
              </w:tabs>
              <w:jc w:val="center"/>
              <w:rPr>
                <w:rFonts w:eastAsia="맑은 고딕"/>
                <w:b/>
                <w:bCs/>
                <w:lang w:eastAsia="zh-CN"/>
              </w:rPr>
            </w:pPr>
            <w:r w:rsidRPr="00323042">
              <w:rPr>
                <w:rFonts w:eastAsia="맑은 고딕"/>
                <w:b/>
                <w:bCs/>
                <w:lang w:eastAsia="ko-KR"/>
              </w:rPr>
              <w:t>Figur</w:t>
            </w:r>
            <w:r w:rsidR="0022448C">
              <w:rPr>
                <w:rFonts w:eastAsia="맑은 고딕"/>
                <w:b/>
                <w:bCs/>
                <w:lang w:eastAsia="ko-KR"/>
              </w:rPr>
              <w:t>a</w:t>
            </w:r>
            <w:r w:rsidRPr="00323042">
              <w:rPr>
                <w:rFonts w:eastAsia="맑은 고딕"/>
                <w:b/>
                <w:bCs/>
                <w:lang w:eastAsia="ko-KR"/>
              </w:rPr>
              <w:t xml:space="preserve"> H</w:t>
            </w:r>
          </w:p>
        </w:tc>
        <w:tc>
          <w:tcPr>
            <w:tcW w:w="6054" w:type="dxa"/>
            <w:vMerge/>
            <w:tcBorders>
              <w:left w:val="nil"/>
              <w:bottom w:val="single" w:sz="4" w:space="0" w:color="auto"/>
            </w:tcBorders>
          </w:tcPr>
          <w:p w14:paraId="6D8E1DB1" w14:textId="77777777" w:rsidR="00323042" w:rsidRPr="00323042" w:rsidRDefault="00323042" w:rsidP="00323042">
            <w:pPr>
              <w:tabs>
                <w:tab w:val="clear" w:pos="567"/>
              </w:tabs>
              <w:suppressAutoHyphens/>
              <w:rPr>
                <w:rFonts w:eastAsia="맑은 고딕"/>
                <w:b/>
                <w:bCs/>
                <w:lang w:eastAsia="zh-CN"/>
              </w:rPr>
            </w:pPr>
          </w:p>
        </w:tc>
      </w:tr>
      <w:tr w:rsidR="00323042" w:rsidRPr="00323042" w14:paraId="628DECF9" w14:textId="77777777" w:rsidTr="00516C12">
        <w:trPr>
          <w:cantSplit/>
        </w:trPr>
        <w:tc>
          <w:tcPr>
            <w:tcW w:w="301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5640764" w14:textId="77777777" w:rsidR="00323042" w:rsidRPr="00323042" w:rsidRDefault="00323042" w:rsidP="00323042">
            <w:pPr>
              <w:keepNext/>
              <w:tabs>
                <w:tab w:val="clear" w:pos="567"/>
              </w:tabs>
              <w:jc w:val="center"/>
              <w:rPr>
                <w:rFonts w:eastAsia="맑은 고딕"/>
                <w:lang w:eastAsia="zh-CN"/>
              </w:rPr>
            </w:pPr>
          </w:p>
          <w:p w14:paraId="497C68BC" w14:textId="6AEEB67C" w:rsidR="00323042" w:rsidRPr="00323042" w:rsidRDefault="0077602B" w:rsidP="00323042">
            <w:pPr>
              <w:keepNext/>
              <w:tabs>
                <w:tab w:val="clear" w:pos="567"/>
              </w:tabs>
              <w:jc w:val="center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noProof/>
                <w:lang w:eastAsia="pt-PT"/>
              </w:rPr>
              <w:drawing>
                <wp:inline distT="0" distB="0" distL="0" distR="0" wp14:anchorId="69B7F971" wp14:editId="043B1DB1">
                  <wp:extent cx="1517650" cy="1885950"/>
                  <wp:effectExtent l="0" t="0" r="0" b="0"/>
                  <wp:docPr id="11" name="Imagem 11" descr="스케치, 그림, 라인 아트, 아동 미술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스케치, 그림, 라인 아트, 아동 미술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76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CAE0DE" w14:textId="77777777" w:rsidR="00323042" w:rsidRPr="00323042" w:rsidRDefault="00323042" w:rsidP="00323042">
            <w:pPr>
              <w:keepNext/>
              <w:tabs>
                <w:tab w:val="clear" w:pos="567"/>
              </w:tabs>
              <w:jc w:val="center"/>
              <w:rPr>
                <w:rFonts w:eastAsia="맑은 고딕"/>
                <w:lang w:eastAsia="ko-KR"/>
              </w:rPr>
            </w:pPr>
          </w:p>
        </w:tc>
        <w:tc>
          <w:tcPr>
            <w:tcW w:w="6054" w:type="dxa"/>
            <w:vMerge w:val="restart"/>
            <w:tcBorders>
              <w:top w:val="single" w:sz="4" w:space="0" w:color="auto"/>
              <w:left w:val="nil"/>
            </w:tcBorders>
          </w:tcPr>
          <w:p w14:paraId="3621860E" w14:textId="77777777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4" w:hanging="284"/>
              <w:rPr>
                <w:rFonts w:eastAsia="맑은 고딕"/>
                <w:b/>
                <w:bCs/>
                <w:lang w:eastAsia="zh-CN"/>
              </w:rPr>
            </w:pPr>
            <w:r w:rsidRPr="00323042">
              <w:rPr>
                <w:rFonts w:eastAsia="맑은 고딕"/>
                <w:b/>
                <w:bCs/>
                <w:lang w:eastAsia="zh-CN"/>
              </w:rPr>
              <w:t>8.</w:t>
            </w:r>
            <w:r w:rsidRPr="00323042">
              <w:rPr>
                <w:rFonts w:eastAsia="맑은 고딕"/>
                <w:b/>
                <w:bCs/>
                <w:lang w:eastAsia="zh-CN"/>
              </w:rPr>
              <w:tab/>
            </w:r>
            <w:r w:rsidR="00403EF5" w:rsidRPr="00403EF5">
              <w:rPr>
                <w:rFonts w:eastAsia="맑은 고딕"/>
                <w:b/>
                <w:bCs/>
                <w:lang w:eastAsia="zh-CN"/>
              </w:rPr>
              <w:t>Lavar as mãos</w:t>
            </w:r>
            <w:r w:rsidRPr="00323042">
              <w:rPr>
                <w:rFonts w:eastAsia="맑은 고딕"/>
                <w:b/>
                <w:bCs/>
                <w:lang w:eastAsia="zh-CN"/>
              </w:rPr>
              <w:t>.</w:t>
            </w:r>
          </w:p>
          <w:p w14:paraId="3F20A605" w14:textId="77777777" w:rsidR="00323042" w:rsidRPr="00323042" w:rsidRDefault="00323042" w:rsidP="00403EF5">
            <w:pPr>
              <w:keepNext/>
              <w:tabs>
                <w:tab w:val="clear" w:pos="567"/>
              </w:tabs>
              <w:suppressAutoHyphens/>
              <w:ind w:left="283"/>
              <w:rPr>
                <w:rFonts w:eastAsia="맑은 고딕"/>
                <w:lang w:eastAsia="zh-CN"/>
              </w:rPr>
            </w:pPr>
            <w:r w:rsidRPr="00323042">
              <w:rPr>
                <w:rFonts w:eastAsia="맑은 고딕"/>
                <w:lang w:eastAsia="zh-CN"/>
              </w:rPr>
              <w:t xml:space="preserve">8a. </w:t>
            </w:r>
            <w:r w:rsidR="00403EF5" w:rsidRPr="00403EF5">
              <w:rPr>
                <w:rFonts w:eastAsia="맑은 고딕"/>
                <w:lang w:eastAsia="zh-CN"/>
              </w:rPr>
              <w:t>Lave as mãos com sabonete e água e seque-as muito bem</w:t>
            </w:r>
            <w:r w:rsidRPr="00323042">
              <w:rPr>
                <w:rFonts w:eastAsia="맑은 고딕"/>
                <w:lang w:eastAsia="zh-CN"/>
              </w:rPr>
              <w:t xml:space="preserve"> (</w:t>
            </w:r>
            <w:r w:rsidR="00403EF5">
              <w:rPr>
                <w:rFonts w:eastAsia="맑은 고딕"/>
                <w:lang w:eastAsia="zh-CN"/>
              </w:rPr>
              <w:t>ver a</w:t>
            </w:r>
            <w:r w:rsidRPr="00323042">
              <w:rPr>
                <w:rFonts w:eastAsia="맑은 고딕"/>
                <w:lang w:eastAsia="zh-CN"/>
              </w:rPr>
              <w:t xml:space="preserve"> </w:t>
            </w:r>
            <w:r w:rsidRPr="00323042">
              <w:rPr>
                <w:rFonts w:eastAsia="맑은 고딕"/>
                <w:b/>
                <w:bCs/>
                <w:lang w:eastAsia="zh-CN"/>
              </w:rPr>
              <w:t>Figur</w:t>
            </w:r>
            <w:r w:rsidR="00403EF5">
              <w:rPr>
                <w:rFonts w:eastAsia="맑은 고딕"/>
                <w:b/>
                <w:bCs/>
                <w:lang w:eastAsia="zh-CN"/>
              </w:rPr>
              <w:t>a</w:t>
            </w:r>
            <w:r w:rsidRPr="00323042">
              <w:rPr>
                <w:rFonts w:eastAsia="맑은 고딕"/>
                <w:b/>
                <w:bCs/>
                <w:lang w:eastAsia="zh-CN"/>
              </w:rPr>
              <w:t> I</w:t>
            </w:r>
            <w:r w:rsidRPr="00323042">
              <w:rPr>
                <w:rFonts w:eastAsia="맑은 고딕"/>
                <w:lang w:eastAsia="zh-CN"/>
              </w:rPr>
              <w:t>).</w:t>
            </w:r>
          </w:p>
        </w:tc>
      </w:tr>
      <w:tr w:rsidR="00323042" w:rsidRPr="00323042" w14:paraId="59904047" w14:textId="77777777" w:rsidTr="00516C12">
        <w:trPr>
          <w:cantSplit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9C90085" w14:textId="77777777" w:rsidR="00323042" w:rsidRPr="00323042" w:rsidRDefault="00323042" w:rsidP="00403EF5">
            <w:pPr>
              <w:tabs>
                <w:tab w:val="clear" w:pos="567"/>
              </w:tabs>
              <w:jc w:val="center"/>
              <w:rPr>
                <w:rFonts w:eastAsia="맑은 고딕"/>
                <w:b/>
                <w:bCs/>
                <w:lang w:eastAsia="zh-CN"/>
              </w:rPr>
            </w:pPr>
            <w:r w:rsidRPr="00323042">
              <w:rPr>
                <w:rFonts w:eastAsia="맑은 고딕"/>
                <w:b/>
                <w:bCs/>
                <w:lang w:eastAsia="ko-KR"/>
              </w:rPr>
              <w:t>Figur</w:t>
            </w:r>
            <w:r w:rsidR="00403EF5">
              <w:rPr>
                <w:rFonts w:eastAsia="맑은 고딕"/>
                <w:b/>
                <w:bCs/>
                <w:lang w:eastAsia="ko-KR"/>
              </w:rPr>
              <w:t>a</w:t>
            </w:r>
            <w:r w:rsidRPr="00323042">
              <w:rPr>
                <w:rFonts w:eastAsia="맑은 고딕"/>
                <w:b/>
                <w:bCs/>
                <w:lang w:eastAsia="ko-KR"/>
              </w:rPr>
              <w:t xml:space="preserve"> I</w:t>
            </w:r>
          </w:p>
        </w:tc>
        <w:tc>
          <w:tcPr>
            <w:tcW w:w="6054" w:type="dxa"/>
            <w:vMerge/>
            <w:tcBorders>
              <w:left w:val="nil"/>
              <w:bottom w:val="single" w:sz="4" w:space="0" w:color="auto"/>
            </w:tcBorders>
          </w:tcPr>
          <w:p w14:paraId="2F25D605" w14:textId="77777777" w:rsidR="00323042" w:rsidRPr="00323042" w:rsidRDefault="00323042" w:rsidP="00323042">
            <w:pPr>
              <w:tabs>
                <w:tab w:val="clear" w:pos="567"/>
              </w:tabs>
              <w:suppressAutoHyphens/>
              <w:rPr>
                <w:rFonts w:eastAsia="맑은 고딕"/>
                <w:b/>
                <w:bCs/>
                <w:lang w:eastAsia="zh-CN"/>
              </w:rPr>
            </w:pPr>
          </w:p>
        </w:tc>
      </w:tr>
      <w:tr w:rsidR="00323042" w:rsidRPr="00323042" w14:paraId="2B2C2397" w14:textId="77777777" w:rsidTr="00516C12">
        <w:trPr>
          <w:cantSplit/>
        </w:trPr>
        <w:tc>
          <w:tcPr>
            <w:tcW w:w="301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DFEC20E" w14:textId="77777777" w:rsidR="00323042" w:rsidRPr="00323042" w:rsidRDefault="00323042" w:rsidP="00323042">
            <w:pPr>
              <w:keepNext/>
              <w:tabs>
                <w:tab w:val="clear" w:pos="567"/>
              </w:tabs>
              <w:jc w:val="center"/>
              <w:rPr>
                <w:rFonts w:eastAsia="맑은 고딕"/>
                <w:lang w:eastAsia="zh-CN"/>
              </w:rPr>
            </w:pPr>
          </w:p>
          <w:p w14:paraId="016759E6" w14:textId="5EC9C0CB" w:rsidR="00323042" w:rsidRPr="00323042" w:rsidRDefault="0077602B" w:rsidP="00323042">
            <w:pPr>
              <w:keepNext/>
              <w:tabs>
                <w:tab w:val="clear" w:pos="567"/>
              </w:tabs>
              <w:jc w:val="center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noProof/>
                <w:lang w:eastAsia="pt-PT"/>
              </w:rPr>
              <w:drawing>
                <wp:inline distT="0" distB="0" distL="0" distR="0" wp14:anchorId="51E959FD" wp14:editId="3A8D6E35">
                  <wp:extent cx="1536700" cy="1885950"/>
                  <wp:effectExtent l="0" t="0" r="0" b="0"/>
                  <wp:docPr id="12" name="Imagem 12" descr="라인 아트, 스케치, 클립아트, 컬러링북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라인 아트, 스케치, 클립아트, 컬러링북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F0729E" w14:textId="77777777" w:rsidR="00323042" w:rsidRPr="00323042" w:rsidRDefault="00323042" w:rsidP="00323042">
            <w:pPr>
              <w:keepNext/>
              <w:tabs>
                <w:tab w:val="clear" w:pos="567"/>
              </w:tabs>
              <w:jc w:val="center"/>
              <w:rPr>
                <w:rFonts w:eastAsia="맑은 고딕"/>
                <w:lang w:eastAsia="ko-KR"/>
              </w:rPr>
            </w:pPr>
          </w:p>
        </w:tc>
        <w:tc>
          <w:tcPr>
            <w:tcW w:w="6054" w:type="dxa"/>
            <w:vMerge w:val="restart"/>
            <w:tcBorders>
              <w:top w:val="single" w:sz="4" w:space="0" w:color="auto"/>
              <w:left w:val="nil"/>
            </w:tcBorders>
          </w:tcPr>
          <w:p w14:paraId="4769FBBA" w14:textId="77777777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4" w:hanging="284"/>
              <w:rPr>
                <w:rFonts w:eastAsia="맑은 고딕"/>
                <w:b/>
                <w:bCs/>
                <w:lang w:eastAsia="ko-KR"/>
              </w:rPr>
            </w:pPr>
            <w:r w:rsidRPr="00323042">
              <w:rPr>
                <w:rFonts w:eastAsia="맑은 고딕"/>
                <w:b/>
                <w:bCs/>
                <w:lang w:eastAsia="ko-KR"/>
              </w:rPr>
              <w:t>9.</w:t>
            </w:r>
            <w:r w:rsidRPr="00323042">
              <w:rPr>
                <w:rFonts w:eastAsia="맑은 고딕"/>
                <w:b/>
                <w:bCs/>
                <w:lang w:eastAsia="zh-CN"/>
              </w:rPr>
              <w:tab/>
            </w:r>
            <w:r w:rsidR="00403EF5" w:rsidRPr="00403EF5">
              <w:rPr>
                <w:rFonts w:eastAsia="맑은 고딕"/>
                <w:b/>
                <w:bCs/>
                <w:lang w:eastAsia="zh-CN"/>
              </w:rPr>
              <w:t>Limpar o local da injeção</w:t>
            </w:r>
            <w:r w:rsidRPr="00323042">
              <w:rPr>
                <w:rFonts w:eastAsia="맑은 고딕"/>
                <w:b/>
                <w:bCs/>
                <w:lang w:eastAsia="ko-KR"/>
              </w:rPr>
              <w:t>.</w:t>
            </w:r>
          </w:p>
          <w:p w14:paraId="47EAFC57" w14:textId="77777777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3"/>
              <w:rPr>
                <w:rFonts w:eastAsia="맑은 고딕"/>
                <w:lang w:eastAsia="zh-CN"/>
              </w:rPr>
            </w:pPr>
            <w:r w:rsidRPr="00323042">
              <w:rPr>
                <w:rFonts w:eastAsia="맑은 고딕"/>
                <w:lang w:eastAsia="zh-CN"/>
              </w:rPr>
              <w:t xml:space="preserve">9a. </w:t>
            </w:r>
            <w:r w:rsidR="00403EF5" w:rsidRPr="00403EF5">
              <w:rPr>
                <w:rFonts w:eastAsia="맑은 고딕"/>
                <w:lang w:eastAsia="zh-CN"/>
              </w:rPr>
              <w:t>Limpe o local da injeção com um toalhete com álcool,</w:t>
            </w:r>
            <w:r w:rsidR="00403EF5">
              <w:rPr>
                <w:rFonts w:eastAsia="맑은 고딕"/>
                <w:lang w:eastAsia="zh-CN"/>
              </w:rPr>
              <w:t xml:space="preserve"> </w:t>
            </w:r>
            <w:r w:rsidR="00403EF5" w:rsidRPr="00403EF5">
              <w:rPr>
                <w:rFonts w:eastAsia="맑은 고딕"/>
                <w:lang w:eastAsia="zh-CN"/>
              </w:rPr>
              <w:t>utilizando um movimento circular (ver a</w:t>
            </w:r>
            <w:r w:rsidRPr="00323042">
              <w:rPr>
                <w:rFonts w:eastAsia="맑은 고딕"/>
                <w:lang w:eastAsia="zh-CN"/>
              </w:rPr>
              <w:t xml:space="preserve"> </w:t>
            </w:r>
            <w:r w:rsidRPr="00323042">
              <w:rPr>
                <w:rFonts w:eastAsia="맑은 고딕"/>
                <w:b/>
                <w:bCs/>
                <w:lang w:eastAsia="zh-CN"/>
              </w:rPr>
              <w:t>Figur</w:t>
            </w:r>
            <w:r w:rsidR="00403EF5">
              <w:rPr>
                <w:rFonts w:eastAsia="맑은 고딕"/>
                <w:b/>
                <w:bCs/>
                <w:lang w:eastAsia="zh-CN"/>
              </w:rPr>
              <w:t>a</w:t>
            </w:r>
            <w:r w:rsidRPr="00323042">
              <w:rPr>
                <w:rFonts w:eastAsia="맑은 고딕"/>
                <w:b/>
                <w:bCs/>
                <w:lang w:eastAsia="zh-CN"/>
              </w:rPr>
              <w:t> J</w:t>
            </w:r>
            <w:r w:rsidRPr="00323042">
              <w:rPr>
                <w:rFonts w:eastAsia="맑은 고딕"/>
                <w:lang w:eastAsia="zh-CN"/>
              </w:rPr>
              <w:t>).</w:t>
            </w:r>
          </w:p>
          <w:p w14:paraId="1CDF736B" w14:textId="77777777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3"/>
              <w:rPr>
                <w:rFonts w:eastAsia="맑은 고딕"/>
                <w:lang w:eastAsia="zh-CN"/>
              </w:rPr>
            </w:pPr>
            <w:r w:rsidRPr="00323042">
              <w:rPr>
                <w:rFonts w:eastAsia="맑은 고딕"/>
                <w:lang w:eastAsia="zh-CN"/>
              </w:rPr>
              <w:t xml:space="preserve">9b. </w:t>
            </w:r>
            <w:r w:rsidR="00403EF5" w:rsidRPr="00403EF5">
              <w:rPr>
                <w:rFonts w:eastAsia="맑은 고딕"/>
                <w:lang w:eastAsia="zh-CN"/>
              </w:rPr>
              <w:t>Deixe que a pele seque antes de injetar</w:t>
            </w:r>
            <w:r w:rsidRPr="00323042">
              <w:rPr>
                <w:rFonts w:eastAsia="맑은 고딕"/>
                <w:lang w:eastAsia="zh-CN"/>
              </w:rPr>
              <w:t>.</w:t>
            </w:r>
          </w:p>
          <w:p w14:paraId="435B933B" w14:textId="79AC8127" w:rsidR="00323042" w:rsidRPr="00323042" w:rsidRDefault="00403EF5" w:rsidP="00403EF5">
            <w:pPr>
              <w:keepNext/>
              <w:numPr>
                <w:ilvl w:val="0"/>
                <w:numId w:val="59"/>
              </w:numPr>
              <w:tabs>
                <w:tab w:val="clear" w:pos="567"/>
                <w:tab w:val="left" w:pos="851"/>
              </w:tabs>
              <w:suppressAutoHyphens/>
              <w:ind w:left="851" w:hanging="284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b/>
                <w:bCs/>
                <w:lang w:eastAsia="zh-CN"/>
              </w:rPr>
              <w:t>Não</w:t>
            </w:r>
            <w:r w:rsidR="00323042" w:rsidRPr="00323042">
              <w:rPr>
                <w:rFonts w:eastAsia="맑은 고딕"/>
                <w:lang w:eastAsia="zh-CN"/>
              </w:rPr>
              <w:t xml:space="preserve"> </w:t>
            </w:r>
            <w:r w:rsidRPr="00403EF5">
              <w:rPr>
                <w:rFonts w:eastAsia="맑은 고딕"/>
                <w:lang w:eastAsia="zh-CN"/>
              </w:rPr>
              <w:t>sopre nem volte a tocar no local da injeção</w:t>
            </w:r>
            <w:r>
              <w:rPr>
                <w:rFonts w:eastAsia="맑은 고딕"/>
                <w:lang w:eastAsia="zh-CN"/>
              </w:rPr>
              <w:t xml:space="preserve"> </w:t>
            </w:r>
            <w:r w:rsidRPr="00403EF5">
              <w:rPr>
                <w:rFonts w:eastAsia="맑은 고딕"/>
                <w:lang w:eastAsia="zh-CN"/>
              </w:rPr>
              <w:t>antes de administrar a injeção</w:t>
            </w:r>
            <w:r w:rsidR="00323042" w:rsidRPr="00323042">
              <w:rPr>
                <w:rFonts w:eastAsia="맑은 고딕"/>
                <w:lang w:eastAsia="zh-CN"/>
              </w:rPr>
              <w:t>.</w:t>
            </w:r>
          </w:p>
        </w:tc>
      </w:tr>
      <w:tr w:rsidR="00323042" w:rsidRPr="00323042" w14:paraId="5CB5B395" w14:textId="77777777" w:rsidTr="00516C12">
        <w:trPr>
          <w:cantSplit/>
        </w:trPr>
        <w:tc>
          <w:tcPr>
            <w:tcW w:w="30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75E1392" w14:textId="77777777" w:rsidR="00323042" w:rsidRPr="00323042" w:rsidRDefault="00323042" w:rsidP="00C1383B">
            <w:pPr>
              <w:tabs>
                <w:tab w:val="clear" w:pos="567"/>
              </w:tabs>
              <w:jc w:val="center"/>
              <w:rPr>
                <w:rFonts w:eastAsia="맑은 고딕"/>
                <w:b/>
                <w:bCs/>
                <w:lang w:eastAsia="zh-CN"/>
              </w:rPr>
            </w:pPr>
            <w:r w:rsidRPr="00323042">
              <w:rPr>
                <w:rFonts w:eastAsia="맑은 고딕"/>
                <w:b/>
                <w:bCs/>
                <w:lang w:eastAsia="ko-KR"/>
              </w:rPr>
              <w:t>Figur</w:t>
            </w:r>
            <w:r w:rsidR="00C1383B">
              <w:rPr>
                <w:rFonts w:eastAsia="맑은 고딕"/>
                <w:b/>
                <w:bCs/>
                <w:lang w:eastAsia="ko-KR"/>
              </w:rPr>
              <w:t>a</w:t>
            </w:r>
            <w:r w:rsidRPr="00323042">
              <w:rPr>
                <w:rFonts w:eastAsia="맑은 고딕"/>
                <w:b/>
                <w:bCs/>
                <w:lang w:eastAsia="ko-KR"/>
              </w:rPr>
              <w:t xml:space="preserve"> J</w:t>
            </w:r>
          </w:p>
        </w:tc>
        <w:tc>
          <w:tcPr>
            <w:tcW w:w="6054" w:type="dxa"/>
            <w:vMerge/>
            <w:tcBorders>
              <w:left w:val="nil"/>
              <w:bottom w:val="single" w:sz="4" w:space="0" w:color="auto"/>
            </w:tcBorders>
          </w:tcPr>
          <w:p w14:paraId="4F21BF53" w14:textId="77777777" w:rsidR="00323042" w:rsidRPr="00323042" w:rsidRDefault="00323042" w:rsidP="00323042">
            <w:pPr>
              <w:tabs>
                <w:tab w:val="clear" w:pos="567"/>
              </w:tabs>
              <w:suppressAutoHyphens/>
              <w:rPr>
                <w:rFonts w:eastAsia="맑은 고딕"/>
                <w:b/>
                <w:bCs/>
                <w:lang w:eastAsia="ko-KR"/>
              </w:rPr>
            </w:pPr>
          </w:p>
        </w:tc>
      </w:tr>
    </w:tbl>
    <w:p w14:paraId="41B75291" w14:textId="77777777" w:rsidR="00323042" w:rsidRPr="00323042" w:rsidRDefault="00323042" w:rsidP="00323042">
      <w:pPr>
        <w:tabs>
          <w:tab w:val="clear" w:pos="567"/>
        </w:tabs>
        <w:rPr>
          <w:rFonts w:eastAsia="맑은 고딕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91"/>
        <w:gridCol w:w="6073"/>
      </w:tblGrid>
      <w:tr w:rsidR="00323042" w:rsidRPr="00323042" w14:paraId="34759E68" w14:textId="77777777" w:rsidTr="00516C12">
        <w:trPr>
          <w:cantSplit/>
          <w:tblHeader/>
        </w:trPr>
        <w:tc>
          <w:tcPr>
            <w:tcW w:w="9064" w:type="dxa"/>
            <w:gridSpan w:val="2"/>
            <w:tcBorders>
              <w:bottom w:val="single" w:sz="4" w:space="0" w:color="auto"/>
            </w:tcBorders>
          </w:tcPr>
          <w:p w14:paraId="30E74CAF" w14:textId="77777777" w:rsidR="00323042" w:rsidRPr="00323042" w:rsidRDefault="00C1383B" w:rsidP="00323042">
            <w:pPr>
              <w:keepNext/>
              <w:tabs>
                <w:tab w:val="clear" w:pos="567"/>
              </w:tabs>
              <w:rPr>
                <w:rFonts w:eastAsia="맑은 고딕"/>
                <w:b/>
                <w:bCs/>
                <w:lang w:eastAsia="zh-CN"/>
              </w:rPr>
            </w:pPr>
            <w:r w:rsidRPr="00C1383B">
              <w:rPr>
                <w:rFonts w:eastAsia="맑은 고딕"/>
                <w:b/>
                <w:bCs/>
                <w:lang w:eastAsia="zh-CN"/>
              </w:rPr>
              <w:lastRenderedPageBreak/>
              <w:t>Administrar a injeção</w:t>
            </w:r>
          </w:p>
        </w:tc>
      </w:tr>
      <w:tr w:rsidR="00323042" w:rsidRPr="00323042" w14:paraId="12525F6C" w14:textId="77777777" w:rsidTr="00516C12">
        <w:trPr>
          <w:cantSplit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4AC48A" w14:textId="77777777" w:rsidR="00323042" w:rsidRPr="00323042" w:rsidRDefault="00323042" w:rsidP="00323042">
            <w:pPr>
              <w:keepNext/>
              <w:tabs>
                <w:tab w:val="clear" w:pos="567"/>
              </w:tabs>
              <w:jc w:val="center"/>
              <w:rPr>
                <w:rFonts w:eastAsia="맑은 고딕"/>
                <w:lang w:eastAsia="ko-KR"/>
              </w:rPr>
            </w:pPr>
          </w:p>
          <w:p w14:paraId="1262A3EC" w14:textId="73BB57B0" w:rsidR="00323042" w:rsidRPr="00323042" w:rsidRDefault="0077602B" w:rsidP="00323042">
            <w:pPr>
              <w:keepNext/>
              <w:tabs>
                <w:tab w:val="clear" w:pos="567"/>
              </w:tabs>
              <w:jc w:val="center"/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noProof/>
                <w:lang w:eastAsia="pt-PT"/>
              </w:rPr>
              <w:drawing>
                <wp:inline distT="0" distB="0" distL="0" distR="0" wp14:anchorId="002E1502" wp14:editId="304F7800">
                  <wp:extent cx="1676400" cy="2076450"/>
                  <wp:effectExtent l="0" t="0" r="0" b="0"/>
                  <wp:docPr id="13" name="Imagem 13" descr="스케치, 그림, 라인 아트, 클립아트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스케치, 그림, 라인 아트, 클립아트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375AA4" w14:textId="77777777" w:rsidR="00323042" w:rsidRPr="00323042" w:rsidRDefault="00323042" w:rsidP="00323042">
            <w:pPr>
              <w:keepNext/>
              <w:tabs>
                <w:tab w:val="clear" w:pos="567"/>
              </w:tabs>
              <w:jc w:val="center"/>
              <w:rPr>
                <w:rFonts w:eastAsia="맑은 고딕"/>
                <w:lang w:eastAsia="ko-KR"/>
              </w:rPr>
            </w:pPr>
          </w:p>
        </w:tc>
        <w:tc>
          <w:tcPr>
            <w:tcW w:w="607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9D3179" w14:textId="11171CE8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4" w:hanging="284"/>
              <w:rPr>
                <w:rFonts w:eastAsia="맑은 고딕"/>
                <w:b/>
                <w:bCs/>
                <w:lang w:eastAsia="zh-CN"/>
              </w:rPr>
            </w:pPr>
            <w:r w:rsidRPr="00323042">
              <w:rPr>
                <w:rFonts w:eastAsia="맑은 고딕"/>
                <w:b/>
                <w:bCs/>
                <w:lang w:eastAsia="zh-CN"/>
              </w:rPr>
              <w:t>10.</w:t>
            </w:r>
            <w:r w:rsidRPr="00323042">
              <w:rPr>
                <w:rFonts w:eastAsia="맑은 고딕"/>
                <w:lang w:eastAsia="zh-CN"/>
              </w:rPr>
              <w:t xml:space="preserve"> </w:t>
            </w:r>
            <w:r w:rsidR="00C1383B" w:rsidRPr="00C1383B">
              <w:rPr>
                <w:rFonts w:eastAsia="맑은 고딕"/>
                <w:b/>
                <w:bCs/>
                <w:lang w:eastAsia="zh-CN"/>
              </w:rPr>
              <w:t xml:space="preserve">Retirar a </w:t>
            </w:r>
            <w:r w:rsidR="000C31C5">
              <w:rPr>
                <w:rFonts w:eastAsia="맑은 고딕"/>
                <w:b/>
                <w:bCs/>
                <w:lang w:eastAsia="zh-CN"/>
              </w:rPr>
              <w:t>tampa</w:t>
            </w:r>
            <w:r w:rsidRPr="00323042">
              <w:rPr>
                <w:rFonts w:eastAsia="맑은 고딕"/>
                <w:b/>
                <w:bCs/>
                <w:lang w:eastAsia="zh-CN"/>
              </w:rPr>
              <w:t>.</w:t>
            </w:r>
          </w:p>
          <w:p w14:paraId="4C7FDE60" w14:textId="25F1DF3D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3"/>
              <w:rPr>
                <w:rFonts w:eastAsia="맑은 고딕"/>
                <w:lang w:eastAsia="zh-CN"/>
              </w:rPr>
            </w:pPr>
            <w:r w:rsidRPr="00323042">
              <w:rPr>
                <w:rFonts w:eastAsia="맑은 고딕"/>
                <w:lang w:eastAsia="zh-CN"/>
              </w:rPr>
              <w:t xml:space="preserve">10a. </w:t>
            </w:r>
            <w:r w:rsidR="00C1383B">
              <w:rPr>
                <w:rFonts w:eastAsia="맑은 고딕"/>
                <w:lang w:eastAsia="zh-CN"/>
              </w:rPr>
              <w:t xml:space="preserve">Segure no corpo da seringa </w:t>
            </w:r>
            <w:r w:rsidR="00C1383B" w:rsidRPr="00516C12">
              <w:t>pré</w:t>
            </w:r>
            <w:r w:rsidR="00C1383B" w:rsidRPr="00516C12">
              <w:noBreakHyphen/>
              <w:t>cheia</w:t>
            </w:r>
            <w:r w:rsidR="00C1383B">
              <w:t xml:space="preserve"> </w:t>
            </w:r>
            <w:r w:rsidR="00C1383B" w:rsidRPr="00C1383B">
              <w:t>com uma mão, entre o polegar e o indicador</w:t>
            </w:r>
            <w:r w:rsidRPr="00323042">
              <w:rPr>
                <w:rFonts w:eastAsia="맑은 고딕"/>
                <w:lang w:eastAsia="zh-CN"/>
              </w:rPr>
              <w:t xml:space="preserve">. </w:t>
            </w:r>
            <w:r w:rsidR="00C1383B">
              <w:rPr>
                <w:rFonts w:eastAsia="맑은 고딕"/>
                <w:lang w:eastAsia="zh-CN"/>
              </w:rPr>
              <w:t>Com a outra mão</w:t>
            </w:r>
            <w:r w:rsidRPr="00323042">
              <w:rPr>
                <w:rFonts w:eastAsia="맑은 고딕"/>
                <w:lang w:eastAsia="zh-CN"/>
              </w:rPr>
              <w:t xml:space="preserve">, </w:t>
            </w:r>
            <w:r w:rsidR="00C1383B">
              <w:rPr>
                <w:rFonts w:eastAsia="맑은 고딕"/>
                <w:lang w:eastAsia="zh-CN"/>
              </w:rPr>
              <w:t xml:space="preserve">puxe cuidadosamente </w:t>
            </w:r>
            <w:r w:rsidR="00F659FE">
              <w:rPr>
                <w:rFonts w:eastAsia="맑은 고딕"/>
                <w:lang w:eastAsia="zh-CN"/>
              </w:rPr>
              <w:t xml:space="preserve">a tampa da agulha </w:t>
            </w:r>
            <w:r w:rsidR="00C1383B" w:rsidRPr="00C1383B">
              <w:rPr>
                <w:rFonts w:eastAsia="맑은 고딕"/>
                <w:lang w:eastAsia="zh-CN"/>
              </w:rPr>
              <w:t xml:space="preserve">para fora </w:t>
            </w:r>
            <w:r w:rsidR="00C1383B">
              <w:rPr>
                <w:rFonts w:eastAsia="맑은 고딕"/>
                <w:lang w:eastAsia="zh-CN"/>
              </w:rPr>
              <w:t>e a direito</w:t>
            </w:r>
            <w:r w:rsidRPr="00323042">
              <w:rPr>
                <w:rFonts w:eastAsia="맑은 고딕"/>
                <w:lang w:eastAsia="zh-CN"/>
              </w:rPr>
              <w:t xml:space="preserve"> (</w:t>
            </w:r>
            <w:r w:rsidR="00C1383B">
              <w:rPr>
                <w:rFonts w:eastAsia="맑은 고딕"/>
                <w:lang w:eastAsia="zh-CN"/>
              </w:rPr>
              <w:t>ver a</w:t>
            </w:r>
            <w:r w:rsidRPr="00323042">
              <w:rPr>
                <w:rFonts w:eastAsia="맑은 고딕"/>
                <w:lang w:eastAsia="zh-CN"/>
              </w:rPr>
              <w:t xml:space="preserve"> </w:t>
            </w:r>
            <w:r w:rsidRPr="00323042">
              <w:rPr>
                <w:rFonts w:eastAsia="맑은 고딕"/>
                <w:b/>
                <w:bCs/>
                <w:lang w:eastAsia="zh-CN"/>
              </w:rPr>
              <w:t>Figur</w:t>
            </w:r>
            <w:r w:rsidR="00C1383B">
              <w:rPr>
                <w:rFonts w:eastAsia="맑은 고딕"/>
                <w:b/>
                <w:bCs/>
                <w:lang w:eastAsia="zh-CN"/>
              </w:rPr>
              <w:t>a</w:t>
            </w:r>
            <w:r w:rsidRPr="00323042">
              <w:rPr>
                <w:rFonts w:eastAsia="맑은 고딕"/>
                <w:b/>
                <w:bCs/>
                <w:lang w:eastAsia="zh-CN"/>
              </w:rPr>
              <w:t> K</w:t>
            </w:r>
            <w:r w:rsidRPr="00323042">
              <w:rPr>
                <w:rFonts w:eastAsia="맑은 고딕"/>
                <w:lang w:eastAsia="zh-CN"/>
              </w:rPr>
              <w:t>).</w:t>
            </w:r>
          </w:p>
          <w:p w14:paraId="6082E69C" w14:textId="1514A3E5" w:rsidR="00323042" w:rsidRPr="00323042" w:rsidRDefault="00FD709F" w:rsidP="00323042">
            <w:pPr>
              <w:keepNext/>
              <w:numPr>
                <w:ilvl w:val="0"/>
                <w:numId w:val="59"/>
              </w:numPr>
              <w:tabs>
                <w:tab w:val="clear" w:pos="567"/>
                <w:tab w:val="left" w:pos="851"/>
              </w:tabs>
              <w:suppressAutoHyphens/>
              <w:ind w:left="851" w:hanging="284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b/>
                <w:bCs/>
                <w:lang w:eastAsia="zh-CN"/>
              </w:rPr>
              <w:t>Não</w:t>
            </w:r>
            <w:r w:rsidR="00323042" w:rsidRPr="00323042">
              <w:rPr>
                <w:rFonts w:eastAsia="맑은 고딕"/>
                <w:lang w:eastAsia="zh-CN"/>
              </w:rPr>
              <w:t xml:space="preserve"> </w:t>
            </w:r>
            <w:r w:rsidRPr="00FD709F">
              <w:rPr>
                <w:rFonts w:eastAsia="맑은 고딕"/>
                <w:lang w:eastAsia="zh-CN"/>
              </w:rPr>
              <w:t xml:space="preserve">segure na haste do êmbolo enquanto retira a </w:t>
            </w:r>
            <w:r w:rsidR="00F659FE">
              <w:rPr>
                <w:rFonts w:eastAsia="맑은 고딕"/>
                <w:lang w:eastAsia="zh-CN"/>
              </w:rPr>
              <w:t>tampa</w:t>
            </w:r>
            <w:r w:rsidR="00323042" w:rsidRPr="00323042">
              <w:rPr>
                <w:rFonts w:eastAsia="맑은 고딕"/>
                <w:lang w:eastAsia="zh-CN"/>
              </w:rPr>
              <w:t>.</w:t>
            </w:r>
          </w:p>
          <w:p w14:paraId="18D5D16E" w14:textId="77777777" w:rsidR="00323042" w:rsidRPr="00323042" w:rsidRDefault="00FD709F" w:rsidP="00323042">
            <w:pPr>
              <w:keepNext/>
              <w:numPr>
                <w:ilvl w:val="0"/>
                <w:numId w:val="59"/>
              </w:numPr>
              <w:tabs>
                <w:tab w:val="clear" w:pos="567"/>
                <w:tab w:val="left" w:pos="851"/>
              </w:tabs>
              <w:suppressAutoHyphens/>
              <w:ind w:left="851" w:hanging="284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lang w:eastAsia="zh-CN"/>
              </w:rPr>
              <w:t>Poderá observar uma gota de líquido na ponta da agulha. Isso é normal</w:t>
            </w:r>
            <w:r w:rsidR="00323042" w:rsidRPr="00323042">
              <w:rPr>
                <w:rFonts w:eastAsia="맑은 고딕"/>
                <w:lang w:eastAsia="zh-CN"/>
              </w:rPr>
              <w:t>.</w:t>
            </w:r>
          </w:p>
          <w:p w14:paraId="5DD02BDF" w14:textId="069DDF4C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3"/>
              <w:rPr>
                <w:rFonts w:eastAsia="맑은 고딕"/>
                <w:lang w:eastAsia="zh-CN"/>
              </w:rPr>
            </w:pPr>
            <w:r w:rsidRPr="00323042">
              <w:rPr>
                <w:rFonts w:eastAsia="맑은 고딕"/>
                <w:lang w:eastAsia="zh-CN"/>
              </w:rPr>
              <w:t xml:space="preserve">10b. </w:t>
            </w:r>
            <w:r w:rsidR="00693F51" w:rsidRPr="00693F51">
              <w:rPr>
                <w:rFonts w:eastAsia="맑은 고딕"/>
                <w:lang w:eastAsia="zh-CN"/>
              </w:rPr>
              <w:t xml:space="preserve">Elimine imediatamente a </w:t>
            </w:r>
            <w:r w:rsidR="00F659FE">
              <w:rPr>
                <w:rFonts w:eastAsia="맑은 고딕"/>
                <w:lang w:eastAsia="zh-CN"/>
              </w:rPr>
              <w:t>tampa</w:t>
            </w:r>
            <w:r w:rsidR="00693F51" w:rsidRPr="00693F51">
              <w:rPr>
                <w:rFonts w:eastAsia="맑은 고딕"/>
                <w:lang w:eastAsia="zh-CN"/>
              </w:rPr>
              <w:t xml:space="preserve"> num recipiente para eliminação de objetos </w:t>
            </w:r>
            <w:r w:rsidR="00F659FE">
              <w:rPr>
                <w:rFonts w:eastAsia="맑은 고딕"/>
                <w:lang w:eastAsia="zh-CN"/>
              </w:rPr>
              <w:t>perfuro</w:t>
            </w:r>
            <w:r w:rsidR="00693F51" w:rsidRPr="00693F51">
              <w:rPr>
                <w:rFonts w:eastAsia="맑은 고딕"/>
                <w:lang w:eastAsia="zh-CN"/>
              </w:rPr>
              <w:t>cortantes</w:t>
            </w:r>
            <w:r w:rsidRPr="00323042">
              <w:rPr>
                <w:rFonts w:eastAsia="맑은 고딕"/>
                <w:lang w:eastAsia="zh-CN"/>
              </w:rPr>
              <w:t xml:space="preserve"> (</w:t>
            </w:r>
            <w:r w:rsidR="00693F51">
              <w:rPr>
                <w:rFonts w:eastAsia="맑은 고딕"/>
                <w:lang w:eastAsia="zh-CN"/>
              </w:rPr>
              <w:t>ver o</w:t>
            </w:r>
            <w:r w:rsidRPr="00323042">
              <w:rPr>
                <w:rFonts w:eastAsia="맑은 고딕"/>
                <w:lang w:eastAsia="zh-CN"/>
              </w:rPr>
              <w:t xml:space="preserve"> </w:t>
            </w:r>
            <w:r w:rsidR="00693F51">
              <w:rPr>
                <w:rFonts w:eastAsia="맑은 고딕"/>
                <w:b/>
                <w:bCs/>
                <w:lang w:eastAsia="zh-CN"/>
              </w:rPr>
              <w:t>Passo</w:t>
            </w:r>
            <w:r w:rsidRPr="00323042">
              <w:rPr>
                <w:rFonts w:eastAsia="맑은 고딕"/>
                <w:b/>
                <w:bCs/>
                <w:lang w:eastAsia="zh-CN"/>
              </w:rPr>
              <w:t> 15</w:t>
            </w:r>
            <w:r w:rsidRPr="00323042">
              <w:rPr>
                <w:rFonts w:eastAsia="맑은 고딕"/>
                <w:lang w:eastAsia="zh-CN"/>
              </w:rPr>
              <w:t xml:space="preserve"> </w:t>
            </w:r>
            <w:r w:rsidR="00693F51">
              <w:rPr>
                <w:rFonts w:eastAsia="맑은 고딕"/>
                <w:lang w:eastAsia="zh-CN"/>
              </w:rPr>
              <w:t>e a</w:t>
            </w:r>
            <w:r w:rsidRPr="00323042">
              <w:rPr>
                <w:rFonts w:eastAsia="맑은 고딕"/>
                <w:lang w:eastAsia="zh-CN"/>
              </w:rPr>
              <w:t xml:space="preserve"> </w:t>
            </w:r>
            <w:r w:rsidRPr="00323042">
              <w:rPr>
                <w:rFonts w:eastAsia="맑은 고딕"/>
                <w:b/>
                <w:bCs/>
                <w:lang w:eastAsia="zh-CN"/>
              </w:rPr>
              <w:t>Figur</w:t>
            </w:r>
            <w:r w:rsidR="00693F51">
              <w:rPr>
                <w:rFonts w:eastAsia="맑은 고딕"/>
                <w:b/>
                <w:bCs/>
                <w:lang w:eastAsia="zh-CN"/>
              </w:rPr>
              <w:t>a</w:t>
            </w:r>
            <w:r w:rsidRPr="00323042">
              <w:rPr>
                <w:rFonts w:eastAsia="맑은 고딕"/>
                <w:b/>
                <w:bCs/>
                <w:lang w:eastAsia="zh-CN"/>
              </w:rPr>
              <w:t> K</w:t>
            </w:r>
            <w:r w:rsidRPr="00323042">
              <w:rPr>
                <w:rFonts w:eastAsia="맑은 고딕"/>
                <w:lang w:eastAsia="zh-CN"/>
              </w:rPr>
              <w:t>).</w:t>
            </w:r>
          </w:p>
          <w:p w14:paraId="162FEBB9" w14:textId="30A42BFE" w:rsidR="00323042" w:rsidRPr="00323042" w:rsidRDefault="00693F51" w:rsidP="00323042">
            <w:pPr>
              <w:keepNext/>
              <w:numPr>
                <w:ilvl w:val="0"/>
                <w:numId w:val="59"/>
              </w:numPr>
              <w:tabs>
                <w:tab w:val="clear" w:pos="567"/>
                <w:tab w:val="left" w:pos="851"/>
              </w:tabs>
              <w:suppressAutoHyphens/>
              <w:ind w:left="851" w:hanging="284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b/>
                <w:bCs/>
                <w:lang w:eastAsia="zh-CN"/>
              </w:rPr>
              <w:t>Não</w:t>
            </w:r>
            <w:r w:rsidR="00323042" w:rsidRPr="00323042">
              <w:rPr>
                <w:rFonts w:eastAsia="맑은 고딕"/>
                <w:lang w:eastAsia="zh-CN"/>
              </w:rPr>
              <w:t xml:space="preserve"> </w:t>
            </w:r>
            <w:r w:rsidRPr="00693F51">
              <w:rPr>
                <w:rFonts w:eastAsia="맑은 고딕"/>
                <w:lang w:eastAsia="zh-CN"/>
              </w:rPr>
              <w:t xml:space="preserve">utilize a seringa </w:t>
            </w:r>
            <w:r w:rsidRPr="00516C12">
              <w:t>pré</w:t>
            </w:r>
            <w:r w:rsidRPr="00516C12">
              <w:noBreakHyphen/>
              <w:t>cheia</w:t>
            </w:r>
            <w:r w:rsidRPr="00693F51">
              <w:rPr>
                <w:rFonts w:eastAsia="맑은 고딕"/>
                <w:lang w:eastAsia="zh-CN"/>
              </w:rPr>
              <w:t xml:space="preserve"> se tiver sido deixada cair sem a </w:t>
            </w:r>
            <w:r w:rsidR="00F659FE">
              <w:rPr>
                <w:rFonts w:eastAsia="맑은 고딕"/>
                <w:lang w:eastAsia="zh-CN"/>
              </w:rPr>
              <w:t>tampa</w:t>
            </w:r>
            <w:r w:rsidRPr="00693F51">
              <w:rPr>
                <w:rFonts w:eastAsia="맑은 고딕"/>
                <w:lang w:eastAsia="zh-CN"/>
              </w:rPr>
              <w:t xml:space="preserve"> da agulha colocada.</w:t>
            </w:r>
            <w:r>
              <w:rPr>
                <w:rFonts w:eastAsia="맑은 고딕"/>
                <w:lang w:eastAsia="zh-CN"/>
              </w:rPr>
              <w:t xml:space="preserve"> Se isso acontecer, utilize uma </w:t>
            </w:r>
            <w:r w:rsidRPr="00693F51">
              <w:rPr>
                <w:rFonts w:eastAsia="맑은 고딕"/>
                <w:lang w:eastAsia="zh-CN"/>
              </w:rPr>
              <w:t xml:space="preserve">seringa </w:t>
            </w:r>
            <w:r w:rsidRPr="00516C12">
              <w:t>pré</w:t>
            </w:r>
            <w:r w:rsidRPr="00516C12">
              <w:noBreakHyphen/>
              <w:t>cheia</w:t>
            </w:r>
            <w:r>
              <w:t xml:space="preserve"> nova</w:t>
            </w:r>
            <w:r w:rsidR="00323042" w:rsidRPr="00323042">
              <w:rPr>
                <w:rFonts w:eastAsia="맑은 고딕"/>
                <w:lang w:eastAsia="zh-CN"/>
              </w:rPr>
              <w:t>.</w:t>
            </w:r>
          </w:p>
          <w:p w14:paraId="4772C64A" w14:textId="3AC7749B" w:rsidR="00323042" w:rsidRPr="00323042" w:rsidRDefault="00C41B47" w:rsidP="00323042">
            <w:pPr>
              <w:keepNext/>
              <w:numPr>
                <w:ilvl w:val="0"/>
                <w:numId w:val="59"/>
              </w:numPr>
              <w:tabs>
                <w:tab w:val="clear" w:pos="567"/>
                <w:tab w:val="left" w:pos="851"/>
              </w:tabs>
              <w:suppressAutoHyphens/>
              <w:ind w:left="851" w:hanging="284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lang w:eastAsia="zh-CN"/>
              </w:rPr>
              <w:t>R</w:t>
            </w:r>
            <w:r w:rsidR="00693F51">
              <w:rPr>
                <w:rFonts w:eastAsia="맑은 고딕"/>
                <w:lang w:eastAsia="zh-CN"/>
              </w:rPr>
              <w:t xml:space="preserve">etire a </w:t>
            </w:r>
            <w:r w:rsidR="00F659FE">
              <w:rPr>
                <w:rFonts w:eastAsia="맑은 고딕"/>
                <w:lang w:eastAsia="zh-CN"/>
              </w:rPr>
              <w:t>tampa</w:t>
            </w:r>
            <w:r w:rsidR="00693F51">
              <w:rPr>
                <w:rFonts w:eastAsia="맑은 고딕"/>
                <w:lang w:eastAsia="zh-CN"/>
              </w:rPr>
              <w:t xml:space="preserve"> da agulha </w:t>
            </w:r>
            <w:r>
              <w:rPr>
                <w:rFonts w:eastAsia="맑은 고딕"/>
                <w:lang w:eastAsia="zh-CN"/>
              </w:rPr>
              <w:t xml:space="preserve">só </w:t>
            </w:r>
            <w:r w:rsidR="00693F51">
              <w:rPr>
                <w:rFonts w:eastAsia="맑은 고딕"/>
                <w:lang w:eastAsia="zh-CN"/>
              </w:rPr>
              <w:t>quando estiver pronto(a) para injetar</w:t>
            </w:r>
            <w:r w:rsidR="00323042" w:rsidRPr="00323042">
              <w:rPr>
                <w:rFonts w:eastAsia="맑은 고딕"/>
                <w:lang w:eastAsia="zh-CN"/>
              </w:rPr>
              <w:t>.</w:t>
            </w:r>
          </w:p>
          <w:p w14:paraId="192DD38F" w14:textId="7DBC792F" w:rsidR="00323042" w:rsidRPr="00323042" w:rsidRDefault="00693F51" w:rsidP="00323042">
            <w:pPr>
              <w:keepNext/>
              <w:numPr>
                <w:ilvl w:val="0"/>
                <w:numId w:val="59"/>
              </w:numPr>
              <w:tabs>
                <w:tab w:val="clear" w:pos="567"/>
                <w:tab w:val="left" w:pos="851"/>
              </w:tabs>
              <w:suppressAutoHyphens/>
              <w:ind w:left="851" w:hanging="284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b/>
                <w:bCs/>
                <w:lang w:eastAsia="zh-CN"/>
              </w:rPr>
              <w:t>Não</w:t>
            </w:r>
            <w:r w:rsidR="00323042" w:rsidRPr="00323042">
              <w:rPr>
                <w:rFonts w:eastAsia="맑은 고딕"/>
                <w:lang w:eastAsia="zh-CN"/>
              </w:rPr>
              <w:t xml:space="preserve"> </w:t>
            </w:r>
            <w:r w:rsidRPr="00693F51">
              <w:rPr>
                <w:rFonts w:eastAsia="맑은 고딕"/>
                <w:lang w:eastAsia="zh-CN"/>
              </w:rPr>
              <w:t xml:space="preserve">volte a colocar a </w:t>
            </w:r>
            <w:r w:rsidR="00F659FE">
              <w:rPr>
                <w:rFonts w:eastAsia="맑은 고딕"/>
                <w:lang w:eastAsia="zh-CN"/>
              </w:rPr>
              <w:t>tampa</w:t>
            </w:r>
            <w:r w:rsidRPr="00693F51">
              <w:rPr>
                <w:rFonts w:eastAsia="맑은 고딕"/>
                <w:lang w:eastAsia="zh-CN"/>
              </w:rPr>
              <w:t xml:space="preserve"> na seringa</w:t>
            </w:r>
            <w:r>
              <w:rPr>
                <w:rFonts w:eastAsia="맑은 고딕"/>
                <w:lang w:eastAsia="zh-CN"/>
              </w:rPr>
              <w:t xml:space="preserve"> </w:t>
            </w:r>
            <w:r w:rsidRPr="00516C12">
              <w:t>pré</w:t>
            </w:r>
            <w:r w:rsidRPr="00516C12">
              <w:noBreakHyphen/>
              <w:t>cheia</w:t>
            </w:r>
            <w:r w:rsidR="00323042" w:rsidRPr="00323042">
              <w:rPr>
                <w:rFonts w:eastAsia="맑은 고딕"/>
                <w:lang w:eastAsia="zh-CN"/>
              </w:rPr>
              <w:t>.</w:t>
            </w:r>
          </w:p>
          <w:p w14:paraId="0E19E427" w14:textId="77777777" w:rsidR="00323042" w:rsidRPr="00323042" w:rsidRDefault="00693F51" w:rsidP="00693F51">
            <w:pPr>
              <w:keepNext/>
              <w:numPr>
                <w:ilvl w:val="0"/>
                <w:numId w:val="59"/>
              </w:numPr>
              <w:tabs>
                <w:tab w:val="clear" w:pos="567"/>
                <w:tab w:val="left" w:pos="851"/>
              </w:tabs>
              <w:suppressAutoHyphens/>
              <w:ind w:left="851" w:hanging="284"/>
              <w:rPr>
                <w:rFonts w:eastAsia="맑은 고딕"/>
                <w:lang w:eastAsia="ko-KR"/>
              </w:rPr>
            </w:pPr>
            <w:r>
              <w:rPr>
                <w:rFonts w:eastAsia="맑은 고딕"/>
                <w:b/>
                <w:bCs/>
                <w:lang w:eastAsia="zh-CN"/>
              </w:rPr>
              <w:t>Não</w:t>
            </w:r>
            <w:r w:rsidR="00323042" w:rsidRPr="00323042">
              <w:rPr>
                <w:rFonts w:eastAsia="맑은 고딕"/>
                <w:lang w:eastAsia="zh-CN"/>
              </w:rPr>
              <w:t xml:space="preserve"> </w:t>
            </w:r>
            <w:r w:rsidRPr="00693F51">
              <w:rPr>
                <w:rFonts w:eastAsia="맑은 고딕"/>
                <w:lang w:eastAsia="zh-CN"/>
              </w:rPr>
              <w:t>toque na agulha. Se o fizer, isso poderá resultar numa lesão por picada de agulha</w:t>
            </w:r>
            <w:r w:rsidR="00323042" w:rsidRPr="00323042">
              <w:rPr>
                <w:rFonts w:eastAsia="맑은 고딕"/>
                <w:lang w:eastAsia="zh-CN"/>
              </w:rPr>
              <w:t>.</w:t>
            </w:r>
          </w:p>
        </w:tc>
      </w:tr>
      <w:tr w:rsidR="00323042" w:rsidRPr="00323042" w14:paraId="139C115E" w14:textId="77777777" w:rsidTr="00516C12">
        <w:trPr>
          <w:cantSplit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D236EFF" w14:textId="77777777" w:rsidR="00323042" w:rsidRPr="00323042" w:rsidRDefault="00323042" w:rsidP="00926BC9">
            <w:pPr>
              <w:tabs>
                <w:tab w:val="clear" w:pos="567"/>
              </w:tabs>
              <w:jc w:val="center"/>
              <w:rPr>
                <w:rFonts w:eastAsia="맑은 고딕"/>
                <w:b/>
                <w:bCs/>
                <w:lang w:eastAsia="ko-KR"/>
              </w:rPr>
            </w:pPr>
            <w:r w:rsidRPr="00323042">
              <w:rPr>
                <w:rFonts w:eastAsia="맑은 고딕"/>
                <w:b/>
                <w:bCs/>
                <w:lang w:eastAsia="ko-KR"/>
              </w:rPr>
              <w:t>Figur</w:t>
            </w:r>
            <w:r w:rsidR="00926BC9">
              <w:rPr>
                <w:rFonts w:eastAsia="맑은 고딕"/>
                <w:b/>
                <w:bCs/>
                <w:lang w:eastAsia="ko-KR"/>
              </w:rPr>
              <w:t>a</w:t>
            </w:r>
            <w:r w:rsidRPr="00323042">
              <w:rPr>
                <w:rFonts w:eastAsia="맑은 고딕"/>
                <w:b/>
                <w:bCs/>
                <w:lang w:eastAsia="ko-KR"/>
              </w:rPr>
              <w:t xml:space="preserve"> K</w:t>
            </w:r>
          </w:p>
        </w:tc>
        <w:tc>
          <w:tcPr>
            <w:tcW w:w="60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638C0" w14:textId="77777777" w:rsidR="00323042" w:rsidRPr="00323042" w:rsidRDefault="00323042" w:rsidP="00323042">
            <w:pPr>
              <w:tabs>
                <w:tab w:val="clear" w:pos="567"/>
              </w:tabs>
              <w:suppressAutoHyphens/>
              <w:rPr>
                <w:rFonts w:eastAsia="맑은 고딕"/>
                <w:b/>
                <w:bCs/>
                <w:lang w:eastAsia="zh-CN"/>
              </w:rPr>
            </w:pPr>
          </w:p>
        </w:tc>
      </w:tr>
      <w:tr w:rsidR="00323042" w:rsidRPr="00323042" w14:paraId="1694172A" w14:textId="77777777" w:rsidTr="00516C12">
        <w:trPr>
          <w:cantSplit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553010A" w14:textId="7A400707" w:rsidR="00323042" w:rsidRPr="00323042" w:rsidRDefault="0077602B" w:rsidP="00323042">
            <w:pPr>
              <w:keepNext/>
              <w:tabs>
                <w:tab w:val="clear" w:pos="567"/>
              </w:tabs>
              <w:jc w:val="center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noProof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1" layoutInCell="1" allowOverlap="1" wp14:anchorId="02E895E4" wp14:editId="59AA6DB8">
                      <wp:simplePos x="0" y="0"/>
                      <wp:positionH relativeFrom="column">
                        <wp:posOffset>1447165</wp:posOffset>
                      </wp:positionH>
                      <wp:positionV relativeFrom="page">
                        <wp:posOffset>1922145</wp:posOffset>
                      </wp:positionV>
                      <wp:extent cx="331470" cy="467995"/>
                      <wp:effectExtent l="0" t="0" r="0" b="0"/>
                      <wp:wrapNone/>
                      <wp:docPr id="20" name="Caixa de text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1470" cy="467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F53119" w14:textId="77777777" w:rsidR="00516C12" w:rsidRPr="00D723EF" w:rsidRDefault="00516C12" w:rsidP="00323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val="es-ES"/>
                                    </w:rPr>
                                    <w:t>45°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895E4" id="Caixa de texto 20" o:spid="_x0000_s1048" type="#_x0000_t202" style="position:absolute;left:0;text-align:left;margin-left:113.95pt;margin-top:151.35pt;width:26.1pt;height:36.8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" filled="f" stroked="f">
                      <v:textbox inset="0,0,0,0">
                        <w:txbxContent>
                          <w:p w14:paraId="1EF53119" w14:textId="77777777" w:rsidR="00516C12" w:rsidRPr="00D723EF" w:rsidRDefault="00516C12" w:rsidP="00323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45°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eastAsia="맑은 고딕"/>
                <w:noProof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1" layoutInCell="1" allowOverlap="1" wp14:anchorId="2FCB0D18" wp14:editId="49F05D91">
                      <wp:simplePos x="0" y="0"/>
                      <wp:positionH relativeFrom="column">
                        <wp:posOffset>694055</wp:posOffset>
                      </wp:positionH>
                      <wp:positionV relativeFrom="page">
                        <wp:posOffset>536575</wp:posOffset>
                      </wp:positionV>
                      <wp:extent cx="685800" cy="467995"/>
                      <wp:effectExtent l="0" t="0" r="0" b="0"/>
                      <wp:wrapNone/>
                      <wp:docPr id="19" name="Caixa de text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467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980183" w14:textId="77777777" w:rsidR="00516C12" w:rsidRPr="00D723EF" w:rsidRDefault="00516C12" w:rsidP="00323042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lang w:val="es-ES"/>
                                    </w:rPr>
                                    <w:t>45°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CB0D18" id="Caixa de texto 19" o:spid="_x0000_s1049" type="#_x0000_t202" style="position:absolute;left:0;text-align:left;margin-left:54.65pt;margin-top:42.25pt;width:54pt;height:36.8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" filled="f" stroked="f">
                      <v:textbox inset="0,0,0,0">
                        <w:txbxContent>
                          <w:p w14:paraId="46980183" w14:textId="77777777" w:rsidR="00516C12" w:rsidRPr="00D723EF" w:rsidRDefault="00516C12" w:rsidP="0032304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s-ES"/>
                              </w:rPr>
                              <w:t>45°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rFonts w:eastAsia="맑은 고딕"/>
                <w:noProof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1" layoutInCell="1" allowOverlap="1" wp14:anchorId="1BC21B97" wp14:editId="79A3CA9A">
                      <wp:simplePos x="0" y="0"/>
                      <wp:positionH relativeFrom="column">
                        <wp:posOffset>558165</wp:posOffset>
                      </wp:positionH>
                      <wp:positionV relativeFrom="page">
                        <wp:posOffset>1572260</wp:posOffset>
                      </wp:positionV>
                      <wp:extent cx="635000" cy="400050"/>
                      <wp:effectExtent l="0" t="0" r="0" b="0"/>
                      <wp:wrapNone/>
                      <wp:docPr id="18" name="Caixa de text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000" cy="40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010654D" w14:textId="62A0D5C4" w:rsidR="00516C12" w:rsidRPr="00323042" w:rsidRDefault="00516C12" w:rsidP="0032304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  <w:r w:rsidRPr="00323042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s-ES"/>
                                    </w:rPr>
                                    <w:t>O</w:t>
                                  </w:r>
                                  <w:r w:rsidR="003C7A3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4"/>
                                      <w:szCs w:val="24"/>
                                      <w:lang w:val="es-ES"/>
                                    </w:rPr>
                                    <w:t>U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C21B97" id="Caixa de texto 18" o:spid="_x0000_s1050" type="#_x0000_t202" style="position:absolute;left:0;text-align:left;margin-left:43.95pt;margin-top:123.8pt;width:50pt;height:31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" filled="f" stroked="f">
                      <v:textbox inset="0,0,0,0">
                        <w:txbxContent>
                          <w:p w14:paraId="3010654D" w14:textId="62A0D5C4" w:rsidR="00516C12" w:rsidRPr="00323042" w:rsidRDefault="00516C12" w:rsidP="003230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323042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  <w:t>O</w:t>
                            </w:r>
                            <w:r w:rsidR="003C7A3D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  <w:t>U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  <w:p w14:paraId="3C5BB7D2" w14:textId="4DB834BB" w:rsidR="00323042" w:rsidRPr="00323042" w:rsidRDefault="0077602B" w:rsidP="00323042">
            <w:pPr>
              <w:keepNext/>
              <w:tabs>
                <w:tab w:val="clear" w:pos="567"/>
              </w:tabs>
              <w:jc w:val="center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noProof/>
                <w:lang w:eastAsia="pt-PT"/>
              </w:rPr>
              <w:drawing>
                <wp:inline distT="0" distB="0" distL="0" distR="0" wp14:anchorId="00A92732" wp14:editId="2D4A3B1F">
                  <wp:extent cx="1727200" cy="2952750"/>
                  <wp:effectExtent l="0" t="0" r="0" b="0"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2952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A7CF4E" w14:textId="77777777" w:rsidR="00323042" w:rsidRPr="00323042" w:rsidRDefault="00323042" w:rsidP="00323042">
            <w:pPr>
              <w:keepNext/>
              <w:tabs>
                <w:tab w:val="clear" w:pos="567"/>
              </w:tabs>
              <w:jc w:val="center"/>
              <w:rPr>
                <w:rFonts w:eastAsia="맑은 고딕"/>
                <w:lang w:eastAsia="ko-KR"/>
              </w:rPr>
            </w:pPr>
          </w:p>
        </w:tc>
        <w:tc>
          <w:tcPr>
            <w:tcW w:w="607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1C898E9" w14:textId="77777777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4" w:hanging="284"/>
              <w:rPr>
                <w:rFonts w:eastAsia="맑은 고딕"/>
                <w:b/>
                <w:bCs/>
                <w:lang w:eastAsia="ko-KR"/>
              </w:rPr>
            </w:pPr>
            <w:r w:rsidRPr="00323042">
              <w:rPr>
                <w:rFonts w:eastAsia="맑은 고딕"/>
                <w:b/>
                <w:bCs/>
                <w:lang w:eastAsia="ko-KR"/>
              </w:rPr>
              <w:t xml:space="preserve">11. </w:t>
            </w:r>
            <w:r w:rsidR="008832F4" w:rsidRPr="008832F4">
              <w:rPr>
                <w:rFonts w:eastAsia="맑은 고딕"/>
                <w:b/>
                <w:bCs/>
                <w:lang w:eastAsia="zh-CN"/>
              </w:rPr>
              <w:t xml:space="preserve">Introduzir a seringa </w:t>
            </w:r>
            <w:r w:rsidR="008832F4" w:rsidRPr="008832F4">
              <w:rPr>
                <w:b/>
              </w:rPr>
              <w:t>pré</w:t>
            </w:r>
            <w:r w:rsidR="008832F4" w:rsidRPr="008832F4">
              <w:rPr>
                <w:b/>
              </w:rPr>
              <w:noBreakHyphen/>
              <w:t>cheia</w:t>
            </w:r>
            <w:r w:rsidR="008832F4" w:rsidRPr="008832F4">
              <w:rPr>
                <w:rFonts w:eastAsia="맑은 고딕"/>
                <w:b/>
                <w:bCs/>
                <w:lang w:eastAsia="zh-CN"/>
              </w:rPr>
              <w:t xml:space="preserve"> no local da injeção</w:t>
            </w:r>
            <w:r w:rsidRPr="00323042">
              <w:rPr>
                <w:rFonts w:eastAsia="맑은 고딕"/>
                <w:b/>
                <w:bCs/>
                <w:lang w:eastAsia="ko-KR"/>
              </w:rPr>
              <w:t>.</w:t>
            </w:r>
          </w:p>
          <w:p w14:paraId="779EF79C" w14:textId="77777777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3"/>
              <w:rPr>
                <w:rFonts w:eastAsia="맑은 고딕"/>
                <w:lang w:eastAsia="zh-CN"/>
              </w:rPr>
            </w:pPr>
            <w:r w:rsidRPr="00323042">
              <w:rPr>
                <w:rFonts w:eastAsia="맑은 고딕"/>
                <w:lang w:eastAsia="zh-CN"/>
              </w:rPr>
              <w:t xml:space="preserve">11a. </w:t>
            </w:r>
            <w:r w:rsidR="008832F4" w:rsidRPr="008832F4">
              <w:rPr>
                <w:rFonts w:eastAsia="맑은 고딕"/>
                <w:lang w:eastAsia="zh-CN"/>
              </w:rPr>
              <w:t xml:space="preserve">Segure no corpo da seringa </w:t>
            </w:r>
            <w:r w:rsidR="008832F4" w:rsidRPr="00516C12">
              <w:t>pré</w:t>
            </w:r>
            <w:r w:rsidR="008832F4" w:rsidRPr="00516C12">
              <w:noBreakHyphen/>
              <w:t>cheia</w:t>
            </w:r>
            <w:r w:rsidR="008832F4" w:rsidRPr="008832F4">
              <w:rPr>
                <w:rFonts w:eastAsia="맑은 고딕"/>
                <w:lang w:eastAsia="zh-CN"/>
              </w:rPr>
              <w:t xml:space="preserve"> com uma mão, entre o polegar e o indicador</w:t>
            </w:r>
            <w:r w:rsidRPr="00323042">
              <w:rPr>
                <w:rFonts w:eastAsia="맑은 고딕"/>
                <w:lang w:eastAsia="zh-CN"/>
              </w:rPr>
              <w:t>.</w:t>
            </w:r>
          </w:p>
          <w:p w14:paraId="288E1B20" w14:textId="77777777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3"/>
              <w:rPr>
                <w:rFonts w:eastAsia="맑은 고딕"/>
                <w:lang w:eastAsia="zh-CN"/>
              </w:rPr>
            </w:pPr>
            <w:r w:rsidRPr="00323042">
              <w:rPr>
                <w:rFonts w:eastAsia="맑은 고딕"/>
                <w:lang w:eastAsia="zh-CN"/>
              </w:rPr>
              <w:t xml:space="preserve">11b. </w:t>
            </w:r>
            <w:r w:rsidR="008832F4" w:rsidRPr="008832F4">
              <w:rPr>
                <w:rFonts w:eastAsia="맑은 고딕"/>
                <w:lang w:eastAsia="zh-CN"/>
              </w:rPr>
              <w:t xml:space="preserve">Utilize a outra mão para apertar suavemente a pele limpa entre o polegar e o indicador. </w:t>
            </w:r>
            <w:r w:rsidR="008832F4" w:rsidRPr="008832F4">
              <w:rPr>
                <w:rFonts w:eastAsia="맑은 고딕"/>
                <w:b/>
                <w:lang w:eastAsia="zh-CN"/>
              </w:rPr>
              <w:t>Não</w:t>
            </w:r>
            <w:r w:rsidR="008832F4" w:rsidRPr="008832F4">
              <w:rPr>
                <w:rFonts w:eastAsia="맑은 고딕"/>
                <w:lang w:eastAsia="zh-CN"/>
              </w:rPr>
              <w:t xml:space="preserve"> aperte com força</w:t>
            </w:r>
            <w:r w:rsidRPr="00323042">
              <w:rPr>
                <w:rFonts w:eastAsia="맑은 고딕"/>
                <w:lang w:eastAsia="zh-CN"/>
              </w:rPr>
              <w:t>.</w:t>
            </w:r>
          </w:p>
          <w:p w14:paraId="6EB3736A" w14:textId="77777777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3"/>
              <w:rPr>
                <w:rFonts w:eastAsia="맑은 고딕"/>
                <w:lang w:eastAsia="zh-CN"/>
              </w:rPr>
            </w:pPr>
            <w:r w:rsidRPr="00323042">
              <w:rPr>
                <w:rFonts w:eastAsia="맑은 고딕"/>
                <w:i/>
                <w:iCs/>
                <w:lang w:eastAsia="zh-CN"/>
              </w:rPr>
              <w:t>Not</w:t>
            </w:r>
            <w:r w:rsidR="008832F4">
              <w:rPr>
                <w:rFonts w:eastAsia="맑은 고딕"/>
                <w:i/>
                <w:iCs/>
                <w:lang w:eastAsia="zh-CN"/>
              </w:rPr>
              <w:t>a</w:t>
            </w:r>
            <w:r w:rsidRPr="00323042">
              <w:rPr>
                <w:rFonts w:eastAsia="맑은 고딕"/>
                <w:lang w:eastAsia="zh-CN"/>
              </w:rPr>
              <w:t xml:space="preserve">: </w:t>
            </w:r>
            <w:r w:rsidR="008832F4">
              <w:rPr>
                <w:rFonts w:eastAsia="맑은 고딕"/>
                <w:lang w:eastAsia="zh-CN"/>
              </w:rPr>
              <w:t>É importante manter a</w:t>
            </w:r>
            <w:r w:rsidR="008832F4" w:rsidRPr="008832F4">
              <w:rPr>
                <w:rFonts w:eastAsia="맑은 고딕"/>
                <w:lang w:eastAsia="zh-CN"/>
              </w:rPr>
              <w:t xml:space="preserve"> pele </w:t>
            </w:r>
            <w:r w:rsidR="008832F4">
              <w:rPr>
                <w:rFonts w:eastAsia="맑은 고딕"/>
                <w:lang w:eastAsia="zh-CN"/>
              </w:rPr>
              <w:t xml:space="preserve">apertada ao introduzir a agulha, </w:t>
            </w:r>
            <w:r w:rsidR="008832F4" w:rsidRPr="008832F4">
              <w:rPr>
                <w:rFonts w:eastAsia="맑은 고딕"/>
                <w:lang w:eastAsia="zh-CN"/>
              </w:rPr>
              <w:t>para assegurar que injeta sob a pele (na gordura), mas não mais profundamente (no músculo)</w:t>
            </w:r>
            <w:r w:rsidRPr="00323042">
              <w:rPr>
                <w:rFonts w:eastAsia="맑은 고딕"/>
                <w:lang w:eastAsia="zh-CN"/>
              </w:rPr>
              <w:t>.</w:t>
            </w:r>
          </w:p>
          <w:p w14:paraId="755F8CB6" w14:textId="77777777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3"/>
              <w:rPr>
                <w:rFonts w:eastAsia="맑은 고딕"/>
                <w:lang w:eastAsia="zh-CN"/>
              </w:rPr>
            </w:pPr>
            <w:r w:rsidRPr="00323042">
              <w:rPr>
                <w:rFonts w:eastAsia="맑은 고딕"/>
                <w:lang w:eastAsia="zh-CN"/>
              </w:rPr>
              <w:t xml:space="preserve">11c. </w:t>
            </w:r>
            <w:r w:rsidR="008022D2" w:rsidRPr="008022D2">
              <w:rPr>
                <w:rFonts w:eastAsia="맑은 고딕"/>
                <w:lang w:eastAsia="zh-CN"/>
              </w:rPr>
              <w:t>Com um movimento rápido e súbito, introduza a agulha completamente na prega de pele a um ângulo de 45</w:t>
            </w:r>
            <w:r w:rsidR="00F22D8E">
              <w:rPr>
                <w:rFonts w:eastAsia="맑은 고딕"/>
                <w:lang w:eastAsia="zh-CN"/>
              </w:rPr>
              <w:t> </w:t>
            </w:r>
            <w:r w:rsidR="008022D2" w:rsidRPr="008022D2">
              <w:rPr>
                <w:rFonts w:eastAsia="맑은 고딕"/>
                <w:lang w:eastAsia="zh-CN"/>
              </w:rPr>
              <w:t>graus</w:t>
            </w:r>
            <w:r w:rsidRPr="00323042">
              <w:rPr>
                <w:rFonts w:eastAsia="맑은 고딕"/>
                <w:lang w:eastAsia="zh-CN"/>
              </w:rPr>
              <w:t xml:space="preserve"> (</w:t>
            </w:r>
            <w:r w:rsidR="008022D2">
              <w:rPr>
                <w:rFonts w:eastAsia="맑은 고딕"/>
                <w:lang w:eastAsia="zh-CN"/>
              </w:rPr>
              <w:t>ver a</w:t>
            </w:r>
            <w:r w:rsidRPr="00323042">
              <w:rPr>
                <w:rFonts w:eastAsia="맑은 고딕"/>
                <w:lang w:eastAsia="zh-CN"/>
              </w:rPr>
              <w:t xml:space="preserve"> </w:t>
            </w:r>
            <w:r w:rsidRPr="00323042">
              <w:rPr>
                <w:rFonts w:eastAsia="맑은 고딕"/>
                <w:b/>
                <w:bCs/>
                <w:lang w:eastAsia="zh-CN"/>
              </w:rPr>
              <w:t>Figur</w:t>
            </w:r>
            <w:r w:rsidR="008022D2">
              <w:rPr>
                <w:rFonts w:eastAsia="맑은 고딕"/>
                <w:b/>
                <w:bCs/>
                <w:lang w:eastAsia="zh-CN"/>
              </w:rPr>
              <w:t>a</w:t>
            </w:r>
            <w:r w:rsidRPr="00323042">
              <w:rPr>
                <w:rFonts w:eastAsia="맑은 고딕"/>
                <w:b/>
                <w:bCs/>
                <w:lang w:eastAsia="zh-CN"/>
              </w:rPr>
              <w:t> L</w:t>
            </w:r>
            <w:r w:rsidRPr="00323042">
              <w:rPr>
                <w:rFonts w:eastAsia="맑은 고딕"/>
                <w:lang w:eastAsia="zh-CN"/>
              </w:rPr>
              <w:t>).</w:t>
            </w:r>
          </w:p>
          <w:p w14:paraId="6DA60ED6" w14:textId="77777777" w:rsidR="00323042" w:rsidRPr="00323042" w:rsidRDefault="008022D2" w:rsidP="00323042">
            <w:pPr>
              <w:keepNext/>
              <w:numPr>
                <w:ilvl w:val="0"/>
                <w:numId w:val="59"/>
              </w:numPr>
              <w:tabs>
                <w:tab w:val="clear" w:pos="567"/>
                <w:tab w:val="left" w:pos="851"/>
              </w:tabs>
              <w:suppressAutoHyphens/>
              <w:ind w:left="851" w:hanging="284"/>
              <w:rPr>
                <w:rFonts w:eastAsia="맑은 고딕"/>
                <w:lang w:eastAsia="ko-KR"/>
              </w:rPr>
            </w:pPr>
            <w:r w:rsidRPr="008022D2">
              <w:rPr>
                <w:rFonts w:eastAsia="맑은 고딕"/>
                <w:b/>
                <w:bCs/>
                <w:lang w:eastAsia="zh-CN"/>
              </w:rPr>
              <w:t>Não puxe a haste do êmbolo para trás em nenhuma altura</w:t>
            </w:r>
            <w:r w:rsidR="00323042" w:rsidRPr="00323042">
              <w:rPr>
                <w:rFonts w:eastAsia="맑은 고딕"/>
                <w:b/>
                <w:bCs/>
                <w:lang w:eastAsia="zh-CN"/>
              </w:rPr>
              <w:t>.</w:t>
            </w:r>
          </w:p>
        </w:tc>
      </w:tr>
      <w:tr w:rsidR="00323042" w:rsidRPr="00323042" w14:paraId="563D4FCC" w14:textId="77777777" w:rsidTr="00516C12">
        <w:trPr>
          <w:cantSplit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495DA1" w14:textId="77777777" w:rsidR="00323042" w:rsidRPr="00323042" w:rsidRDefault="00323042" w:rsidP="008022D2">
            <w:pPr>
              <w:tabs>
                <w:tab w:val="clear" w:pos="567"/>
              </w:tabs>
              <w:jc w:val="center"/>
              <w:rPr>
                <w:rFonts w:eastAsia="맑은 고딕"/>
                <w:b/>
                <w:bCs/>
                <w:lang w:eastAsia="ko-KR"/>
              </w:rPr>
            </w:pPr>
            <w:r w:rsidRPr="00323042">
              <w:rPr>
                <w:rFonts w:eastAsia="맑은 고딕"/>
                <w:b/>
                <w:bCs/>
                <w:lang w:eastAsia="ko-KR"/>
              </w:rPr>
              <w:t>Figur</w:t>
            </w:r>
            <w:r w:rsidR="008022D2">
              <w:rPr>
                <w:rFonts w:eastAsia="맑은 고딕"/>
                <w:b/>
                <w:bCs/>
                <w:lang w:eastAsia="ko-KR"/>
              </w:rPr>
              <w:t>a</w:t>
            </w:r>
            <w:r w:rsidRPr="00323042">
              <w:rPr>
                <w:rFonts w:eastAsia="맑은 고딕"/>
                <w:b/>
                <w:bCs/>
                <w:lang w:eastAsia="ko-KR"/>
              </w:rPr>
              <w:t xml:space="preserve"> L</w:t>
            </w:r>
          </w:p>
        </w:tc>
        <w:tc>
          <w:tcPr>
            <w:tcW w:w="60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9CC3E" w14:textId="77777777" w:rsidR="00323042" w:rsidRPr="00323042" w:rsidRDefault="00323042" w:rsidP="00323042">
            <w:pPr>
              <w:tabs>
                <w:tab w:val="clear" w:pos="567"/>
              </w:tabs>
              <w:suppressAutoHyphens/>
              <w:rPr>
                <w:rFonts w:eastAsia="맑은 고딕"/>
                <w:b/>
                <w:bCs/>
                <w:lang w:eastAsia="ko-KR"/>
              </w:rPr>
            </w:pPr>
          </w:p>
        </w:tc>
      </w:tr>
      <w:tr w:rsidR="00323042" w:rsidRPr="00323042" w14:paraId="5D84BA05" w14:textId="77777777" w:rsidTr="00516C12">
        <w:trPr>
          <w:cantSplit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92B26E5" w14:textId="77777777" w:rsidR="00323042" w:rsidRPr="00323042" w:rsidRDefault="00323042" w:rsidP="00323042">
            <w:pPr>
              <w:keepNext/>
              <w:tabs>
                <w:tab w:val="clear" w:pos="567"/>
              </w:tabs>
              <w:jc w:val="center"/>
              <w:rPr>
                <w:rFonts w:eastAsia="맑은 고딕"/>
                <w:lang w:eastAsia="zh-CN"/>
              </w:rPr>
            </w:pPr>
          </w:p>
          <w:p w14:paraId="577FD43D" w14:textId="31E933CD" w:rsidR="00323042" w:rsidRPr="00323042" w:rsidRDefault="0077602B" w:rsidP="00323042">
            <w:pPr>
              <w:keepNext/>
              <w:tabs>
                <w:tab w:val="clear" w:pos="567"/>
              </w:tabs>
              <w:jc w:val="center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noProof/>
                <w:lang w:eastAsia="pt-PT"/>
              </w:rPr>
              <w:drawing>
                <wp:inline distT="0" distB="0" distL="0" distR="0" wp14:anchorId="74514EE3" wp14:editId="6AF41C29">
                  <wp:extent cx="1651000" cy="2038350"/>
                  <wp:effectExtent l="0" t="0" r="0" b="0"/>
                  <wp:docPr id="15" name="Imagem 15" descr="스케치, 그림, 클립아트, 라인 아트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스케치, 그림, 클립아트, 라인 아트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FE1913" w14:textId="77777777" w:rsidR="00323042" w:rsidRPr="00323042" w:rsidRDefault="00323042" w:rsidP="00323042">
            <w:pPr>
              <w:keepNext/>
              <w:tabs>
                <w:tab w:val="clear" w:pos="567"/>
              </w:tabs>
              <w:jc w:val="center"/>
              <w:rPr>
                <w:rFonts w:eastAsia="맑은 고딕"/>
                <w:lang w:eastAsia="ko-KR"/>
              </w:rPr>
            </w:pPr>
          </w:p>
        </w:tc>
        <w:tc>
          <w:tcPr>
            <w:tcW w:w="607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814E3D6" w14:textId="77777777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4" w:hanging="284"/>
              <w:rPr>
                <w:rFonts w:eastAsia="맑은 고딕"/>
                <w:b/>
                <w:bCs/>
                <w:lang w:eastAsia="zh-CN"/>
              </w:rPr>
            </w:pPr>
            <w:r w:rsidRPr="00323042">
              <w:rPr>
                <w:rFonts w:eastAsia="맑은 고딕"/>
                <w:b/>
                <w:bCs/>
                <w:lang w:eastAsia="zh-CN"/>
              </w:rPr>
              <w:t xml:space="preserve">12. </w:t>
            </w:r>
            <w:r w:rsidR="00D31B4A" w:rsidRPr="00D31B4A">
              <w:rPr>
                <w:rFonts w:eastAsia="맑은 고딕"/>
                <w:b/>
                <w:bCs/>
                <w:lang w:eastAsia="zh-CN"/>
              </w:rPr>
              <w:t>Administrar a injeção</w:t>
            </w:r>
            <w:r w:rsidRPr="00323042">
              <w:rPr>
                <w:rFonts w:eastAsia="맑은 고딕"/>
                <w:b/>
                <w:bCs/>
                <w:lang w:eastAsia="zh-CN"/>
              </w:rPr>
              <w:t>.</w:t>
            </w:r>
          </w:p>
          <w:p w14:paraId="54758532" w14:textId="77777777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3"/>
              <w:rPr>
                <w:rFonts w:eastAsia="맑은 고딕"/>
                <w:lang w:eastAsia="zh-CN"/>
              </w:rPr>
            </w:pPr>
            <w:r w:rsidRPr="00323042">
              <w:rPr>
                <w:rFonts w:eastAsia="맑은 고딕"/>
                <w:lang w:eastAsia="zh-CN"/>
              </w:rPr>
              <w:t xml:space="preserve">12a. </w:t>
            </w:r>
            <w:r w:rsidR="00D31B4A" w:rsidRPr="00D31B4A">
              <w:rPr>
                <w:rFonts w:eastAsia="맑은 고딕"/>
                <w:lang w:eastAsia="zh-CN"/>
              </w:rPr>
              <w:t>Depois de a agulha estar introduzida, largue a pele</w:t>
            </w:r>
            <w:r w:rsidR="00D31B4A">
              <w:rPr>
                <w:rFonts w:eastAsia="맑은 고딕"/>
                <w:lang w:eastAsia="zh-CN"/>
              </w:rPr>
              <w:t xml:space="preserve"> apertada</w:t>
            </w:r>
            <w:r w:rsidRPr="00323042">
              <w:rPr>
                <w:rFonts w:eastAsia="맑은 고딕"/>
                <w:lang w:eastAsia="zh-CN"/>
              </w:rPr>
              <w:t>.</w:t>
            </w:r>
          </w:p>
          <w:p w14:paraId="3B83C421" w14:textId="77777777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3"/>
              <w:rPr>
                <w:rFonts w:eastAsia="맑은 고딕"/>
                <w:lang w:eastAsia="zh-CN"/>
              </w:rPr>
            </w:pPr>
            <w:r w:rsidRPr="00323042">
              <w:rPr>
                <w:rFonts w:eastAsia="맑은 고딕"/>
                <w:lang w:eastAsia="zh-CN"/>
              </w:rPr>
              <w:t xml:space="preserve">12b. </w:t>
            </w:r>
            <w:r w:rsidR="00D31B4A" w:rsidRPr="00D31B4A">
              <w:rPr>
                <w:rFonts w:eastAsia="맑은 고딕"/>
                <w:lang w:eastAsia="zh-CN"/>
              </w:rPr>
              <w:t xml:space="preserve">Empurre lentamente a haste do êmbolo </w:t>
            </w:r>
            <w:r w:rsidR="00D31B4A" w:rsidRPr="00D31B4A">
              <w:rPr>
                <w:rFonts w:eastAsia="맑은 고딕"/>
                <w:b/>
                <w:lang w:eastAsia="zh-CN"/>
              </w:rPr>
              <w:t>completamente para baixo</w:t>
            </w:r>
            <w:r w:rsidR="00D31B4A" w:rsidRPr="00D31B4A">
              <w:rPr>
                <w:rFonts w:eastAsia="맑은 고딕"/>
                <w:lang w:eastAsia="zh-CN"/>
              </w:rPr>
              <w:t xml:space="preserve"> até que a dose completa do medicamento seja injetada e a seringa fique vazia</w:t>
            </w:r>
            <w:r w:rsidRPr="00323042">
              <w:rPr>
                <w:rFonts w:eastAsia="맑은 고딕"/>
                <w:lang w:eastAsia="zh-CN"/>
              </w:rPr>
              <w:t xml:space="preserve"> (</w:t>
            </w:r>
            <w:r w:rsidR="00D31B4A">
              <w:rPr>
                <w:rFonts w:eastAsia="맑은 고딕"/>
                <w:lang w:eastAsia="zh-CN"/>
              </w:rPr>
              <w:t>ver a</w:t>
            </w:r>
            <w:r w:rsidRPr="00323042">
              <w:rPr>
                <w:rFonts w:eastAsia="맑은 고딕"/>
                <w:lang w:eastAsia="zh-CN"/>
              </w:rPr>
              <w:t xml:space="preserve"> </w:t>
            </w:r>
            <w:r w:rsidRPr="00323042">
              <w:rPr>
                <w:rFonts w:eastAsia="맑은 고딕"/>
                <w:b/>
                <w:bCs/>
                <w:lang w:eastAsia="zh-CN"/>
              </w:rPr>
              <w:t>Figur</w:t>
            </w:r>
            <w:r w:rsidR="00D31B4A">
              <w:rPr>
                <w:rFonts w:eastAsia="맑은 고딕"/>
                <w:b/>
                <w:bCs/>
                <w:lang w:eastAsia="zh-CN"/>
              </w:rPr>
              <w:t>a</w:t>
            </w:r>
            <w:r w:rsidRPr="00323042">
              <w:rPr>
                <w:rFonts w:eastAsia="맑은 고딕"/>
                <w:b/>
                <w:bCs/>
                <w:lang w:eastAsia="zh-CN"/>
              </w:rPr>
              <w:t> M</w:t>
            </w:r>
            <w:r w:rsidRPr="00323042">
              <w:rPr>
                <w:rFonts w:eastAsia="맑은 고딕"/>
                <w:lang w:eastAsia="zh-CN"/>
              </w:rPr>
              <w:t>).</w:t>
            </w:r>
          </w:p>
          <w:p w14:paraId="4907EE38" w14:textId="77777777" w:rsidR="00323042" w:rsidRPr="00323042" w:rsidRDefault="00D31B4A" w:rsidP="00323042">
            <w:pPr>
              <w:keepNext/>
              <w:numPr>
                <w:ilvl w:val="0"/>
                <w:numId w:val="59"/>
              </w:numPr>
              <w:tabs>
                <w:tab w:val="clear" w:pos="567"/>
                <w:tab w:val="left" w:pos="851"/>
              </w:tabs>
              <w:suppressAutoHyphens/>
              <w:ind w:left="851" w:hanging="284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b/>
                <w:bCs/>
                <w:lang w:eastAsia="zh-CN"/>
              </w:rPr>
              <w:t>Não</w:t>
            </w:r>
            <w:r w:rsidR="00323042" w:rsidRPr="00323042">
              <w:rPr>
                <w:rFonts w:eastAsia="맑은 고딕"/>
                <w:b/>
                <w:bCs/>
                <w:lang w:eastAsia="zh-CN"/>
              </w:rPr>
              <w:t xml:space="preserve"> </w:t>
            </w:r>
            <w:r w:rsidRPr="00D31B4A">
              <w:rPr>
                <w:rFonts w:eastAsia="맑은 고딕"/>
                <w:lang w:eastAsia="zh-CN"/>
              </w:rPr>
              <w:t xml:space="preserve">altere a posição da seringa </w:t>
            </w:r>
            <w:r w:rsidRPr="00516C12">
              <w:t>pré</w:t>
            </w:r>
            <w:r w:rsidRPr="00516C12">
              <w:noBreakHyphen/>
              <w:t>cheia</w:t>
            </w:r>
            <w:r w:rsidRPr="008832F4">
              <w:rPr>
                <w:rFonts w:eastAsia="맑은 고딕"/>
                <w:lang w:eastAsia="zh-CN"/>
              </w:rPr>
              <w:t xml:space="preserve"> </w:t>
            </w:r>
            <w:r w:rsidRPr="00D31B4A">
              <w:rPr>
                <w:rFonts w:eastAsia="맑은 고딕"/>
                <w:lang w:eastAsia="zh-CN"/>
              </w:rPr>
              <w:t>depois de iniciar a injeção</w:t>
            </w:r>
            <w:r w:rsidR="00323042" w:rsidRPr="00323042">
              <w:rPr>
                <w:rFonts w:eastAsia="맑은 고딕"/>
                <w:lang w:eastAsia="zh-CN"/>
              </w:rPr>
              <w:t>.</w:t>
            </w:r>
          </w:p>
          <w:p w14:paraId="504AB814" w14:textId="7D006A5A" w:rsidR="00323042" w:rsidRPr="00323042" w:rsidRDefault="00D31B4A" w:rsidP="00D31B4A">
            <w:pPr>
              <w:keepNext/>
              <w:numPr>
                <w:ilvl w:val="0"/>
                <w:numId w:val="59"/>
              </w:numPr>
              <w:tabs>
                <w:tab w:val="clear" w:pos="567"/>
                <w:tab w:val="left" w:pos="851"/>
              </w:tabs>
              <w:suppressAutoHyphens/>
              <w:ind w:left="851" w:hanging="284"/>
              <w:rPr>
                <w:rFonts w:eastAsia="맑은 고딕"/>
                <w:lang w:eastAsia="zh-CN"/>
              </w:rPr>
            </w:pPr>
            <w:r w:rsidRPr="00D31B4A">
              <w:rPr>
                <w:rFonts w:eastAsia="맑은 고딕"/>
                <w:lang w:eastAsia="zh-CN"/>
              </w:rPr>
              <w:t xml:space="preserve">Se a haste do êmbolo não for completamente empurrada, a proteção </w:t>
            </w:r>
            <w:r>
              <w:rPr>
                <w:rFonts w:eastAsia="맑은 고딕"/>
                <w:lang w:eastAsia="zh-CN"/>
              </w:rPr>
              <w:t>de segurança</w:t>
            </w:r>
            <w:r w:rsidRPr="00D31B4A">
              <w:rPr>
                <w:rFonts w:eastAsia="맑은 고딕"/>
                <w:lang w:eastAsia="zh-CN"/>
              </w:rPr>
              <w:t xml:space="preserve"> não se irá </w:t>
            </w:r>
            <w:r w:rsidR="00E431E5">
              <w:rPr>
                <w:rFonts w:eastAsia="맑은 고딕"/>
                <w:lang w:eastAsia="zh-CN"/>
              </w:rPr>
              <w:t>alongar</w:t>
            </w:r>
            <w:r w:rsidRPr="00D31B4A">
              <w:rPr>
                <w:rFonts w:eastAsia="맑은 고딕"/>
                <w:lang w:eastAsia="zh-CN"/>
              </w:rPr>
              <w:t xml:space="preserve"> para cobrir a agulha quando for retirada</w:t>
            </w:r>
            <w:r w:rsidR="00323042" w:rsidRPr="00323042">
              <w:rPr>
                <w:rFonts w:eastAsia="맑은 고딕"/>
                <w:lang w:eastAsia="zh-CN"/>
              </w:rPr>
              <w:t>.</w:t>
            </w:r>
          </w:p>
        </w:tc>
      </w:tr>
      <w:tr w:rsidR="00323042" w:rsidRPr="00323042" w14:paraId="19DC1142" w14:textId="77777777" w:rsidTr="00516C12">
        <w:trPr>
          <w:cantSplit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7E13B17" w14:textId="77777777" w:rsidR="00323042" w:rsidRPr="00323042" w:rsidRDefault="00323042" w:rsidP="001B7D7E">
            <w:pPr>
              <w:tabs>
                <w:tab w:val="clear" w:pos="567"/>
              </w:tabs>
              <w:jc w:val="center"/>
              <w:rPr>
                <w:rFonts w:eastAsia="맑은 고딕"/>
                <w:b/>
                <w:bCs/>
                <w:lang w:eastAsia="zh-CN"/>
              </w:rPr>
            </w:pPr>
            <w:r w:rsidRPr="00323042">
              <w:rPr>
                <w:rFonts w:eastAsia="맑은 고딕"/>
                <w:b/>
                <w:bCs/>
                <w:lang w:eastAsia="ko-KR"/>
              </w:rPr>
              <w:t>Figur</w:t>
            </w:r>
            <w:r w:rsidR="001B7D7E">
              <w:rPr>
                <w:rFonts w:eastAsia="맑은 고딕"/>
                <w:b/>
                <w:bCs/>
                <w:lang w:eastAsia="ko-KR"/>
              </w:rPr>
              <w:t>a</w:t>
            </w:r>
            <w:r w:rsidRPr="00323042">
              <w:rPr>
                <w:rFonts w:eastAsia="맑은 고딕"/>
                <w:b/>
                <w:bCs/>
                <w:lang w:eastAsia="ko-KR"/>
              </w:rPr>
              <w:t xml:space="preserve"> M</w:t>
            </w:r>
          </w:p>
        </w:tc>
        <w:tc>
          <w:tcPr>
            <w:tcW w:w="60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4C310" w14:textId="77777777" w:rsidR="00323042" w:rsidRPr="00323042" w:rsidRDefault="00323042" w:rsidP="00323042">
            <w:pPr>
              <w:tabs>
                <w:tab w:val="clear" w:pos="567"/>
              </w:tabs>
              <w:suppressAutoHyphens/>
              <w:rPr>
                <w:rFonts w:eastAsia="맑은 고딕"/>
                <w:b/>
                <w:bCs/>
                <w:lang w:eastAsia="zh-CN"/>
              </w:rPr>
            </w:pPr>
          </w:p>
        </w:tc>
      </w:tr>
      <w:tr w:rsidR="00323042" w:rsidRPr="00323042" w14:paraId="2F2011E4" w14:textId="77777777" w:rsidTr="00516C12">
        <w:trPr>
          <w:cantSplit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A8EDFA7" w14:textId="77777777" w:rsidR="00323042" w:rsidRPr="00323042" w:rsidRDefault="00323042" w:rsidP="00323042">
            <w:pPr>
              <w:keepNext/>
              <w:tabs>
                <w:tab w:val="clear" w:pos="567"/>
              </w:tabs>
              <w:jc w:val="center"/>
              <w:rPr>
                <w:rFonts w:eastAsia="맑은 고딕"/>
                <w:lang w:eastAsia="zh-CN"/>
              </w:rPr>
            </w:pPr>
          </w:p>
          <w:p w14:paraId="4626D8DE" w14:textId="6895A51C" w:rsidR="00323042" w:rsidRPr="00323042" w:rsidRDefault="0077602B" w:rsidP="00323042">
            <w:pPr>
              <w:keepNext/>
              <w:tabs>
                <w:tab w:val="clear" w:pos="567"/>
              </w:tabs>
              <w:jc w:val="center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noProof/>
                <w:lang w:eastAsia="pt-PT"/>
              </w:rPr>
              <w:drawing>
                <wp:inline distT="0" distB="0" distL="0" distR="0" wp14:anchorId="6E4C58FB" wp14:editId="5FF58253">
                  <wp:extent cx="1670050" cy="2057400"/>
                  <wp:effectExtent l="0" t="0" r="0" b="0"/>
                  <wp:docPr id="16" name="Imagem 16" descr="스케치, 만화 영화, 그림, 디자인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스케치, 만화 영화, 그림, 디자인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5A9643" w14:textId="77777777" w:rsidR="00323042" w:rsidRPr="00323042" w:rsidRDefault="00323042" w:rsidP="00323042">
            <w:pPr>
              <w:keepNext/>
              <w:tabs>
                <w:tab w:val="clear" w:pos="567"/>
              </w:tabs>
              <w:jc w:val="center"/>
              <w:rPr>
                <w:rFonts w:eastAsia="맑은 고딕"/>
                <w:lang w:eastAsia="ko-KR"/>
              </w:rPr>
            </w:pPr>
          </w:p>
        </w:tc>
        <w:tc>
          <w:tcPr>
            <w:tcW w:w="607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D436B78" w14:textId="77777777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4" w:hanging="284"/>
              <w:rPr>
                <w:rFonts w:eastAsia="맑은 고딕"/>
                <w:b/>
                <w:bCs/>
                <w:lang w:eastAsia="zh-CN"/>
              </w:rPr>
            </w:pPr>
            <w:r w:rsidRPr="00323042">
              <w:rPr>
                <w:rFonts w:eastAsia="맑은 고딕"/>
                <w:b/>
                <w:bCs/>
                <w:lang w:eastAsia="zh-CN"/>
              </w:rPr>
              <w:t xml:space="preserve">13. </w:t>
            </w:r>
            <w:r w:rsidR="001B7D7E" w:rsidRPr="001B7D7E">
              <w:rPr>
                <w:rFonts w:eastAsia="맑은 고딕"/>
                <w:b/>
                <w:bCs/>
                <w:lang w:eastAsia="zh-CN"/>
              </w:rPr>
              <w:t xml:space="preserve">Retirar a seringa </w:t>
            </w:r>
            <w:r w:rsidR="001B7D7E" w:rsidRPr="001B7D7E">
              <w:rPr>
                <w:b/>
              </w:rPr>
              <w:t>pré</w:t>
            </w:r>
            <w:r w:rsidR="001B7D7E" w:rsidRPr="001B7D7E">
              <w:rPr>
                <w:b/>
              </w:rPr>
              <w:noBreakHyphen/>
              <w:t>cheia</w:t>
            </w:r>
            <w:r w:rsidR="001B7D7E" w:rsidRPr="001B7D7E">
              <w:rPr>
                <w:rFonts w:eastAsia="맑은 고딕"/>
                <w:b/>
                <w:bCs/>
                <w:lang w:eastAsia="zh-CN"/>
              </w:rPr>
              <w:t xml:space="preserve"> do local da injeção</w:t>
            </w:r>
            <w:r w:rsidRPr="00323042">
              <w:rPr>
                <w:rFonts w:eastAsia="맑은 고딕"/>
                <w:b/>
                <w:bCs/>
                <w:lang w:eastAsia="zh-CN"/>
              </w:rPr>
              <w:t>.</w:t>
            </w:r>
          </w:p>
          <w:p w14:paraId="5E7EC058" w14:textId="77777777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3"/>
              <w:rPr>
                <w:rFonts w:eastAsia="맑은 고딕"/>
                <w:lang w:eastAsia="zh-CN"/>
              </w:rPr>
            </w:pPr>
            <w:r w:rsidRPr="00323042">
              <w:rPr>
                <w:rFonts w:eastAsia="맑은 고딕"/>
                <w:lang w:eastAsia="zh-CN"/>
              </w:rPr>
              <w:t xml:space="preserve">13a. </w:t>
            </w:r>
            <w:r w:rsidR="001B7D7E" w:rsidRPr="001B7D7E">
              <w:rPr>
                <w:rFonts w:eastAsia="맑은 고딕"/>
                <w:lang w:eastAsia="zh-CN"/>
              </w:rPr>
              <w:t xml:space="preserve">Depois de a seringa </w:t>
            </w:r>
            <w:r w:rsidR="001B7D7E" w:rsidRPr="00516C12">
              <w:t>pré</w:t>
            </w:r>
            <w:r w:rsidR="001B7D7E" w:rsidRPr="00516C12">
              <w:noBreakHyphen/>
              <w:t>cheia</w:t>
            </w:r>
            <w:r w:rsidR="001B7D7E" w:rsidRPr="001B7D7E">
              <w:rPr>
                <w:rFonts w:eastAsia="맑은 고딕"/>
                <w:lang w:eastAsia="zh-CN"/>
              </w:rPr>
              <w:t xml:space="preserve"> estar vazia, à medida que a agulha é </w:t>
            </w:r>
            <w:r w:rsidR="009F08D0">
              <w:rPr>
                <w:rFonts w:eastAsia="맑은 고딕"/>
                <w:lang w:eastAsia="zh-CN"/>
              </w:rPr>
              <w:t>removida</w:t>
            </w:r>
            <w:r w:rsidR="001B7D7E" w:rsidRPr="001B7D7E">
              <w:rPr>
                <w:rFonts w:eastAsia="맑은 고딕"/>
                <w:lang w:eastAsia="zh-CN"/>
              </w:rPr>
              <w:t>, retire lentamente a agulha levantando o polegar da haste do êmbolo até que a agulha esteja completamente coberta pela proteção de segurança</w:t>
            </w:r>
            <w:r w:rsidRPr="00323042">
              <w:rPr>
                <w:rFonts w:eastAsia="맑은 고딕"/>
                <w:lang w:eastAsia="zh-CN"/>
              </w:rPr>
              <w:t xml:space="preserve"> (</w:t>
            </w:r>
            <w:r w:rsidR="001B7D7E">
              <w:rPr>
                <w:rFonts w:eastAsia="맑은 고딕"/>
                <w:lang w:eastAsia="zh-CN"/>
              </w:rPr>
              <w:t>ver a</w:t>
            </w:r>
            <w:r w:rsidRPr="00323042">
              <w:rPr>
                <w:rFonts w:eastAsia="맑은 고딕"/>
                <w:lang w:eastAsia="zh-CN"/>
              </w:rPr>
              <w:t xml:space="preserve"> </w:t>
            </w:r>
            <w:r w:rsidRPr="00323042">
              <w:rPr>
                <w:rFonts w:eastAsia="맑은 고딕"/>
                <w:b/>
                <w:bCs/>
                <w:lang w:eastAsia="zh-CN"/>
              </w:rPr>
              <w:t>Figur</w:t>
            </w:r>
            <w:r w:rsidR="001B7D7E">
              <w:rPr>
                <w:rFonts w:eastAsia="맑은 고딕"/>
                <w:b/>
                <w:bCs/>
                <w:lang w:eastAsia="zh-CN"/>
              </w:rPr>
              <w:t>a</w:t>
            </w:r>
            <w:r w:rsidRPr="00323042">
              <w:rPr>
                <w:rFonts w:eastAsia="맑은 고딕"/>
                <w:b/>
                <w:bCs/>
                <w:lang w:eastAsia="zh-CN"/>
              </w:rPr>
              <w:t> N</w:t>
            </w:r>
            <w:r w:rsidRPr="00323042">
              <w:rPr>
                <w:rFonts w:eastAsia="맑은 고딕"/>
                <w:lang w:eastAsia="zh-CN"/>
              </w:rPr>
              <w:t>).</w:t>
            </w:r>
          </w:p>
          <w:p w14:paraId="3FA5E36F" w14:textId="77777777" w:rsidR="00323042" w:rsidRPr="00323042" w:rsidRDefault="001B7D7E" w:rsidP="00323042">
            <w:pPr>
              <w:keepNext/>
              <w:numPr>
                <w:ilvl w:val="0"/>
                <w:numId w:val="59"/>
              </w:numPr>
              <w:tabs>
                <w:tab w:val="clear" w:pos="567"/>
                <w:tab w:val="left" w:pos="851"/>
              </w:tabs>
              <w:suppressAutoHyphens/>
              <w:ind w:left="851" w:hanging="284"/>
              <w:rPr>
                <w:rFonts w:eastAsia="맑은 고딕"/>
                <w:lang w:eastAsia="zh-CN"/>
              </w:rPr>
            </w:pPr>
            <w:r w:rsidRPr="001B7D7E">
              <w:rPr>
                <w:rFonts w:eastAsia="맑은 고딕"/>
                <w:lang w:eastAsia="zh-CN"/>
              </w:rPr>
              <w:t>Se a agulha não estiver coberta, prossiga com a eliminação cuidadosa da seringa</w:t>
            </w:r>
            <w:r w:rsidR="00323042" w:rsidRPr="00323042">
              <w:rPr>
                <w:rFonts w:eastAsia="맑은 고딕"/>
                <w:lang w:eastAsia="zh-CN"/>
              </w:rPr>
              <w:t xml:space="preserve"> (</w:t>
            </w:r>
            <w:r>
              <w:rPr>
                <w:rFonts w:eastAsia="맑은 고딕"/>
                <w:lang w:eastAsia="zh-CN"/>
              </w:rPr>
              <w:t>ver o</w:t>
            </w:r>
            <w:r w:rsidR="00323042" w:rsidRPr="00323042">
              <w:rPr>
                <w:rFonts w:eastAsia="맑은 고딕"/>
                <w:lang w:eastAsia="zh-CN"/>
              </w:rPr>
              <w:t xml:space="preserve"> </w:t>
            </w:r>
            <w:r>
              <w:rPr>
                <w:rFonts w:eastAsia="맑은 고딕"/>
                <w:b/>
                <w:bCs/>
                <w:lang w:eastAsia="zh-CN"/>
              </w:rPr>
              <w:t>Passo</w:t>
            </w:r>
            <w:r w:rsidR="00323042" w:rsidRPr="00323042">
              <w:rPr>
                <w:rFonts w:eastAsia="맑은 고딕"/>
                <w:b/>
                <w:bCs/>
                <w:lang w:eastAsia="zh-CN"/>
              </w:rPr>
              <w:t xml:space="preserve"> 15. </w:t>
            </w:r>
            <w:r>
              <w:rPr>
                <w:rFonts w:eastAsia="맑은 고딕"/>
                <w:b/>
                <w:bCs/>
                <w:lang w:eastAsia="zh-CN"/>
              </w:rPr>
              <w:t>Eliminar</w:t>
            </w:r>
            <w:r w:rsidR="00323042" w:rsidRPr="00323042">
              <w:rPr>
                <w:rFonts w:eastAsia="맑은 고딕"/>
                <w:b/>
                <w:bCs/>
                <w:lang w:eastAsia="zh-CN"/>
              </w:rPr>
              <w:t xml:space="preserve"> Stoboclo</w:t>
            </w:r>
            <w:r w:rsidR="00323042" w:rsidRPr="00323042">
              <w:rPr>
                <w:rFonts w:eastAsia="맑은 고딕"/>
                <w:lang w:eastAsia="zh-CN"/>
              </w:rPr>
              <w:t>).</w:t>
            </w:r>
          </w:p>
          <w:p w14:paraId="5A12EFA4" w14:textId="5C4E302D" w:rsidR="00323042" w:rsidRPr="00323042" w:rsidRDefault="001B7D7E" w:rsidP="00323042">
            <w:pPr>
              <w:keepNext/>
              <w:numPr>
                <w:ilvl w:val="0"/>
                <w:numId w:val="59"/>
              </w:numPr>
              <w:tabs>
                <w:tab w:val="clear" w:pos="567"/>
                <w:tab w:val="left" w:pos="851"/>
              </w:tabs>
              <w:suppressAutoHyphens/>
              <w:ind w:left="851" w:hanging="284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b/>
                <w:bCs/>
                <w:lang w:eastAsia="zh-CN"/>
              </w:rPr>
              <w:t>Não</w:t>
            </w:r>
            <w:r w:rsidR="00323042" w:rsidRPr="00323042">
              <w:rPr>
                <w:rFonts w:eastAsia="맑은 고딕"/>
                <w:lang w:eastAsia="zh-CN"/>
              </w:rPr>
              <w:t xml:space="preserve"> </w:t>
            </w:r>
            <w:r w:rsidR="00520DDA">
              <w:rPr>
                <w:rFonts w:eastAsia="맑은 고딕"/>
                <w:lang w:eastAsia="zh-CN"/>
              </w:rPr>
              <w:t xml:space="preserve">recoloque a </w:t>
            </w:r>
            <w:r w:rsidR="00513B94">
              <w:rPr>
                <w:rFonts w:eastAsia="맑은 고딕"/>
                <w:lang w:eastAsia="zh-CN"/>
              </w:rPr>
              <w:t xml:space="preserve">tampa </w:t>
            </w:r>
            <w:r w:rsidR="00520DDA">
              <w:rPr>
                <w:rFonts w:eastAsia="맑은 고딕"/>
                <w:lang w:eastAsia="zh-CN"/>
              </w:rPr>
              <w:t>da agulha</w:t>
            </w:r>
            <w:r w:rsidR="00323042" w:rsidRPr="00323042">
              <w:rPr>
                <w:rFonts w:eastAsia="맑은 고딕"/>
                <w:lang w:eastAsia="zh-CN"/>
              </w:rPr>
              <w:t xml:space="preserve"> </w:t>
            </w:r>
            <w:r w:rsidR="00520DDA">
              <w:rPr>
                <w:rFonts w:eastAsia="맑은 고딕"/>
                <w:lang w:eastAsia="zh-CN"/>
              </w:rPr>
              <w:t xml:space="preserve">em seringas </w:t>
            </w:r>
            <w:r w:rsidR="00520DDA" w:rsidRPr="00516C12">
              <w:t>pré</w:t>
            </w:r>
            <w:r w:rsidR="00520DDA" w:rsidRPr="00516C12">
              <w:noBreakHyphen/>
              <w:t>cheia</w:t>
            </w:r>
            <w:r w:rsidR="00520DDA">
              <w:t xml:space="preserve">s </w:t>
            </w:r>
            <w:r w:rsidR="00520DDA">
              <w:rPr>
                <w:rFonts w:eastAsia="맑은 고딕"/>
                <w:lang w:eastAsia="zh-CN"/>
              </w:rPr>
              <w:t>usadas</w:t>
            </w:r>
            <w:r w:rsidR="00323042" w:rsidRPr="00323042">
              <w:rPr>
                <w:rFonts w:eastAsia="맑은 고딕"/>
                <w:lang w:eastAsia="zh-CN"/>
              </w:rPr>
              <w:t>.</w:t>
            </w:r>
          </w:p>
          <w:p w14:paraId="23804A03" w14:textId="77777777" w:rsidR="00323042" w:rsidRPr="00323042" w:rsidRDefault="00520DDA" w:rsidP="00323042">
            <w:pPr>
              <w:keepNext/>
              <w:numPr>
                <w:ilvl w:val="0"/>
                <w:numId w:val="59"/>
              </w:numPr>
              <w:tabs>
                <w:tab w:val="clear" w:pos="567"/>
                <w:tab w:val="left" w:pos="851"/>
              </w:tabs>
              <w:suppressAutoHyphens/>
              <w:ind w:left="851" w:hanging="284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b/>
                <w:bCs/>
                <w:lang w:eastAsia="zh-CN"/>
              </w:rPr>
              <w:t>Não</w:t>
            </w:r>
            <w:r w:rsidR="00323042" w:rsidRPr="00323042">
              <w:rPr>
                <w:rFonts w:eastAsia="맑은 고딕"/>
                <w:lang w:eastAsia="zh-CN"/>
              </w:rPr>
              <w:t xml:space="preserve"> </w:t>
            </w:r>
            <w:r>
              <w:rPr>
                <w:rFonts w:eastAsia="맑은 고딕"/>
                <w:lang w:eastAsia="zh-CN"/>
              </w:rPr>
              <w:t xml:space="preserve">reutilize a seringa </w:t>
            </w:r>
            <w:r w:rsidRPr="00516C12">
              <w:t>pré</w:t>
            </w:r>
            <w:r w:rsidRPr="00516C12">
              <w:noBreakHyphen/>
              <w:t>cheia</w:t>
            </w:r>
            <w:r w:rsidR="00323042" w:rsidRPr="00323042">
              <w:rPr>
                <w:rFonts w:eastAsia="맑은 고딕"/>
                <w:lang w:eastAsia="zh-CN"/>
              </w:rPr>
              <w:t>.</w:t>
            </w:r>
          </w:p>
          <w:p w14:paraId="0BA409FE" w14:textId="77777777" w:rsidR="00323042" w:rsidRPr="00323042" w:rsidRDefault="00520DDA" w:rsidP="00520DDA">
            <w:pPr>
              <w:keepNext/>
              <w:numPr>
                <w:ilvl w:val="0"/>
                <w:numId w:val="59"/>
              </w:numPr>
              <w:tabs>
                <w:tab w:val="clear" w:pos="567"/>
                <w:tab w:val="left" w:pos="851"/>
              </w:tabs>
              <w:suppressAutoHyphens/>
              <w:ind w:left="851" w:hanging="284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b/>
                <w:bCs/>
                <w:lang w:eastAsia="zh-CN"/>
              </w:rPr>
              <w:t>Não</w:t>
            </w:r>
            <w:r w:rsidR="00323042" w:rsidRPr="00323042">
              <w:rPr>
                <w:rFonts w:eastAsia="맑은 고딕"/>
                <w:lang w:eastAsia="zh-CN"/>
              </w:rPr>
              <w:t xml:space="preserve"> </w:t>
            </w:r>
            <w:r w:rsidRPr="00520DDA">
              <w:rPr>
                <w:rFonts w:eastAsia="맑은 고딕"/>
                <w:lang w:eastAsia="zh-CN"/>
              </w:rPr>
              <w:t>esfregue o local da injeção</w:t>
            </w:r>
            <w:r w:rsidR="00323042" w:rsidRPr="00323042">
              <w:rPr>
                <w:rFonts w:eastAsia="맑은 고딕"/>
                <w:lang w:eastAsia="zh-CN"/>
              </w:rPr>
              <w:t>.</w:t>
            </w:r>
          </w:p>
        </w:tc>
      </w:tr>
      <w:tr w:rsidR="00323042" w:rsidRPr="00323042" w14:paraId="1141A02A" w14:textId="77777777" w:rsidTr="00516C12">
        <w:trPr>
          <w:cantSplit/>
        </w:trPr>
        <w:tc>
          <w:tcPr>
            <w:tcW w:w="2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C5B2FA4" w14:textId="77777777" w:rsidR="00323042" w:rsidRPr="00323042" w:rsidRDefault="00323042" w:rsidP="00A54D6E">
            <w:pPr>
              <w:tabs>
                <w:tab w:val="clear" w:pos="567"/>
              </w:tabs>
              <w:jc w:val="center"/>
              <w:rPr>
                <w:rFonts w:eastAsia="맑은 고딕"/>
                <w:b/>
                <w:bCs/>
                <w:lang w:eastAsia="zh-CN"/>
              </w:rPr>
            </w:pPr>
            <w:r w:rsidRPr="00323042">
              <w:rPr>
                <w:rFonts w:eastAsia="맑은 고딕"/>
                <w:b/>
                <w:bCs/>
                <w:lang w:eastAsia="ko-KR"/>
              </w:rPr>
              <w:t>Figur</w:t>
            </w:r>
            <w:r w:rsidR="00A54D6E">
              <w:rPr>
                <w:rFonts w:eastAsia="맑은 고딕"/>
                <w:b/>
                <w:bCs/>
                <w:lang w:eastAsia="ko-KR"/>
              </w:rPr>
              <w:t>a</w:t>
            </w:r>
            <w:r w:rsidRPr="00323042">
              <w:rPr>
                <w:rFonts w:eastAsia="맑은 고딕"/>
                <w:b/>
                <w:bCs/>
                <w:lang w:eastAsia="ko-KR"/>
              </w:rPr>
              <w:t xml:space="preserve"> N</w:t>
            </w:r>
          </w:p>
        </w:tc>
        <w:tc>
          <w:tcPr>
            <w:tcW w:w="607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FA249" w14:textId="77777777" w:rsidR="00323042" w:rsidRPr="00323042" w:rsidRDefault="00323042" w:rsidP="00323042">
            <w:pPr>
              <w:tabs>
                <w:tab w:val="clear" w:pos="567"/>
              </w:tabs>
              <w:suppressAutoHyphens/>
              <w:rPr>
                <w:rFonts w:eastAsia="맑은 고딕"/>
                <w:b/>
                <w:bCs/>
                <w:lang w:eastAsia="zh-CN"/>
              </w:rPr>
            </w:pPr>
          </w:p>
        </w:tc>
      </w:tr>
    </w:tbl>
    <w:p w14:paraId="1DAA3657" w14:textId="77777777" w:rsidR="00323042" w:rsidRPr="00323042" w:rsidRDefault="00323042" w:rsidP="00323042">
      <w:pPr>
        <w:tabs>
          <w:tab w:val="clear" w:pos="567"/>
        </w:tabs>
        <w:rPr>
          <w:rFonts w:eastAsia="맑은 고딕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011"/>
        <w:gridCol w:w="6053"/>
      </w:tblGrid>
      <w:tr w:rsidR="00323042" w:rsidRPr="00323042" w14:paraId="03FFC60C" w14:textId="77777777" w:rsidTr="00516C12">
        <w:trPr>
          <w:cantSplit/>
          <w:tblHeader/>
        </w:trPr>
        <w:tc>
          <w:tcPr>
            <w:tcW w:w="9064" w:type="dxa"/>
            <w:gridSpan w:val="2"/>
          </w:tcPr>
          <w:p w14:paraId="25F35B3C" w14:textId="77777777" w:rsidR="00323042" w:rsidRPr="00323042" w:rsidRDefault="00A54D6E" w:rsidP="00323042">
            <w:pPr>
              <w:keepNext/>
              <w:tabs>
                <w:tab w:val="clear" w:pos="567"/>
              </w:tabs>
              <w:rPr>
                <w:rFonts w:eastAsia="맑은 고딕"/>
                <w:b/>
                <w:bCs/>
                <w:lang w:eastAsia="zh-CN"/>
              </w:rPr>
            </w:pPr>
            <w:r w:rsidRPr="00A54D6E">
              <w:rPr>
                <w:rFonts w:eastAsia="맑은 고딕"/>
                <w:b/>
                <w:bCs/>
                <w:lang w:eastAsia="zh-CN"/>
              </w:rPr>
              <w:t>Depois da injeção</w:t>
            </w:r>
          </w:p>
        </w:tc>
      </w:tr>
      <w:tr w:rsidR="00323042" w:rsidRPr="00323042" w14:paraId="1EAA7D9C" w14:textId="77777777" w:rsidTr="00516C12">
        <w:trPr>
          <w:cantSplit/>
        </w:trPr>
        <w:tc>
          <w:tcPr>
            <w:tcW w:w="3011" w:type="dxa"/>
            <w:tcBorders>
              <w:bottom w:val="single" w:sz="4" w:space="0" w:color="auto"/>
              <w:right w:val="nil"/>
            </w:tcBorders>
          </w:tcPr>
          <w:p w14:paraId="065D6526" w14:textId="77777777" w:rsidR="00323042" w:rsidRPr="00323042" w:rsidRDefault="00323042" w:rsidP="00323042">
            <w:pPr>
              <w:tabs>
                <w:tab w:val="clear" w:pos="567"/>
              </w:tabs>
              <w:rPr>
                <w:rFonts w:eastAsia="맑은 고딕"/>
                <w:lang w:eastAsia="ko-KR"/>
              </w:rPr>
            </w:pPr>
          </w:p>
          <w:p w14:paraId="47FE0B6A" w14:textId="77777777" w:rsidR="00323042" w:rsidRPr="00323042" w:rsidRDefault="00323042" w:rsidP="00323042">
            <w:pPr>
              <w:tabs>
                <w:tab w:val="clear" w:pos="567"/>
              </w:tabs>
              <w:rPr>
                <w:rFonts w:eastAsia="맑은 고딕"/>
                <w:lang w:eastAsia="ko-KR"/>
              </w:rPr>
            </w:pPr>
          </w:p>
        </w:tc>
        <w:tc>
          <w:tcPr>
            <w:tcW w:w="6053" w:type="dxa"/>
            <w:tcBorders>
              <w:left w:val="nil"/>
              <w:bottom w:val="single" w:sz="4" w:space="0" w:color="auto"/>
            </w:tcBorders>
          </w:tcPr>
          <w:p w14:paraId="7808CC94" w14:textId="77777777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4" w:hanging="284"/>
              <w:rPr>
                <w:rFonts w:eastAsia="맑은 고딕"/>
                <w:b/>
                <w:bCs/>
                <w:lang w:eastAsia="zh-CN"/>
              </w:rPr>
            </w:pPr>
            <w:r w:rsidRPr="00323042">
              <w:rPr>
                <w:rFonts w:eastAsia="맑은 고딕"/>
                <w:b/>
                <w:bCs/>
                <w:lang w:eastAsia="zh-CN"/>
              </w:rPr>
              <w:t xml:space="preserve">14. </w:t>
            </w:r>
            <w:r w:rsidR="00A54D6E" w:rsidRPr="00A54D6E">
              <w:rPr>
                <w:rFonts w:eastAsia="맑은 고딕"/>
                <w:b/>
                <w:bCs/>
                <w:lang w:eastAsia="zh-CN"/>
              </w:rPr>
              <w:t>Cuidar do local da injeção</w:t>
            </w:r>
            <w:r w:rsidRPr="00323042">
              <w:rPr>
                <w:rFonts w:eastAsia="맑은 고딕"/>
                <w:b/>
                <w:bCs/>
                <w:lang w:eastAsia="zh-CN"/>
              </w:rPr>
              <w:t>.</w:t>
            </w:r>
          </w:p>
          <w:p w14:paraId="049D3943" w14:textId="77777777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3"/>
              <w:rPr>
                <w:rFonts w:eastAsia="맑은 고딕"/>
                <w:lang w:eastAsia="zh-CN"/>
              </w:rPr>
            </w:pPr>
            <w:r w:rsidRPr="00323042">
              <w:rPr>
                <w:rFonts w:eastAsia="맑은 고딕"/>
                <w:lang w:eastAsia="zh-CN"/>
              </w:rPr>
              <w:t xml:space="preserve">14a. </w:t>
            </w:r>
            <w:r w:rsidR="00A54D6E" w:rsidRPr="00A54D6E">
              <w:rPr>
                <w:rFonts w:eastAsia="맑은 고딕"/>
                <w:lang w:eastAsia="zh-CN"/>
              </w:rPr>
              <w:t>Se ocorrer algum sangramento, trate o local da injeção pressionando suavemente — não esfregando — uma bola de algodão ou gaze sobre o local e aplicando um penso adesivo, se necessário</w:t>
            </w:r>
            <w:r w:rsidRPr="00323042">
              <w:rPr>
                <w:rFonts w:eastAsia="맑은 고딕"/>
                <w:lang w:eastAsia="zh-CN"/>
              </w:rPr>
              <w:t>.</w:t>
            </w:r>
          </w:p>
        </w:tc>
      </w:tr>
      <w:tr w:rsidR="00323042" w:rsidRPr="00323042" w14:paraId="456F5BFC" w14:textId="77777777" w:rsidTr="00516C12">
        <w:trPr>
          <w:cantSplit/>
        </w:trPr>
        <w:tc>
          <w:tcPr>
            <w:tcW w:w="3011" w:type="dxa"/>
            <w:tcBorders>
              <w:bottom w:val="nil"/>
              <w:right w:val="nil"/>
            </w:tcBorders>
          </w:tcPr>
          <w:p w14:paraId="0DA17AFA" w14:textId="77777777" w:rsidR="00323042" w:rsidRPr="00323042" w:rsidRDefault="00323042" w:rsidP="00323042">
            <w:pPr>
              <w:keepNext/>
              <w:tabs>
                <w:tab w:val="clear" w:pos="567"/>
              </w:tabs>
              <w:jc w:val="center"/>
              <w:rPr>
                <w:rFonts w:eastAsia="맑은 고딕"/>
                <w:lang w:eastAsia="zh-CN"/>
              </w:rPr>
            </w:pPr>
          </w:p>
          <w:p w14:paraId="06F7903B" w14:textId="28CE118E" w:rsidR="00323042" w:rsidRPr="00323042" w:rsidRDefault="0077602B" w:rsidP="00323042">
            <w:pPr>
              <w:keepNext/>
              <w:tabs>
                <w:tab w:val="clear" w:pos="567"/>
              </w:tabs>
              <w:jc w:val="center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noProof/>
                <w:lang w:eastAsia="pt-PT"/>
              </w:rPr>
              <w:drawing>
                <wp:inline distT="0" distB="0" distL="0" distR="0" wp14:anchorId="01FE8235" wp14:editId="53DBAB5F">
                  <wp:extent cx="1752600" cy="2146300"/>
                  <wp:effectExtent l="0" t="0" r="0" b="0"/>
                  <wp:docPr id="17" name="Imagem 17" descr="스케치, 그림, 클립아트, 라인 아트이(가) 표시된 사진&#10;&#10;자동 생성된 설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스케치, 그림, 클립아트, 라인 아트이(가) 표시된 사진&#10;&#10;자동 생성된 설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214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64DEE1" w14:textId="77777777" w:rsidR="00323042" w:rsidRPr="00323042" w:rsidRDefault="00323042" w:rsidP="00323042">
            <w:pPr>
              <w:keepNext/>
              <w:tabs>
                <w:tab w:val="clear" w:pos="567"/>
              </w:tabs>
              <w:jc w:val="center"/>
              <w:rPr>
                <w:rFonts w:eastAsia="맑은 고딕"/>
                <w:lang w:eastAsia="ko-KR"/>
              </w:rPr>
            </w:pPr>
          </w:p>
        </w:tc>
        <w:tc>
          <w:tcPr>
            <w:tcW w:w="6053" w:type="dxa"/>
            <w:vMerge w:val="restart"/>
            <w:tcBorders>
              <w:left w:val="nil"/>
            </w:tcBorders>
          </w:tcPr>
          <w:p w14:paraId="52C74776" w14:textId="77777777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4" w:hanging="284"/>
              <w:rPr>
                <w:rFonts w:eastAsia="맑은 고딕"/>
                <w:b/>
                <w:bCs/>
                <w:lang w:eastAsia="zh-CN"/>
              </w:rPr>
            </w:pPr>
            <w:r w:rsidRPr="00323042">
              <w:rPr>
                <w:rFonts w:eastAsia="맑은 고딕"/>
                <w:b/>
                <w:bCs/>
                <w:lang w:eastAsia="zh-CN"/>
              </w:rPr>
              <w:t xml:space="preserve">15. </w:t>
            </w:r>
            <w:r w:rsidR="001F7353" w:rsidRPr="001F7353">
              <w:rPr>
                <w:rFonts w:eastAsia="맑은 고딕"/>
                <w:b/>
                <w:bCs/>
                <w:lang w:eastAsia="zh-CN"/>
              </w:rPr>
              <w:t>Eliminar</w:t>
            </w:r>
            <w:r w:rsidR="001F7353">
              <w:rPr>
                <w:rFonts w:eastAsia="맑은 고딕"/>
                <w:b/>
                <w:bCs/>
                <w:lang w:eastAsia="zh-CN"/>
              </w:rPr>
              <w:t xml:space="preserve"> a </w:t>
            </w:r>
            <w:r w:rsidR="001F7353" w:rsidRPr="001F7353">
              <w:rPr>
                <w:rFonts w:eastAsia="맑은 고딕"/>
                <w:b/>
                <w:bCs/>
                <w:lang w:eastAsia="zh-CN"/>
              </w:rPr>
              <w:t xml:space="preserve">seringa </w:t>
            </w:r>
            <w:r w:rsidR="00313547" w:rsidRPr="00313547">
              <w:rPr>
                <w:b/>
              </w:rPr>
              <w:t>pré</w:t>
            </w:r>
            <w:r w:rsidR="00313547" w:rsidRPr="00313547">
              <w:rPr>
                <w:b/>
              </w:rPr>
              <w:noBreakHyphen/>
              <w:t>cheia</w:t>
            </w:r>
            <w:r w:rsidRPr="00323042">
              <w:rPr>
                <w:rFonts w:eastAsia="맑은 고딕"/>
                <w:b/>
                <w:bCs/>
                <w:lang w:eastAsia="zh-CN"/>
              </w:rPr>
              <w:t>.</w:t>
            </w:r>
          </w:p>
          <w:p w14:paraId="420D5F05" w14:textId="1FA29EEA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3"/>
              <w:rPr>
                <w:rFonts w:eastAsia="맑은 고딕"/>
                <w:lang w:eastAsia="zh-CN"/>
              </w:rPr>
            </w:pPr>
            <w:r w:rsidRPr="00323042">
              <w:rPr>
                <w:rFonts w:eastAsia="맑은 고딕"/>
                <w:lang w:eastAsia="zh-CN"/>
              </w:rPr>
              <w:t xml:space="preserve">15a. </w:t>
            </w:r>
            <w:r w:rsidR="00E53C8F" w:rsidRPr="00E53C8F">
              <w:rPr>
                <w:rFonts w:eastAsia="맑은 고딕"/>
                <w:lang w:eastAsia="zh-CN"/>
              </w:rPr>
              <w:t xml:space="preserve">Imediatamente após a utilização, coloque a seringa </w:t>
            </w:r>
            <w:r w:rsidR="00E53C8F" w:rsidRPr="00516C12">
              <w:t>pré</w:t>
            </w:r>
            <w:r w:rsidR="00E53C8F" w:rsidRPr="00516C12">
              <w:noBreakHyphen/>
              <w:t>cheia</w:t>
            </w:r>
            <w:r w:rsidR="00E53C8F" w:rsidRPr="00E53C8F">
              <w:rPr>
                <w:rFonts w:eastAsia="맑은 고딕"/>
                <w:lang w:eastAsia="zh-CN"/>
              </w:rPr>
              <w:t xml:space="preserve"> usada num recipiente para eliminação de objetos </w:t>
            </w:r>
            <w:r w:rsidR="004D3D35">
              <w:rPr>
                <w:rFonts w:eastAsia="맑은 고딕"/>
                <w:lang w:eastAsia="zh-CN"/>
              </w:rPr>
              <w:t>perfuro</w:t>
            </w:r>
            <w:r w:rsidR="00E53C8F" w:rsidRPr="00E53C8F">
              <w:rPr>
                <w:rFonts w:eastAsia="맑은 고딕"/>
                <w:lang w:eastAsia="zh-CN"/>
              </w:rPr>
              <w:t>cortantes</w:t>
            </w:r>
            <w:r w:rsidRPr="00323042">
              <w:rPr>
                <w:rFonts w:eastAsia="맑은 고딕"/>
                <w:lang w:eastAsia="zh-CN"/>
              </w:rPr>
              <w:t xml:space="preserve"> (</w:t>
            </w:r>
            <w:r w:rsidR="00E53C8F">
              <w:rPr>
                <w:rFonts w:eastAsia="맑은 고딕"/>
                <w:lang w:eastAsia="zh-CN"/>
              </w:rPr>
              <w:t>ver a</w:t>
            </w:r>
            <w:r w:rsidRPr="00323042">
              <w:rPr>
                <w:rFonts w:eastAsia="맑은 고딕"/>
                <w:lang w:eastAsia="zh-CN"/>
              </w:rPr>
              <w:t xml:space="preserve"> </w:t>
            </w:r>
            <w:r w:rsidRPr="00323042">
              <w:rPr>
                <w:rFonts w:eastAsia="맑은 고딕"/>
                <w:b/>
                <w:bCs/>
                <w:lang w:eastAsia="zh-CN"/>
              </w:rPr>
              <w:t>Figur</w:t>
            </w:r>
            <w:r w:rsidR="00E53C8F">
              <w:rPr>
                <w:rFonts w:eastAsia="맑은 고딕"/>
                <w:b/>
                <w:bCs/>
                <w:lang w:eastAsia="zh-CN"/>
              </w:rPr>
              <w:t>a</w:t>
            </w:r>
            <w:r w:rsidRPr="00323042">
              <w:rPr>
                <w:rFonts w:eastAsia="맑은 고딕"/>
                <w:b/>
                <w:bCs/>
                <w:lang w:eastAsia="zh-CN"/>
              </w:rPr>
              <w:t> O</w:t>
            </w:r>
            <w:r w:rsidRPr="00323042">
              <w:rPr>
                <w:rFonts w:eastAsia="맑은 고딕"/>
                <w:lang w:eastAsia="zh-CN"/>
              </w:rPr>
              <w:t>).</w:t>
            </w:r>
          </w:p>
          <w:p w14:paraId="160324E7" w14:textId="77777777" w:rsidR="00323042" w:rsidRPr="00323042" w:rsidRDefault="00323042" w:rsidP="00323042">
            <w:pPr>
              <w:keepNext/>
              <w:tabs>
                <w:tab w:val="clear" w:pos="567"/>
              </w:tabs>
              <w:suppressAutoHyphens/>
              <w:ind w:left="283"/>
              <w:rPr>
                <w:rFonts w:eastAsia="맑은 고딕"/>
                <w:lang w:eastAsia="zh-CN"/>
              </w:rPr>
            </w:pPr>
            <w:r w:rsidRPr="00323042">
              <w:rPr>
                <w:rFonts w:eastAsia="맑은 고딕"/>
                <w:lang w:eastAsia="zh-CN"/>
              </w:rPr>
              <w:t>15b.</w:t>
            </w:r>
            <w:r w:rsidRPr="00323042">
              <w:rPr>
                <w:rFonts w:eastAsia="맑은 고딕"/>
                <w:b/>
                <w:bCs/>
                <w:lang w:eastAsia="zh-CN"/>
              </w:rPr>
              <w:t xml:space="preserve"> </w:t>
            </w:r>
            <w:r w:rsidR="00986315">
              <w:rPr>
                <w:rFonts w:eastAsia="맑은 고딕"/>
                <w:b/>
                <w:bCs/>
                <w:lang w:eastAsia="zh-CN"/>
              </w:rPr>
              <w:t>Não</w:t>
            </w:r>
            <w:r w:rsidRPr="00323042">
              <w:rPr>
                <w:rFonts w:eastAsia="맑은 고딕"/>
                <w:b/>
                <w:bCs/>
                <w:lang w:eastAsia="zh-CN"/>
              </w:rPr>
              <w:t xml:space="preserve"> </w:t>
            </w:r>
            <w:r w:rsidR="00986315" w:rsidRPr="00986315">
              <w:rPr>
                <w:rFonts w:eastAsia="맑은 고딕"/>
                <w:lang w:eastAsia="zh-CN"/>
              </w:rPr>
              <w:t xml:space="preserve">deite fora (não elimine) a seringa </w:t>
            </w:r>
            <w:r w:rsidR="00986315" w:rsidRPr="00516C12">
              <w:t>pré</w:t>
            </w:r>
            <w:r w:rsidR="00986315" w:rsidRPr="00516C12">
              <w:noBreakHyphen/>
              <w:t>cheia</w:t>
            </w:r>
            <w:r w:rsidR="00986315" w:rsidRPr="00986315">
              <w:rPr>
                <w:rFonts w:eastAsia="맑은 고딕"/>
                <w:lang w:eastAsia="zh-CN"/>
              </w:rPr>
              <w:t xml:space="preserve"> no seu lixo</w:t>
            </w:r>
            <w:r w:rsidR="00986315">
              <w:rPr>
                <w:rFonts w:eastAsia="맑은 고딕"/>
                <w:lang w:eastAsia="zh-CN"/>
              </w:rPr>
              <w:t xml:space="preserve"> doméstico</w:t>
            </w:r>
            <w:r w:rsidRPr="00323042">
              <w:rPr>
                <w:rFonts w:eastAsia="맑은 고딕"/>
                <w:lang w:eastAsia="zh-CN"/>
              </w:rPr>
              <w:t>.</w:t>
            </w:r>
          </w:p>
          <w:p w14:paraId="11AB5C7B" w14:textId="50237391" w:rsidR="00323042" w:rsidRPr="00323042" w:rsidRDefault="00B5222C" w:rsidP="00323042">
            <w:pPr>
              <w:keepNext/>
              <w:numPr>
                <w:ilvl w:val="0"/>
                <w:numId w:val="59"/>
              </w:numPr>
              <w:tabs>
                <w:tab w:val="clear" w:pos="567"/>
                <w:tab w:val="left" w:pos="851"/>
              </w:tabs>
              <w:suppressAutoHyphens/>
              <w:ind w:left="851" w:hanging="284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lang w:eastAsia="zh-CN"/>
              </w:rPr>
              <w:t xml:space="preserve">Mantenha a seringa e o recipiente para eliminação de objetos </w:t>
            </w:r>
            <w:r w:rsidR="004D3D35">
              <w:rPr>
                <w:rFonts w:eastAsia="맑은 고딕"/>
                <w:lang w:eastAsia="zh-CN"/>
              </w:rPr>
              <w:t>perfuro</w:t>
            </w:r>
            <w:r>
              <w:rPr>
                <w:rFonts w:eastAsia="맑은 고딕"/>
                <w:lang w:eastAsia="zh-CN"/>
              </w:rPr>
              <w:t xml:space="preserve">cortantes </w:t>
            </w:r>
            <w:r w:rsidRPr="00B5222C">
              <w:rPr>
                <w:rFonts w:eastAsia="맑은 고딕"/>
                <w:lang w:eastAsia="zh-CN"/>
              </w:rPr>
              <w:t>fora da vista e do alcance das crianças</w:t>
            </w:r>
            <w:r w:rsidR="00323042" w:rsidRPr="00323042">
              <w:rPr>
                <w:rFonts w:eastAsia="맑은 고딕"/>
                <w:lang w:eastAsia="zh-CN"/>
              </w:rPr>
              <w:t>.</w:t>
            </w:r>
          </w:p>
          <w:p w14:paraId="760794C0" w14:textId="139955B9" w:rsidR="00323042" w:rsidRPr="00323042" w:rsidRDefault="00513201" w:rsidP="00323042">
            <w:pPr>
              <w:keepNext/>
              <w:numPr>
                <w:ilvl w:val="0"/>
                <w:numId w:val="59"/>
              </w:numPr>
              <w:tabs>
                <w:tab w:val="clear" w:pos="567"/>
                <w:tab w:val="left" w:pos="851"/>
              </w:tabs>
              <w:suppressAutoHyphens/>
              <w:ind w:left="851" w:hanging="284"/>
              <w:rPr>
                <w:rFonts w:eastAsia="맑은 고딕"/>
                <w:lang w:eastAsia="zh-CN"/>
              </w:rPr>
            </w:pPr>
            <w:r w:rsidRPr="00513201">
              <w:rPr>
                <w:rFonts w:eastAsia="맑은 고딕"/>
                <w:lang w:eastAsia="zh-CN"/>
              </w:rPr>
              <w:t xml:space="preserve">Se não tiver um recipiente para eliminação de objetos </w:t>
            </w:r>
            <w:r w:rsidR="004D3D35">
              <w:rPr>
                <w:rFonts w:eastAsia="맑은 고딕"/>
                <w:lang w:eastAsia="zh-CN"/>
              </w:rPr>
              <w:t>perfuro</w:t>
            </w:r>
            <w:r w:rsidRPr="00513201">
              <w:rPr>
                <w:rFonts w:eastAsia="맑은 고딕"/>
                <w:lang w:eastAsia="zh-CN"/>
              </w:rPr>
              <w:t>cortantes, pode utilizar um recipiente doméstico que possa fechar e seja resistente a perfurações</w:t>
            </w:r>
            <w:r w:rsidR="00323042" w:rsidRPr="00323042">
              <w:rPr>
                <w:rFonts w:eastAsia="맑은 고딕"/>
                <w:lang w:eastAsia="zh-CN"/>
              </w:rPr>
              <w:t>.</w:t>
            </w:r>
          </w:p>
          <w:p w14:paraId="1BE28130" w14:textId="77777777" w:rsidR="00323042" w:rsidRPr="00323042" w:rsidRDefault="00513201" w:rsidP="00323042">
            <w:pPr>
              <w:keepNext/>
              <w:numPr>
                <w:ilvl w:val="0"/>
                <w:numId w:val="59"/>
              </w:numPr>
              <w:tabs>
                <w:tab w:val="clear" w:pos="567"/>
                <w:tab w:val="left" w:pos="851"/>
              </w:tabs>
              <w:suppressAutoHyphens/>
              <w:ind w:left="851" w:hanging="284"/>
              <w:rPr>
                <w:rFonts w:eastAsia="맑은 고딕"/>
                <w:lang w:eastAsia="zh-CN"/>
              </w:rPr>
            </w:pPr>
            <w:r w:rsidRPr="00513201">
              <w:rPr>
                <w:rFonts w:eastAsia="맑은 고딕"/>
                <w:lang w:eastAsia="zh-CN"/>
              </w:rPr>
              <w:t>Para a sua segurança e a sua saúde, bem como as de terceiros, as agulhas e as seringas usadas nunca podem ser reutilizadas</w:t>
            </w:r>
            <w:r w:rsidR="00323042" w:rsidRPr="00323042">
              <w:rPr>
                <w:rFonts w:eastAsia="맑은 고딕"/>
                <w:lang w:eastAsia="zh-CN"/>
              </w:rPr>
              <w:t xml:space="preserve">. </w:t>
            </w:r>
            <w:r w:rsidRPr="00513201">
              <w:rPr>
                <w:rFonts w:eastAsia="맑은 고딕"/>
                <w:lang w:eastAsia="zh-CN"/>
              </w:rPr>
              <w:t>Qualquer medicamento não utilizado ou resíduos devem ser eliminados de acordo com as exigências locais</w:t>
            </w:r>
            <w:r w:rsidR="00323042" w:rsidRPr="00323042">
              <w:rPr>
                <w:rFonts w:eastAsia="맑은 고딕"/>
                <w:lang w:eastAsia="zh-CN"/>
              </w:rPr>
              <w:t>.</w:t>
            </w:r>
          </w:p>
          <w:p w14:paraId="5B82D698" w14:textId="77777777" w:rsidR="00323042" w:rsidRPr="00323042" w:rsidRDefault="00513201" w:rsidP="00513201">
            <w:pPr>
              <w:keepNext/>
              <w:numPr>
                <w:ilvl w:val="0"/>
                <w:numId w:val="59"/>
              </w:numPr>
              <w:tabs>
                <w:tab w:val="clear" w:pos="567"/>
                <w:tab w:val="left" w:pos="851"/>
              </w:tabs>
              <w:suppressAutoHyphens/>
              <w:ind w:left="851" w:hanging="284"/>
              <w:rPr>
                <w:rFonts w:eastAsia="맑은 고딕"/>
                <w:lang w:eastAsia="zh-CN"/>
              </w:rPr>
            </w:pPr>
            <w:r>
              <w:rPr>
                <w:rFonts w:eastAsia="맑은 고딕"/>
                <w:b/>
                <w:bCs/>
                <w:lang w:eastAsia="zh-CN"/>
              </w:rPr>
              <w:t>Não</w:t>
            </w:r>
            <w:r w:rsidR="00323042" w:rsidRPr="00323042">
              <w:rPr>
                <w:rFonts w:eastAsia="맑은 고딕"/>
                <w:lang w:eastAsia="zh-CN"/>
              </w:rPr>
              <w:t xml:space="preserve"> </w:t>
            </w:r>
            <w:r w:rsidRPr="00513201">
              <w:rPr>
                <w:rFonts w:eastAsia="맑은 고딕"/>
                <w:lang w:eastAsia="zh-CN"/>
              </w:rPr>
              <w:t>deite fora quaisquer medicamentos na canalização ou no lixo doméstico. Pergunte ao seu farmacêutico como deitar fora os medicamentos que já não utiliza. Estas medidas ajudarão a proteger o ambiente</w:t>
            </w:r>
            <w:r w:rsidR="00323042" w:rsidRPr="00323042">
              <w:rPr>
                <w:rFonts w:eastAsia="맑은 고딕"/>
                <w:lang w:eastAsia="zh-CN"/>
              </w:rPr>
              <w:t>.</w:t>
            </w:r>
          </w:p>
        </w:tc>
      </w:tr>
      <w:tr w:rsidR="00323042" w:rsidRPr="00323042" w14:paraId="39C1F695" w14:textId="77777777" w:rsidTr="00516C12">
        <w:trPr>
          <w:cantSplit/>
        </w:trPr>
        <w:tc>
          <w:tcPr>
            <w:tcW w:w="30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C28B96C" w14:textId="77777777" w:rsidR="00323042" w:rsidRPr="00323042" w:rsidRDefault="00323042" w:rsidP="00513201">
            <w:pPr>
              <w:tabs>
                <w:tab w:val="clear" w:pos="567"/>
              </w:tabs>
              <w:jc w:val="center"/>
              <w:rPr>
                <w:rFonts w:eastAsia="맑은 고딕"/>
                <w:b/>
                <w:bCs/>
                <w:lang w:eastAsia="zh-CN"/>
              </w:rPr>
            </w:pPr>
            <w:r w:rsidRPr="00323042">
              <w:rPr>
                <w:rFonts w:eastAsia="맑은 고딕"/>
                <w:b/>
                <w:bCs/>
                <w:lang w:eastAsia="ko-KR"/>
              </w:rPr>
              <w:t>Figur</w:t>
            </w:r>
            <w:r w:rsidR="00513201">
              <w:rPr>
                <w:rFonts w:eastAsia="맑은 고딕"/>
                <w:b/>
                <w:bCs/>
                <w:lang w:eastAsia="ko-KR"/>
              </w:rPr>
              <w:t>a</w:t>
            </w:r>
            <w:r w:rsidRPr="00323042">
              <w:rPr>
                <w:rFonts w:eastAsia="맑은 고딕"/>
                <w:b/>
                <w:bCs/>
                <w:lang w:eastAsia="ko-KR"/>
              </w:rPr>
              <w:t xml:space="preserve"> O</w:t>
            </w:r>
          </w:p>
        </w:tc>
        <w:tc>
          <w:tcPr>
            <w:tcW w:w="6053" w:type="dxa"/>
            <w:vMerge/>
            <w:tcBorders>
              <w:left w:val="nil"/>
              <w:bottom w:val="single" w:sz="4" w:space="0" w:color="auto"/>
            </w:tcBorders>
          </w:tcPr>
          <w:p w14:paraId="215E4D23" w14:textId="77777777" w:rsidR="00323042" w:rsidRPr="00323042" w:rsidRDefault="00323042" w:rsidP="00323042">
            <w:pPr>
              <w:tabs>
                <w:tab w:val="clear" w:pos="567"/>
              </w:tabs>
              <w:suppressAutoHyphens/>
              <w:rPr>
                <w:rFonts w:eastAsia="맑은 고딕"/>
                <w:b/>
                <w:bCs/>
                <w:lang w:eastAsia="zh-CN"/>
              </w:rPr>
            </w:pPr>
          </w:p>
        </w:tc>
      </w:tr>
    </w:tbl>
    <w:p w14:paraId="611D74D0" w14:textId="77777777" w:rsidR="00D63A34" w:rsidRDefault="00D63A34">
      <w:pPr>
        <w:keepNext/>
        <w:numPr>
          <w:ilvl w:val="12"/>
          <w:numId w:val="0"/>
        </w:numPr>
        <w:ind w:left="567" w:hanging="567"/>
        <w:rPr>
          <w:b/>
        </w:rPr>
      </w:pPr>
    </w:p>
    <w:p w14:paraId="55FDC113" w14:textId="6D4513CB" w:rsidR="00526154" w:rsidRDefault="00526154" w:rsidP="00827775">
      <w:pPr>
        <w:pStyle w:val="lbltxt"/>
        <w:tabs>
          <w:tab w:val="clear" w:pos="567"/>
        </w:tabs>
        <w:rPr>
          <w:noProof w:val="0"/>
          <w:highlight w:val="lightGray"/>
        </w:rPr>
      </w:pPr>
    </w:p>
    <w:p w14:paraId="5851F612" w14:textId="77777777" w:rsidR="00526154" w:rsidRDefault="00526154">
      <w:pPr>
        <w:keepNext/>
        <w:numPr>
          <w:ilvl w:val="12"/>
          <w:numId w:val="0"/>
        </w:numPr>
        <w:ind w:left="567" w:hanging="567"/>
        <w:rPr>
          <w:b/>
        </w:rPr>
      </w:pPr>
    </w:p>
    <w:p w14:paraId="0364A7DC" w14:textId="77777777" w:rsidR="00D63A34" w:rsidRDefault="00D63A34">
      <w:pPr>
        <w:keepNext/>
        <w:numPr>
          <w:ilvl w:val="12"/>
          <w:numId w:val="0"/>
        </w:numPr>
        <w:ind w:left="567" w:hanging="567"/>
      </w:pPr>
    </w:p>
    <w:sectPr w:rsidR="00D63A34" w:rsidSect="00AE67CB">
      <w:footerReference w:type="default" r:id="rId43"/>
      <w:footerReference w:type="first" r:id="rId44"/>
      <w:endnotePr>
        <w:numFmt w:val="decimal"/>
      </w:endnotePr>
      <w:pgSz w:w="11907" w:h="16840" w:code="9"/>
      <w:pgMar w:top="1134" w:right="1417" w:bottom="1134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30E9E" w14:textId="77777777" w:rsidR="00E45BFD" w:rsidRDefault="00E45BFD">
      <w:r>
        <w:separator/>
      </w:r>
    </w:p>
  </w:endnote>
  <w:endnote w:type="continuationSeparator" w:id="0">
    <w:p w14:paraId="44AD9207" w14:textId="77777777" w:rsidR="00E45BFD" w:rsidRDefault="00E4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2A65" w14:textId="77777777" w:rsidR="00516C12" w:rsidRPr="00224FB9" w:rsidRDefault="00D63A34" w:rsidP="00D364A0">
    <w:pPr>
      <w:jc w:val="center"/>
      <w:rPr>
        <w:rFonts w:ascii="Arial" w:hAnsi="Arial" w:cs="Arial"/>
        <w:sz w:val="16"/>
        <w:szCs w:val="16"/>
      </w:rPr>
    </w:pPr>
    <w:r w:rsidRPr="00D364A0">
      <w:fldChar w:fldCharType="begin"/>
    </w:r>
    <w:r w:rsidR="00516C12" w:rsidRPr="00D364A0">
      <w:instrText xml:space="preserve"> EQ </w:instrText>
    </w:r>
    <w:r w:rsidRPr="00D364A0">
      <w:fldChar w:fldCharType="end"/>
    </w:r>
    <w:r w:rsidRPr="00224FB9">
      <w:rPr>
        <w:rFonts w:ascii="Arial" w:hAnsi="Arial" w:cs="Arial"/>
        <w:sz w:val="16"/>
      </w:rPr>
      <w:fldChar w:fldCharType="begin"/>
    </w:r>
    <w:r w:rsidR="00516C12" w:rsidRPr="00224FB9">
      <w:rPr>
        <w:rFonts w:ascii="Arial" w:hAnsi="Arial" w:cs="Arial"/>
        <w:sz w:val="16"/>
      </w:rPr>
      <w:instrText xml:space="preserve">PAGE  </w:instrText>
    </w:r>
    <w:r w:rsidRPr="00224FB9">
      <w:rPr>
        <w:rFonts w:ascii="Arial" w:hAnsi="Arial" w:cs="Arial"/>
        <w:sz w:val="16"/>
      </w:rPr>
      <w:fldChar w:fldCharType="separate"/>
    </w:r>
    <w:r w:rsidR="00AB3F90">
      <w:rPr>
        <w:rFonts w:ascii="Arial" w:hAnsi="Arial" w:cs="Arial"/>
        <w:noProof/>
        <w:sz w:val="16"/>
      </w:rPr>
      <w:t>40</w:t>
    </w:r>
    <w:r w:rsidRPr="00224FB9"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B1EB2" w14:textId="77777777" w:rsidR="00516C12" w:rsidRPr="00D364A0" w:rsidRDefault="00D63A34">
    <w:pPr>
      <w:pStyle w:val="a4"/>
      <w:tabs>
        <w:tab w:val="clear" w:pos="8930"/>
        <w:tab w:val="right" w:pos="8931"/>
      </w:tabs>
      <w:ind w:right="96"/>
      <w:jc w:val="center"/>
    </w:pPr>
    <w:r>
      <w:fldChar w:fldCharType="begin"/>
    </w:r>
    <w:r w:rsidR="00516C12">
      <w:instrText xml:space="preserve"> EQ </w:instrText>
    </w:r>
    <w:r>
      <w:fldChar w:fldCharType="end"/>
    </w:r>
    <w:r w:rsidR="00516C12">
      <w:fldChar w:fldCharType="begin"/>
    </w:r>
    <w:r w:rsidR="00516C12">
      <w:instrText xml:space="preserve">PAGE  </w:instrText>
    </w:r>
    <w:r w:rsidR="00516C12">
      <w:fldChar w:fldCharType="separate"/>
    </w:r>
    <w:r w:rsidR="00516C12" w:rsidRPr="00D364A0">
      <w:t>1</w:t>
    </w:r>
    <w:r w:rsidR="00516C12">
      <w:fldChar w:fldCharType="end"/>
    </w:r>
  </w:p>
  <w:p w14:paraId="01756F5B" w14:textId="77777777" w:rsidR="00516C12" w:rsidRDefault="00516C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EE04" w14:textId="77777777" w:rsidR="00E45BFD" w:rsidRDefault="00E45BFD">
      <w:r>
        <w:separator/>
      </w:r>
    </w:p>
  </w:footnote>
  <w:footnote w:type="continuationSeparator" w:id="0">
    <w:p w14:paraId="7118D61D" w14:textId="77777777" w:rsidR="00E45BFD" w:rsidRDefault="00E45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8E1EED"/>
    <w:multiLevelType w:val="hybridMultilevel"/>
    <w:tmpl w:val="D7AC980E"/>
    <w:lvl w:ilvl="0" w:tplc="EE167B40">
      <w:start w:val="6"/>
      <w:numFmt w:val="bullet"/>
      <w:lvlText w:val="•"/>
      <w:lvlJc w:val="left"/>
      <w:pPr>
        <w:ind w:left="1080" w:hanging="720"/>
      </w:pPr>
      <w:rPr>
        <w:rFonts w:ascii="Times New Roman" w:eastAsia="Arial" w:hAnsi="Times New Roman" w:cs="Times New Roman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813D5"/>
    <w:multiLevelType w:val="multilevel"/>
    <w:tmpl w:val="1912461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4A6773D"/>
    <w:multiLevelType w:val="hybridMultilevel"/>
    <w:tmpl w:val="4A806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67DDD"/>
    <w:multiLevelType w:val="multilevel"/>
    <w:tmpl w:val="964C8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7330C"/>
    <w:multiLevelType w:val="hybridMultilevel"/>
    <w:tmpl w:val="0CBE5796"/>
    <w:lvl w:ilvl="0" w:tplc="6F0CADF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2751F"/>
    <w:multiLevelType w:val="hybridMultilevel"/>
    <w:tmpl w:val="01486464"/>
    <w:lvl w:ilvl="0" w:tplc="5C745E6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A338F"/>
    <w:multiLevelType w:val="hybridMultilevel"/>
    <w:tmpl w:val="F96C5A32"/>
    <w:lvl w:ilvl="0" w:tplc="1C84742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E752FB18">
      <w:numFmt w:val="bullet"/>
      <w:lvlText w:val="•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F5F67"/>
    <w:multiLevelType w:val="multilevel"/>
    <w:tmpl w:val="8BA4933C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883E57"/>
    <w:multiLevelType w:val="hybridMultilevel"/>
    <w:tmpl w:val="ADC88608"/>
    <w:lvl w:ilvl="0" w:tplc="F408600E">
      <w:start w:val="1"/>
      <w:numFmt w:val="bullet"/>
      <w:pStyle w:val="BULLETED"/>
      <w:lvlText w:val=""/>
      <w:lvlJc w:val="left"/>
      <w:pPr>
        <w:ind w:left="33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</w:abstractNum>
  <w:abstractNum w:abstractNumId="11" w15:restartNumberingAfterBreak="0">
    <w:nsid w:val="0D342350"/>
    <w:multiLevelType w:val="hybridMultilevel"/>
    <w:tmpl w:val="5986C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71552F"/>
    <w:multiLevelType w:val="hybridMultilevel"/>
    <w:tmpl w:val="8B6C59DE"/>
    <w:lvl w:ilvl="0" w:tplc="4B86CA72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72384D"/>
    <w:multiLevelType w:val="hybridMultilevel"/>
    <w:tmpl w:val="E2F451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FF43EA"/>
    <w:multiLevelType w:val="multilevel"/>
    <w:tmpl w:val="71FA00F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149124FC"/>
    <w:multiLevelType w:val="hybridMultilevel"/>
    <w:tmpl w:val="36CA3318"/>
    <w:lvl w:ilvl="0" w:tplc="976C8E1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120DB0"/>
    <w:multiLevelType w:val="hybridMultilevel"/>
    <w:tmpl w:val="75B29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2D04BE"/>
    <w:multiLevelType w:val="singleLevel"/>
    <w:tmpl w:val="422AA7F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8" w15:restartNumberingAfterBreak="0">
    <w:nsid w:val="1E2B16E3"/>
    <w:multiLevelType w:val="multilevel"/>
    <w:tmpl w:val="8BA4933C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1F5E15C4"/>
    <w:multiLevelType w:val="hybridMultilevel"/>
    <w:tmpl w:val="7CD67E44"/>
    <w:lvl w:ilvl="0" w:tplc="2252F12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1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207B46F8"/>
    <w:multiLevelType w:val="hybridMultilevel"/>
    <w:tmpl w:val="BA386FA2"/>
    <w:lvl w:ilvl="0" w:tplc="6096C72A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3A054C"/>
    <w:multiLevelType w:val="hybridMultilevel"/>
    <w:tmpl w:val="C41E6E4C"/>
    <w:lvl w:ilvl="0" w:tplc="56742BD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0F2362"/>
    <w:multiLevelType w:val="hybridMultilevel"/>
    <w:tmpl w:val="D7D835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9F2CC0"/>
    <w:multiLevelType w:val="hybridMultilevel"/>
    <w:tmpl w:val="0E3EB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521463"/>
    <w:multiLevelType w:val="singleLevel"/>
    <w:tmpl w:val="2C7009F4"/>
    <w:lvl w:ilvl="0">
      <w:start w:val="1"/>
      <w:numFmt w:val="bullet"/>
      <w:pStyle w:val="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2BC43FC8"/>
    <w:multiLevelType w:val="hybridMultilevel"/>
    <w:tmpl w:val="D5664704"/>
    <w:lvl w:ilvl="0" w:tplc="99444C4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C0D31CB"/>
    <w:multiLevelType w:val="singleLevel"/>
    <w:tmpl w:val="726AC426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9" w15:restartNumberingAfterBreak="0">
    <w:nsid w:val="2C4F210F"/>
    <w:multiLevelType w:val="hybridMultilevel"/>
    <w:tmpl w:val="0F185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2E5E0729"/>
    <w:multiLevelType w:val="hybridMultilevel"/>
    <w:tmpl w:val="C40C78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3F4851"/>
    <w:multiLevelType w:val="hybridMultilevel"/>
    <w:tmpl w:val="1966A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38F848AA"/>
    <w:multiLevelType w:val="hybridMultilevel"/>
    <w:tmpl w:val="CD9A1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500FF"/>
    <w:multiLevelType w:val="hybridMultilevel"/>
    <w:tmpl w:val="17DCC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3E32B8E"/>
    <w:multiLevelType w:val="hybridMultilevel"/>
    <w:tmpl w:val="AF8C2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1EFFA0">
      <w:numFmt w:val="bullet"/>
      <w:lvlText w:val="•"/>
      <w:lvlJc w:val="left"/>
      <w:pPr>
        <w:ind w:left="1290" w:hanging="57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DEB733F"/>
    <w:multiLevelType w:val="hybridMultilevel"/>
    <w:tmpl w:val="E7229F22"/>
    <w:lvl w:ilvl="0" w:tplc="E4FE828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46159E"/>
    <w:multiLevelType w:val="hybridMultilevel"/>
    <w:tmpl w:val="2F22B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61C34AA"/>
    <w:multiLevelType w:val="hybridMultilevel"/>
    <w:tmpl w:val="6FD483DA"/>
    <w:lvl w:ilvl="0" w:tplc="2252F12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C283ACA"/>
    <w:multiLevelType w:val="hybridMultilevel"/>
    <w:tmpl w:val="E2F451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3305B0"/>
    <w:multiLevelType w:val="hybridMultilevel"/>
    <w:tmpl w:val="58BCB07C"/>
    <w:lvl w:ilvl="0" w:tplc="FBA482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917BC4"/>
    <w:multiLevelType w:val="hybridMultilevel"/>
    <w:tmpl w:val="DF72A556"/>
    <w:lvl w:ilvl="0" w:tplc="57606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395350"/>
    <w:multiLevelType w:val="hybridMultilevel"/>
    <w:tmpl w:val="ACC0B8C4"/>
    <w:lvl w:ilvl="0" w:tplc="6F0CADF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247730"/>
    <w:multiLevelType w:val="singleLevel"/>
    <w:tmpl w:val="15F0F994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5" w15:restartNumberingAfterBreak="0">
    <w:nsid w:val="6863746B"/>
    <w:multiLevelType w:val="hybridMultilevel"/>
    <w:tmpl w:val="D6261E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8FA1801"/>
    <w:multiLevelType w:val="multilevel"/>
    <w:tmpl w:val="13BC7E6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 w15:restartNumberingAfterBreak="0">
    <w:nsid w:val="6A712CC1"/>
    <w:multiLevelType w:val="hybridMultilevel"/>
    <w:tmpl w:val="4B3A7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 w15:restartNumberingAfterBreak="0">
    <w:nsid w:val="6DF4775E"/>
    <w:multiLevelType w:val="hybridMultilevel"/>
    <w:tmpl w:val="29E6BE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5142FA"/>
    <w:multiLevelType w:val="hybridMultilevel"/>
    <w:tmpl w:val="ACF01E30"/>
    <w:lvl w:ilvl="0" w:tplc="9AAEAA5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  <w:szCs w:val="2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9337D0"/>
    <w:multiLevelType w:val="hybridMultilevel"/>
    <w:tmpl w:val="B42CA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B70F1E"/>
    <w:multiLevelType w:val="hybridMultilevel"/>
    <w:tmpl w:val="F99A3FF8"/>
    <w:lvl w:ilvl="0" w:tplc="9AAEAA5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397293"/>
    <w:multiLevelType w:val="hybridMultilevel"/>
    <w:tmpl w:val="9B187E6E"/>
    <w:lvl w:ilvl="0" w:tplc="1C9CF4A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45942F9"/>
    <w:multiLevelType w:val="hybridMultilevel"/>
    <w:tmpl w:val="6FD483DA"/>
    <w:lvl w:ilvl="0" w:tplc="2252F12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4CF77A7"/>
    <w:multiLevelType w:val="hybridMultilevel"/>
    <w:tmpl w:val="E2F451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4D6052E"/>
    <w:multiLevelType w:val="multilevel"/>
    <w:tmpl w:val="B93CE60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7" w15:restartNumberingAfterBreak="0">
    <w:nsid w:val="79686FB5"/>
    <w:multiLevelType w:val="hybridMultilevel"/>
    <w:tmpl w:val="E00CD632"/>
    <w:lvl w:ilvl="0" w:tplc="EE167B40">
      <w:start w:val="6"/>
      <w:numFmt w:val="bullet"/>
      <w:lvlText w:val="•"/>
      <w:lvlJc w:val="left"/>
      <w:pPr>
        <w:ind w:left="1080" w:hanging="720"/>
      </w:pPr>
      <w:rPr>
        <w:rFonts w:ascii="Times New Roman" w:eastAsia="Arial" w:hAnsi="Times New Roman" w:cs="Times New Roman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9864963">
    <w:abstractNumId w:val="48"/>
  </w:num>
  <w:num w:numId="2" w16cid:durableId="975374746">
    <w:abstractNumId w:val="33"/>
  </w:num>
  <w:num w:numId="3" w16cid:durableId="602811181">
    <w:abstractNumId w:val="21"/>
  </w:num>
  <w:num w:numId="4" w16cid:durableId="1892957438">
    <w:abstractNumId w:val="20"/>
  </w:num>
  <w:num w:numId="5" w16cid:durableId="436755336">
    <w:abstractNumId w:val="14"/>
  </w:num>
  <w:num w:numId="6" w16cid:durableId="700252421">
    <w:abstractNumId w:val="56"/>
  </w:num>
  <w:num w:numId="7" w16cid:durableId="2052797954">
    <w:abstractNumId w:val="18"/>
  </w:num>
  <w:num w:numId="8" w16cid:durableId="669648983">
    <w:abstractNumId w:val="46"/>
  </w:num>
  <w:num w:numId="9" w16cid:durableId="270746969">
    <w:abstractNumId w:val="26"/>
  </w:num>
  <w:num w:numId="10" w16cid:durableId="1877111405">
    <w:abstractNumId w:val="2"/>
  </w:num>
  <w:num w:numId="11" w16cid:durableId="5088745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 w16cid:durableId="1421416138">
    <w:abstractNumId w:val="44"/>
  </w:num>
  <w:num w:numId="13" w16cid:durableId="2145586657">
    <w:abstractNumId w:val="30"/>
  </w:num>
  <w:num w:numId="14" w16cid:durableId="19549875">
    <w:abstractNumId w:val="52"/>
  </w:num>
  <w:num w:numId="15" w16cid:durableId="704017589">
    <w:abstractNumId w:val="15"/>
  </w:num>
  <w:num w:numId="16" w16cid:durableId="216742866">
    <w:abstractNumId w:val="50"/>
  </w:num>
  <w:num w:numId="17" w16cid:durableId="1790780494">
    <w:abstractNumId w:val="37"/>
  </w:num>
  <w:num w:numId="18" w16cid:durableId="453646170">
    <w:abstractNumId w:val="17"/>
  </w:num>
  <w:num w:numId="19" w16cid:durableId="679044284">
    <w:abstractNumId w:val="28"/>
  </w:num>
  <w:num w:numId="20" w16cid:durableId="1573005115">
    <w:abstractNumId w:val="4"/>
  </w:num>
  <w:num w:numId="21" w16cid:durableId="1113132656">
    <w:abstractNumId w:val="45"/>
  </w:num>
  <w:num w:numId="22" w16cid:durableId="1105613983">
    <w:abstractNumId w:val="23"/>
  </w:num>
  <w:num w:numId="23" w16cid:durableId="484515275">
    <w:abstractNumId w:val="24"/>
  </w:num>
  <w:num w:numId="24" w16cid:durableId="2103911033">
    <w:abstractNumId w:val="49"/>
  </w:num>
  <w:num w:numId="25" w16cid:durableId="319231387">
    <w:abstractNumId w:val="8"/>
  </w:num>
  <w:num w:numId="26" w16cid:durableId="1724793313">
    <w:abstractNumId w:val="9"/>
  </w:num>
  <w:num w:numId="27" w16cid:durableId="194800566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8" w16cid:durableId="1512067595">
    <w:abstractNumId w:val="38"/>
  </w:num>
  <w:num w:numId="29" w16cid:durableId="1663000520">
    <w:abstractNumId w:val="12"/>
  </w:num>
  <w:num w:numId="30" w16cid:durableId="49351946">
    <w:abstractNumId w:val="51"/>
  </w:num>
  <w:num w:numId="31" w16cid:durableId="764303802">
    <w:abstractNumId w:val="10"/>
  </w:num>
  <w:num w:numId="32" w16cid:durableId="1409376788">
    <w:abstractNumId w:val="27"/>
  </w:num>
  <w:num w:numId="33" w16cid:durableId="1450902581">
    <w:abstractNumId w:val="43"/>
  </w:num>
  <w:num w:numId="34" w16cid:durableId="168913830">
    <w:abstractNumId w:val="5"/>
  </w:num>
  <w:num w:numId="35" w16cid:durableId="1259170350">
    <w:abstractNumId w:val="11"/>
  </w:num>
  <w:num w:numId="36" w16cid:durableId="662662873">
    <w:abstractNumId w:val="34"/>
  </w:num>
  <w:num w:numId="37" w16cid:durableId="566231684">
    <w:abstractNumId w:val="36"/>
  </w:num>
  <w:num w:numId="38" w16cid:durableId="65304960">
    <w:abstractNumId w:val="47"/>
  </w:num>
  <w:num w:numId="39" w16cid:durableId="1854682583">
    <w:abstractNumId w:val="16"/>
  </w:num>
  <w:num w:numId="40" w16cid:durableId="1684018030">
    <w:abstractNumId w:val="32"/>
  </w:num>
  <w:num w:numId="41" w16cid:durableId="1040665882">
    <w:abstractNumId w:val="22"/>
  </w:num>
  <w:num w:numId="42" w16cid:durableId="1310016432">
    <w:abstractNumId w:val="7"/>
  </w:num>
  <w:num w:numId="43" w16cid:durableId="1905599877">
    <w:abstractNumId w:val="55"/>
  </w:num>
  <w:num w:numId="44" w16cid:durableId="1854110137">
    <w:abstractNumId w:val="3"/>
  </w:num>
  <w:num w:numId="45" w16cid:durableId="1407190749">
    <w:abstractNumId w:val="35"/>
  </w:num>
  <w:num w:numId="46" w16cid:durableId="479426021">
    <w:abstractNumId w:val="6"/>
  </w:num>
  <w:num w:numId="47" w16cid:durableId="1843083664">
    <w:abstractNumId w:val="39"/>
  </w:num>
  <w:num w:numId="48" w16cid:durableId="129785534">
    <w:abstractNumId w:val="19"/>
  </w:num>
  <w:num w:numId="49" w16cid:durableId="1515651551">
    <w:abstractNumId w:val="54"/>
  </w:num>
  <w:num w:numId="50" w16cid:durableId="1235313417">
    <w:abstractNumId w:val="53"/>
  </w:num>
  <w:num w:numId="51" w16cid:durableId="996610927">
    <w:abstractNumId w:val="40"/>
  </w:num>
  <w:num w:numId="52" w16cid:durableId="387655599">
    <w:abstractNumId w:val="13"/>
  </w:num>
  <w:num w:numId="53" w16cid:durableId="2055038903">
    <w:abstractNumId w:val="31"/>
  </w:num>
  <w:num w:numId="54" w16cid:durableId="1068263201">
    <w:abstractNumId w:val="29"/>
  </w:num>
  <w:num w:numId="55" w16cid:durableId="1047216476">
    <w:abstractNumId w:val="25"/>
  </w:num>
  <w:num w:numId="56" w16cid:durableId="1099327491">
    <w:abstractNumId w:val="41"/>
  </w:num>
  <w:num w:numId="57" w16cid:durableId="469324208">
    <w:abstractNumId w:val="42"/>
  </w:num>
  <w:num w:numId="58" w16cid:durableId="523785016">
    <w:abstractNumId w:val="1"/>
  </w:num>
  <w:num w:numId="59" w16cid:durableId="714042239">
    <w:abstractNumId w:val="5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removePersonalInformation/>
  <w:removeDateAndTime/>
  <w:bordersDoNotSurroundHeader/>
  <w:bordersDoNotSurroundFooter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IN" w:vendorID="64" w:dllVersion="0" w:nlCheck="1" w:checkStyle="0"/>
  <w:activeWritingStyle w:appName="MSWord" w:lang="pt-PT" w:vendorID="64" w:dllVersion="0" w:nlCheck="1" w:checkStyle="0"/>
  <w:activeWritingStyle w:appName="MSWord" w:lang="es-ES_tradnl" w:vendorID="64" w:dllVersion="6" w:nlCheck="1" w:checkStyle="1"/>
  <w:activeWritingStyle w:appName="MSWord" w:lang="pt-PT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0" w:nlCheck="1" w:checkStyle="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nb-NO" w:vendorID="666" w:dllVersion="513" w:checkStyle="1"/>
  <w:activeWritingStyle w:appName="MSWord" w:lang="pt-PT" w:vendorID="13" w:dllVersion="513" w:checkStyle="1"/>
  <w:activeWritingStyle w:appName="MSWord" w:lang="fi-FI" w:vendorID="666" w:dllVersion="513" w:checkStyle="1"/>
  <w:activeWritingStyle w:appName="MSWord" w:lang="nl-NL" w:vendorID="1" w:dllVersion="512" w:checkStyle="1"/>
  <w:activeWritingStyle w:appName="MSWord" w:lang="pt-BR" w:vendorID="1" w:dllVersion="513" w:checkStyle="1"/>
  <w:activeWritingStyle w:appName="MSWord" w:lang="da-DK" w:vendorID="666" w:dllVersion="513" w:checkStyle="1"/>
  <w:activeWritingStyle w:appName="MSWord" w:lang="sv-SE" w:vendorID="22" w:dllVersion="513" w:checkStyle="1"/>
  <w:activeWritingStyle w:appName="MSWord" w:lang="da-DK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920C0C"/>
    <w:rsid w:val="00000139"/>
    <w:rsid w:val="00000B8B"/>
    <w:rsid w:val="000014D0"/>
    <w:rsid w:val="00002311"/>
    <w:rsid w:val="000034E1"/>
    <w:rsid w:val="00005938"/>
    <w:rsid w:val="00005A1A"/>
    <w:rsid w:val="00010E63"/>
    <w:rsid w:val="000139CB"/>
    <w:rsid w:val="00014F4A"/>
    <w:rsid w:val="00015C29"/>
    <w:rsid w:val="00016C89"/>
    <w:rsid w:val="0001794F"/>
    <w:rsid w:val="00017D88"/>
    <w:rsid w:val="00020257"/>
    <w:rsid w:val="0002185E"/>
    <w:rsid w:val="00022A78"/>
    <w:rsid w:val="00022F7A"/>
    <w:rsid w:val="000239F8"/>
    <w:rsid w:val="00023BE0"/>
    <w:rsid w:val="00024B36"/>
    <w:rsid w:val="000267A0"/>
    <w:rsid w:val="00026C48"/>
    <w:rsid w:val="00027E6B"/>
    <w:rsid w:val="000304BA"/>
    <w:rsid w:val="00030536"/>
    <w:rsid w:val="000306F3"/>
    <w:rsid w:val="000308F1"/>
    <w:rsid w:val="00030FC6"/>
    <w:rsid w:val="0003165E"/>
    <w:rsid w:val="000331D8"/>
    <w:rsid w:val="00033F55"/>
    <w:rsid w:val="00037145"/>
    <w:rsid w:val="00037CE5"/>
    <w:rsid w:val="00040EBC"/>
    <w:rsid w:val="00042C47"/>
    <w:rsid w:val="0004321A"/>
    <w:rsid w:val="00043BA2"/>
    <w:rsid w:val="00046171"/>
    <w:rsid w:val="000471F1"/>
    <w:rsid w:val="000475C2"/>
    <w:rsid w:val="00047748"/>
    <w:rsid w:val="00053150"/>
    <w:rsid w:val="00053CE5"/>
    <w:rsid w:val="0005683F"/>
    <w:rsid w:val="000636A8"/>
    <w:rsid w:val="0006658D"/>
    <w:rsid w:val="000675CA"/>
    <w:rsid w:val="0006799B"/>
    <w:rsid w:val="000702E8"/>
    <w:rsid w:val="00070483"/>
    <w:rsid w:val="00070CE5"/>
    <w:rsid w:val="00071108"/>
    <w:rsid w:val="00073A3B"/>
    <w:rsid w:val="00074BAC"/>
    <w:rsid w:val="00074C70"/>
    <w:rsid w:val="0007656E"/>
    <w:rsid w:val="00076B25"/>
    <w:rsid w:val="0008020A"/>
    <w:rsid w:val="000806DD"/>
    <w:rsid w:val="00080C15"/>
    <w:rsid w:val="00081A47"/>
    <w:rsid w:val="000828BF"/>
    <w:rsid w:val="0008478A"/>
    <w:rsid w:val="00084EAB"/>
    <w:rsid w:val="00084ED6"/>
    <w:rsid w:val="00085792"/>
    <w:rsid w:val="00086B9E"/>
    <w:rsid w:val="00086F4D"/>
    <w:rsid w:val="00087883"/>
    <w:rsid w:val="00091513"/>
    <w:rsid w:val="0009329A"/>
    <w:rsid w:val="00096097"/>
    <w:rsid w:val="000A1C5A"/>
    <w:rsid w:val="000A6641"/>
    <w:rsid w:val="000A7A9A"/>
    <w:rsid w:val="000A7D42"/>
    <w:rsid w:val="000B1429"/>
    <w:rsid w:val="000B2520"/>
    <w:rsid w:val="000B7C9E"/>
    <w:rsid w:val="000C31C5"/>
    <w:rsid w:val="000C454F"/>
    <w:rsid w:val="000C6AB1"/>
    <w:rsid w:val="000C7BCE"/>
    <w:rsid w:val="000D121E"/>
    <w:rsid w:val="000D29E9"/>
    <w:rsid w:val="000D3F93"/>
    <w:rsid w:val="000D5C39"/>
    <w:rsid w:val="000D6C0B"/>
    <w:rsid w:val="000E0610"/>
    <w:rsid w:val="000E129B"/>
    <w:rsid w:val="000E20F4"/>
    <w:rsid w:val="000E3DC2"/>
    <w:rsid w:val="000E4004"/>
    <w:rsid w:val="000E439D"/>
    <w:rsid w:val="000E4C92"/>
    <w:rsid w:val="000E53BA"/>
    <w:rsid w:val="000E57A6"/>
    <w:rsid w:val="000E6C1F"/>
    <w:rsid w:val="000E78EA"/>
    <w:rsid w:val="000F0F39"/>
    <w:rsid w:val="000F2042"/>
    <w:rsid w:val="000F3A5B"/>
    <w:rsid w:val="001017D1"/>
    <w:rsid w:val="001019D8"/>
    <w:rsid w:val="00101E2E"/>
    <w:rsid w:val="00102953"/>
    <w:rsid w:val="00104562"/>
    <w:rsid w:val="00105FE9"/>
    <w:rsid w:val="00106C0F"/>
    <w:rsid w:val="00110044"/>
    <w:rsid w:val="0011117C"/>
    <w:rsid w:val="0011220E"/>
    <w:rsid w:val="00112966"/>
    <w:rsid w:val="00117697"/>
    <w:rsid w:val="001176A6"/>
    <w:rsid w:val="00117EA1"/>
    <w:rsid w:val="00117F5E"/>
    <w:rsid w:val="00120834"/>
    <w:rsid w:val="001218D8"/>
    <w:rsid w:val="00123F5B"/>
    <w:rsid w:val="0012465F"/>
    <w:rsid w:val="00126F6B"/>
    <w:rsid w:val="001301AA"/>
    <w:rsid w:val="00130DA4"/>
    <w:rsid w:val="00130E73"/>
    <w:rsid w:val="00131255"/>
    <w:rsid w:val="0013214E"/>
    <w:rsid w:val="00132CCE"/>
    <w:rsid w:val="00140BD1"/>
    <w:rsid w:val="00142605"/>
    <w:rsid w:val="001434DB"/>
    <w:rsid w:val="001444F9"/>
    <w:rsid w:val="00145F0F"/>
    <w:rsid w:val="00145F24"/>
    <w:rsid w:val="00146B38"/>
    <w:rsid w:val="00150853"/>
    <w:rsid w:val="00151538"/>
    <w:rsid w:val="00151B64"/>
    <w:rsid w:val="00152353"/>
    <w:rsid w:val="00153917"/>
    <w:rsid w:val="001541F7"/>
    <w:rsid w:val="00154ABB"/>
    <w:rsid w:val="001550AA"/>
    <w:rsid w:val="00155A9E"/>
    <w:rsid w:val="00156413"/>
    <w:rsid w:val="001571D5"/>
    <w:rsid w:val="00157DA9"/>
    <w:rsid w:val="00161EEB"/>
    <w:rsid w:val="00164B93"/>
    <w:rsid w:val="001667C3"/>
    <w:rsid w:val="001704E7"/>
    <w:rsid w:val="00170558"/>
    <w:rsid w:val="001712A0"/>
    <w:rsid w:val="0017147C"/>
    <w:rsid w:val="00171B00"/>
    <w:rsid w:val="001735EA"/>
    <w:rsid w:val="001746CE"/>
    <w:rsid w:val="00174ABF"/>
    <w:rsid w:val="00174D83"/>
    <w:rsid w:val="0017557B"/>
    <w:rsid w:val="00176FD0"/>
    <w:rsid w:val="00177EBD"/>
    <w:rsid w:val="0018177D"/>
    <w:rsid w:val="00181C4E"/>
    <w:rsid w:val="0018450B"/>
    <w:rsid w:val="0018530D"/>
    <w:rsid w:val="00185E4D"/>
    <w:rsid w:val="001865C8"/>
    <w:rsid w:val="0018683C"/>
    <w:rsid w:val="00187A3F"/>
    <w:rsid w:val="00187C58"/>
    <w:rsid w:val="00190E15"/>
    <w:rsid w:val="0019129C"/>
    <w:rsid w:val="00192094"/>
    <w:rsid w:val="00192516"/>
    <w:rsid w:val="0019272C"/>
    <w:rsid w:val="001A06C8"/>
    <w:rsid w:val="001A0B55"/>
    <w:rsid w:val="001A2A51"/>
    <w:rsid w:val="001A371B"/>
    <w:rsid w:val="001A52A5"/>
    <w:rsid w:val="001A5931"/>
    <w:rsid w:val="001A5A88"/>
    <w:rsid w:val="001A6F24"/>
    <w:rsid w:val="001B2529"/>
    <w:rsid w:val="001B2B97"/>
    <w:rsid w:val="001B3E60"/>
    <w:rsid w:val="001B3E6F"/>
    <w:rsid w:val="001B6C45"/>
    <w:rsid w:val="001B7D7E"/>
    <w:rsid w:val="001C0983"/>
    <w:rsid w:val="001C0D2C"/>
    <w:rsid w:val="001C2651"/>
    <w:rsid w:val="001C27D0"/>
    <w:rsid w:val="001C38B9"/>
    <w:rsid w:val="001C6D37"/>
    <w:rsid w:val="001C704C"/>
    <w:rsid w:val="001D03FE"/>
    <w:rsid w:val="001D053D"/>
    <w:rsid w:val="001D13A5"/>
    <w:rsid w:val="001D1E25"/>
    <w:rsid w:val="001D26E4"/>
    <w:rsid w:val="001D272E"/>
    <w:rsid w:val="001D47FC"/>
    <w:rsid w:val="001D7336"/>
    <w:rsid w:val="001D7EBF"/>
    <w:rsid w:val="001E1124"/>
    <w:rsid w:val="001E1D64"/>
    <w:rsid w:val="001E5F45"/>
    <w:rsid w:val="001F01DB"/>
    <w:rsid w:val="001F24BD"/>
    <w:rsid w:val="001F449C"/>
    <w:rsid w:val="001F5614"/>
    <w:rsid w:val="001F7353"/>
    <w:rsid w:val="00200E31"/>
    <w:rsid w:val="00202DF8"/>
    <w:rsid w:val="00203018"/>
    <w:rsid w:val="002058E9"/>
    <w:rsid w:val="0021038D"/>
    <w:rsid w:val="00210844"/>
    <w:rsid w:val="00216A2F"/>
    <w:rsid w:val="002176A4"/>
    <w:rsid w:val="00220C70"/>
    <w:rsid w:val="00222B2B"/>
    <w:rsid w:val="00223986"/>
    <w:rsid w:val="0022448C"/>
    <w:rsid w:val="00224831"/>
    <w:rsid w:val="00224FB9"/>
    <w:rsid w:val="00225894"/>
    <w:rsid w:val="00225FFA"/>
    <w:rsid w:val="00226058"/>
    <w:rsid w:val="00227A8E"/>
    <w:rsid w:val="002337AE"/>
    <w:rsid w:val="00233FFD"/>
    <w:rsid w:val="0023460F"/>
    <w:rsid w:val="00237B97"/>
    <w:rsid w:val="002409B1"/>
    <w:rsid w:val="002419EA"/>
    <w:rsid w:val="00241EEB"/>
    <w:rsid w:val="0024391D"/>
    <w:rsid w:val="00243D11"/>
    <w:rsid w:val="002476C3"/>
    <w:rsid w:val="002479B4"/>
    <w:rsid w:val="00250AC1"/>
    <w:rsid w:val="00252372"/>
    <w:rsid w:val="002534FB"/>
    <w:rsid w:val="00253972"/>
    <w:rsid w:val="00254B43"/>
    <w:rsid w:val="00254CFD"/>
    <w:rsid w:val="0025669A"/>
    <w:rsid w:val="00256D12"/>
    <w:rsid w:val="002578B0"/>
    <w:rsid w:val="00260CC3"/>
    <w:rsid w:val="0026164B"/>
    <w:rsid w:val="00261835"/>
    <w:rsid w:val="00262479"/>
    <w:rsid w:val="00262FEC"/>
    <w:rsid w:val="00263E8A"/>
    <w:rsid w:val="0026400B"/>
    <w:rsid w:val="0026611A"/>
    <w:rsid w:val="00267FAC"/>
    <w:rsid w:val="0027072E"/>
    <w:rsid w:val="00271BA8"/>
    <w:rsid w:val="00271ECF"/>
    <w:rsid w:val="002723A8"/>
    <w:rsid w:val="00272E90"/>
    <w:rsid w:val="002730D9"/>
    <w:rsid w:val="00275C52"/>
    <w:rsid w:val="00276DB5"/>
    <w:rsid w:val="00280175"/>
    <w:rsid w:val="00280CD2"/>
    <w:rsid w:val="00282101"/>
    <w:rsid w:val="002839B3"/>
    <w:rsid w:val="00283B8E"/>
    <w:rsid w:val="00284602"/>
    <w:rsid w:val="00284A41"/>
    <w:rsid w:val="00284FBB"/>
    <w:rsid w:val="002851D7"/>
    <w:rsid w:val="00285ECC"/>
    <w:rsid w:val="00286D15"/>
    <w:rsid w:val="00286F93"/>
    <w:rsid w:val="002872B0"/>
    <w:rsid w:val="002908C3"/>
    <w:rsid w:val="00290A80"/>
    <w:rsid w:val="002926C0"/>
    <w:rsid w:val="0029617F"/>
    <w:rsid w:val="002966DF"/>
    <w:rsid w:val="002971F6"/>
    <w:rsid w:val="002A385F"/>
    <w:rsid w:val="002A40AD"/>
    <w:rsid w:val="002A5F7F"/>
    <w:rsid w:val="002B1704"/>
    <w:rsid w:val="002B1D4E"/>
    <w:rsid w:val="002B4B55"/>
    <w:rsid w:val="002B525F"/>
    <w:rsid w:val="002B7455"/>
    <w:rsid w:val="002C07EC"/>
    <w:rsid w:val="002C1D27"/>
    <w:rsid w:val="002C23AB"/>
    <w:rsid w:val="002C2616"/>
    <w:rsid w:val="002C40B9"/>
    <w:rsid w:val="002C7BCD"/>
    <w:rsid w:val="002D003E"/>
    <w:rsid w:val="002D1FE1"/>
    <w:rsid w:val="002D27AA"/>
    <w:rsid w:val="002D45C7"/>
    <w:rsid w:val="002D5916"/>
    <w:rsid w:val="002D682E"/>
    <w:rsid w:val="002E1AF1"/>
    <w:rsid w:val="002E1C81"/>
    <w:rsid w:val="002E2281"/>
    <w:rsid w:val="002E3196"/>
    <w:rsid w:val="002E540C"/>
    <w:rsid w:val="002E5861"/>
    <w:rsid w:val="002E5C1E"/>
    <w:rsid w:val="002E5DBA"/>
    <w:rsid w:val="002E7CDB"/>
    <w:rsid w:val="002F1576"/>
    <w:rsid w:val="002F3326"/>
    <w:rsid w:val="002F357A"/>
    <w:rsid w:val="002F463A"/>
    <w:rsid w:val="002F5859"/>
    <w:rsid w:val="002F61D8"/>
    <w:rsid w:val="002F649B"/>
    <w:rsid w:val="002F6B21"/>
    <w:rsid w:val="00300F45"/>
    <w:rsid w:val="00301C6B"/>
    <w:rsid w:val="00303011"/>
    <w:rsid w:val="003050CD"/>
    <w:rsid w:val="00306FD3"/>
    <w:rsid w:val="00311824"/>
    <w:rsid w:val="00311899"/>
    <w:rsid w:val="003123D9"/>
    <w:rsid w:val="00313547"/>
    <w:rsid w:val="0031467B"/>
    <w:rsid w:val="00323042"/>
    <w:rsid w:val="00323A98"/>
    <w:rsid w:val="00325458"/>
    <w:rsid w:val="003275A5"/>
    <w:rsid w:val="00330331"/>
    <w:rsid w:val="00333488"/>
    <w:rsid w:val="003343C1"/>
    <w:rsid w:val="00334F3C"/>
    <w:rsid w:val="0033590D"/>
    <w:rsid w:val="00336B20"/>
    <w:rsid w:val="00340F20"/>
    <w:rsid w:val="00341752"/>
    <w:rsid w:val="0034359F"/>
    <w:rsid w:val="003445BC"/>
    <w:rsid w:val="0034537A"/>
    <w:rsid w:val="00346342"/>
    <w:rsid w:val="00346C36"/>
    <w:rsid w:val="0034742F"/>
    <w:rsid w:val="0034753A"/>
    <w:rsid w:val="00356435"/>
    <w:rsid w:val="00357068"/>
    <w:rsid w:val="00361470"/>
    <w:rsid w:val="00365253"/>
    <w:rsid w:val="00365A14"/>
    <w:rsid w:val="003661F1"/>
    <w:rsid w:val="00370D00"/>
    <w:rsid w:val="00370F37"/>
    <w:rsid w:val="00372B09"/>
    <w:rsid w:val="003734FE"/>
    <w:rsid w:val="003737E8"/>
    <w:rsid w:val="00375FAA"/>
    <w:rsid w:val="003803A1"/>
    <w:rsid w:val="00382BC2"/>
    <w:rsid w:val="003839D5"/>
    <w:rsid w:val="00384B6F"/>
    <w:rsid w:val="00385059"/>
    <w:rsid w:val="003856CA"/>
    <w:rsid w:val="00386DFE"/>
    <w:rsid w:val="00387068"/>
    <w:rsid w:val="0038750B"/>
    <w:rsid w:val="003901DF"/>
    <w:rsid w:val="003909DE"/>
    <w:rsid w:val="00390CB7"/>
    <w:rsid w:val="00391BDF"/>
    <w:rsid w:val="00392382"/>
    <w:rsid w:val="00392653"/>
    <w:rsid w:val="003946CC"/>
    <w:rsid w:val="00394CCD"/>
    <w:rsid w:val="00395165"/>
    <w:rsid w:val="00395FD8"/>
    <w:rsid w:val="0039643F"/>
    <w:rsid w:val="003974A9"/>
    <w:rsid w:val="00397619"/>
    <w:rsid w:val="003A0EB1"/>
    <w:rsid w:val="003B0291"/>
    <w:rsid w:val="003B047E"/>
    <w:rsid w:val="003B1662"/>
    <w:rsid w:val="003B271B"/>
    <w:rsid w:val="003B39F4"/>
    <w:rsid w:val="003B4B70"/>
    <w:rsid w:val="003B4DE8"/>
    <w:rsid w:val="003B54CB"/>
    <w:rsid w:val="003B7343"/>
    <w:rsid w:val="003B7A5C"/>
    <w:rsid w:val="003C0814"/>
    <w:rsid w:val="003C0DAF"/>
    <w:rsid w:val="003C11AF"/>
    <w:rsid w:val="003C410D"/>
    <w:rsid w:val="003C508C"/>
    <w:rsid w:val="003C6810"/>
    <w:rsid w:val="003C6C78"/>
    <w:rsid w:val="003C7A3D"/>
    <w:rsid w:val="003C7EFB"/>
    <w:rsid w:val="003D00E6"/>
    <w:rsid w:val="003D0FA7"/>
    <w:rsid w:val="003D5E2C"/>
    <w:rsid w:val="003D5F37"/>
    <w:rsid w:val="003E24B7"/>
    <w:rsid w:val="003E2C78"/>
    <w:rsid w:val="003E3A13"/>
    <w:rsid w:val="003E3A3B"/>
    <w:rsid w:val="003E6568"/>
    <w:rsid w:val="003F0642"/>
    <w:rsid w:val="003F0A34"/>
    <w:rsid w:val="003F2741"/>
    <w:rsid w:val="003F5BA9"/>
    <w:rsid w:val="003F62C9"/>
    <w:rsid w:val="0040061E"/>
    <w:rsid w:val="00402AAF"/>
    <w:rsid w:val="004030F8"/>
    <w:rsid w:val="00403517"/>
    <w:rsid w:val="004039DB"/>
    <w:rsid w:val="00403EF5"/>
    <w:rsid w:val="0040450D"/>
    <w:rsid w:val="004050DB"/>
    <w:rsid w:val="00405385"/>
    <w:rsid w:val="004103A2"/>
    <w:rsid w:val="00412255"/>
    <w:rsid w:val="0041270A"/>
    <w:rsid w:val="004144B8"/>
    <w:rsid w:val="00415D15"/>
    <w:rsid w:val="00415DB2"/>
    <w:rsid w:val="00415F3A"/>
    <w:rsid w:val="004175FE"/>
    <w:rsid w:val="00417A2C"/>
    <w:rsid w:val="004207B8"/>
    <w:rsid w:val="00420B9A"/>
    <w:rsid w:val="00423D1F"/>
    <w:rsid w:val="00426451"/>
    <w:rsid w:val="00426C35"/>
    <w:rsid w:val="00427567"/>
    <w:rsid w:val="00427770"/>
    <w:rsid w:val="00427F72"/>
    <w:rsid w:val="00431758"/>
    <w:rsid w:val="00434AA6"/>
    <w:rsid w:val="00434EFF"/>
    <w:rsid w:val="00435442"/>
    <w:rsid w:val="004374A8"/>
    <w:rsid w:val="0043765E"/>
    <w:rsid w:val="0044133D"/>
    <w:rsid w:val="004439BF"/>
    <w:rsid w:val="00443D59"/>
    <w:rsid w:val="004444D9"/>
    <w:rsid w:val="004464E0"/>
    <w:rsid w:val="004466EA"/>
    <w:rsid w:val="004469C3"/>
    <w:rsid w:val="00447E6B"/>
    <w:rsid w:val="0045537A"/>
    <w:rsid w:val="00455EE8"/>
    <w:rsid w:val="0045645D"/>
    <w:rsid w:val="00456592"/>
    <w:rsid w:val="004609FB"/>
    <w:rsid w:val="00460A0C"/>
    <w:rsid w:val="0046107E"/>
    <w:rsid w:val="004656DB"/>
    <w:rsid w:val="00467221"/>
    <w:rsid w:val="0047019C"/>
    <w:rsid w:val="00470735"/>
    <w:rsid w:val="00471233"/>
    <w:rsid w:val="0047673E"/>
    <w:rsid w:val="00480F37"/>
    <w:rsid w:val="00482FB2"/>
    <w:rsid w:val="00486695"/>
    <w:rsid w:val="004917C4"/>
    <w:rsid w:val="004929CA"/>
    <w:rsid w:val="00492B8B"/>
    <w:rsid w:val="0049304D"/>
    <w:rsid w:val="00494A5A"/>
    <w:rsid w:val="004971CF"/>
    <w:rsid w:val="004A235B"/>
    <w:rsid w:val="004A23FC"/>
    <w:rsid w:val="004A31C2"/>
    <w:rsid w:val="004A4658"/>
    <w:rsid w:val="004A5CC6"/>
    <w:rsid w:val="004A70D0"/>
    <w:rsid w:val="004A7F3A"/>
    <w:rsid w:val="004B015E"/>
    <w:rsid w:val="004B2367"/>
    <w:rsid w:val="004B39BB"/>
    <w:rsid w:val="004B4E78"/>
    <w:rsid w:val="004B5455"/>
    <w:rsid w:val="004B5AE1"/>
    <w:rsid w:val="004B7A56"/>
    <w:rsid w:val="004C046F"/>
    <w:rsid w:val="004C1DEE"/>
    <w:rsid w:val="004C2642"/>
    <w:rsid w:val="004C37A6"/>
    <w:rsid w:val="004C4930"/>
    <w:rsid w:val="004C645A"/>
    <w:rsid w:val="004D05A3"/>
    <w:rsid w:val="004D3D35"/>
    <w:rsid w:val="004D4AE0"/>
    <w:rsid w:val="004D7B3F"/>
    <w:rsid w:val="004D7E06"/>
    <w:rsid w:val="004E0B94"/>
    <w:rsid w:val="004E0DE6"/>
    <w:rsid w:val="004E2181"/>
    <w:rsid w:val="004E300A"/>
    <w:rsid w:val="004E3BD3"/>
    <w:rsid w:val="004E4D49"/>
    <w:rsid w:val="004E6103"/>
    <w:rsid w:val="004E7E55"/>
    <w:rsid w:val="004F1E02"/>
    <w:rsid w:val="004F3EA5"/>
    <w:rsid w:val="004F7580"/>
    <w:rsid w:val="00502193"/>
    <w:rsid w:val="00502346"/>
    <w:rsid w:val="00503EAF"/>
    <w:rsid w:val="0050412D"/>
    <w:rsid w:val="0050626B"/>
    <w:rsid w:val="0050635E"/>
    <w:rsid w:val="00506539"/>
    <w:rsid w:val="00511EFE"/>
    <w:rsid w:val="0051227B"/>
    <w:rsid w:val="00512B71"/>
    <w:rsid w:val="00513201"/>
    <w:rsid w:val="00513A66"/>
    <w:rsid w:val="00513AC0"/>
    <w:rsid w:val="00513B94"/>
    <w:rsid w:val="00513D77"/>
    <w:rsid w:val="00513F9D"/>
    <w:rsid w:val="00515D72"/>
    <w:rsid w:val="005163F3"/>
    <w:rsid w:val="00516C12"/>
    <w:rsid w:val="005207CE"/>
    <w:rsid w:val="00520DDA"/>
    <w:rsid w:val="0052167B"/>
    <w:rsid w:val="00521E30"/>
    <w:rsid w:val="005239E8"/>
    <w:rsid w:val="00526154"/>
    <w:rsid w:val="005300A6"/>
    <w:rsid w:val="00531950"/>
    <w:rsid w:val="00531E6E"/>
    <w:rsid w:val="00531FCD"/>
    <w:rsid w:val="00532614"/>
    <w:rsid w:val="0053262B"/>
    <w:rsid w:val="0053394E"/>
    <w:rsid w:val="00534818"/>
    <w:rsid w:val="00537D4D"/>
    <w:rsid w:val="00540270"/>
    <w:rsid w:val="00540CC2"/>
    <w:rsid w:val="00541997"/>
    <w:rsid w:val="00542618"/>
    <w:rsid w:val="00543A49"/>
    <w:rsid w:val="0054401F"/>
    <w:rsid w:val="00544D13"/>
    <w:rsid w:val="00545E71"/>
    <w:rsid w:val="00546236"/>
    <w:rsid w:val="0054637A"/>
    <w:rsid w:val="005469FE"/>
    <w:rsid w:val="00546AB6"/>
    <w:rsid w:val="00546B5A"/>
    <w:rsid w:val="0055112C"/>
    <w:rsid w:val="0055215B"/>
    <w:rsid w:val="005527CB"/>
    <w:rsid w:val="00553ECF"/>
    <w:rsid w:val="005542A6"/>
    <w:rsid w:val="00555733"/>
    <w:rsid w:val="005564EF"/>
    <w:rsid w:val="00556CD9"/>
    <w:rsid w:val="00556EDC"/>
    <w:rsid w:val="00557EB8"/>
    <w:rsid w:val="0056190D"/>
    <w:rsid w:val="00562E01"/>
    <w:rsid w:val="00565075"/>
    <w:rsid w:val="005660AA"/>
    <w:rsid w:val="00566553"/>
    <w:rsid w:val="00570BE6"/>
    <w:rsid w:val="00570F8A"/>
    <w:rsid w:val="005712B1"/>
    <w:rsid w:val="005713C3"/>
    <w:rsid w:val="00572031"/>
    <w:rsid w:val="00573A7B"/>
    <w:rsid w:val="005748C1"/>
    <w:rsid w:val="0057506B"/>
    <w:rsid w:val="005765CB"/>
    <w:rsid w:val="00576EF9"/>
    <w:rsid w:val="005773C3"/>
    <w:rsid w:val="00577D3D"/>
    <w:rsid w:val="00580267"/>
    <w:rsid w:val="005813AD"/>
    <w:rsid w:val="0058246E"/>
    <w:rsid w:val="00583511"/>
    <w:rsid w:val="00584322"/>
    <w:rsid w:val="005844F0"/>
    <w:rsid w:val="00590205"/>
    <w:rsid w:val="0059029C"/>
    <w:rsid w:val="005912A2"/>
    <w:rsid w:val="005943F9"/>
    <w:rsid w:val="00595BBB"/>
    <w:rsid w:val="00597CB3"/>
    <w:rsid w:val="005A07F5"/>
    <w:rsid w:val="005A4886"/>
    <w:rsid w:val="005A4963"/>
    <w:rsid w:val="005B3534"/>
    <w:rsid w:val="005B3BA7"/>
    <w:rsid w:val="005B5976"/>
    <w:rsid w:val="005B6E10"/>
    <w:rsid w:val="005B768D"/>
    <w:rsid w:val="005B7A51"/>
    <w:rsid w:val="005B7D63"/>
    <w:rsid w:val="005C041F"/>
    <w:rsid w:val="005C2D22"/>
    <w:rsid w:val="005C305E"/>
    <w:rsid w:val="005C41B7"/>
    <w:rsid w:val="005C47A5"/>
    <w:rsid w:val="005D1ED2"/>
    <w:rsid w:val="005D370F"/>
    <w:rsid w:val="005D7ABD"/>
    <w:rsid w:val="005E487C"/>
    <w:rsid w:val="005E5A84"/>
    <w:rsid w:val="005F6B3F"/>
    <w:rsid w:val="005F719A"/>
    <w:rsid w:val="005F7D81"/>
    <w:rsid w:val="00601A36"/>
    <w:rsid w:val="00603171"/>
    <w:rsid w:val="00603CDE"/>
    <w:rsid w:val="0060439F"/>
    <w:rsid w:val="006050AD"/>
    <w:rsid w:val="00605B82"/>
    <w:rsid w:val="00605D59"/>
    <w:rsid w:val="00607A0C"/>
    <w:rsid w:val="00610748"/>
    <w:rsid w:val="006119B3"/>
    <w:rsid w:val="006126B7"/>
    <w:rsid w:val="006138A2"/>
    <w:rsid w:val="006167DC"/>
    <w:rsid w:val="00617973"/>
    <w:rsid w:val="00617D01"/>
    <w:rsid w:val="00620328"/>
    <w:rsid w:val="00620EB8"/>
    <w:rsid w:val="00621A05"/>
    <w:rsid w:val="00630A19"/>
    <w:rsid w:val="00630E37"/>
    <w:rsid w:val="006312C3"/>
    <w:rsid w:val="00631948"/>
    <w:rsid w:val="00632169"/>
    <w:rsid w:val="00634704"/>
    <w:rsid w:val="00635CB3"/>
    <w:rsid w:val="00635E3F"/>
    <w:rsid w:val="006369FF"/>
    <w:rsid w:val="006401D2"/>
    <w:rsid w:val="0064292F"/>
    <w:rsid w:val="0064491E"/>
    <w:rsid w:val="00645A91"/>
    <w:rsid w:val="00650335"/>
    <w:rsid w:val="00654166"/>
    <w:rsid w:val="006553D0"/>
    <w:rsid w:val="006606E8"/>
    <w:rsid w:val="00660D79"/>
    <w:rsid w:val="0066191A"/>
    <w:rsid w:val="00662C55"/>
    <w:rsid w:val="00663B5E"/>
    <w:rsid w:val="006658CD"/>
    <w:rsid w:val="00666C7C"/>
    <w:rsid w:val="00666F4D"/>
    <w:rsid w:val="00667DFA"/>
    <w:rsid w:val="0067031D"/>
    <w:rsid w:val="00670C68"/>
    <w:rsid w:val="00670FB0"/>
    <w:rsid w:val="00673029"/>
    <w:rsid w:val="00675C43"/>
    <w:rsid w:val="00676E1B"/>
    <w:rsid w:val="00677126"/>
    <w:rsid w:val="00677635"/>
    <w:rsid w:val="00680829"/>
    <w:rsid w:val="00680B23"/>
    <w:rsid w:val="00681E81"/>
    <w:rsid w:val="00682756"/>
    <w:rsid w:val="00682758"/>
    <w:rsid w:val="00683555"/>
    <w:rsid w:val="0068384A"/>
    <w:rsid w:val="00683D37"/>
    <w:rsid w:val="00683F11"/>
    <w:rsid w:val="00685410"/>
    <w:rsid w:val="006876E1"/>
    <w:rsid w:val="0069202F"/>
    <w:rsid w:val="00692E63"/>
    <w:rsid w:val="0069335B"/>
    <w:rsid w:val="00693F51"/>
    <w:rsid w:val="00696486"/>
    <w:rsid w:val="0069755A"/>
    <w:rsid w:val="00697D1B"/>
    <w:rsid w:val="006A0CEE"/>
    <w:rsid w:val="006A12AB"/>
    <w:rsid w:val="006A17D4"/>
    <w:rsid w:val="006A1E6E"/>
    <w:rsid w:val="006A21CD"/>
    <w:rsid w:val="006A3142"/>
    <w:rsid w:val="006A3C2F"/>
    <w:rsid w:val="006A5A99"/>
    <w:rsid w:val="006A5C2E"/>
    <w:rsid w:val="006A6CB0"/>
    <w:rsid w:val="006A7F6D"/>
    <w:rsid w:val="006B0507"/>
    <w:rsid w:val="006B4203"/>
    <w:rsid w:val="006B592F"/>
    <w:rsid w:val="006B70C1"/>
    <w:rsid w:val="006B79BF"/>
    <w:rsid w:val="006C15EE"/>
    <w:rsid w:val="006C1BDE"/>
    <w:rsid w:val="006C247E"/>
    <w:rsid w:val="006C4A6F"/>
    <w:rsid w:val="006C5D21"/>
    <w:rsid w:val="006C6ECE"/>
    <w:rsid w:val="006C6FD9"/>
    <w:rsid w:val="006D19EB"/>
    <w:rsid w:val="006D3004"/>
    <w:rsid w:val="006D7371"/>
    <w:rsid w:val="006E0369"/>
    <w:rsid w:val="006E2DD1"/>
    <w:rsid w:val="006E30D3"/>
    <w:rsid w:val="006E32CF"/>
    <w:rsid w:val="006E6621"/>
    <w:rsid w:val="006F14FC"/>
    <w:rsid w:val="006F5C0A"/>
    <w:rsid w:val="006F6052"/>
    <w:rsid w:val="006F60B2"/>
    <w:rsid w:val="006F6CE9"/>
    <w:rsid w:val="006F777D"/>
    <w:rsid w:val="00701B19"/>
    <w:rsid w:val="00702A4F"/>
    <w:rsid w:val="007039B1"/>
    <w:rsid w:val="00705215"/>
    <w:rsid w:val="007064D1"/>
    <w:rsid w:val="007067D5"/>
    <w:rsid w:val="00707432"/>
    <w:rsid w:val="00710638"/>
    <w:rsid w:val="00713FF2"/>
    <w:rsid w:val="00715473"/>
    <w:rsid w:val="007205EB"/>
    <w:rsid w:val="007241CA"/>
    <w:rsid w:val="00725A2D"/>
    <w:rsid w:val="007274D8"/>
    <w:rsid w:val="007340B6"/>
    <w:rsid w:val="0073453F"/>
    <w:rsid w:val="00736455"/>
    <w:rsid w:val="00741A7D"/>
    <w:rsid w:val="007429AD"/>
    <w:rsid w:val="0074341B"/>
    <w:rsid w:val="00744A6C"/>
    <w:rsid w:val="0074576A"/>
    <w:rsid w:val="0074665A"/>
    <w:rsid w:val="007471EF"/>
    <w:rsid w:val="00750787"/>
    <w:rsid w:val="00753546"/>
    <w:rsid w:val="00753EA5"/>
    <w:rsid w:val="00754990"/>
    <w:rsid w:val="00764AFE"/>
    <w:rsid w:val="00764FAF"/>
    <w:rsid w:val="00765B7F"/>
    <w:rsid w:val="00767E83"/>
    <w:rsid w:val="00771809"/>
    <w:rsid w:val="00771A2E"/>
    <w:rsid w:val="00772E28"/>
    <w:rsid w:val="007746E7"/>
    <w:rsid w:val="00775CD9"/>
    <w:rsid w:val="0077602B"/>
    <w:rsid w:val="00781071"/>
    <w:rsid w:val="0078220A"/>
    <w:rsid w:val="00782678"/>
    <w:rsid w:val="00782929"/>
    <w:rsid w:val="00782D78"/>
    <w:rsid w:val="00783401"/>
    <w:rsid w:val="00783F3E"/>
    <w:rsid w:val="00786674"/>
    <w:rsid w:val="00787154"/>
    <w:rsid w:val="00787EB8"/>
    <w:rsid w:val="0079026B"/>
    <w:rsid w:val="00790C2E"/>
    <w:rsid w:val="00790FC4"/>
    <w:rsid w:val="007910B9"/>
    <w:rsid w:val="00792183"/>
    <w:rsid w:val="007930BD"/>
    <w:rsid w:val="007934AE"/>
    <w:rsid w:val="00793B5C"/>
    <w:rsid w:val="00793CD9"/>
    <w:rsid w:val="007947DA"/>
    <w:rsid w:val="007967F0"/>
    <w:rsid w:val="00796DEC"/>
    <w:rsid w:val="007A09DF"/>
    <w:rsid w:val="007A0B47"/>
    <w:rsid w:val="007A0BB2"/>
    <w:rsid w:val="007A13FF"/>
    <w:rsid w:val="007A255F"/>
    <w:rsid w:val="007A39F0"/>
    <w:rsid w:val="007A5B45"/>
    <w:rsid w:val="007A6528"/>
    <w:rsid w:val="007A7CED"/>
    <w:rsid w:val="007B2137"/>
    <w:rsid w:val="007B21F7"/>
    <w:rsid w:val="007B2A55"/>
    <w:rsid w:val="007B31F2"/>
    <w:rsid w:val="007B456B"/>
    <w:rsid w:val="007B5D4C"/>
    <w:rsid w:val="007B6756"/>
    <w:rsid w:val="007B7D22"/>
    <w:rsid w:val="007C1B45"/>
    <w:rsid w:val="007C4974"/>
    <w:rsid w:val="007C4F37"/>
    <w:rsid w:val="007D1361"/>
    <w:rsid w:val="007D2F3D"/>
    <w:rsid w:val="007D3CC0"/>
    <w:rsid w:val="007D7AF6"/>
    <w:rsid w:val="007E1C60"/>
    <w:rsid w:val="007E2131"/>
    <w:rsid w:val="007E35DB"/>
    <w:rsid w:val="007E3A1A"/>
    <w:rsid w:val="007E5346"/>
    <w:rsid w:val="007E53D0"/>
    <w:rsid w:val="007E5A93"/>
    <w:rsid w:val="007F18D8"/>
    <w:rsid w:val="007F4444"/>
    <w:rsid w:val="007F49ED"/>
    <w:rsid w:val="007F4A78"/>
    <w:rsid w:val="007F615E"/>
    <w:rsid w:val="007F6CA6"/>
    <w:rsid w:val="007F7749"/>
    <w:rsid w:val="0080087F"/>
    <w:rsid w:val="008011D6"/>
    <w:rsid w:val="00801635"/>
    <w:rsid w:val="008022D2"/>
    <w:rsid w:val="008038D4"/>
    <w:rsid w:val="00807E7F"/>
    <w:rsid w:val="00807F4D"/>
    <w:rsid w:val="0081033D"/>
    <w:rsid w:val="008111A8"/>
    <w:rsid w:val="008132C0"/>
    <w:rsid w:val="00814BDE"/>
    <w:rsid w:val="00815655"/>
    <w:rsid w:val="00816285"/>
    <w:rsid w:val="0081632F"/>
    <w:rsid w:val="00816FE9"/>
    <w:rsid w:val="0082029B"/>
    <w:rsid w:val="008203F7"/>
    <w:rsid w:val="00820688"/>
    <w:rsid w:val="00821A88"/>
    <w:rsid w:val="00822173"/>
    <w:rsid w:val="0082295E"/>
    <w:rsid w:val="0082430B"/>
    <w:rsid w:val="00825B2E"/>
    <w:rsid w:val="00827775"/>
    <w:rsid w:val="00831A3C"/>
    <w:rsid w:val="008320CE"/>
    <w:rsid w:val="008332E9"/>
    <w:rsid w:val="00834859"/>
    <w:rsid w:val="00834B99"/>
    <w:rsid w:val="0083571E"/>
    <w:rsid w:val="00835F12"/>
    <w:rsid w:val="008416BD"/>
    <w:rsid w:val="0084221F"/>
    <w:rsid w:val="00842C98"/>
    <w:rsid w:val="00842F0F"/>
    <w:rsid w:val="0084364C"/>
    <w:rsid w:val="00844BC4"/>
    <w:rsid w:val="00845425"/>
    <w:rsid w:val="00845B88"/>
    <w:rsid w:val="00845C42"/>
    <w:rsid w:val="00846E74"/>
    <w:rsid w:val="00847B2B"/>
    <w:rsid w:val="008506B2"/>
    <w:rsid w:val="00854732"/>
    <w:rsid w:val="00855958"/>
    <w:rsid w:val="00857CFA"/>
    <w:rsid w:val="008603DE"/>
    <w:rsid w:val="008604A5"/>
    <w:rsid w:val="0086249C"/>
    <w:rsid w:val="00864BA0"/>
    <w:rsid w:val="00866169"/>
    <w:rsid w:val="00866C7D"/>
    <w:rsid w:val="00866E26"/>
    <w:rsid w:val="008679E0"/>
    <w:rsid w:val="008701A6"/>
    <w:rsid w:val="00870635"/>
    <w:rsid w:val="0087200F"/>
    <w:rsid w:val="00872484"/>
    <w:rsid w:val="0087371C"/>
    <w:rsid w:val="00876575"/>
    <w:rsid w:val="008766C5"/>
    <w:rsid w:val="00877662"/>
    <w:rsid w:val="00880B13"/>
    <w:rsid w:val="008814A7"/>
    <w:rsid w:val="008825E1"/>
    <w:rsid w:val="008828A9"/>
    <w:rsid w:val="008832F4"/>
    <w:rsid w:val="0088377F"/>
    <w:rsid w:val="0088443E"/>
    <w:rsid w:val="00885203"/>
    <w:rsid w:val="00886ECF"/>
    <w:rsid w:val="0088725D"/>
    <w:rsid w:val="0089083C"/>
    <w:rsid w:val="00892389"/>
    <w:rsid w:val="00894085"/>
    <w:rsid w:val="00896B0E"/>
    <w:rsid w:val="00897E79"/>
    <w:rsid w:val="008A1977"/>
    <w:rsid w:val="008A3961"/>
    <w:rsid w:val="008A5448"/>
    <w:rsid w:val="008A5FB0"/>
    <w:rsid w:val="008B4ED7"/>
    <w:rsid w:val="008B68D7"/>
    <w:rsid w:val="008B6BBF"/>
    <w:rsid w:val="008C3202"/>
    <w:rsid w:val="008C399E"/>
    <w:rsid w:val="008C5ACD"/>
    <w:rsid w:val="008C61C9"/>
    <w:rsid w:val="008C6FD9"/>
    <w:rsid w:val="008D1E90"/>
    <w:rsid w:val="008D2947"/>
    <w:rsid w:val="008D2CB3"/>
    <w:rsid w:val="008D2D4C"/>
    <w:rsid w:val="008D5181"/>
    <w:rsid w:val="008D72D9"/>
    <w:rsid w:val="008D7BC4"/>
    <w:rsid w:val="008E10F7"/>
    <w:rsid w:val="008E112C"/>
    <w:rsid w:val="008E1368"/>
    <w:rsid w:val="008E1CCB"/>
    <w:rsid w:val="008E1F67"/>
    <w:rsid w:val="008E33B4"/>
    <w:rsid w:val="008E395C"/>
    <w:rsid w:val="008E53B7"/>
    <w:rsid w:val="008E600C"/>
    <w:rsid w:val="008E601B"/>
    <w:rsid w:val="008E6A00"/>
    <w:rsid w:val="008F001D"/>
    <w:rsid w:val="008F076D"/>
    <w:rsid w:val="008F32DF"/>
    <w:rsid w:val="008F4110"/>
    <w:rsid w:val="008F4F4F"/>
    <w:rsid w:val="008F6442"/>
    <w:rsid w:val="008F7C87"/>
    <w:rsid w:val="00900E66"/>
    <w:rsid w:val="0090172F"/>
    <w:rsid w:val="00902610"/>
    <w:rsid w:val="009026C9"/>
    <w:rsid w:val="00903C99"/>
    <w:rsid w:val="009040E3"/>
    <w:rsid w:val="00906A1D"/>
    <w:rsid w:val="00907374"/>
    <w:rsid w:val="00907BCD"/>
    <w:rsid w:val="009125CD"/>
    <w:rsid w:val="00914CA9"/>
    <w:rsid w:val="00915994"/>
    <w:rsid w:val="00915A41"/>
    <w:rsid w:val="00915A56"/>
    <w:rsid w:val="00920C0C"/>
    <w:rsid w:val="009214A2"/>
    <w:rsid w:val="009247D4"/>
    <w:rsid w:val="00925343"/>
    <w:rsid w:val="00926A1A"/>
    <w:rsid w:val="00926BC9"/>
    <w:rsid w:val="0092748E"/>
    <w:rsid w:val="00927DFC"/>
    <w:rsid w:val="0093094E"/>
    <w:rsid w:val="00930DA2"/>
    <w:rsid w:val="0093516D"/>
    <w:rsid w:val="00935D11"/>
    <w:rsid w:val="009366E0"/>
    <w:rsid w:val="00940216"/>
    <w:rsid w:val="00941359"/>
    <w:rsid w:val="00941571"/>
    <w:rsid w:val="00942BF7"/>
    <w:rsid w:val="00943A8E"/>
    <w:rsid w:val="00946139"/>
    <w:rsid w:val="00946823"/>
    <w:rsid w:val="00946B73"/>
    <w:rsid w:val="00947CF3"/>
    <w:rsid w:val="00951905"/>
    <w:rsid w:val="00952113"/>
    <w:rsid w:val="00952BCE"/>
    <w:rsid w:val="009530D5"/>
    <w:rsid w:val="0095624D"/>
    <w:rsid w:val="00960173"/>
    <w:rsid w:val="0096019B"/>
    <w:rsid w:val="009608FC"/>
    <w:rsid w:val="00960FBE"/>
    <w:rsid w:val="00962743"/>
    <w:rsid w:val="00971888"/>
    <w:rsid w:val="0097208F"/>
    <w:rsid w:val="00972A53"/>
    <w:rsid w:val="009732F7"/>
    <w:rsid w:val="00973357"/>
    <w:rsid w:val="009827A0"/>
    <w:rsid w:val="00983B38"/>
    <w:rsid w:val="00984F8D"/>
    <w:rsid w:val="00985DD9"/>
    <w:rsid w:val="00986315"/>
    <w:rsid w:val="009872DC"/>
    <w:rsid w:val="009921A0"/>
    <w:rsid w:val="009921F2"/>
    <w:rsid w:val="00992811"/>
    <w:rsid w:val="00992A6A"/>
    <w:rsid w:val="00993AB6"/>
    <w:rsid w:val="00997081"/>
    <w:rsid w:val="009970B7"/>
    <w:rsid w:val="009A1AD8"/>
    <w:rsid w:val="009A3971"/>
    <w:rsid w:val="009A3D9B"/>
    <w:rsid w:val="009A4CAC"/>
    <w:rsid w:val="009A5CE2"/>
    <w:rsid w:val="009A6895"/>
    <w:rsid w:val="009A72A7"/>
    <w:rsid w:val="009B0D43"/>
    <w:rsid w:val="009B4759"/>
    <w:rsid w:val="009B6711"/>
    <w:rsid w:val="009B727C"/>
    <w:rsid w:val="009C1C4D"/>
    <w:rsid w:val="009C2622"/>
    <w:rsid w:val="009C46BE"/>
    <w:rsid w:val="009C6321"/>
    <w:rsid w:val="009C6C95"/>
    <w:rsid w:val="009D2A31"/>
    <w:rsid w:val="009D2BE6"/>
    <w:rsid w:val="009D2C70"/>
    <w:rsid w:val="009D2E14"/>
    <w:rsid w:val="009D3B7C"/>
    <w:rsid w:val="009D4537"/>
    <w:rsid w:val="009D45F1"/>
    <w:rsid w:val="009D5BBE"/>
    <w:rsid w:val="009D6983"/>
    <w:rsid w:val="009E151E"/>
    <w:rsid w:val="009E53AD"/>
    <w:rsid w:val="009F00A4"/>
    <w:rsid w:val="009F08D0"/>
    <w:rsid w:val="009F3EB0"/>
    <w:rsid w:val="009F617D"/>
    <w:rsid w:val="009F6344"/>
    <w:rsid w:val="009F71BA"/>
    <w:rsid w:val="009F7BC4"/>
    <w:rsid w:val="00A0183F"/>
    <w:rsid w:val="00A02FB5"/>
    <w:rsid w:val="00A0539D"/>
    <w:rsid w:val="00A058A4"/>
    <w:rsid w:val="00A0700F"/>
    <w:rsid w:val="00A076AD"/>
    <w:rsid w:val="00A115D1"/>
    <w:rsid w:val="00A117AB"/>
    <w:rsid w:val="00A1208F"/>
    <w:rsid w:val="00A13BD6"/>
    <w:rsid w:val="00A14BC4"/>
    <w:rsid w:val="00A17190"/>
    <w:rsid w:val="00A22519"/>
    <w:rsid w:val="00A2472E"/>
    <w:rsid w:val="00A25636"/>
    <w:rsid w:val="00A3163F"/>
    <w:rsid w:val="00A31D4E"/>
    <w:rsid w:val="00A32FA9"/>
    <w:rsid w:val="00A34AFA"/>
    <w:rsid w:val="00A36F4E"/>
    <w:rsid w:val="00A37B08"/>
    <w:rsid w:val="00A42278"/>
    <w:rsid w:val="00A42F14"/>
    <w:rsid w:val="00A4407A"/>
    <w:rsid w:val="00A463D4"/>
    <w:rsid w:val="00A47120"/>
    <w:rsid w:val="00A47BFC"/>
    <w:rsid w:val="00A500E9"/>
    <w:rsid w:val="00A517BF"/>
    <w:rsid w:val="00A51C83"/>
    <w:rsid w:val="00A51DDE"/>
    <w:rsid w:val="00A523B2"/>
    <w:rsid w:val="00A54747"/>
    <w:rsid w:val="00A54D6E"/>
    <w:rsid w:val="00A55769"/>
    <w:rsid w:val="00A55898"/>
    <w:rsid w:val="00A56542"/>
    <w:rsid w:val="00A56E01"/>
    <w:rsid w:val="00A6016E"/>
    <w:rsid w:val="00A62AA7"/>
    <w:rsid w:val="00A62B0D"/>
    <w:rsid w:val="00A63AC4"/>
    <w:rsid w:val="00A6401A"/>
    <w:rsid w:val="00A65947"/>
    <w:rsid w:val="00A67918"/>
    <w:rsid w:val="00A7073B"/>
    <w:rsid w:val="00A74244"/>
    <w:rsid w:val="00A74807"/>
    <w:rsid w:val="00A7491A"/>
    <w:rsid w:val="00A765FB"/>
    <w:rsid w:val="00A77D74"/>
    <w:rsid w:val="00A8136B"/>
    <w:rsid w:val="00A8252F"/>
    <w:rsid w:val="00A833BC"/>
    <w:rsid w:val="00A83640"/>
    <w:rsid w:val="00A84AF1"/>
    <w:rsid w:val="00A85DC6"/>
    <w:rsid w:val="00A86FFE"/>
    <w:rsid w:val="00A936C3"/>
    <w:rsid w:val="00A95DA0"/>
    <w:rsid w:val="00A96604"/>
    <w:rsid w:val="00A9674B"/>
    <w:rsid w:val="00A96A0B"/>
    <w:rsid w:val="00A96BB4"/>
    <w:rsid w:val="00AA35AC"/>
    <w:rsid w:val="00AA6DD1"/>
    <w:rsid w:val="00AA7673"/>
    <w:rsid w:val="00AB0375"/>
    <w:rsid w:val="00AB1319"/>
    <w:rsid w:val="00AB22CF"/>
    <w:rsid w:val="00AB3641"/>
    <w:rsid w:val="00AB3F90"/>
    <w:rsid w:val="00AB50C7"/>
    <w:rsid w:val="00AB5662"/>
    <w:rsid w:val="00AC0184"/>
    <w:rsid w:val="00AC24E6"/>
    <w:rsid w:val="00AC25E1"/>
    <w:rsid w:val="00AC3193"/>
    <w:rsid w:val="00AC40D3"/>
    <w:rsid w:val="00AC7A92"/>
    <w:rsid w:val="00AD2606"/>
    <w:rsid w:val="00AE18D6"/>
    <w:rsid w:val="00AE5429"/>
    <w:rsid w:val="00AE67CB"/>
    <w:rsid w:val="00AF0909"/>
    <w:rsid w:val="00AF18CA"/>
    <w:rsid w:val="00AF2389"/>
    <w:rsid w:val="00AF2F34"/>
    <w:rsid w:val="00AF2F8B"/>
    <w:rsid w:val="00AF3664"/>
    <w:rsid w:val="00AF46E4"/>
    <w:rsid w:val="00AF6E41"/>
    <w:rsid w:val="00B0470E"/>
    <w:rsid w:val="00B10CAE"/>
    <w:rsid w:val="00B16069"/>
    <w:rsid w:val="00B20AB2"/>
    <w:rsid w:val="00B227C6"/>
    <w:rsid w:val="00B23D47"/>
    <w:rsid w:val="00B26E3A"/>
    <w:rsid w:val="00B30AD1"/>
    <w:rsid w:val="00B33904"/>
    <w:rsid w:val="00B34C76"/>
    <w:rsid w:val="00B35DF8"/>
    <w:rsid w:val="00B4004B"/>
    <w:rsid w:val="00B401CC"/>
    <w:rsid w:val="00B40929"/>
    <w:rsid w:val="00B41580"/>
    <w:rsid w:val="00B42DC6"/>
    <w:rsid w:val="00B43237"/>
    <w:rsid w:val="00B45A6D"/>
    <w:rsid w:val="00B45EBE"/>
    <w:rsid w:val="00B45F4C"/>
    <w:rsid w:val="00B5050F"/>
    <w:rsid w:val="00B5222C"/>
    <w:rsid w:val="00B52BA7"/>
    <w:rsid w:val="00B5435E"/>
    <w:rsid w:val="00B54EA6"/>
    <w:rsid w:val="00B55F81"/>
    <w:rsid w:val="00B56935"/>
    <w:rsid w:val="00B57CCC"/>
    <w:rsid w:val="00B60469"/>
    <w:rsid w:val="00B60519"/>
    <w:rsid w:val="00B60617"/>
    <w:rsid w:val="00B61A24"/>
    <w:rsid w:val="00B62158"/>
    <w:rsid w:val="00B63DB1"/>
    <w:rsid w:val="00B63F39"/>
    <w:rsid w:val="00B67848"/>
    <w:rsid w:val="00B730DD"/>
    <w:rsid w:val="00B73E17"/>
    <w:rsid w:val="00B751E6"/>
    <w:rsid w:val="00B75396"/>
    <w:rsid w:val="00B81A38"/>
    <w:rsid w:val="00B82A76"/>
    <w:rsid w:val="00B85D78"/>
    <w:rsid w:val="00B85EBE"/>
    <w:rsid w:val="00B90189"/>
    <w:rsid w:val="00B9145E"/>
    <w:rsid w:val="00B922CF"/>
    <w:rsid w:val="00B93C59"/>
    <w:rsid w:val="00B947F4"/>
    <w:rsid w:val="00B9660B"/>
    <w:rsid w:val="00B97978"/>
    <w:rsid w:val="00B97BCE"/>
    <w:rsid w:val="00BA1C6C"/>
    <w:rsid w:val="00BA347A"/>
    <w:rsid w:val="00BA5DD8"/>
    <w:rsid w:val="00BA71B6"/>
    <w:rsid w:val="00BB2B95"/>
    <w:rsid w:val="00BB50DC"/>
    <w:rsid w:val="00BB527A"/>
    <w:rsid w:val="00BB539B"/>
    <w:rsid w:val="00BB7FDA"/>
    <w:rsid w:val="00BC29D2"/>
    <w:rsid w:val="00BC617A"/>
    <w:rsid w:val="00BC6FC7"/>
    <w:rsid w:val="00BC7CF7"/>
    <w:rsid w:val="00BD0FA8"/>
    <w:rsid w:val="00BD493B"/>
    <w:rsid w:val="00BD5DEE"/>
    <w:rsid w:val="00BD6E48"/>
    <w:rsid w:val="00BD765D"/>
    <w:rsid w:val="00BE0489"/>
    <w:rsid w:val="00BE0FAD"/>
    <w:rsid w:val="00BE114A"/>
    <w:rsid w:val="00BE318D"/>
    <w:rsid w:val="00BE5A7E"/>
    <w:rsid w:val="00BE67EE"/>
    <w:rsid w:val="00BE776A"/>
    <w:rsid w:val="00BF0C34"/>
    <w:rsid w:val="00BF1C5E"/>
    <w:rsid w:val="00BF2579"/>
    <w:rsid w:val="00BF5188"/>
    <w:rsid w:val="00BF7EB6"/>
    <w:rsid w:val="00C0019C"/>
    <w:rsid w:val="00C02775"/>
    <w:rsid w:val="00C04E53"/>
    <w:rsid w:val="00C05A87"/>
    <w:rsid w:val="00C06951"/>
    <w:rsid w:val="00C070AF"/>
    <w:rsid w:val="00C072BC"/>
    <w:rsid w:val="00C0769E"/>
    <w:rsid w:val="00C07938"/>
    <w:rsid w:val="00C07DAC"/>
    <w:rsid w:val="00C108F9"/>
    <w:rsid w:val="00C10974"/>
    <w:rsid w:val="00C1383B"/>
    <w:rsid w:val="00C1397F"/>
    <w:rsid w:val="00C14AC8"/>
    <w:rsid w:val="00C14D60"/>
    <w:rsid w:val="00C156E4"/>
    <w:rsid w:val="00C15761"/>
    <w:rsid w:val="00C15D2E"/>
    <w:rsid w:val="00C166BF"/>
    <w:rsid w:val="00C16E5E"/>
    <w:rsid w:val="00C175EC"/>
    <w:rsid w:val="00C1779E"/>
    <w:rsid w:val="00C17ED0"/>
    <w:rsid w:val="00C2015D"/>
    <w:rsid w:val="00C203D4"/>
    <w:rsid w:val="00C21444"/>
    <w:rsid w:val="00C223B7"/>
    <w:rsid w:val="00C2322D"/>
    <w:rsid w:val="00C24067"/>
    <w:rsid w:val="00C244D9"/>
    <w:rsid w:val="00C24BB3"/>
    <w:rsid w:val="00C24D93"/>
    <w:rsid w:val="00C31260"/>
    <w:rsid w:val="00C31BD2"/>
    <w:rsid w:val="00C345B1"/>
    <w:rsid w:val="00C36B40"/>
    <w:rsid w:val="00C36C15"/>
    <w:rsid w:val="00C37052"/>
    <w:rsid w:val="00C41B47"/>
    <w:rsid w:val="00C41E1E"/>
    <w:rsid w:val="00C41F6C"/>
    <w:rsid w:val="00C42CB7"/>
    <w:rsid w:val="00C44C25"/>
    <w:rsid w:val="00C45987"/>
    <w:rsid w:val="00C45C7F"/>
    <w:rsid w:val="00C46641"/>
    <w:rsid w:val="00C467BA"/>
    <w:rsid w:val="00C51021"/>
    <w:rsid w:val="00C526DB"/>
    <w:rsid w:val="00C5397F"/>
    <w:rsid w:val="00C54D68"/>
    <w:rsid w:val="00C5731C"/>
    <w:rsid w:val="00C57400"/>
    <w:rsid w:val="00C60143"/>
    <w:rsid w:val="00C60392"/>
    <w:rsid w:val="00C609B1"/>
    <w:rsid w:val="00C60CA0"/>
    <w:rsid w:val="00C60D71"/>
    <w:rsid w:val="00C646B5"/>
    <w:rsid w:val="00C6545D"/>
    <w:rsid w:val="00C70305"/>
    <w:rsid w:val="00C7330E"/>
    <w:rsid w:val="00C749CD"/>
    <w:rsid w:val="00C756E9"/>
    <w:rsid w:val="00C75B20"/>
    <w:rsid w:val="00C825FE"/>
    <w:rsid w:val="00C82A54"/>
    <w:rsid w:val="00C851DF"/>
    <w:rsid w:val="00C854C1"/>
    <w:rsid w:val="00C85791"/>
    <w:rsid w:val="00C87D2B"/>
    <w:rsid w:val="00C9342A"/>
    <w:rsid w:val="00C942BE"/>
    <w:rsid w:val="00C94696"/>
    <w:rsid w:val="00C9656E"/>
    <w:rsid w:val="00C9738C"/>
    <w:rsid w:val="00C975BD"/>
    <w:rsid w:val="00CA080E"/>
    <w:rsid w:val="00CA55AA"/>
    <w:rsid w:val="00CA6F89"/>
    <w:rsid w:val="00CA70B1"/>
    <w:rsid w:val="00CB04D0"/>
    <w:rsid w:val="00CB050D"/>
    <w:rsid w:val="00CB07A6"/>
    <w:rsid w:val="00CB2868"/>
    <w:rsid w:val="00CB30C3"/>
    <w:rsid w:val="00CB3A6D"/>
    <w:rsid w:val="00CB627A"/>
    <w:rsid w:val="00CB6286"/>
    <w:rsid w:val="00CB6357"/>
    <w:rsid w:val="00CB6EC3"/>
    <w:rsid w:val="00CB7033"/>
    <w:rsid w:val="00CC211E"/>
    <w:rsid w:val="00CC3A37"/>
    <w:rsid w:val="00CC4376"/>
    <w:rsid w:val="00CC5509"/>
    <w:rsid w:val="00CD0319"/>
    <w:rsid w:val="00CD19B2"/>
    <w:rsid w:val="00CD1B54"/>
    <w:rsid w:val="00CD25F7"/>
    <w:rsid w:val="00CD3CF1"/>
    <w:rsid w:val="00CD4AAE"/>
    <w:rsid w:val="00CD7841"/>
    <w:rsid w:val="00CE16C7"/>
    <w:rsid w:val="00CE1A50"/>
    <w:rsid w:val="00CE2764"/>
    <w:rsid w:val="00CE3B33"/>
    <w:rsid w:val="00CE3DF1"/>
    <w:rsid w:val="00CE4ADA"/>
    <w:rsid w:val="00CE6442"/>
    <w:rsid w:val="00CF047C"/>
    <w:rsid w:val="00CF052D"/>
    <w:rsid w:val="00CF203D"/>
    <w:rsid w:val="00CF26EF"/>
    <w:rsid w:val="00CF358D"/>
    <w:rsid w:val="00CF470B"/>
    <w:rsid w:val="00CF6A73"/>
    <w:rsid w:val="00D004A8"/>
    <w:rsid w:val="00D02CFC"/>
    <w:rsid w:val="00D02E77"/>
    <w:rsid w:val="00D0509C"/>
    <w:rsid w:val="00D067DF"/>
    <w:rsid w:val="00D0743B"/>
    <w:rsid w:val="00D14D89"/>
    <w:rsid w:val="00D1549F"/>
    <w:rsid w:val="00D16E20"/>
    <w:rsid w:val="00D17A14"/>
    <w:rsid w:val="00D20D4D"/>
    <w:rsid w:val="00D2663C"/>
    <w:rsid w:val="00D305B4"/>
    <w:rsid w:val="00D3188E"/>
    <w:rsid w:val="00D31B4A"/>
    <w:rsid w:val="00D329A6"/>
    <w:rsid w:val="00D329DB"/>
    <w:rsid w:val="00D337AB"/>
    <w:rsid w:val="00D33E81"/>
    <w:rsid w:val="00D364A0"/>
    <w:rsid w:val="00D36FA8"/>
    <w:rsid w:val="00D430D6"/>
    <w:rsid w:val="00D45170"/>
    <w:rsid w:val="00D475CF"/>
    <w:rsid w:val="00D501D7"/>
    <w:rsid w:val="00D51225"/>
    <w:rsid w:val="00D51524"/>
    <w:rsid w:val="00D5172C"/>
    <w:rsid w:val="00D5523B"/>
    <w:rsid w:val="00D55BAB"/>
    <w:rsid w:val="00D55DAF"/>
    <w:rsid w:val="00D61C18"/>
    <w:rsid w:val="00D62F9F"/>
    <w:rsid w:val="00D63A34"/>
    <w:rsid w:val="00D65C15"/>
    <w:rsid w:val="00D65D1E"/>
    <w:rsid w:val="00D66BC5"/>
    <w:rsid w:val="00D70056"/>
    <w:rsid w:val="00D700AF"/>
    <w:rsid w:val="00D70A5F"/>
    <w:rsid w:val="00D711D8"/>
    <w:rsid w:val="00D7224F"/>
    <w:rsid w:val="00D75343"/>
    <w:rsid w:val="00D77D63"/>
    <w:rsid w:val="00D80954"/>
    <w:rsid w:val="00D80BBA"/>
    <w:rsid w:val="00D821C6"/>
    <w:rsid w:val="00D85058"/>
    <w:rsid w:val="00D87845"/>
    <w:rsid w:val="00D90516"/>
    <w:rsid w:val="00D95E57"/>
    <w:rsid w:val="00D97CDF"/>
    <w:rsid w:val="00DA0DFA"/>
    <w:rsid w:val="00DA5DEC"/>
    <w:rsid w:val="00DA6115"/>
    <w:rsid w:val="00DA6977"/>
    <w:rsid w:val="00DB05D8"/>
    <w:rsid w:val="00DB223B"/>
    <w:rsid w:val="00DB3BE5"/>
    <w:rsid w:val="00DB780B"/>
    <w:rsid w:val="00DB7C7F"/>
    <w:rsid w:val="00DC117E"/>
    <w:rsid w:val="00DC16E0"/>
    <w:rsid w:val="00DC2499"/>
    <w:rsid w:val="00DC31C9"/>
    <w:rsid w:val="00DC5842"/>
    <w:rsid w:val="00DC68AC"/>
    <w:rsid w:val="00DD1080"/>
    <w:rsid w:val="00DD1B9B"/>
    <w:rsid w:val="00DD644A"/>
    <w:rsid w:val="00DE0863"/>
    <w:rsid w:val="00DE153E"/>
    <w:rsid w:val="00DE1BD6"/>
    <w:rsid w:val="00DE3232"/>
    <w:rsid w:val="00DE7858"/>
    <w:rsid w:val="00DE7911"/>
    <w:rsid w:val="00DF2089"/>
    <w:rsid w:val="00DF26AB"/>
    <w:rsid w:val="00DF3394"/>
    <w:rsid w:val="00DF6C5A"/>
    <w:rsid w:val="00DF6FEE"/>
    <w:rsid w:val="00DF7D6E"/>
    <w:rsid w:val="00E004AB"/>
    <w:rsid w:val="00E01BF7"/>
    <w:rsid w:val="00E03BB4"/>
    <w:rsid w:val="00E03C73"/>
    <w:rsid w:val="00E04223"/>
    <w:rsid w:val="00E066C9"/>
    <w:rsid w:val="00E070C4"/>
    <w:rsid w:val="00E10E42"/>
    <w:rsid w:val="00E113CC"/>
    <w:rsid w:val="00E12724"/>
    <w:rsid w:val="00E12EE0"/>
    <w:rsid w:val="00E13481"/>
    <w:rsid w:val="00E155B8"/>
    <w:rsid w:val="00E166B3"/>
    <w:rsid w:val="00E169E3"/>
    <w:rsid w:val="00E16AD0"/>
    <w:rsid w:val="00E226DF"/>
    <w:rsid w:val="00E22803"/>
    <w:rsid w:val="00E22884"/>
    <w:rsid w:val="00E23394"/>
    <w:rsid w:val="00E23C7E"/>
    <w:rsid w:val="00E24BBD"/>
    <w:rsid w:val="00E265B0"/>
    <w:rsid w:val="00E26AA3"/>
    <w:rsid w:val="00E27684"/>
    <w:rsid w:val="00E27EC3"/>
    <w:rsid w:val="00E30845"/>
    <w:rsid w:val="00E30E15"/>
    <w:rsid w:val="00E317CF"/>
    <w:rsid w:val="00E35252"/>
    <w:rsid w:val="00E35DF6"/>
    <w:rsid w:val="00E37371"/>
    <w:rsid w:val="00E4039C"/>
    <w:rsid w:val="00E40BA3"/>
    <w:rsid w:val="00E41528"/>
    <w:rsid w:val="00E41DB2"/>
    <w:rsid w:val="00E431E5"/>
    <w:rsid w:val="00E45BFD"/>
    <w:rsid w:val="00E46943"/>
    <w:rsid w:val="00E47B85"/>
    <w:rsid w:val="00E504B6"/>
    <w:rsid w:val="00E50EED"/>
    <w:rsid w:val="00E51971"/>
    <w:rsid w:val="00E51D93"/>
    <w:rsid w:val="00E53C8F"/>
    <w:rsid w:val="00E54693"/>
    <w:rsid w:val="00E55912"/>
    <w:rsid w:val="00E603A1"/>
    <w:rsid w:val="00E702D8"/>
    <w:rsid w:val="00E703DD"/>
    <w:rsid w:val="00E72251"/>
    <w:rsid w:val="00E731DC"/>
    <w:rsid w:val="00E74627"/>
    <w:rsid w:val="00E752B3"/>
    <w:rsid w:val="00E75EA6"/>
    <w:rsid w:val="00E7662C"/>
    <w:rsid w:val="00E76D1C"/>
    <w:rsid w:val="00E77AC7"/>
    <w:rsid w:val="00E85628"/>
    <w:rsid w:val="00E87B41"/>
    <w:rsid w:val="00E9030C"/>
    <w:rsid w:val="00E92BFF"/>
    <w:rsid w:val="00E93E2B"/>
    <w:rsid w:val="00E969ED"/>
    <w:rsid w:val="00E96DCA"/>
    <w:rsid w:val="00E96F38"/>
    <w:rsid w:val="00E97749"/>
    <w:rsid w:val="00EA1DCD"/>
    <w:rsid w:val="00EA44AB"/>
    <w:rsid w:val="00EA44AD"/>
    <w:rsid w:val="00EA4EF2"/>
    <w:rsid w:val="00EA58CC"/>
    <w:rsid w:val="00EA742A"/>
    <w:rsid w:val="00EB0B79"/>
    <w:rsid w:val="00EB13A5"/>
    <w:rsid w:val="00EB1F77"/>
    <w:rsid w:val="00EB2850"/>
    <w:rsid w:val="00EB3260"/>
    <w:rsid w:val="00EB4EE8"/>
    <w:rsid w:val="00EB4F13"/>
    <w:rsid w:val="00EC032B"/>
    <w:rsid w:val="00EC0578"/>
    <w:rsid w:val="00EC118F"/>
    <w:rsid w:val="00EC1FA2"/>
    <w:rsid w:val="00ED14D1"/>
    <w:rsid w:val="00ED317A"/>
    <w:rsid w:val="00ED365C"/>
    <w:rsid w:val="00ED391C"/>
    <w:rsid w:val="00ED47C2"/>
    <w:rsid w:val="00EE1606"/>
    <w:rsid w:val="00EE27A7"/>
    <w:rsid w:val="00EE2C00"/>
    <w:rsid w:val="00EE3AB1"/>
    <w:rsid w:val="00EE3CC9"/>
    <w:rsid w:val="00EE3E2E"/>
    <w:rsid w:val="00EE51FD"/>
    <w:rsid w:val="00EE695D"/>
    <w:rsid w:val="00EE6F44"/>
    <w:rsid w:val="00EF0ABE"/>
    <w:rsid w:val="00EF16FD"/>
    <w:rsid w:val="00EF2D6C"/>
    <w:rsid w:val="00EF3DB7"/>
    <w:rsid w:val="00EF42C2"/>
    <w:rsid w:val="00EF4A9D"/>
    <w:rsid w:val="00EF5968"/>
    <w:rsid w:val="00F00B70"/>
    <w:rsid w:val="00F024F0"/>
    <w:rsid w:val="00F0590E"/>
    <w:rsid w:val="00F05BE6"/>
    <w:rsid w:val="00F05C25"/>
    <w:rsid w:val="00F07E3E"/>
    <w:rsid w:val="00F124A7"/>
    <w:rsid w:val="00F1348C"/>
    <w:rsid w:val="00F16704"/>
    <w:rsid w:val="00F169FF"/>
    <w:rsid w:val="00F16AEC"/>
    <w:rsid w:val="00F16BEF"/>
    <w:rsid w:val="00F17AA3"/>
    <w:rsid w:val="00F20747"/>
    <w:rsid w:val="00F20AC2"/>
    <w:rsid w:val="00F21E83"/>
    <w:rsid w:val="00F22D8E"/>
    <w:rsid w:val="00F24300"/>
    <w:rsid w:val="00F31D40"/>
    <w:rsid w:val="00F33051"/>
    <w:rsid w:val="00F3370F"/>
    <w:rsid w:val="00F33D07"/>
    <w:rsid w:val="00F347F7"/>
    <w:rsid w:val="00F36A30"/>
    <w:rsid w:val="00F36D99"/>
    <w:rsid w:val="00F37451"/>
    <w:rsid w:val="00F41B80"/>
    <w:rsid w:val="00F41C50"/>
    <w:rsid w:val="00F421E2"/>
    <w:rsid w:val="00F4263A"/>
    <w:rsid w:val="00F42C74"/>
    <w:rsid w:val="00F43642"/>
    <w:rsid w:val="00F4474B"/>
    <w:rsid w:val="00F4530D"/>
    <w:rsid w:val="00F4675A"/>
    <w:rsid w:val="00F473A0"/>
    <w:rsid w:val="00F51D48"/>
    <w:rsid w:val="00F51F01"/>
    <w:rsid w:val="00F51F12"/>
    <w:rsid w:val="00F526DD"/>
    <w:rsid w:val="00F548D5"/>
    <w:rsid w:val="00F54E93"/>
    <w:rsid w:val="00F54EEB"/>
    <w:rsid w:val="00F57381"/>
    <w:rsid w:val="00F57D48"/>
    <w:rsid w:val="00F57F3C"/>
    <w:rsid w:val="00F6279B"/>
    <w:rsid w:val="00F62824"/>
    <w:rsid w:val="00F63174"/>
    <w:rsid w:val="00F644E7"/>
    <w:rsid w:val="00F659FE"/>
    <w:rsid w:val="00F6661F"/>
    <w:rsid w:val="00F71582"/>
    <w:rsid w:val="00F72305"/>
    <w:rsid w:val="00F72924"/>
    <w:rsid w:val="00F759FC"/>
    <w:rsid w:val="00F81F44"/>
    <w:rsid w:val="00F823A9"/>
    <w:rsid w:val="00F825C3"/>
    <w:rsid w:val="00F82CBC"/>
    <w:rsid w:val="00F86F7D"/>
    <w:rsid w:val="00F87D43"/>
    <w:rsid w:val="00F90D17"/>
    <w:rsid w:val="00F91032"/>
    <w:rsid w:val="00F915F4"/>
    <w:rsid w:val="00F940B8"/>
    <w:rsid w:val="00F97182"/>
    <w:rsid w:val="00F9767C"/>
    <w:rsid w:val="00F976B8"/>
    <w:rsid w:val="00FA6870"/>
    <w:rsid w:val="00FB35A1"/>
    <w:rsid w:val="00FB41FC"/>
    <w:rsid w:val="00FB4C58"/>
    <w:rsid w:val="00FB576C"/>
    <w:rsid w:val="00FB5DA6"/>
    <w:rsid w:val="00FC4610"/>
    <w:rsid w:val="00FC4856"/>
    <w:rsid w:val="00FC59D3"/>
    <w:rsid w:val="00FC6039"/>
    <w:rsid w:val="00FC65AA"/>
    <w:rsid w:val="00FC67BB"/>
    <w:rsid w:val="00FC6AE3"/>
    <w:rsid w:val="00FC7175"/>
    <w:rsid w:val="00FD003F"/>
    <w:rsid w:val="00FD05F2"/>
    <w:rsid w:val="00FD1172"/>
    <w:rsid w:val="00FD211D"/>
    <w:rsid w:val="00FD4614"/>
    <w:rsid w:val="00FD54C0"/>
    <w:rsid w:val="00FD709F"/>
    <w:rsid w:val="00FE032D"/>
    <w:rsid w:val="00FE060E"/>
    <w:rsid w:val="00FE1158"/>
    <w:rsid w:val="00FE2985"/>
    <w:rsid w:val="00FE47B3"/>
    <w:rsid w:val="00FE4860"/>
    <w:rsid w:val="00FE5716"/>
    <w:rsid w:val="00FF0CBD"/>
    <w:rsid w:val="00FF0F3D"/>
    <w:rsid w:val="00FF28F7"/>
    <w:rsid w:val="00FF415C"/>
    <w:rsid w:val="00FF5C67"/>
    <w:rsid w:val="00FF63A5"/>
    <w:rsid w:val="00FF6AD5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249A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7F6D"/>
    <w:pPr>
      <w:tabs>
        <w:tab w:val="left" w:pos="567"/>
      </w:tabs>
    </w:pPr>
    <w:rPr>
      <w:rFonts w:eastAsia="PMingLiU"/>
      <w:sz w:val="22"/>
      <w:szCs w:val="22"/>
      <w:lang w:val="pt-PT" w:eastAsia="en-US"/>
    </w:rPr>
  </w:style>
  <w:style w:type="paragraph" w:styleId="1">
    <w:name w:val="heading 1"/>
    <w:basedOn w:val="a"/>
    <w:next w:val="a"/>
    <w:qFormat/>
    <w:rsid w:val="009B6711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2">
    <w:name w:val="heading 2"/>
    <w:basedOn w:val="a"/>
    <w:next w:val="a"/>
    <w:qFormat/>
    <w:rsid w:val="009B6711"/>
    <w:pPr>
      <w:keepNext/>
      <w:spacing w:before="240" w:after="60"/>
      <w:outlineLvl w:val="1"/>
    </w:pPr>
    <w:rPr>
      <w:b/>
      <w:i/>
      <w:sz w:val="24"/>
    </w:rPr>
  </w:style>
  <w:style w:type="paragraph" w:styleId="3">
    <w:name w:val="heading 3"/>
    <w:basedOn w:val="a"/>
    <w:next w:val="a"/>
    <w:qFormat/>
    <w:rsid w:val="009B6711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4">
    <w:name w:val="heading 4"/>
    <w:basedOn w:val="a"/>
    <w:next w:val="a"/>
    <w:qFormat/>
    <w:rsid w:val="009B6711"/>
    <w:pPr>
      <w:keepNext/>
      <w:jc w:val="both"/>
      <w:outlineLvl w:val="3"/>
    </w:pPr>
    <w:rPr>
      <w:b/>
      <w:noProof/>
    </w:rPr>
  </w:style>
  <w:style w:type="paragraph" w:styleId="5">
    <w:name w:val="heading 5"/>
    <w:basedOn w:val="a"/>
    <w:next w:val="a"/>
    <w:qFormat/>
    <w:rsid w:val="009B6711"/>
    <w:pPr>
      <w:keepNext/>
      <w:jc w:val="both"/>
      <w:outlineLvl w:val="4"/>
    </w:pPr>
    <w:rPr>
      <w:noProof/>
    </w:rPr>
  </w:style>
  <w:style w:type="paragraph" w:styleId="6">
    <w:name w:val="heading 6"/>
    <w:basedOn w:val="a"/>
    <w:next w:val="a"/>
    <w:qFormat/>
    <w:rsid w:val="009B6711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7">
    <w:name w:val="heading 7"/>
    <w:basedOn w:val="a"/>
    <w:next w:val="a"/>
    <w:qFormat/>
    <w:rsid w:val="009B6711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8">
    <w:name w:val="heading 8"/>
    <w:basedOn w:val="a"/>
    <w:next w:val="a"/>
    <w:qFormat/>
    <w:rsid w:val="009B6711"/>
    <w:pPr>
      <w:keepNext/>
      <w:ind w:left="567" w:hanging="567"/>
      <w:jc w:val="both"/>
      <w:outlineLvl w:val="7"/>
    </w:pPr>
    <w:rPr>
      <w:b/>
      <w:i/>
    </w:rPr>
  </w:style>
  <w:style w:type="paragraph" w:styleId="9">
    <w:name w:val="heading 9"/>
    <w:basedOn w:val="a"/>
    <w:next w:val="a"/>
    <w:qFormat/>
    <w:rsid w:val="009B6711"/>
    <w:pPr>
      <w:keepNext/>
      <w:jc w:val="both"/>
      <w:outlineLvl w:val="8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B6711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rsid w:val="00D364A0"/>
    <w:pPr>
      <w:tabs>
        <w:tab w:val="center" w:pos="4536"/>
        <w:tab w:val="center" w:pos="8930"/>
      </w:tabs>
    </w:pPr>
  </w:style>
  <w:style w:type="character" w:styleId="a5">
    <w:name w:val="page number"/>
    <w:basedOn w:val="a0"/>
    <w:rsid w:val="009B6711"/>
  </w:style>
  <w:style w:type="paragraph" w:styleId="a6">
    <w:name w:val="Body Text Indent"/>
    <w:basedOn w:val="a"/>
    <w:rsid w:val="009B6711"/>
    <w:pPr>
      <w:tabs>
        <w:tab w:val="clear" w:pos="567"/>
      </w:tabs>
      <w:autoSpaceDE w:val="0"/>
      <w:autoSpaceDN w:val="0"/>
      <w:adjustRightInd w:val="0"/>
      <w:ind w:left="720"/>
      <w:jc w:val="both"/>
    </w:pPr>
    <w:rPr>
      <w:lang w:eastAsia="en-GB"/>
    </w:rPr>
  </w:style>
  <w:style w:type="paragraph" w:styleId="30">
    <w:name w:val="Body Text 3"/>
    <w:basedOn w:val="a"/>
    <w:rsid w:val="009B6711"/>
    <w:pPr>
      <w:tabs>
        <w:tab w:val="clear" w:pos="567"/>
      </w:tabs>
      <w:autoSpaceDE w:val="0"/>
      <w:autoSpaceDN w:val="0"/>
      <w:adjustRightInd w:val="0"/>
      <w:jc w:val="both"/>
    </w:pPr>
    <w:rPr>
      <w:color w:val="0000FF"/>
      <w:lang w:eastAsia="en-GB"/>
    </w:rPr>
  </w:style>
  <w:style w:type="paragraph" w:styleId="20">
    <w:name w:val="Body Text Indent 2"/>
    <w:basedOn w:val="a"/>
    <w:rsid w:val="009B6711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</w:rPr>
  </w:style>
  <w:style w:type="paragraph" w:styleId="a7">
    <w:name w:val="Body Text"/>
    <w:basedOn w:val="a"/>
    <w:rsid w:val="009B6711"/>
    <w:pPr>
      <w:tabs>
        <w:tab w:val="clear" w:pos="567"/>
      </w:tabs>
    </w:pPr>
    <w:rPr>
      <w:i/>
      <w:color w:val="008000"/>
    </w:rPr>
  </w:style>
  <w:style w:type="paragraph" w:styleId="21">
    <w:name w:val="Body Text 2"/>
    <w:basedOn w:val="a"/>
    <w:rsid w:val="009B6711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u w:val="single"/>
    </w:rPr>
  </w:style>
  <w:style w:type="character" w:styleId="a8">
    <w:name w:val="annotation reference"/>
    <w:uiPriority w:val="99"/>
    <w:semiHidden/>
    <w:rsid w:val="009B6711"/>
    <w:rPr>
      <w:sz w:val="16"/>
      <w:szCs w:val="16"/>
    </w:rPr>
  </w:style>
  <w:style w:type="paragraph" w:styleId="a9">
    <w:name w:val="annotation text"/>
    <w:basedOn w:val="a"/>
    <w:link w:val="Char"/>
    <w:uiPriority w:val="99"/>
    <w:rsid w:val="009B6711"/>
    <w:rPr>
      <w:sz w:val="20"/>
    </w:rPr>
  </w:style>
  <w:style w:type="paragraph" w:customStyle="1" w:styleId="EMEAEnBodyText">
    <w:name w:val="EMEA En Body Text"/>
    <w:basedOn w:val="a"/>
    <w:rsid w:val="009B6711"/>
    <w:pPr>
      <w:tabs>
        <w:tab w:val="clear" w:pos="567"/>
      </w:tabs>
      <w:spacing w:before="120" w:after="120"/>
      <w:jc w:val="both"/>
    </w:pPr>
  </w:style>
  <w:style w:type="paragraph" w:styleId="aa">
    <w:name w:val="Document Map"/>
    <w:basedOn w:val="a"/>
    <w:semiHidden/>
    <w:rsid w:val="009B6711"/>
    <w:pPr>
      <w:shd w:val="clear" w:color="auto" w:fill="000080"/>
    </w:pPr>
    <w:rPr>
      <w:rFonts w:ascii="Tahoma" w:hAnsi="Tahoma" w:cs="Tahoma"/>
    </w:rPr>
  </w:style>
  <w:style w:type="character" w:styleId="ab">
    <w:name w:val="Hyperlink"/>
    <w:uiPriority w:val="99"/>
    <w:rsid w:val="009B6711"/>
    <w:rPr>
      <w:color w:val="0000FF"/>
      <w:u w:val="single"/>
    </w:rPr>
  </w:style>
  <w:style w:type="paragraph" w:customStyle="1" w:styleId="AHeader1">
    <w:name w:val="AHeader 1"/>
    <w:basedOn w:val="a"/>
    <w:rsid w:val="009B6711"/>
    <w:pPr>
      <w:numPr>
        <w:numId w:val="4"/>
      </w:numPr>
      <w:tabs>
        <w:tab w:val="clear" w:pos="567"/>
        <w:tab w:val="clear" w:pos="720"/>
      </w:tabs>
      <w:spacing w:after="120"/>
      <w:ind w:left="56" w:hanging="568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9B6711"/>
    <w:pPr>
      <w:numPr>
        <w:ilvl w:val="1"/>
      </w:numPr>
      <w:tabs>
        <w:tab w:val="clear" w:pos="709"/>
        <w:tab w:val="num" w:pos="360"/>
      </w:tabs>
      <w:ind w:left="960" w:hanging="568"/>
    </w:pPr>
    <w:rPr>
      <w:sz w:val="22"/>
    </w:rPr>
  </w:style>
  <w:style w:type="paragraph" w:customStyle="1" w:styleId="AHeader3">
    <w:name w:val="AHeader 3"/>
    <w:basedOn w:val="AHeader2"/>
    <w:rsid w:val="009B6711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9B6711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9B6711"/>
    <w:pPr>
      <w:numPr>
        <w:ilvl w:val="4"/>
      </w:numPr>
      <w:tabs>
        <w:tab w:val="clear" w:pos="1701"/>
        <w:tab w:val="num" w:pos="360"/>
      </w:tabs>
    </w:pPr>
  </w:style>
  <w:style w:type="paragraph" w:styleId="31">
    <w:name w:val="Body Text Indent 3"/>
    <w:basedOn w:val="a"/>
    <w:rsid w:val="009B6711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ac">
    <w:name w:val="FollowedHyperlink"/>
    <w:rsid w:val="009B6711"/>
    <w:rPr>
      <w:color w:val="800080"/>
      <w:u w:val="single"/>
    </w:rPr>
  </w:style>
  <w:style w:type="paragraph" w:customStyle="1" w:styleId="Ballongtext">
    <w:name w:val="Ballongtext"/>
    <w:basedOn w:val="a"/>
    <w:semiHidden/>
    <w:rsid w:val="009B6711"/>
    <w:rPr>
      <w:rFonts w:ascii="Tahoma" w:hAnsi="Tahoma" w:cs="Tahoma"/>
      <w:sz w:val="16"/>
      <w:szCs w:val="16"/>
    </w:rPr>
  </w:style>
  <w:style w:type="paragraph" w:customStyle="1" w:styleId="Kommentarsmne">
    <w:name w:val="Kommentarsämne"/>
    <w:basedOn w:val="a9"/>
    <w:next w:val="a9"/>
    <w:semiHidden/>
    <w:rsid w:val="009B6711"/>
    <w:rPr>
      <w:b/>
      <w:bCs/>
    </w:rPr>
  </w:style>
  <w:style w:type="paragraph" w:customStyle="1" w:styleId="Text">
    <w:name w:val="Text"/>
    <w:basedOn w:val="a"/>
    <w:rsid w:val="009B6711"/>
    <w:pPr>
      <w:tabs>
        <w:tab w:val="clear" w:pos="567"/>
      </w:tabs>
      <w:overflowPunct w:val="0"/>
      <w:autoSpaceDE w:val="0"/>
      <w:autoSpaceDN w:val="0"/>
      <w:adjustRightInd w:val="0"/>
      <w:spacing w:before="100" w:beforeAutospacing="1" w:after="100" w:afterAutospacing="1" w:line="360" w:lineRule="auto"/>
      <w:ind w:left="56"/>
      <w:textAlignment w:val="baseline"/>
    </w:pPr>
    <w:rPr>
      <w:rFonts w:ascii="Arial" w:hAnsi="Arial" w:cs="Arial"/>
      <w:bCs/>
      <w:color w:val="0000FF"/>
      <w:sz w:val="20"/>
      <w:szCs w:val="14"/>
    </w:rPr>
  </w:style>
  <w:style w:type="character" w:customStyle="1" w:styleId="TextChar">
    <w:name w:val="Text Char"/>
    <w:rsid w:val="009B6711"/>
    <w:rPr>
      <w:rFonts w:ascii="Arial" w:hAnsi="Arial" w:cs="Arial"/>
      <w:bCs/>
      <w:color w:val="0000FF"/>
      <w:szCs w:val="14"/>
      <w:lang w:val="pt-PT" w:eastAsia="en-US" w:bidi="ar-SA"/>
    </w:rPr>
  </w:style>
  <w:style w:type="character" w:styleId="ad">
    <w:name w:val="Emphasis"/>
    <w:uiPriority w:val="20"/>
    <w:qFormat/>
    <w:rsid w:val="009B6711"/>
    <w:rPr>
      <w:i/>
      <w:iCs/>
    </w:rPr>
  </w:style>
  <w:style w:type="paragraph" w:styleId="ae">
    <w:name w:val="Normal (Web)"/>
    <w:basedOn w:val="a"/>
    <w:uiPriority w:val="99"/>
    <w:rsid w:val="009B6711"/>
    <w:pPr>
      <w:tabs>
        <w:tab w:val="clear" w:pos="567"/>
      </w:tabs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character" w:customStyle="1" w:styleId="PeggyHo">
    <w:name w:val="Peggy Ho"/>
    <w:basedOn w:val="a0"/>
    <w:semiHidden/>
    <w:rsid w:val="009B6711"/>
  </w:style>
  <w:style w:type="paragraph" w:styleId="af">
    <w:name w:val="Balloon Text"/>
    <w:basedOn w:val="a"/>
    <w:semiHidden/>
    <w:rsid w:val="009B6711"/>
    <w:rPr>
      <w:rFonts w:ascii="Tahoma" w:hAnsi="Tahoma" w:cs="Tahoma"/>
      <w:sz w:val="16"/>
      <w:szCs w:val="16"/>
    </w:rPr>
  </w:style>
  <w:style w:type="paragraph" w:customStyle="1" w:styleId="lbltxt">
    <w:name w:val="lbltxt"/>
    <w:rsid w:val="009B6711"/>
    <w:pPr>
      <w:tabs>
        <w:tab w:val="left" w:pos="567"/>
      </w:tabs>
    </w:pPr>
    <w:rPr>
      <w:noProof/>
      <w:sz w:val="22"/>
      <w:lang w:val="pt-PT" w:eastAsia="en-US"/>
    </w:rPr>
  </w:style>
  <w:style w:type="paragraph" w:customStyle="1" w:styleId="TextBullet">
    <w:name w:val="TextBullet"/>
    <w:basedOn w:val="a"/>
    <w:rsid w:val="009B6711"/>
    <w:pPr>
      <w:numPr>
        <w:numId w:val="9"/>
      </w:numPr>
      <w:tabs>
        <w:tab w:val="clear" w:pos="567"/>
      </w:tabs>
      <w:suppressAutoHyphens/>
      <w:spacing w:after="100" w:line="340" w:lineRule="atLeast"/>
    </w:pPr>
    <w:rPr>
      <w:rFonts w:ascii="Arial" w:hAnsi="Arial"/>
    </w:rPr>
  </w:style>
  <w:style w:type="character" w:customStyle="1" w:styleId="TextBulletChar">
    <w:name w:val="TextBullet Char"/>
    <w:rsid w:val="009B6711"/>
    <w:rPr>
      <w:rFonts w:ascii="Arial" w:hAnsi="Arial"/>
      <w:sz w:val="22"/>
      <w:lang w:val="pt-PT" w:eastAsia="en-US"/>
    </w:rPr>
  </w:style>
  <w:style w:type="character" w:customStyle="1" w:styleId="SidhuvudChar1">
    <w:name w:val="Sidhuvud Char1"/>
    <w:rsid w:val="009B6711"/>
    <w:rPr>
      <w:rFonts w:ascii="Times New Roman" w:hAnsi="Times New Roman"/>
      <w:lang w:val="pt-PT" w:eastAsia="en-US" w:bidi="ar-SA"/>
    </w:rPr>
  </w:style>
  <w:style w:type="paragraph" w:customStyle="1" w:styleId="Para">
    <w:name w:val="Para"/>
    <w:basedOn w:val="a"/>
    <w:next w:val="a"/>
    <w:rsid w:val="009B6711"/>
    <w:pPr>
      <w:tabs>
        <w:tab w:val="clear" w:pos="567"/>
      </w:tabs>
      <w:autoSpaceDE w:val="0"/>
      <w:autoSpaceDN w:val="0"/>
      <w:adjustRightInd w:val="0"/>
    </w:pPr>
    <w:rPr>
      <w:sz w:val="24"/>
      <w:szCs w:val="24"/>
    </w:rPr>
  </w:style>
  <w:style w:type="paragraph" w:customStyle="1" w:styleId="SynopsisText">
    <w:name w:val="SynopsisText"/>
    <w:basedOn w:val="Text"/>
    <w:rsid w:val="009B6711"/>
    <w:pPr>
      <w:tabs>
        <w:tab w:val="left" w:pos="1794"/>
      </w:tabs>
      <w:overflowPunct/>
      <w:autoSpaceDE/>
      <w:autoSpaceDN/>
      <w:adjustRightInd/>
      <w:spacing w:before="120" w:beforeAutospacing="0" w:after="120" w:afterAutospacing="0" w:line="240" w:lineRule="auto"/>
      <w:ind w:left="0"/>
      <w:textAlignment w:val="auto"/>
    </w:pPr>
    <w:rPr>
      <w:rFonts w:cs="Times New Roman"/>
      <w:bCs w:val="0"/>
      <w:color w:val="000000"/>
      <w:szCs w:val="20"/>
    </w:rPr>
  </w:style>
  <w:style w:type="paragraph" w:customStyle="1" w:styleId="text0">
    <w:name w:val="text"/>
    <w:basedOn w:val="a"/>
    <w:rsid w:val="009B6711"/>
    <w:pPr>
      <w:tabs>
        <w:tab w:val="clear" w:pos="567"/>
      </w:tabs>
      <w:overflowPunct w:val="0"/>
      <w:autoSpaceDE w:val="0"/>
      <w:autoSpaceDN w:val="0"/>
      <w:spacing w:before="100" w:beforeAutospacing="1" w:after="100" w:afterAutospacing="1" w:line="360" w:lineRule="auto"/>
      <w:ind w:left="56"/>
    </w:pPr>
    <w:rPr>
      <w:rFonts w:ascii="Arial" w:hAnsi="Arial" w:cs="Arial"/>
      <w:color w:val="0000FF"/>
      <w:sz w:val="20"/>
    </w:rPr>
  </w:style>
  <w:style w:type="character" w:customStyle="1" w:styleId="emailstyle18">
    <w:name w:val="emailstyle18"/>
    <w:semiHidden/>
    <w:rsid w:val="009B6711"/>
    <w:rPr>
      <w:rFonts w:ascii="Arial" w:hAnsi="Arial" w:cs="Arial" w:hint="default"/>
      <w:color w:val="auto"/>
      <w:sz w:val="20"/>
      <w:szCs w:val="20"/>
    </w:rPr>
  </w:style>
  <w:style w:type="paragraph" w:customStyle="1" w:styleId="Default">
    <w:name w:val="Default"/>
    <w:rsid w:val="009B6711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val="pt-PT" w:eastAsia="ja-JP"/>
    </w:rPr>
  </w:style>
  <w:style w:type="paragraph" w:customStyle="1" w:styleId="synopsistext0">
    <w:name w:val="synopsistext"/>
    <w:basedOn w:val="a"/>
    <w:rsid w:val="009B6711"/>
    <w:pPr>
      <w:tabs>
        <w:tab w:val="clear" w:pos="567"/>
      </w:tabs>
      <w:spacing w:before="120" w:after="120"/>
    </w:pPr>
    <w:rPr>
      <w:rFonts w:ascii="Arial" w:eastAsia="MS Mincho" w:hAnsi="Arial" w:cs="Arial"/>
      <w:color w:val="000000"/>
      <w:sz w:val="20"/>
      <w:lang w:eastAsia="ja-JP"/>
    </w:rPr>
  </w:style>
  <w:style w:type="paragraph" w:customStyle="1" w:styleId="lblhead1">
    <w:name w:val="lblhead1"/>
    <w:basedOn w:val="lbltxt"/>
    <w:rsid w:val="009B6711"/>
    <w:pPr>
      <w:keepNext/>
      <w:ind w:left="567" w:hanging="567"/>
    </w:pPr>
    <w:rPr>
      <w:b/>
      <w:caps/>
    </w:rPr>
  </w:style>
  <w:style w:type="character" w:customStyle="1" w:styleId="Initial">
    <w:name w:val="Initial"/>
    <w:rsid w:val="009B6711"/>
    <w:rPr>
      <w:rFonts w:ascii="Times New Roman" w:hAnsi="Times New Roman"/>
      <w:noProof w:val="0"/>
      <w:sz w:val="24"/>
      <w:lang w:val="pt-PT"/>
    </w:rPr>
  </w:style>
  <w:style w:type="paragraph" w:customStyle="1" w:styleId="TableCenterBold">
    <w:name w:val="TableCenterBold"/>
    <w:basedOn w:val="a"/>
    <w:rsid w:val="009B6711"/>
    <w:pPr>
      <w:tabs>
        <w:tab w:val="clear" w:pos="567"/>
      </w:tabs>
      <w:suppressAutoHyphens/>
      <w:spacing w:before="60" w:line="240" w:lineRule="exact"/>
      <w:jc w:val="center"/>
    </w:pPr>
    <w:rPr>
      <w:b/>
      <w:sz w:val="24"/>
      <w:szCs w:val="24"/>
    </w:rPr>
  </w:style>
  <w:style w:type="paragraph" w:customStyle="1" w:styleId="lblbullet">
    <w:name w:val="lblbullet"/>
    <w:basedOn w:val="a"/>
    <w:rsid w:val="009B6711"/>
    <w:pPr>
      <w:ind w:left="567" w:hanging="567"/>
    </w:pPr>
  </w:style>
  <w:style w:type="paragraph" w:customStyle="1" w:styleId="Ballongtext1">
    <w:name w:val="Ballongtext1"/>
    <w:basedOn w:val="a"/>
    <w:semiHidden/>
    <w:rsid w:val="009B6711"/>
    <w:rPr>
      <w:rFonts w:ascii="Tahoma" w:hAnsi="Tahoma" w:cs="Tahoma"/>
      <w:sz w:val="16"/>
      <w:szCs w:val="16"/>
    </w:rPr>
  </w:style>
  <w:style w:type="paragraph" w:customStyle="1" w:styleId="Kommentarsmne1">
    <w:name w:val="Kommentarsämne1"/>
    <w:basedOn w:val="a9"/>
    <w:next w:val="a9"/>
    <w:semiHidden/>
    <w:rsid w:val="009B6711"/>
    <w:rPr>
      <w:b/>
      <w:bCs/>
    </w:rPr>
  </w:style>
  <w:style w:type="character" w:customStyle="1" w:styleId="SidhuvudChar">
    <w:name w:val="Sidhuvud Char"/>
    <w:rsid w:val="009B6711"/>
    <w:rPr>
      <w:rFonts w:ascii="Times New Roman" w:hAnsi="Times New Roman"/>
      <w:lang w:val="pt-PT" w:eastAsia="en-US" w:bidi="ar-SA"/>
    </w:rPr>
  </w:style>
  <w:style w:type="paragraph" w:customStyle="1" w:styleId="TableLeftAlign">
    <w:name w:val="TableLeftAlign"/>
    <w:basedOn w:val="a"/>
    <w:uiPriority w:val="99"/>
    <w:rsid w:val="009B6711"/>
    <w:pPr>
      <w:tabs>
        <w:tab w:val="clear" w:pos="567"/>
      </w:tabs>
      <w:suppressAutoHyphens/>
      <w:spacing w:before="60" w:after="60" w:line="240" w:lineRule="exact"/>
    </w:pPr>
    <w:rPr>
      <w:rFonts w:ascii="Arial" w:hAnsi="Arial"/>
      <w:sz w:val="20"/>
    </w:rPr>
  </w:style>
  <w:style w:type="paragraph" w:customStyle="1" w:styleId="Liststycke">
    <w:name w:val="Liststycke"/>
    <w:basedOn w:val="a"/>
    <w:qFormat/>
    <w:rsid w:val="009B6711"/>
    <w:pPr>
      <w:ind w:left="1304"/>
    </w:pPr>
  </w:style>
  <w:style w:type="paragraph" w:styleId="af0">
    <w:name w:val="Revision"/>
    <w:hidden/>
    <w:semiHidden/>
    <w:rsid w:val="009B6711"/>
    <w:rPr>
      <w:sz w:val="22"/>
      <w:lang w:val="pt-PT" w:eastAsia="en-US"/>
    </w:rPr>
  </w:style>
  <w:style w:type="paragraph" w:customStyle="1" w:styleId="Ballongtext2">
    <w:name w:val="Ballongtext2"/>
    <w:basedOn w:val="a"/>
    <w:semiHidden/>
    <w:rsid w:val="009B6711"/>
    <w:rPr>
      <w:rFonts w:ascii="Tahoma" w:hAnsi="Tahoma" w:cs="Tahoma"/>
      <w:sz w:val="16"/>
      <w:szCs w:val="16"/>
    </w:rPr>
  </w:style>
  <w:style w:type="paragraph" w:customStyle="1" w:styleId="Kommentarsmne2">
    <w:name w:val="Kommentarsämne2"/>
    <w:basedOn w:val="a9"/>
    <w:next w:val="a9"/>
    <w:semiHidden/>
    <w:rsid w:val="009B6711"/>
    <w:rPr>
      <w:b/>
      <w:bCs/>
    </w:rPr>
  </w:style>
  <w:style w:type="paragraph" w:styleId="af1">
    <w:name w:val="caption"/>
    <w:basedOn w:val="a"/>
    <w:next w:val="Text"/>
    <w:qFormat/>
    <w:rsid w:val="009B6711"/>
    <w:pPr>
      <w:keepNext/>
      <w:tabs>
        <w:tab w:val="clear" w:pos="567"/>
      </w:tabs>
      <w:suppressAutoHyphens/>
      <w:spacing w:before="300" w:after="100" w:line="300" w:lineRule="atLeast"/>
      <w:jc w:val="center"/>
    </w:pPr>
    <w:rPr>
      <w:rFonts w:ascii="Arial" w:hAnsi="Arial"/>
      <w:b/>
    </w:rPr>
  </w:style>
  <w:style w:type="character" w:customStyle="1" w:styleId="BeskrivningChar">
    <w:name w:val="Beskrivning Char"/>
    <w:rsid w:val="009B6711"/>
    <w:rPr>
      <w:rFonts w:ascii="Arial" w:hAnsi="Arial"/>
      <w:b/>
      <w:sz w:val="22"/>
      <w:lang w:val="pt-PT" w:eastAsia="en-US"/>
    </w:rPr>
  </w:style>
  <w:style w:type="character" w:customStyle="1" w:styleId="z3988">
    <w:name w:val="z3988"/>
    <w:basedOn w:val="a0"/>
    <w:rsid w:val="009B6711"/>
  </w:style>
  <w:style w:type="character" w:customStyle="1" w:styleId="SidhuvudChar2">
    <w:name w:val="Sidhuvud Char2"/>
    <w:rsid w:val="009B6711"/>
    <w:rPr>
      <w:rFonts w:ascii="Times New Roman" w:hAnsi="Times New Roman"/>
      <w:lang w:val="pt-PT" w:eastAsia="en-US" w:bidi="ar-SA"/>
    </w:rPr>
  </w:style>
  <w:style w:type="character" w:styleId="af2">
    <w:name w:val="Strong"/>
    <w:uiPriority w:val="22"/>
    <w:qFormat/>
    <w:rsid w:val="009B6711"/>
    <w:rPr>
      <w:b/>
      <w:bCs/>
    </w:rPr>
  </w:style>
  <w:style w:type="paragraph" w:styleId="af3">
    <w:name w:val="Date"/>
    <w:basedOn w:val="a"/>
    <w:next w:val="a"/>
    <w:rsid w:val="009B6711"/>
    <w:pPr>
      <w:tabs>
        <w:tab w:val="clear" w:pos="567"/>
      </w:tabs>
    </w:pPr>
  </w:style>
  <w:style w:type="paragraph" w:styleId="af4">
    <w:name w:val="annotation subject"/>
    <w:basedOn w:val="a9"/>
    <w:next w:val="a9"/>
    <w:semiHidden/>
    <w:rsid w:val="009B6711"/>
    <w:rPr>
      <w:b/>
      <w:bCs/>
    </w:rPr>
  </w:style>
  <w:style w:type="paragraph" w:customStyle="1" w:styleId="TitleA">
    <w:name w:val="Title A"/>
    <w:basedOn w:val="a"/>
    <w:rsid w:val="00BF5188"/>
    <w:pPr>
      <w:jc w:val="center"/>
    </w:pPr>
    <w:rPr>
      <w:b/>
      <w:bCs/>
    </w:rPr>
  </w:style>
  <w:style w:type="paragraph" w:customStyle="1" w:styleId="TitleB">
    <w:name w:val="Title B"/>
    <w:basedOn w:val="a"/>
    <w:qFormat/>
    <w:rsid w:val="00BF5188"/>
    <w:pPr>
      <w:keepNext/>
      <w:tabs>
        <w:tab w:val="clear" w:pos="567"/>
      </w:tabs>
      <w:ind w:left="567" w:hanging="567"/>
    </w:pPr>
    <w:rPr>
      <w:b/>
      <w:bCs/>
    </w:rPr>
  </w:style>
  <w:style w:type="character" w:customStyle="1" w:styleId="Char">
    <w:name w:val="메모 텍스트 Char"/>
    <w:link w:val="a9"/>
    <w:uiPriority w:val="99"/>
    <w:rsid w:val="006606E8"/>
    <w:rPr>
      <w:lang w:val="pt-PT" w:eastAsia="en-US" w:bidi="ar-SA"/>
    </w:rPr>
  </w:style>
  <w:style w:type="paragraph" w:customStyle="1" w:styleId="BodytextAgency">
    <w:name w:val="Body text (Agency)"/>
    <w:basedOn w:val="Default"/>
    <w:next w:val="Default"/>
    <w:link w:val="BodytextAgencyChar"/>
    <w:qFormat/>
    <w:rsid w:val="00B60617"/>
    <w:rPr>
      <w:rFonts w:eastAsia="Times New Roman"/>
      <w:color w:val="auto"/>
      <w:lang w:eastAsia="en-US"/>
    </w:rPr>
  </w:style>
  <w:style w:type="paragraph" w:customStyle="1" w:styleId="TextItalicized">
    <w:name w:val="Text Italicized"/>
    <w:basedOn w:val="a"/>
    <w:link w:val="TextItalicizedChar"/>
    <w:rsid w:val="00233FFD"/>
    <w:pPr>
      <w:tabs>
        <w:tab w:val="clear" w:pos="567"/>
      </w:tabs>
    </w:pPr>
    <w:rPr>
      <w:rFonts w:eastAsia="MS Mincho"/>
      <w:i/>
      <w:iCs/>
      <w:color w:val="000000"/>
      <w:sz w:val="24"/>
      <w:szCs w:val="24"/>
      <w:lang w:eastAsia="ja-JP"/>
    </w:rPr>
  </w:style>
  <w:style w:type="character" w:customStyle="1" w:styleId="TextItalicizedChar">
    <w:name w:val="Text Italicized Char"/>
    <w:link w:val="TextItalicized"/>
    <w:rsid w:val="00233FFD"/>
    <w:rPr>
      <w:rFonts w:eastAsia="MS Mincho"/>
      <w:i/>
      <w:iCs/>
      <w:color w:val="000000"/>
      <w:sz w:val="24"/>
      <w:szCs w:val="24"/>
      <w:lang w:val="pt-PT" w:eastAsia="ja-JP"/>
    </w:rPr>
  </w:style>
  <w:style w:type="paragraph" w:styleId="af5">
    <w:name w:val="List Paragraph"/>
    <w:basedOn w:val="a"/>
    <w:uiPriority w:val="99"/>
    <w:qFormat/>
    <w:rsid w:val="004B39BB"/>
    <w:pPr>
      <w:tabs>
        <w:tab w:val="clear" w:pos="567"/>
      </w:tabs>
      <w:ind w:left="720"/>
      <w:contextualSpacing/>
    </w:pPr>
    <w:rPr>
      <w:sz w:val="24"/>
      <w:szCs w:val="24"/>
      <w:lang w:eastAsia="en-GB"/>
    </w:rPr>
  </w:style>
  <w:style w:type="paragraph" w:customStyle="1" w:styleId="BasicParagraph">
    <w:name w:val="[Basic Paragraph]"/>
    <w:basedOn w:val="a"/>
    <w:uiPriority w:val="99"/>
    <w:rsid w:val="004B39BB"/>
    <w:pPr>
      <w:widowControl w:val="0"/>
      <w:tabs>
        <w:tab w:val="clear" w:pos="567"/>
      </w:tabs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  <w:lang w:eastAsia="ja-JP"/>
    </w:rPr>
  </w:style>
  <w:style w:type="character" w:customStyle="1" w:styleId="bodybold">
    <w:name w:val="body bold"/>
    <w:uiPriority w:val="99"/>
    <w:rsid w:val="004B39BB"/>
    <w:rPr>
      <w:rFonts w:cs="Times New Roman"/>
      <w:b/>
      <w:bCs/>
    </w:rPr>
  </w:style>
  <w:style w:type="paragraph" w:customStyle="1" w:styleId="BULLETED">
    <w:name w:val="BULLETED"/>
    <w:basedOn w:val="af5"/>
    <w:rsid w:val="004B39BB"/>
    <w:pPr>
      <w:widowControl w:val="0"/>
      <w:numPr>
        <w:numId w:val="31"/>
      </w:numPr>
      <w:tabs>
        <w:tab w:val="left" w:pos="810"/>
      </w:tabs>
      <w:suppressAutoHyphens/>
      <w:autoSpaceDE w:val="0"/>
      <w:autoSpaceDN w:val="0"/>
      <w:adjustRightInd w:val="0"/>
      <w:spacing w:before="90" w:line="250" w:lineRule="atLeast"/>
      <w:textAlignment w:val="center"/>
    </w:pPr>
    <w:rPr>
      <w:color w:val="000000"/>
      <w:sz w:val="20"/>
      <w:lang w:eastAsia="ja-JP"/>
    </w:rPr>
  </w:style>
  <w:style w:type="character" w:customStyle="1" w:styleId="BodytextAgencyChar">
    <w:name w:val="Body text (Agency) Char"/>
    <w:link w:val="BodytextAgency"/>
    <w:locked/>
    <w:rsid w:val="00692E63"/>
    <w:rPr>
      <w:sz w:val="24"/>
      <w:szCs w:val="24"/>
      <w:lang w:val="pt-PT" w:eastAsia="en-US"/>
    </w:rPr>
  </w:style>
  <w:style w:type="character" w:customStyle="1" w:styleId="st1">
    <w:name w:val="st1"/>
    <w:rsid w:val="00140BD1"/>
  </w:style>
  <w:style w:type="character" w:customStyle="1" w:styleId="No-numheading3AgencyChar">
    <w:name w:val="No-num heading 3 (Agency) Char"/>
    <w:link w:val="No-numheading3Agency"/>
    <w:locked/>
    <w:rsid w:val="00DE7911"/>
    <w:rPr>
      <w:rFonts w:ascii="Verdana" w:eastAsia="Verdana" w:hAnsi="Verdana" w:cs="Arial"/>
      <w:b/>
      <w:bCs/>
      <w:kern w:val="32"/>
      <w:sz w:val="22"/>
      <w:szCs w:val="22"/>
    </w:rPr>
  </w:style>
  <w:style w:type="paragraph" w:customStyle="1" w:styleId="No-numheading3Agency">
    <w:name w:val="No-num heading 3 (Agency)"/>
    <w:basedOn w:val="a"/>
    <w:next w:val="BodytextAgency"/>
    <w:link w:val="No-numheading3AgencyChar"/>
    <w:rsid w:val="00DE7911"/>
    <w:pPr>
      <w:keepNext/>
      <w:tabs>
        <w:tab w:val="clear" w:pos="567"/>
      </w:tabs>
      <w:spacing w:before="280" w:after="220"/>
      <w:outlineLvl w:val="2"/>
    </w:pPr>
    <w:rPr>
      <w:rFonts w:ascii="Verdana" w:eastAsia="Verdana" w:hAnsi="Verdana" w:cs="Arial"/>
      <w:b/>
      <w:bCs/>
      <w:kern w:val="32"/>
      <w:lang w:eastAsia="en-GB"/>
    </w:rPr>
  </w:style>
  <w:style w:type="character" w:customStyle="1" w:styleId="NormalAgencyChar">
    <w:name w:val="Normal (Agency) Char"/>
    <w:link w:val="NormalAgency"/>
    <w:locked/>
    <w:rsid w:val="00DE7911"/>
    <w:rPr>
      <w:rFonts w:ascii="Verdana" w:eastAsia="Verdana" w:hAnsi="Verdana" w:cs="Verdana"/>
      <w:sz w:val="18"/>
      <w:szCs w:val="18"/>
    </w:rPr>
  </w:style>
  <w:style w:type="paragraph" w:customStyle="1" w:styleId="NormalAgency">
    <w:name w:val="Normal (Agency)"/>
    <w:link w:val="NormalAgencyChar"/>
    <w:rsid w:val="00DE7911"/>
    <w:rPr>
      <w:rFonts w:ascii="Verdana" w:eastAsia="Verdana" w:hAnsi="Verdana" w:cs="Verdana"/>
      <w:sz w:val="18"/>
      <w:szCs w:val="18"/>
      <w:lang w:val="pt-PT" w:eastAsia="en-GB"/>
    </w:rPr>
  </w:style>
  <w:style w:type="table" w:styleId="af6">
    <w:name w:val="Table Grid"/>
    <w:basedOn w:val="a1"/>
    <w:rsid w:val="008D7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ptitalic">
    <w:name w:val="_11pt italic"/>
    <w:basedOn w:val="a"/>
    <w:qFormat/>
    <w:rsid w:val="008132C0"/>
    <w:rPr>
      <w:i/>
      <w:iCs/>
    </w:rPr>
  </w:style>
  <w:style w:type="paragraph" w:customStyle="1" w:styleId="Style11ptunderlined">
    <w:name w:val="_Style 11pt underlined"/>
    <w:basedOn w:val="a"/>
    <w:qFormat/>
    <w:rsid w:val="00680B23"/>
    <w:pPr>
      <w:keepNext/>
    </w:pPr>
    <w:rPr>
      <w:u w:val="single"/>
    </w:rPr>
  </w:style>
  <w:style w:type="paragraph" w:customStyle="1" w:styleId="Style1italic">
    <w:name w:val="__Style1_italic"/>
    <w:basedOn w:val="a"/>
    <w:qFormat/>
    <w:rsid w:val="00B40929"/>
    <w:pPr>
      <w:keepNext/>
      <w:tabs>
        <w:tab w:val="clear" w:pos="567"/>
      </w:tabs>
    </w:pPr>
    <w:rPr>
      <w:i/>
      <w:iCs/>
    </w:rPr>
  </w:style>
  <w:style w:type="character" w:styleId="af7">
    <w:name w:val="Unresolved Mention"/>
    <w:uiPriority w:val="99"/>
    <w:semiHidden/>
    <w:unhideWhenUsed/>
    <w:rsid w:val="009D5B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mailto:NLinfo@celltrionhc.com" TargetMode="External"/><Relationship Id="rId26" Type="http://schemas.openxmlformats.org/officeDocument/2006/relationships/hyperlink" Target="mailto:contact_se@celltrionhc.com" TargetMode="External"/><Relationship Id="rId39" Type="http://schemas.openxmlformats.org/officeDocument/2006/relationships/image" Target="media/image13.png"/><Relationship Id="rId21" Type="http://schemas.openxmlformats.org/officeDocument/2006/relationships/hyperlink" Target="mailto:contact_pt@celltrion.com" TargetMode="External"/><Relationship Id="rId34" Type="http://schemas.openxmlformats.org/officeDocument/2006/relationships/image" Target="media/image8.png"/><Relationship Id="rId42" Type="http://schemas.openxmlformats.org/officeDocument/2006/relationships/image" Target="media/image16.png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mailto:contact_dk@celltrionhc.com" TargetMode="Externa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mailto:celltrionhealthcare_italy@legalmail.it" TargetMode="External"/><Relationship Id="rId32" Type="http://schemas.openxmlformats.org/officeDocument/2006/relationships/image" Target="media/image6.png"/><Relationship Id="rId37" Type="http://schemas.openxmlformats.org/officeDocument/2006/relationships/image" Target="media/image11.png"/><Relationship Id="rId40" Type="http://schemas.openxmlformats.org/officeDocument/2006/relationships/image" Target="media/image14.png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BEinfo@celltrionhc.com" TargetMode="External"/><Relationship Id="rId23" Type="http://schemas.openxmlformats.org/officeDocument/2006/relationships/hyperlink" Target="mailto:contact_fi@celltrionhc.com" TargetMode="External"/><Relationship Id="rId28" Type="http://schemas.openxmlformats.org/officeDocument/2006/relationships/image" Target="media/image2.png"/><Relationship Id="rId36" Type="http://schemas.openxmlformats.org/officeDocument/2006/relationships/image" Target="media/image10.png"/><Relationship Id="rId10" Type="http://schemas.openxmlformats.org/officeDocument/2006/relationships/webSettings" Target="webSettings.xml"/><Relationship Id="rId19" Type="http://schemas.openxmlformats.org/officeDocument/2006/relationships/hyperlink" Target="mailto:contact_fi@celltrionhc.com" TargetMode="External"/><Relationship Id="rId31" Type="http://schemas.openxmlformats.org/officeDocument/2006/relationships/image" Target="media/image5.png"/><Relationship Id="rId44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BEinfo@celltrionhc.com" TargetMode="External"/><Relationship Id="rId22" Type="http://schemas.openxmlformats.org/officeDocument/2006/relationships/hyperlink" Target="mailto:enquiry_ie@celltrionhc.com" TargetMode="External"/><Relationship Id="rId27" Type="http://schemas.openxmlformats.org/officeDocument/2006/relationships/hyperlink" Target="https://www.ema.europa.eu/" TargetMode="External"/><Relationship Id="rId30" Type="http://schemas.openxmlformats.org/officeDocument/2006/relationships/image" Target="media/image4.png"/><Relationship Id="rId35" Type="http://schemas.openxmlformats.org/officeDocument/2006/relationships/image" Target="media/image9.png"/><Relationship Id="rId43" Type="http://schemas.openxmlformats.org/officeDocument/2006/relationships/footer" Target="footer1.xml"/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mailto:infoDE@celltrionhc.com" TargetMode="External"/><Relationship Id="rId25" Type="http://schemas.openxmlformats.org/officeDocument/2006/relationships/hyperlink" Target="mailto:contact_fi@celltrionhc.com" TargetMode="External"/><Relationship Id="rId33" Type="http://schemas.openxmlformats.org/officeDocument/2006/relationships/image" Target="media/image7.png"/><Relationship Id="rId38" Type="http://schemas.openxmlformats.org/officeDocument/2006/relationships/image" Target="media/image12.png"/><Relationship Id="rId46" Type="http://schemas.openxmlformats.org/officeDocument/2006/relationships/theme" Target="theme/theme1.xml"/><Relationship Id="rId20" Type="http://schemas.openxmlformats.org/officeDocument/2006/relationships/hyperlink" Target="mailto:contact_no@celltrionhc.com" TargetMode="External"/><Relationship Id="rId4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03e9b10b-a1f9-4a88-9630-476473f62285" value=""/>
  <element uid="7349a702-6462-4442-88eb-c64cd513835c" value=""/>
  <element uid="ba0343df-3220-4244-9388-1298e2abc028" value=""/>
</sisl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874b74-7561-4a92-a6e7-f8370cb4455a">
      <Terms xmlns="http://schemas.microsoft.com/office/infopath/2007/PartnerControls"/>
    </lcf76f155ced4ddcb4097134ff3c332f>
    <TaxCatchAll xmlns="a034c160-bfb7-45f5-8632-2eb7e0508071" xsi:nil="true"/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EMADOC-1700519818-2443585</_dlc_DocId>
    <_dlc_DocIdUrl xmlns="a034c160-bfb7-45f5-8632-2eb7e0508071">
      <Url>https://euema.sharepoint.com/sites/CRM/_layouts/15/DocIdRedir.aspx?ID=EMADOC-1700519818-2443585</Url>
      <Description>EMADOC-1700519818-2443585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679109-1336-47D9-8991-F3E583AB76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617FD8-989C-4A88-9D6C-CED8652C55DC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67C08171-0DBA-4733-8E6D-87826EC3ED09}"/>
</file>

<file path=customXml/itemProps4.xml><?xml version="1.0" encoding="utf-8"?>
<ds:datastoreItem xmlns:ds="http://schemas.openxmlformats.org/officeDocument/2006/customXml" ds:itemID="{42741BBE-E5B8-48F3-8CB2-0CA7DBFD70F7}">
  <ds:schemaRefs>
    <ds:schemaRef ds:uri="http://schemas.microsoft.com/office/2006/metadata/properties"/>
    <ds:schemaRef ds:uri="http://schemas.microsoft.com/office/infopath/2007/PartnerControls"/>
    <ds:schemaRef ds:uri="a4d64e8f-e33f-435d-981f-c49545ae15b0"/>
    <ds:schemaRef ds:uri="e1eef876-2644-4dc2-b8ea-c736ac46ca54"/>
  </ds:schemaRefs>
</ds:datastoreItem>
</file>

<file path=customXml/itemProps5.xml><?xml version="1.0" encoding="utf-8"?>
<ds:datastoreItem xmlns:ds="http://schemas.openxmlformats.org/officeDocument/2006/customXml" ds:itemID="{F5729003-6D5B-4D1B-AD5A-48D4DE34D42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7553CF0-3C16-476B-B15B-22700247FF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12687</Words>
  <Characters>72322</Characters>
  <Application>Microsoft Office Word</Application>
  <DocSecurity>0</DocSecurity>
  <Lines>602</Lines>
  <Paragraphs>169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84840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Stoboclo: EPAR – Product information – tracked changes</dc:title>
  <dc:subject/>
  <dc:creator/>
  <cp:keywords/>
  <dc:description/>
  <cp:lastModifiedBy/>
  <cp:revision>1</cp:revision>
  <dcterms:created xsi:type="dcterms:W3CDTF">2025-09-03T04:27:00Z</dcterms:created>
  <dcterms:modified xsi:type="dcterms:W3CDTF">2025-09-03T04:27:00Z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_dlc_DocIdItemGuid">
    <vt:lpwstr>e5dcba09-6138-4326-8605-99084dc44168</vt:lpwstr>
  </property>
</Properties>
</file>